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5EAD0" w14:textId="77777777" w:rsidR="00EA6423" w:rsidRPr="00BB17A8" w:rsidRDefault="00EA6423" w:rsidP="00EA6423">
      <w:pPr>
        <w:pStyle w:val="MDPI11articletype"/>
      </w:pPr>
      <w:r w:rsidRPr="00BB17A8">
        <w:t>Article</w:t>
      </w:r>
    </w:p>
    <w:p w14:paraId="61CE109E" w14:textId="77777777" w:rsidR="00EA6423" w:rsidRPr="00BB17A8" w:rsidRDefault="00262690" w:rsidP="00EA6423">
      <w:pPr>
        <w:pStyle w:val="MDPI12title"/>
      </w:pPr>
      <w:r w:rsidRPr="00BB17A8">
        <w:t>Earth Observation for Citizen Science validation, or, Citizen Science for Earth Observation validation? The Role of Quality Assurance of Volunteered Observations</w:t>
      </w:r>
    </w:p>
    <w:p w14:paraId="39605C2F" w14:textId="74065300" w:rsidR="00EA6423" w:rsidRPr="00BB17A8" w:rsidRDefault="003E3C5B" w:rsidP="00EA6423">
      <w:pPr>
        <w:pStyle w:val="MDPI13authornames"/>
        <w:rPr>
          <w:vertAlign w:val="superscript"/>
        </w:rPr>
      </w:pPr>
      <w:r w:rsidRPr="00BB17A8">
        <w:t>Didier G. Leibovici</w:t>
      </w:r>
      <w:r w:rsidRPr="00BB17A8">
        <w:rPr>
          <w:vertAlign w:val="superscript"/>
        </w:rPr>
        <w:t>1</w:t>
      </w:r>
      <w:r w:rsidR="00D50EBB" w:rsidRPr="00BB17A8">
        <w:rPr>
          <w:vertAlign w:val="superscript"/>
        </w:rPr>
        <w:t>*</w:t>
      </w:r>
      <w:r w:rsidRPr="00BB17A8">
        <w:t>, Jamie Williams</w:t>
      </w:r>
      <w:r w:rsidRPr="00BB17A8">
        <w:rPr>
          <w:vertAlign w:val="superscript"/>
        </w:rPr>
        <w:t>2</w:t>
      </w:r>
      <w:r w:rsidRPr="00BB17A8">
        <w:t>, Julian F. Rosser</w:t>
      </w:r>
      <w:r w:rsidRPr="00BB17A8">
        <w:rPr>
          <w:vertAlign w:val="superscript"/>
        </w:rPr>
        <w:t>1</w:t>
      </w:r>
      <w:r w:rsidRPr="00BB17A8">
        <w:t>, Crona Hodges</w:t>
      </w:r>
      <w:r w:rsidRPr="00BB17A8">
        <w:rPr>
          <w:vertAlign w:val="superscript"/>
        </w:rPr>
        <w:t>3</w:t>
      </w:r>
      <w:r w:rsidRPr="00BB17A8">
        <w:t>, Colin Chapman</w:t>
      </w:r>
      <w:r w:rsidRPr="00BB17A8">
        <w:rPr>
          <w:vertAlign w:val="superscript"/>
        </w:rPr>
        <w:t>4</w:t>
      </w:r>
      <w:r w:rsidRPr="00BB17A8">
        <w:t>, Chris Higgins</w:t>
      </w:r>
      <w:r w:rsidRPr="00BB17A8">
        <w:rPr>
          <w:vertAlign w:val="superscript"/>
        </w:rPr>
        <w:t>5</w:t>
      </w:r>
      <w:r w:rsidRPr="00BB17A8">
        <w:t xml:space="preserve"> and Mike J. Jackson</w:t>
      </w:r>
      <w:r w:rsidRPr="00BB17A8">
        <w:rPr>
          <w:vertAlign w:val="superscript"/>
        </w:rPr>
        <w:t>1</w:t>
      </w:r>
    </w:p>
    <w:p w14:paraId="40BD484C" w14:textId="77777777" w:rsidR="00102D38" w:rsidRPr="00BB17A8" w:rsidRDefault="00EA6423" w:rsidP="00102D38">
      <w:pPr>
        <w:pStyle w:val="MDPI16affiliation"/>
      </w:pPr>
      <w:r w:rsidRPr="00BB17A8">
        <w:rPr>
          <w:vertAlign w:val="superscript"/>
        </w:rPr>
        <w:t>1</w:t>
      </w:r>
      <w:r w:rsidR="00102D38" w:rsidRPr="00BB17A8">
        <w:t xml:space="preserve"> Nottingham Geospatial Science, University of Nottingham, Nottingham, NG7 2TU, U.K.</w:t>
      </w:r>
    </w:p>
    <w:p w14:paraId="388B618E" w14:textId="77777777" w:rsidR="00102D38" w:rsidRPr="00BB17A8" w:rsidRDefault="00102D38" w:rsidP="00102D38">
      <w:pPr>
        <w:pStyle w:val="MDPI16affiliation"/>
      </w:pPr>
      <w:r w:rsidRPr="00BB17A8">
        <w:rPr>
          <w:vertAlign w:val="superscript"/>
        </w:rPr>
        <w:t>2</w:t>
      </w:r>
      <w:r w:rsidRPr="00BB17A8">
        <w:t xml:space="preserve"> Environment Systems Ltd., Aberystwyth, SY23 3AH, U.K.</w:t>
      </w:r>
    </w:p>
    <w:p w14:paraId="562A452C" w14:textId="77777777" w:rsidR="00102D38" w:rsidRPr="00BB17A8" w:rsidRDefault="00102D38" w:rsidP="00102D38">
      <w:pPr>
        <w:pStyle w:val="MDPI16affiliation"/>
      </w:pPr>
      <w:r w:rsidRPr="00BB17A8">
        <w:rPr>
          <w:vertAlign w:val="superscript"/>
        </w:rPr>
        <w:t>3</w:t>
      </w:r>
      <w:r w:rsidRPr="00BB17A8">
        <w:t xml:space="preserve"> Earth Observation Group, Aberystwyth University Penglais, Aberystwyth, SY23 3JG, U.K.</w:t>
      </w:r>
    </w:p>
    <w:p w14:paraId="2EAC98DB" w14:textId="77777777" w:rsidR="00102D38" w:rsidRPr="00BB17A8" w:rsidRDefault="00102D38" w:rsidP="00102D38">
      <w:pPr>
        <w:pStyle w:val="MDPI16affiliation"/>
      </w:pPr>
      <w:r w:rsidRPr="00BB17A8">
        <w:rPr>
          <w:vertAlign w:val="superscript"/>
        </w:rPr>
        <w:t>4</w:t>
      </w:r>
      <w:r w:rsidRPr="00BB17A8">
        <w:t xml:space="preserve"> Land, Nature and Forestry, Welsh Assembly Government, Aberystwyth, SY23 3UR, U.K.</w:t>
      </w:r>
    </w:p>
    <w:p w14:paraId="2E70C44E" w14:textId="77777777" w:rsidR="00102D38" w:rsidRPr="00BB17A8" w:rsidRDefault="00102D38" w:rsidP="00102D38">
      <w:pPr>
        <w:pStyle w:val="MDPI16affiliation"/>
      </w:pPr>
      <w:r w:rsidRPr="00BB17A8">
        <w:rPr>
          <w:vertAlign w:val="superscript"/>
        </w:rPr>
        <w:t>5</w:t>
      </w:r>
      <w:r w:rsidRPr="00BB17A8">
        <w:t xml:space="preserve"> Edina, University of Edinburgh, Edinburgh, EH3 9DR, U.K </w:t>
      </w:r>
    </w:p>
    <w:p w14:paraId="3727A766" w14:textId="415646FC" w:rsidR="00EA6423" w:rsidRPr="00BB17A8" w:rsidRDefault="00EA6423" w:rsidP="00EA6423">
      <w:pPr>
        <w:pStyle w:val="MDPI16affiliation"/>
      </w:pPr>
      <w:r w:rsidRPr="00BB17A8">
        <w:rPr>
          <w:b/>
        </w:rPr>
        <w:t>*</w:t>
      </w:r>
      <w:r w:rsidRPr="00BB17A8">
        <w:tab/>
        <w:t>Corresp</w:t>
      </w:r>
      <w:r w:rsidR="00534E81">
        <w:t>ondence: d</w:t>
      </w:r>
      <w:r w:rsidR="00D50EBB" w:rsidRPr="00BB17A8">
        <w:t>idier</w:t>
      </w:r>
      <w:r w:rsidR="00534E81">
        <w:t>.l</w:t>
      </w:r>
      <w:r w:rsidR="00846776">
        <w:t>eibovici@gmail.com</w:t>
      </w:r>
    </w:p>
    <w:p w14:paraId="074DBD57" w14:textId="77777777" w:rsidR="00CD37BC" w:rsidRPr="00BB17A8" w:rsidRDefault="00CD37BC" w:rsidP="00C365AF">
      <w:pPr>
        <w:pStyle w:val="MDPI14history"/>
        <w:spacing w:before="0"/>
      </w:pPr>
    </w:p>
    <w:p w14:paraId="4C655872" w14:textId="77777777" w:rsidR="00C365AF" w:rsidRPr="00BB17A8" w:rsidRDefault="00C365AF" w:rsidP="00C365AF">
      <w:pPr>
        <w:pStyle w:val="MDPI14history"/>
        <w:spacing w:before="0"/>
      </w:pPr>
      <w:r w:rsidRPr="00BB17A8">
        <w:t>Received: date; Accepted: date; Published: date</w:t>
      </w:r>
    </w:p>
    <w:p w14:paraId="66FEDCD6" w14:textId="50D86199" w:rsidR="00EA6423" w:rsidRPr="00BB17A8" w:rsidRDefault="00EA6423" w:rsidP="00391035">
      <w:pPr>
        <w:pStyle w:val="MDPI17abstract"/>
      </w:pPr>
      <w:r w:rsidRPr="00BB17A8">
        <w:rPr>
          <w:b/>
        </w:rPr>
        <w:t xml:space="preserve">Abstract: </w:t>
      </w:r>
      <w:r w:rsidR="00C41640" w:rsidRPr="00BB17A8">
        <w:t>Environmental policy involving citizen science</w:t>
      </w:r>
      <w:r w:rsidR="001D3DFF">
        <w:t xml:space="preserve"> (CS)</w:t>
      </w:r>
      <w:r w:rsidR="00C41640" w:rsidRPr="00BB17A8">
        <w:t xml:space="preserve"> is of growing interest. In support of this</w:t>
      </w:r>
      <w:r w:rsidR="001D3DFF">
        <w:t xml:space="preserve"> open data stream</w:t>
      </w:r>
      <w:r w:rsidR="001D65FD">
        <w:t xml:space="preserve"> of information</w:t>
      </w:r>
      <w:r w:rsidR="00C41640" w:rsidRPr="00BB17A8">
        <w:t>, validation or quality as</w:t>
      </w:r>
      <w:r w:rsidR="001D3DFF">
        <w:t>sessment of</w:t>
      </w:r>
      <w:r w:rsidR="00C41640" w:rsidRPr="00BB17A8">
        <w:t xml:space="preserve"> </w:t>
      </w:r>
      <w:r w:rsidR="001D3DFF">
        <w:t xml:space="preserve">the CS </w:t>
      </w:r>
      <w:r w:rsidR="008A76FB">
        <w:t xml:space="preserve">geo-located </w:t>
      </w:r>
      <w:r w:rsidR="00C41640" w:rsidRPr="00BB17A8">
        <w:t>data and their appropriate usage for evidence-based policy making, needs a flexible and easily adaptable data curation process</w:t>
      </w:r>
      <w:r w:rsidR="001D3DFF">
        <w:t xml:space="preserve"> ensuring transparency</w:t>
      </w:r>
      <w:r w:rsidR="00C41640" w:rsidRPr="00BB17A8">
        <w:t xml:space="preserve">. Addressing these needs, this paper describes an approach for automatic quality assurance as proposed by the Citizen OBservatory WEB (COBWEB) FP7 project. This approach is based upon a workflow composition that combines different quality controls, each belonging to seven categories or ‘pillars’. Each pillar focuses on a specific dimension in the types of reasoning algorithms for CS data qualification. These pillars attribute values to a range of quality elements belonging to three complementary quality models. Additional data from various sources, such as Earth Observation (EO) data, are often included as part of the inputs of quality controls within the pillars. However, qualified CS data can also contribute to the validation of EO data. Therefore, the question of validation can be considered as ‘two sides of the same coin’. Based on an invasive species CS study, concerning </w:t>
      </w:r>
      <w:r w:rsidR="00C41640" w:rsidRPr="001A3D1C">
        <w:rPr>
          <w:i/>
        </w:rPr>
        <w:t>Fallopia japonica</w:t>
      </w:r>
      <w:r w:rsidR="00C41640" w:rsidRPr="00BB17A8">
        <w:t xml:space="preserve"> (Japanese </w:t>
      </w:r>
      <w:r w:rsidR="00A95012" w:rsidRPr="00BB17A8">
        <w:t>k</w:t>
      </w:r>
      <w:r w:rsidR="00C41640" w:rsidRPr="00BB17A8">
        <w:t xml:space="preserve">notweed), the paper discusses the flexibility and usefulness of qualifying CS data, either when using an EO data for the validation within the quality assurance process, or validating an EO data product that describes the risk of occurrence of the plant. Both validation paths are found to be improved by quality assurance of the CS data. </w:t>
      </w:r>
      <w:r w:rsidR="00086A75" w:rsidRPr="00BB17A8">
        <w:t xml:space="preserve">Addressing </w:t>
      </w:r>
      <w:r w:rsidR="00D50EBB" w:rsidRPr="00BB17A8">
        <w:t xml:space="preserve">the </w:t>
      </w:r>
      <w:r w:rsidR="00086A75" w:rsidRPr="00BB17A8">
        <w:t>reliability of</w:t>
      </w:r>
      <w:r w:rsidR="00D50EBB" w:rsidRPr="00BB17A8">
        <w:t xml:space="preserve"> CS open data, i</w:t>
      </w:r>
      <w:r w:rsidR="00C41640" w:rsidRPr="00BB17A8">
        <w:t>ssues and limitations of the role of quality assurance for validation, due to the quality of secondary data used within the automatic workflow, are described, e.g. error propagation, paving the route to improvements in the approach.</w:t>
      </w:r>
    </w:p>
    <w:p w14:paraId="59F5FBAF" w14:textId="7E9C9327" w:rsidR="00EA6423" w:rsidRPr="00BB17A8" w:rsidRDefault="00EA6423" w:rsidP="00391035">
      <w:pPr>
        <w:pStyle w:val="MDPI18keywords"/>
      </w:pPr>
      <w:r w:rsidRPr="00BB17A8">
        <w:rPr>
          <w:b/>
        </w:rPr>
        <w:t xml:space="preserve">Keywords: </w:t>
      </w:r>
      <w:r w:rsidR="007E74F8" w:rsidRPr="00BB17A8">
        <w:t>citizen science</w:t>
      </w:r>
      <w:r w:rsidRPr="00BB17A8">
        <w:t xml:space="preserve">; </w:t>
      </w:r>
      <w:r w:rsidR="007E74F8" w:rsidRPr="00BB17A8">
        <w:t>volunteered geographical information</w:t>
      </w:r>
      <w:r w:rsidRPr="00BB17A8">
        <w:t xml:space="preserve">; </w:t>
      </w:r>
      <w:r w:rsidR="007E74F8" w:rsidRPr="00BB17A8">
        <w:t xml:space="preserve">metadata; data quality; quality assurance; </w:t>
      </w:r>
      <w:r w:rsidR="00B644F9" w:rsidRPr="00BB17A8">
        <w:t>scientific workflow; provenance; metaquality</w:t>
      </w:r>
      <w:r w:rsidR="00ED1CE7">
        <w:t>; open data</w:t>
      </w:r>
      <w:r w:rsidR="00CF0185">
        <w:t>;</w:t>
      </w:r>
    </w:p>
    <w:p w14:paraId="4CC55179" w14:textId="77777777" w:rsidR="00EA6423" w:rsidRPr="00BB17A8" w:rsidRDefault="00EA6423" w:rsidP="00EA6423">
      <w:pPr>
        <w:pStyle w:val="MDPI19line"/>
      </w:pPr>
    </w:p>
    <w:p w14:paraId="48D3742F" w14:textId="77777777" w:rsidR="00EA6423" w:rsidRPr="00BB17A8" w:rsidRDefault="00F02B2A" w:rsidP="00B123B2">
      <w:pPr>
        <w:pStyle w:val="MDPI21heading1"/>
        <w:numPr>
          <w:ilvl w:val="0"/>
          <w:numId w:val="40"/>
        </w:numPr>
      </w:pPr>
      <w:r w:rsidRPr="00BB17A8">
        <w:t>Introduction</w:t>
      </w:r>
    </w:p>
    <w:p w14:paraId="731D181F" w14:textId="58F5EA8A" w:rsidR="00F02B2A" w:rsidRPr="00BB17A8" w:rsidRDefault="00F02B2A" w:rsidP="00F02B2A">
      <w:pPr>
        <w:pStyle w:val="MDPI31text"/>
      </w:pPr>
      <w:r w:rsidRPr="00BB17A8">
        <w:t xml:space="preserve">Robust and fit-for-purpose evidence is at the heart of environmental policy and decision making in the UK government, as shown by the Department for Environment, Food and Rural Affairs (DEFRA) in their evidence strategy [1]. Exploring the combined use of innovative technologies, such as Earth observation (EO) and Citizen </w:t>
      </w:r>
      <w:r w:rsidR="005F1C83" w:rsidRPr="00BB17A8">
        <w:t>s</w:t>
      </w:r>
      <w:r w:rsidRPr="00BB17A8">
        <w:t>cience (CS), for supporting various environmental policy areas [1]</w:t>
      </w:r>
      <w:r w:rsidR="005F1C83" w:rsidRPr="00BB17A8">
        <w:t xml:space="preserve">, </w:t>
      </w:r>
      <w:r w:rsidRPr="00BB17A8">
        <w:t>is a consequence of this momentum</w:t>
      </w:r>
      <w:r w:rsidR="005F1C83" w:rsidRPr="00BB17A8">
        <w:t>.</w:t>
      </w:r>
      <w:r w:rsidRPr="00BB17A8">
        <w:t xml:space="preserve"> </w:t>
      </w:r>
      <w:r w:rsidR="005F1C83" w:rsidRPr="00BB17A8">
        <w:t xml:space="preserve">One example of this is </w:t>
      </w:r>
      <w:r w:rsidRPr="00BB17A8">
        <w:t>detecting, mapping and monitoring the spread of Invasive Non-Native Sp</w:t>
      </w:r>
      <w:r w:rsidR="005051AE" w:rsidRPr="00BB17A8">
        <w:t xml:space="preserve">ecies (INNS), such as </w:t>
      </w:r>
      <w:r w:rsidR="005051AE" w:rsidRPr="00BB17A8">
        <w:rPr>
          <w:i/>
        </w:rPr>
        <w:t>Fallopia j</w:t>
      </w:r>
      <w:r w:rsidRPr="00BB17A8">
        <w:rPr>
          <w:i/>
        </w:rPr>
        <w:t>aponica</w:t>
      </w:r>
      <w:r w:rsidRPr="00BB17A8">
        <w:t xml:space="preserve"> (Japanese </w:t>
      </w:r>
      <w:r w:rsidR="0063036E" w:rsidRPr="00BB17A8">
        <w:t>k</w:t>
      </w:r>
      <w:r w:rsidRPr="00BB17A8">
        <w:t>notweed). The tot</w:t>
      </w:r>
      <w:r w:rsidR="0063036E" w:rsidRPr="00BB17A8">
        <w:t>al annual cost of the Japanese k</w:t>
      </w:r>
      <w:r w:rsidRPr="00BB17A8">
        <w:t xml:space="preserve">notweed (JKW hereafter) to the British economy is </w:t>
      </w:r>
      <w:r w:rsidRPr="00BB17A8">
        <w:lastRenderedPageBreak/>
        <w:t xml:space="preserve">estimated at £166 million [2], therefore </w:t>
      </w:r>
      <w:r w:rsidR="00BB17A8" w:rsidRPr="00BB17A8">
        <w:t>optimizing</w:t>
      </w:r>
      <w:r w:rsidRPr="00BB17A8">
        <w:t xml:space="preserve"> the use and potential of any data capture methodology is widely encouraged.</w:t>
      </w:r>
    </w:p>
    <w:p w14:paraId="3E33506D" w14:textId="1258F5D9" w:rsidR="00F02B2A" w:rsidRPr="00BB17A8" w:rsidRDefault="00F02B2A" w:rsidP="00F02B2A">
      <w:pPr>
        <w:pStyle w:val="MDPI31text"/>
      </w:pPr>
      <w:r w:rsidRPr="00BB17A8">
        <w:t>CS is not a new phenomenon [3-5],</w:t>
      </w:r>
      <w:r w:rsidR="008A76FB">
        <w:t xml:space="preserve"> and </w:t>
      </w:r>
      <w:r w:rsidR="007A7C8A">
        <w:t xml:space="preserve">is </w:t>
      </w:r>
      <w:r w:rsidR="008A76FB">
        <w:t xml:space="preserve">not limited to geographical information. Nonetheless, </w:t>
      </w:r>
      <w:r w:rsidRPr="00BB17A8">
        <w:t>the combined effect of the ubiquity and increasing capabilities of mobile phone technologies with the rise of geospatial applications in everyday life, has propelled CS into an era of geo-savvy people accustomed to map mashups and a myriad of location based services. Sometimes referred to as ‘geographic’ CS [6], and used interchangeably with the term ‘volunteered geographic information’ (VGI) [7</w:t>
      </w:r>
      <w:r w:rsidR="00D922B9" w:rsidRPr="00BB17A8">
        <w:t>, 8</w:t>
      </w:r>
      <w:r w:rsidRPr="00BB17A8">
        <w:t>], this kind of CS is relatively new and is ever increasing in the range of applications, especially in the environmental monitoring space. There are many CS projects already in action as well as software platforms to create templates and forms that can be used to collect field data with mobile applications or ‘apps’ [10]. It is a growing area of research, with a need for a common standards-based framework for uploading</w:t>
      </w:r>
      <w:r w:rsidR="005C1093">
        <w:t xml:space="preserve"> and distributing CS data [11].</w:t>
      </w:r>
    </w:p>
    <w:p w14:paraId="51A1467B" w14:textId="3E4D13A0" w:rsidR="00F02B2A" w:rsidRPr="00BB17A8" w:rsidRDefault="00F02B2A" w:rsidP="00F02B2A">
      <w:pPr>
        <w:pStyle w:val="MDPI31text"/>
      </w:pPr>
      <w:r w:rsidRPr="00BB17A8">
        <w:t xml:space="preserve">The EU funded Framework Programme Seven (FP7) Citizen OBservatory WEB (COBWEB) project used a co-design approach, engaging with stakeholders at multiple levels (‘grass roots’ CS practitioners, through to policy makers), to develop a research e-infrastructure that could be used to create, manage, validate and disseminate geospatial information rapidly and in a </w:t>
      </w:r>
      <w:r w:rsidR="00274905" w:rsidRPr="00BB17A8">
        <w:t>standardized</w:t>
      </w:r>
      <w:r w:rsidRPr="00BB17A8">
        <w:t xml:space="preserve"> way [12]. To better understand the benefits of such an e-infrastructure and the data it curates for the end users (citizens and policy makers alike), further research into the potential of qualified CS data in combination with EO land cover and habitat monitoring data products is required [13].</w:t>
      </w:r>
    </w:p>
    <w:p w14:paraId="3319B134" w14:textId="29290692" w:rsidR="00F02B2A" w:rsidRPr="00BB17A8" w:rsidRDefault="00F02B2A" w:rsidP="00F02B2A">
      <w:pPr>
        <w:pStyle w:val="MDPI31text"/>
      </w:pPr>
      <w:r w:rsidRPr="00BB17A8">
        <w:t xml:space="preserve">Examples where CS or crowdsourced data have contributed to applications in EO have largely relied on data that have been sourced from platforms such as Mechanical Turk, GeoGraph or even OpenStreetMap [8], or where gamification has attracted large numbers of remote volunteers [14,15]. However, there are fewer examples in the literature of in situ data gathered by volunteers on the ground being </w:t>
      </w:r>
      <w:r w:rsidR="002B5FB9" w:rsidRPr="00BB17A8">
        <w:t>utilized</w:t>
      </w:r>
      <w:r w:rsidRPr="00BB17A8">
        <w:t xml:space="preserve"> for the validation of EO derived land cover or habitat products [13</w:t>
      </w:r>
      <w:r w:rsidR="003762DB" w:rsidRPr="00BB17A8">
        <w:t>, 16</w:t>
      </w:r>
      <w:r w:rsidRPr="00BB17A8">
        <w:t>]. Recent research [17] demonstrates that data collected by volunteers for this purpose can be useful, despite general concerns about data quality, and therefore contribute to ecological monitoring and inventory [18,19]. Nonetheless, information of quality is needed for CS data, to give confidence in their re-use, and provide a rich evidence base for policy making. For both in situ CS data collection and web-based crowdsourcing, e.g. GEO-Wiki [20], data quality has long been identified as the crucial challenge for re-use of CS or VGI data [21-26], and is still reportedly a key concern [27,28].</w:t>
      </w:r>
    </w:p>
    <w:p w14:paraId="7BAFED88" w14:textId="5F532AF2" w:rsidR="00F02B2A" w:rsidRPr="00BB17A8" w:rsidRDefault="00F02B2A" w:rsidP="00F02B2A">
      <w:pPr>
        <w:pStyle w:val="MDPI31text"/>
      </w:pPr>
      <w:r w:rsidRPr="00BB17A8">
        <w:t xml:space="preserve">The mapping of ecological habitat types using satellite imagery is a rich and active research area but arguably this still remains difficult to scale up into fully operational campaigns [29, 30], due to the need for in situ data. EO has provided data suitable for the mapping of INNS </w:t>
      </w:r>
      <w:r w:rsidR="00BB17A8">
        <w:t>several</w:t>
      </w:r>
      <w:r w:rsidRPr="00BB17A8">
        <w:t xml:space="preserve"> years [31], though not without some difficulties [32]. For example, other vegetation of similar spectral reflectance characteristic can be found surrounding, above or beneath the canopy of the intended target INNS. Furthermore, the cost of high resolution imagery required to map certain scales of the stands, and with the need of multiple images over the year to detect the phenological differences in the INNS, to that of other vegetation, leads to an accumulation of cost to the end user and becomes nonsensical too. However, with the recent availability the Copernicus space programme providing free and open satellite data, with spatial resolutions of 10 m in the optical region, it is likely that an increased number of applications of EO for habitat monitoring, and related policy dev</w:t>
      </w:r>
      <w:r w:rsidR="005C1093">
        <w:t>elopment, are likely to follow.</w:t>
      </w:r>
    </w:p>
    <w:p w14:paraId="27386BD9" w14:textId="413915D6" w:rsidR="00F02B2A" w:rsidRPr="00BB17A8" w:rsidRDefault="00F02B2A" w:rsidP="00F02B2A">
      <w:pPr>
        <w:pStyle w:val="MDPI31text"/>
      </w:pPr>
      <w:r w:rsidRPr="00BB17A8">
        <w:t>The use of EO to explore the extent of INNS in Europe (also referred to as Invasive Alien Sp</w:t>
      </w:r>
      <w:r w:rsidR="00DF20B4">
        <w:t>ecies (IAS)</w:t>
      </w:r>
      <w:r w:rsidRPr="00BB17A8">
        <w:t xml:space="preserve"> in combination with CS based data collection, allow projects to provide validation data to input into distribution models or habitat maps, which is </w:t>
      </w:r>
      <w:r w:rsidR="008B0251" w:rsidRPr="00BB17A8">
        <w:t>recognized</w:t>
      </w:r>
      <w:r w:rsidRPr="00BB17A8">
        <w:t xml:space="preserve"> as an exciting new research area [33,11]. The COBWEB project contributed significantly in this field, from demonstrating how the use of a flexible, standards-compliant infrastructure that offers quality assurance data curation processes, was enabling data conflation of multiple data sources, including EO [12].</w:t>
      </w:r>
    </w:p>
    <w:p w14:paraId="3A8E3DF9" w14:textId="5FAAC696" w:rsidR="00F02B2A" w:rsidRPr="00BB17A8" w:rsidRDefault="00F02B2A" w:rsidP="00F02B2A">
      <w:pPr>
        <w:pStyle w:val="MDPI31text"/>
      </w:pPr>
      <w:r w:rsidRPr="00BB17A8">
        <w:t>Q</w:t>
      </w:r>
      <w:r w:rsidR="001355A6" w:rsidRPr="00BB17A8">
        <w:t xml:space="preserve">uality </w:t>
      </w:r>
      <w:r w:rsidR="003542CC" w:rsidRPr="00BB17A8">
        <w:t>A</w:t>
      </w:r>
      <w:r w:rsidR="001355A6" w:rsidRPr="00BB17A8">
        <w:t>ssurance</w:t>
      </w:r>
      <w:r w:rsidRPr="00BB17A8">
        <w:t xml:space="preserve"> </w:t>
      </w:r>
      <w:r w:rsidR="009472C8" w:rsidRPr="00BB17A8">
        <w:t xml:space="preserve">(QA) </w:t>
      </w:r>
      <w:r w:rsidRPr="00BB17A8">
        <w:t xml:space="preserve">can be defined as a set of data policies, controls, and tests put in place in order to meet specific requirements, measured from a series of quality metrics. Few directions or methods on how to qualify CS and VGI data have been expressed [22, 34-36]. In the context of CS, the quality controls (QCs) can be related to </w:t>
      </w:r>
      <w:r w:rsidR="00D51D91" w:rsidRPr="00BB17A8">
        <w:t xml:space="preserve">both </w:t>
      </w:r>
      <w:r w:rsidRPr="00BB17A8">
        <w:t xml:space="preserve">the design of data capture tools </w:t>
      </w:r>
      <w:r w:rsidRPr="00BB17A8">
        <w:rPr>
          <w:i/>
        </w:rPr>
        <w:t>a priori</w:t>
      </w:r>
      <w:r w:rsidRPr="00BB17A8">
        <w:t xml:space="preserve"> </w:t>
      </w:r>
      <w:r w:rsidR="00276E47" w:rsidRPr="00BB17A8">
        <w:t xml:space="preserve">to a </w:t>
      </w:r>
      <w:r w:rsidRPr="00BB17A8">
        <w:t>QA</w:t>
      </w:r>
      <w:r w:rsidR="00276E47" w:rsidRPr="00BB17A8">
        <w:t xml:space="preserve"> </w:t>
      </w:r>
      <w:r w:rsidR="00276E47" w:rsidRPr="00BB17A8">
        <w:lastRenderedPageBreak/>
        <w:t>procedure</w:t>
      </w:r>
      <w:r w:rsidRPr="00BB17A8">
        <w:t xml:space="preserve">, and to (geo)computational operations that output quality values according to </w:t>
      </w:r>
      <w:r w:rsidR="006C5A88" w:rsidRPr="00BB17A8">
        <w:t xml:space="preserve">particular </w:t>
      </w:r>
      <w:r w:rsidRPr="00BB17A8">
        <w:t xml:space="preserve">measures, either during data capture or </w:t>
      </w:r>
      <w:r w:rsidRPr="00BB17A8">
        <w:rPr>
          <w:i/>
        </w:rPr>
        <w:t>a posteriori</w:t>
      </w:r>
      <w:r w:rsidRPr="00BB17A8">
        <w:t xml:space="preserve"> </w:t>
      </w:r>
      <w:r w:rsidR="009D3878" w:rsidRPr="00BB17A8">
        <w:t>to the data capture</w:t>
      </w:r>
      <w:r w:rsidR="009158A6" w:rsidRPr="00BB17A8">
        <w:t xml:space="preserve"> </w:t>
      </w:r>
      <w:r w:rsidRPr="00BB17A8">
        <w:t>(a posteriori QA). Selection of the QCs, which feed into the QA procedure, are often decided with future data usage in m</w:t>
      </w:r>
      <w:r w:rsidR="005C1093">
        <w:t>ind (fitness for purpose) [26].</w:t>
      </w:r>
    </w:p>
    <w:p w14:paraId="7DEC40A3" w14:textId="16DCEC48" w:rsidR="00F02B2A" w:rsidRPr="00BB17A8" w:rsidRDefault="00F02B2A" w:rsidP="00F02B2A">
      <w:pPr>
        <w:pStyle w:val="MDPI31text"/>
      </w:pPr>
      <w:r w:rsidRPr="00BB17A8">
        <w:t>The process of ‘verification’, such as that used by the NBN: National Biological Network, UK, is a common practice, and is primarily used as a definitive way of assessing the data quality. This involves manual verification by an expert of each observation, e.g. verifying the content of a photo which has been given as evidence of an invasive species occurrence. This is an inefficient and no</w:t>
      </w:r>
      <w:r w:rsidR="00520E5B" w:rsidRPr="00BB17A8">
        <w:t xml:space="preserve">t </w:t>
      </w:r>
      <w:r w:rsidRPr="00BB17A8">
        <w:t xml:space="preserve">scalable (ineffective for large numbers of observations) qualifying method for CS. </w:t>
      </w:r>
    </w:p>
    <w:p w14:paraId="6B789C7B" w14:textId="2464DD9E" w:rsidR="00EA6423" w:rsidRPr="00BB17A8" w:rsidRDefault="00F02B2A" w:rsidP="00F02B2A">
      <w:pPr>
        <w:pStyle w:val="MDPI31text"/>
      </w:pPr>
      <w:r w:rsidRPr="00BB17A8">
        <w:t>Within the above context, this paper addresses the challenge of validating CS data against EO data, or vice versa, and in each case, demonstrates the choices made and the important role that the qualifying system can perform in increasing the potential of CS data re-use. This paper goes on to comprehensively describe the purpose of the COBWEB e-infrastructure, in specific relation to QA, expanding upon previous work [26, 36] (Section 2). Then</w:t>
      </w:r>
      <w:r w:rsidR="004514FA" w:rsidRPr="00BB17A8">
        <w:t>,</w:t>
      </w:r>
      <w:r w:rsidRPr="00BB17A8">
        <w:t xml:space="preserve"> applicability </w:t>
      </w:r>
      <w:r w:rsidR="00232EFD" w:rsidRPr="00BB17A8">
        <w:t xml:space="preserve">of QA is </w:t>
      </w:r>
      <w:r w:rsidR="005C1093" w:rsidRPr="00BB17A8">
        <w:t>analyzed</w:t>
      </w:r>
      <w:r w:rsidR="00232EFD" w:rsidRPr="00BB17A8">
        <w:t xml:space="preserve"> </w:t>
      </w:r>
      <w:r w:rsidRPr="00BB17A8">
        <w:t>using an INNS JKW case study based in the Snowdonia National Park</w:t>
      </w:r>
      <w:r w:rsidR="004514FA" w:rsidRPr="00BB17A8">
        <w:t xml:space="preserve">, </w:t>
      </w:r>
      <w:r w:rsidRPr="00BB17A8">
        <w:t>in Wales, UK (Section 3).</w:t>
      </w:r>
    </w:p>
    <w:p w14:paraId="0D1810D9" w14:textId="77777777" w:rsidR="00EA6423" w:rsidRPr="00BB17A8" w:rsidRDefault="0082329D" w:rsidP="00B85EA6">
      <w:pPr>
        <w:pStyle w:val="MDPI22heading2"/>
        <w:numPr>
          <w:ilvl w:val="1"/>
          <w:numId w:val="40"/>
        </w:numPr>
        <w:rPr>
          <w:noProof w:val="0"/>
        </w:rPr>
      </w:pPr>
      <w:r w:rsidRPr="00BB17A8">
        <w:rPr>
          <w:noProof w:val="0"/>
        </w:rPr>
        <w:t>QA case study background</w:t>
      </w:r>
    </w:p>
    <w:p w14:paraId="6F4B198A" w14:textId="0B7DECE8" w:rsidR="0082329D" w:rsidRPr="00BB17A8" w:rsidRDefault="0082329D" w:rsidP="00BB17A8">
      <w:pPr>
        <w:pStyle w:val="MDPI22heading2"/>
        <w:ind w:firstLine="420"/>
        <w:jc w:val="both"/>
        <w:rPr>
          <w:i w:val="0"/>
          <w:noProof w:val="0"/>
        </w:rPr>
      </w:pPr>
      <w:r w:rsidRPr="00BB17A8">
        <w:rPr>
          <w:i w:val="0"/>
          <w:noProof w:val="0"/>
        </w:rPr>
        <w:t>The CS data for this case study were collected during the summer of 2015</w:t>
      </w:r>
      <w:r w:rsidR="004514FA" w:rsidRPr="00BB17A8">
        <w:rPr>
          <w:i w:val="0"/>
          <w:noProof w:val="0"/>
        </w:rPr>
        <w:t xml:space="preserve"> in </w:t>
      </w:r>
      <w:r w:rsidR="004514FA" w:rsidRPr="00BB17A8">
        <w:rPr>
          <w:i w:val="0"/>
        </w:rPr>
        <w:t xml:space="preserve">Snowdonia National Park (SNP), </w:t>
      </w:r>
      <w:r w:rsidRPr="00BB17A8">
        <w:rPr>
          <w:i w:val="0"/>
          <w:noProof w:val="0"/>
        </w:rPr>
        <w:t xml:space="preserve">as part of a co-design project within the COBWEB project. The specific COBWEB survey form used by 34 citizens to report JKW occurrences was generated by the SNP CS coordinator, using </w:t>
      </w:r>
      <w:r w:rsidR="00BA6478" w:rsidRPr="00BB17A8">
        <w:rPr>
          <w:i w:val="0"/>
          <w:noProof w:val="0"/>
        </w:rPr>
        <w:t xml:space="preserve">a </w:t>
      </w:r>
      <w:r w:rsidRPr="00BB17A8">
        <w:rPr>
          <w:i w:val="0"/>
          <w:noProof w:val="0"/>
        </w:rPr>
        <w:t>web portal, and distributed to</w:t>
      </w:r>
      <w:r w:rsidR="003C0A0C" w:rsidRPr="00BB17A8">
        <w:rPr>
          <w:i w:val="0"/>
          <w:noProof w:val="0"/>
        </w:rPr>
        <w:t xml:space="preserve"> the citizens and SNP representatives</w:t>
      </w:r>
      <w:r w:rsidRPr="00BB17A8">
        <w:rPr>
          <w:i w:val="0"/>
          <w:noProof w:val="0"/>
        </w:rPr>
        <w:t xml:space="preserve">, using </w:t>
      </w:r>
      <w:r w:rsidR="00BA6478" w:rsidRPr="00BB17A8">
        <w:rPr>
          <w:i w:val="0"/>
          <w:noProof w:val="0"/>
        </w:rPr>
        <w:t xml:space="preserve">a </w:t>
      </w:r>
      <w:r w:rsidRPr="00BB17A8">
        <w:rPr>
          <w:i w:val="0"/>
          <w:noProof w:val="0"/>
        </w:rPr>
        <w:t xml:space="preserve">mobile application [12]. The survey sample, limited to the SNP </w:t>
      </w:r>
      <w:r w:rsidR="003C0A0C" w:rsidRPr="00BB17A8">
        <w:rPr>
          <w:i w:val="0"/>
          <w:noProof w:val="0"/>
        </w:rPr>
        <w:t>representatives</w:t>
      </w:r>
      <w:r w:rsidRPr="00BB17A8">
        <w:rPr>
          <w:i w:val="0"/>
          <w:noProof w:val="0"/>
        </w:rPr>
        <w:t>, consisted of 177 points of declared JKW occurrences, with an average position</w:t>
      </w:r>
      <w:r w:rsidR="00A06E34" w:rsidRPr="00BB17A8">
        <w:rPr>
          <w:i w:val="0"/>
          <w:noProof w:val="0"/>
        </w:rPr>
        <w:t>al</w:t>
      </w:r>
      <w:r w:rsidRPr="00BB17A8">
        <w:rPr>
          <w:i w:val="0"/>
          <w:noProof w:val="0"/>
        </w:rPr>
        <w:t xml:space="preserve"> </w:t>
      </w:r>
      <w:r w:rsidR="003762DB" w:rsidRPr="00BB17A8">
        <w:rPr>
          <w:i w:val="0"/>
          <w:noProof w:val="0"/>
        </w:rPr>
        <w:t>accuracy</w:t>
      </w:r>
      <w:r w:rsidR="00F778B1">
        <w:rPr>
          <w:i w:val="0"/>
          <w:noProof w:val="0"/>
        </w:rPr>
        <w:t xml:space="preserve"> </w:t>
      </w:r>
      <w:r w:rsidR="003762DB" w:rsidRPr="00BB17A8">
        <w:rPr>
          <w:i w:val="0"/>
          <w:noProof w:val="0"/>
        </w:rPr>
        <w:t>of</w:t>
      </w:r>
      <w:r w:rsidRPr="00BB17A8">
        <w:rPr>
          <w:i w:val="0"/>
          <w:noProof w:val="0"/>
        </w:rPr>
        <w:t xml:space="preserve"> up to 13 m</w:t>
      </w:r>
      <w:r w:rsidR="00F778B1">
        <w:rPr>
          <w:i w:val="0"/>
          <w:noProof w:val="0"/>
        </w:rPr>
        <w:t xml:space="preserve"> (the </w:t>
      </w:r>
      <w:r w:rsidR="00F778B1" w:rsidRPr="00F778B1">
        <w:rPr>
          <w:i w:val="0"/>
          <w:noProof w:val="0"/>
        </w:rPr>
        <w:t>positional accuracy measure being the 68% circular error also corresponding to 1 standard deviation</w:t>
      </w:r>
      <w:r w:rsidR="00F778B1">
        <w:rPr>
          <w:i w:val="0"/>
          <w:noProof w:val="0"/>
        </w:rPr>
        <w:t>)</w:t>
      </w:r>
      <w:r w:rsidRPr="00BB17A8">
        <w:rPr>
          <w:i w:val="0"/>
          <w:noProof w:val="0"/>
        </w:rPr>
        <w:t>. For ground truth comparisons, verifications of the photos identified 16 incorrect declarations (&lt;10%) of JKW. The EO data product considered here is a vector layer product derived from a clustering algor</w:t>
      </w:r>
      <w:r w:rsidR="005C1093">
        <w:rPr>
          <w:i w:val="0"/>
          <w:noProof w:val="0"/>
        </w:rPr>
        <w:t>ithm including rules using Colo</w:t>
      </w:r>
      <w:r w:rsidRPr="00BB17A8">
        <w:rPr>
          <w:i w:val="0"/>
          <w:noProof w:val="0"/>
        </w:rPr>
        <w:t xml:space="preserve">red Infra-Red (CIR) and Light Detection </w:t>
      </w:r>
      <w:r w:rsidR="003762DB" w:rsidRPr="00BB17A8">
        <w:rPr>
          <w:i w:val="0"/>
          <w:noProof w:val="0"/>
        </w:rPr>
        <w:t>and</w:t>
      </w:r>
      <w:r w:rsidRPr="00BB17A8">
        <w:rPr>
          <w:i w:val="0"/>
          <w:noProof w:val="0"/>
        </w:rPr>
        <w:t xml:space="preserve"> Ranging (LiDAR) images, predicting the likelihood or risk of occurrence of JKW. Each polygon in the EO derived product contains the risk of occurrence of JKW, </w:t>
      </w:r>
      <w:r w:rsidR="005C1093" w:rsidRPr="00BB17A8">
        <w:rPr>
          <w:i w:val="0"/>
          <w:noProof w:val="0"/>
        </w:rPr>
        <w:t>categorized</w:t>
      </w:r>
      <w:r w:rsidRPr="00BB17A8">
        <w:rPr>
          <w:i w:val="0"/>
          <w:noProof w:val="0"/>
        </w:rPr>
        <w:t xml:space="preserve"> as ‘no-risk’, ‘low</w:t>
      </w:r>
      <w:r w:rsidR="003248A3">
        <w:rPr>
          <w:i w:val="0"/>
          <w:noProof w:val="0"/>
        </w:rPr>
        <w:t xml:space="preserve"> risk’, ‘medium risk’ and ‘high-</w:t>
      </w:r>
      <w:r w:rsidRPr="00BB17A8">
        <w:rPr>
          <w:i w:val="0"/>
          <w:noProof w:val="0"/>
        </w:rPr>
        <w:t xml:space="preserve">risk’. The EO data product consisted of a total of 61,288 features, with 46,356 polygons attributed as ‘high’ and ‘medium’ risk, and 14,932 polygons attributed as ‘low’ or ‘no’ risk zones. Henceforth, when referring to ‘EO data’ within this text, it will refer to the EO data product estimating the risk of occurrence of </w:t>
      </w:r>
      <w:r w:rsidR="003762DB" w:rsidRPr="00BB17A8">
        <w:rPr>
          <w:i w:val="0"/>
          <w:noProof w:val="0"/>
        </w:rPr>
        <w:t>JKW</w:t>
      </w:r>
      <w:r w:rsidR="00D67EC7">
        <w:rPr>
          <w:i w:val="0"/>
          <w:noProof w:val="0"/>
        </w:rPr>
        <w:t xml:space="preserve">. </w:t>
      </w:r>
      <w:r w:rsidR="00D67EC7" w:rsidRPr="00D67EC7">
        <w:rPr>
          <w:i w:val="0"/>
          <w:noProof w:val="0"/>
        </w:rPr>
        <w:t>The EO data product was acquired under a commercial contract between Environment Systems Ltd and the Welsh government, with a non-disclosure agreement allowing access for the purposes of this study. Requests to Environment Systems for additional information may be considered on a case by case basis</w:t>
      </w:r>
      <w:r w:rsidR="00D67EC7">
        <w:rPr>
          <w:i w:val="0"/>
          <w:noProof w:val="0"/>
        </w:rPr>
        <w:t>.</w:t>
      </w:r>
      <w:r w:rsidR="003762DB" w:rsidRPr="00BB17A8">
        <w:rPr>
          <w:i w:val="0"/>
          <w:noProof w:val="0"/>
        </w:rPr>
        <w:t xml:space="preserve"> </w:t>
      </w:r>
    </w:p>
    <w:p w14:paraId="2F1FB2A1" w14:textId="6191B445" w:rsidR="008A24F7" w:rsidRPr="00BB17A8" w:rsidRDefault="0082329D" w:rsidP="00B644F9">
      <w:pPr>
        <w:pStyle w:val="MDPI31text"/>
      </w:pPr>
      <w:r w:rsidRPr="00BB17A8">
        <w:t xml:space="preserve">In terms of estimating the spread of JKW within the SNP, both CS and EO data only give partial insight into JKW distribution, due to their known limitations on quality. These limitations are either due to coverage and potential misjudged records from the citizens, or algorithm performance metrics for the EO data generation. Nonetheless, coherence of these two data sources should </w:t>
      </w:r>
      <w:r w:rsidR="003F3A64" w:rsidRPr="00BB17A8">
        <w:t xml:space="preserve">enable </w:t>
      </w:r>
      <w:r w:rsidRPr="00BB17A8">
        <w:t xml:space="preserve">the validation of one data source with the other, depending on the </w:t>
      </w:r>
      <w:r w:rsidR="00193130" w:rsidRPr="00BB17A8">
        <w:t>level</w:t>
      </w:r>
      <w:r w:rsidRPr="00BB17A8">
        <w:t xml:space="preserve"> of confidence </w:t>
      </w:r>
      <w:r w:rsidR="003F3A64" w:rsidRPr="00BB17A8">
        <w:t xml:space="preserve">that is </w:t>
      </w:r>
      <w:r w:rsidRPr="00BB17A8">
        <w:t xml:space="preserve">accepted. If the CS data were of very high quality, this ground truth dataset would allow estimations of the accuracy of the EO data (Section 4), and if the EO data were highly representative of JKW within the SNP, it would alone enable the qualification of the CS data with a high confidence (Section 5). If both were of high quality, the discrepancy in accuracies would be attributable only to the lag in data acquisition periods, and differential growth of the JKW (Section 4.1). As within this case study, both datasets cannot be considered of high quality, therefore, the question posed here is, can their combined use be more informative and or offer an increase in quality? The greater the </w:t>
      </w:r>
      <w:r w:rsidR="00F06825" w:rsidRPr="00BB17A8">
        <w:t xml:space="preserve">quality </w:t>
      </w:r>
      <w:r w:rsidRPr="00BB17A8">
        <w:t>of the CS data, the better the EO data accuracy can be evaluated (Section 4.2 and 4.3). Conversely, the greater the EO data accuracy, t</w:t>
      </w:r>
      <w:r w:rsidR="0064475D" w:rsidRPr="00BB17A8">
        <w:t xml:space="preserve">he </w:t>
      </w:r>
      <w:r w:rsidR="00DE7639" w:rsidRPr="00BB17A8">
        <w:t>greater</w:t>
      </w:r>
      <w:r w:rsidR="0064475D" w:rsidRPr="00BB17A8">
        <w:t xml:space="preserve"> confidence </w:t>
      </w:r>
      <w:r w:rsidR="00945AC3" w:rsidRPr="00BB17A8">
        <w:t xml:space="preserve">(metaquality) </w:t>
      </w:r>
      <w:r w:rsidRPr="00BB17A8">
        <w:t xml:space="preserve">can be given to the EO product within the </w:t>
      </w:r>
      <w:r w:rsidRPr="00BB17A8">
        <w:lastRenderedPageBreak/>
        <w:t>QA to qualify CS data (Section 5).</w:t>
      </w:r>
      <w:r w:rsidR="00D67EC7">
        <w:t xml:space="preserve"> </w:t>
      </w:r>
      <w:r w:rsidR="00D67EC7" w:rsidRPr="00D67EC7">
        <w:t>From ISO19157, metaquality information</w:t>
      </w:r>
      <w:r w:rsidR="00D67EC7">
        <w:t xml:space="preserve"> (at dataset level)</w:t>
      </w:r>
      <w:r w:rsidR="00D67EC7" w:rsidRPr="00D67EC7">
        <w:t xml:space="preserve"> </w:t>
      </w:r>
      <w:r w:rsidR="00D67EC7">
        <w:t xml:space="preserve">is </w:t>
      </w:r>
      <w:r w:rsidR="00D67EC7" w:rsidRPr="00D67EC7">
        <w:t>describing how the quality was obtained and eventually its variation across the dataset.</w:t>
      </w:r>
    </w:p>
    <w:p w14:paraId="6E1488C0" w14:textId="77777777" w:rsidR="003A61AA" w:rsidRPr="00BB17A8" w:rsidRDefault="003A61AA" w:rsidP="00B123B2">
      <w:pPr>
        <w:pStyle w:val="MDPI21heading1"/>
        <w:numPr>
          <w:ilvl w:val="0"/>
          <w:numId w:val="40"/>
        </w:numPr>
      </w:pPr>
      <w:r w:rsidRPr="00BB17A8">
        <w:t>Quality assurance and quality control framework</w:t>
      </w:r>
    </w:p>
    <w:p w14:paraId="24CF2BC8" w14:textId="25EDE9A1" w:rsidR="009F252E" w:rsidRPr="00BB17A8" w:rsidRDefault="009F252E" w:rsidP="009F252E">
      <w:pPr>
        <w:pStyle w:val="MDPI31text"/>
      </w:pPr>
      <w:r w:rsidRPr="00BB17A8">
        <w:t xml:space="preserve">The COBWEB project </w:t>
      </w:r>
      <w:r w:rsidR="008147C2" w:rsidRPr="00BB17A8">
        <w:t xml:space="preserve">aimed at </w:t>
      </w:r>
      <w:r w:rsidRPr="00BB17A8">
        <w:t>designing and building a generic interoperable e-infrastructure facilitating the collection and curation of CS data for future usage in environmental monitoring [12]. As part of this e-infrastructure, QA plays an important role, either during or after data capture.</w:t>
      </w:r>
      <w:r w:rsidR="00854E41" w:rsidRPr="00BB17A8">
        <w:t xml:space="preserve"> A QA </w:t>
      </w:r>
      <w:r w:rsidR="00E4165C" w:rsidRPr="00BB17A8">
        <w:t xml:space="preserve">procedure </w:t>
      </w:r>
      <w:r w:rsidRPr="00BB17A8">
        <w:t>is designed using the QA workflow Authoring Tool (QAwAT), a web interface of the QA framework. It is based upon a workflow editor which uses the Business Process Mod</w:t>
      </w:r>
      <w:r w:rsidR="00134780" w:rsidRPr="00BB17A8">
        <w:t>elling Notation (BPMN) standard</w:t>
      </w:r>
      <w:r w:rsidR="00D67EC7">
        <w:t xml:space="preserve">, </w:t>
      </w:r>
      <w:r w:rsidR="00D67EC7" w:rsidRPr="00D67EC7">
        <w:t>a standard for graphical notation for specifying business processes</w:t>
      </w:r>
      <w:r w:rsidR="00D67EC7">
        <w:rPr>
          <w:szCs w:val="20"/>
        </w:rPr>
        <w:t xml:space="preserve"> </w:t>
      </w:r>
      <w:r w:rsidR="00D67EC7" w:rsidRPr="00FD0B7A">
        <w:rPr>
          <w:sz w:val="18"/>
          <w:szCs w:val="18"/>
        </w:rPr>
        <w:t>(similar to a flow chart)</w:t>
      </w:r>
      <w:r w:rsidR="00D67EC7" w:rsidRPr="00D67EC7">
        <w:rPr>
          <w:szCs w:val="20"/>
        </w:rPr>
        <w:t xml:space="preserve"> </w:t>
      </w:r>
      <w:hyperlink r:id="rId8" w:history="1">
        <w:r w:rsidR="00D67EC7" w:rsidRPr="00D67EC7">
          <w:rPr>
            <w:rStyle w:val="Hyperlink"/>
            <w:szCs w:val="20"/>
          </w:rPr>
          <w:t>www.bpmn.org</w:t>
        </w:r>
      </w:hyperlink>
      <w:r w:rsidR="00D67EC7">
        <w:rPr>
          <w:rStyle w:val="Hyperlink"/>
          <w:szCs w:val="20"/>
        </w:rPr>
        <w:t>.</w:t>
      </w:r>
      <w:r w:rsidR="00D67EC7" w:rsidRPr="00FD0B7A">
        <w:rPr>
          <w:sz w:val="18"/>
          <w:szCs w:val="18"/>
        </w:rPr>
        <w:t xml:space="preserve"> </w:t>
      </w:r>
      <w:r w:rsidRPr="00BB17A8">
        <w:t>QAwAT enables the selection of QC</w:t>
      </w:r>
      <w:r w:rsidR="002215CA" w:rsidRPr="00BB17A8">
        <w:t xml:space="preserve"> tests </w:t>
      </w:r>
      <w:r w:rsidRPr="00BB17A8">
        <w:t xml:space="preserve">by the stakeholder, which are then combined and chained to form </w:t>
      </w:r>
      <w:r w:rsidR="002215CA" w:rsidRPr="00BB17A8">
        <w:t xml:space="preserve">a </w:t>
      </w:r>
      <w:r w:rsidRPr="00BB17A8">
        <w:t>QA</w:t>
      </w:r>
      <w:r w:rsidR="002215CA" w:rsidRPr="00BB17A8">
        <w:t xml:space="preserve"> procedure </w:t>
      </w:r>
      <w:r w:rsidRPr="00BB17A8">
        <w:t xml:space="preserve">for their CS survey [37, 38]. </w:t>
      </w:r>
      <w:r w:rsidR="00670EB6" w:rsidRPr="00BB17A8">
        <w:t xml:space="preserve">To ensure interoperability, the </w:t>
      </w:r>
      <w:r w:rsidR="002215CA" w:rsidRPr="00BB17A8">
        <w:t>QCs are implemented as Web Processing Service (WPS)</w:t>
      </w:r>
      <w:r w:rsidR="00B06A4B" w:rsidRPr="00BB17A8">
        <w:t xml:space="preserve"> processes</w:t>
      </w:r>
      <w:r w:rsidR="00D67EC7">
        <w:t xml:space="preserve">. </w:t>
      </w:r>
      <w:r w:rsidR="00D67EC7" w:rsidRPr="00D67EC7">
        <w:t xml:space="preserve">The OGC Web Processing Service standard provides rules for standardizing how inputs and outputs for invoking geospatial </w:t>
      </w:r>
      <w:r w:rsidR="00D67EC7">
        <w:t>processing services are defined</w:t>
      </w:r>
      <w:r w:rsidR="00B06A4B" w:rsidRPr="00BB17A8">
        <w:t xml:space="preserve">. </w:t>
      </w:r>
      <w:r w:rsidRPr="00BB17A8">
        <w:t xml:space="preserve">Each QC takes the CS data and their metadata (including any existing quality valuations) as input, and performs processing and geoprocessing on these data, producing or updating the quality metadata of each single observation of the CS data (Figure 1). This process may involve other data sources, e.g. authoritative data, EO data, social media. </w:t>
      </w:r>
    </w:p>
    <w:p w14:paraId="3ACF5F37" w14:textId="507F09F0" w:rsidR="009F252E" w:rsidRPr="00BB17A8" w:rsidRDefault="009F252E" w:rsidP="009F252E">
      <w:pPr>
        <w:pStyle w:val="MDPI31text"/>
      </w:pPr>
      <w:r w:rsidRPr="00BB17A8">
        <w:t xml:space="preserve">As part of the COBWEB platform, the QAwAT offers flexibility </w:t>
      </w:r>
      <w:r w:rsidR="00D67E62" w:rsidRPr="00BB17A8">
        <w:t>i</w:t>
      </w:r>
      <w:r w:rsidR="005866B2" w:rsidRPr="00BB17A8">
        <w:t xml:space="preserve">n </w:t>
      </w:r>
      <w:r w:rsidRPr="00BB17A8">
        <w:t xml:space="preserve">designing, recording and executing a quality assurance workflow; it enables communication and dialog between stakeholders and provides metadata on metaquality </w:t>
      </w:r>
      <w:r w:rsidR="00525F3A" w:rsidRPr="00BB17A8">
        <w:t xml:space="preserve">in </w:t>
      </w:r>
      <w:r w:rsidRPr="00BB17A8">
        <w:t>a machine-readable format</w:t>
      </w:r>
      <w:r w:rsidR="00586587" w:rsidRPr="00BB17A8">
        <w:t xml:space="preserve"> (a </w:t>
      </w:r>
      <w:r w:rsidRPr="00BB17A8">
        <w:t>BPMN file</w:t>
      </w:r>
      <w:r w:rsidR="00586587" w:rsidRPr="00BB17A8">
        <w:t>)</w:t>
      </w:r>
      <w:r w:rsidRPr="00BB17A8">
        <w:t xml:space="preserve">. </w:t>
      </w:r>
    </w:p>
    <w:p w14:paraId="4084865D" w14:textId="39B3D855" w:rsidR="003A61AA" w:rsidRPr="00BB17A8" w:rsidRDefault="009F252E" w:rsidP="009F252E">
      <w:pPr>
        <w:pStyle w:val="MDPI31text"/>
      </w:pPr>
      <w:r w:rsidRPr="00BB17A8">
        <w:t xml:space="preserve">Figure 1 shows a QC </w:t>
      </w:r>
      <w:r w:rsidR="00905CED" w:rsidRPr="00BB17A8">
        <w:t>conceptualized</w:t>
      </w:r>
      <w:r w:rsidRPr="00BB17A8">
        <w:t xml:space="preserve"> in a BPMN diagram, as a QA workflow with a single task. This representation of a single QC and a full workflow, are based upon the same principle, </w:t>
      </w:r>
      <w:r w:rsidR="001128F6" w:rsidRPr="00BB17A8">
        <w:t xml:space="preserve">which might use </w:t>
      </w:r>
      <w:r w:rsidRPr="00BB17A8">
        <w:t xml:space="preserve">additional BPMN artefacts, such as conditional flow, parallel gateways or inclusive gateways. Using the BPMN standard, the full workflow for QA can be displayed with or without inputs (as in Figure 2, and Appendix A.1). This displays all the involved artefacts, and the quality elements created and updated during the execution of the workflow, which are shown as annotations: </w:t>
      </w:r>
      <w:r w:rsidRPr="00162990">
        <w:rPr>
          <w:i/>
        </w:rPr>
        <w:t>Vol</w:t>
      </w:r>
      <w:r w:rsidRPr="00BB17A8">
        <w:t xml:space="preserve"> as volunteer referring to the stakeholder quality model, </w:t>
      </w:r>
      <w:r w:rsidRPr="00162990">
        <w:rPr>
          <w:i/>
        </w:rPr>
        <w:t>Obs</w:t>
      </w:r>
      <w:r w:rsidRPr="00BB17A8">
        <w:t xml:space="preserve"> referring to the Producer quality model, and </w:t>
      </w:r>
      <w:r w:rsidRPr="00162990">
        <w:rPr>
          <w:i/>
        </w:rPr>
        <w:t>Auth</w:t>
      </w:r>
      <w:r w:rsidRPr="00BB17A8">
        <w:t xml:space="preserve"> to the consumer model. These annotations, only used when communicating graphically between stakeholders, are conformant to the BPMN standard.</w:t>
      </w:r>
    </w:p>
    <w:p w14:paraId="25D1A290" w14:textId="50FCDB10" w:rsidR="00983F35" w:rsidRPr="00BB17A8" w:rsidRDefault="00983F35" w:rsidP="009F252E">
      <w:pPr>
        <w:pStyle w:val="MDPI31text"/>
      </w:pPr>
      <w:r w:rsidRPr="00BB17A8">
        <w:t>The metadata on data quality belongs to three different quality models (see Appendix A.4 for a full description): the producer model, generating the spatial data quality from the ISO19157, the consumer model following the principle of the user feedback model</w:t>
      </w:r>
      <w:r w:rsidR="002253CE">
        <w:t xml:space="preserve"> (</w:t>
      </w:r>
      <w:r w:rsidR="002253CE" w:rsidRPr="002253CE">
        <w:t xml:space="preserve">Geospatial User Feedback Standard Working Group </w:t>
      </w:r>
      <w:hyperlink r:id="rId9" w:history="1">
        <w:r w:rsidR="002253CE" w:rsidRPr="002253CE">
          <w:rPr>
            <w:rStyle w:val="Hyperlink"/>
          </w:rPr>
          <w:t>www.opengeospatial.org/projects/groups/gufswg</w:t>
        </w:r>
      </w:hyperlink>
      <w:r w:rsidR="002253CE">
        <w:t>)</w:t>
      </w:r>
      <w:r w:rsidRPr="00BB17A8">
        <w:t xml:space="preserve"> and the stakeholder quality model [26, 36]. </w:t>
      </w:r>
      <w:r w:rsidR="002253CE">
        <w:t>The ISO 19157</w:t>
      </w:r>
      <w:r w:rsidR="002253CE" w:rsidRPr="002253CE">
        <w:t xml:space="preserve"> establishes the principles for describing the quality of geographic data </w:t>
      </w:r>
      <w:r w:rsidRPr="00BB17A8">
        <w:t xml:space="preserve">Qualifying each citizen volunteer, the stakeholder quality model produces quality elements that are updated at each new participation in </w:t>
      </w:r>
      <w:r w:rsidR="002253CE">
        <w:t>a survey (from running the assoc</w:t>
      </w:r>
      <w:r w:rsidRPr="00BB17A8">
        <w:t>iated QA) but current values are kept associated with the observation when it is made by this citizen volunteer. Not only can the current values of the stakeholder quality model influence, as weighting factors, the quality assessment for the other quality models, for a new data captured by this citizen (seen as an observation made by the sensor ‘this citizen’), but they will also evolve from the processing and rules within each QC. All three quality models use an encoding that follows the ISO19157 schema, with a scope to link ‘citizen’ to the current observation.</w:t>
      </w:r>
    </w:p>
    <w:p w14:paraId="67D6399A" w14:textId="68F66088" w:rsidR="00A42E77" w:rsidRPr="00FD0B7A" w:rsidRDefault="00A42E77" w:rsidP="00FD0B7A">
      <w:pPr>
        <w:pStyle w:val="MDPI31text"/>
      </w:pPr>
      <w:r w:rsidRPr="00BB17A8">
        <w:rPr>
          <w:b/>
          <w:noProof/>
          <w:lang w:val="en-GB" w:eastAsia="en-GB" w:bidi="ar-SA"/>
        </w:rPr>
        <w:lastRenderedPageBreak/>
        <w:drawing>
          <wp:inline distT="0" distB="0" distL="0" distR="0" wp14:anchorId="4C19EBE2" wp14:editId="197B24E1">
            <wp:extent cx="4950684" cy="4381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1_QC_BPM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0684" cy="4381136"/>
                    </a:xfrm>
                    <a:prstGeom prst="rect">
                      <a:avLst/>
                    </a:prstGeom>
                  </pic:spPr>
                </pic:pic>
              </a:graphicData>
            </a:graphic>
          </wp:inline>
        </w:drawing>
      </w:r>
    </w:p>
    <w:p w14:paraId="206CCA59" w14:textId="3C9D1DA1" w:rsidR="00A42E77" w:rsidRPr="00BB17A8" w:rsidRDefault="00A42E77" w:rsidP="00A42E77">
      <w:pPr>
        <w:pStyle w:val="MDPI51figurecaption"/>
      </w:pPr>
      <w:r w:rsidRPr="00BB17A8">
        <w:rPr>
          <w:b/>
        </w:rPr>
        <w:t>Figure 1.</w:t>
      </w:r>
      <w:r w:rsidRPr="00BB17A8">
        <w:t xml:space="preserve"> Generic pattern of a Quality Control (QC), seen as processing task producing metadata on data quality </w:t>
      </w:r>
      <w:r w:rsidR="00162990" w:rsidRPr="00BB17A8">
        <w:t>conceptualized</w:t>
      </w:r>
      <w:r w:rsidRPr="00BB17A8">
        <w:t xml:space="preserve"> in an atomic-workflow (BPMN diagram). A workflow starts at the greyed disk with a green circle and finishes at the black disk with the red circled. Processing steps are the rounded rectangles, these tasks may involve inputs and outputs indicated by the data objects associated to the task (dotted arrows), and normal flow operates according to the non-dotted black arrows. The output data objects are the metadata for the input including the metadata on spatial data quality and potentially the input themselves which have been modified (corrected).</w:t>
      </w:r>
    </w:p>
    <w:p w14:paraId="6BBCCDF7" w14:textId="5AEF697E" w:rsidR="0023270E" w:rsidRPr="00BB17A8" w:rsidRDefault="000A78A9" w:rsidP="002E7E6C">
      <w:pPr>
        <w:pStyle w:val="MDPI31text"/>
      </w:pPr>
      <w:r w:rsidRPr="00BB17A8">
        <w:t>T</w:t>
      </w:r>
      <w:r w:rsidR="007E152F" w:rsidRPr="00BB17A8">
        <w:t xml:space="preserve">he QA framework proposes 7 categories of QCs as 7 Pillars for quality assessments of CS data (Table 1). This </w:t>
      </w:r>
      <w:r w:rsidR="00162990" w:rsidRPr="00BB17A8">
        <w:t>categorization</w:t>
      </w:r>
      <w:r w:rsidR="007E152F" w:rsidRPr="00BB17A8">
        <w:t xml:space="preserve"> into 7 pillars helps in the development of geoprocesses and in the composition of the workflow. They represent the top of an ontology for the QCs for CS quality assessments. The 7 Pillars further extend the classification of quality assessments proposed in previous work by Goodchild &amp; Li [22]: ‘the crowdsourcing approach’ (validation in reference to the rest of the crowd); ‘the social approach’ (validation using expert peers or trusted peers); and ‘the geographical approach’ (validation involving the geographical context). Several QCs accessible have been developed, and are available within the WPS repository (</w:t>
      </w:r>
      <w:r w:rsidR="001F5610" w:rsidRPr="00BB17A8">
        <w:t xml:space="preserve">implemented </w:t>
      </w:r>
      <w:r w:rsidR="001C066E" w:rsidRPr="00BB17A8">
        <w:t xml:space="preserve">either </w:t>
      </w:r>
      <w:r w:rsidR="001F5610" w:rsidRPr="00BB17A8">
        <w:t xml:space="preserve">in </w:t>
      </w:r>
      <w:r w:rsidR="007E152F" w:rsidRPr="00BB17A8">
        <w:t xml:space="preserve">Java </w:t>
      </w:r>
      <w:r w:rsidR="00192514" w:rsidRPr="00BB17A8">
        <w:t xml:space="preserve">or </w:t>
      </w:r>
      <w:r w:rsidR="001C066E" w:rsidRPr="00BB17A8">
        <w:t xml:space="preserve">as </w:t>
      </w:r>
      <w:r w:rsidR="007E152F" w:rsidRPr="00BB17A8">
        <w:t>R scripts). A screenshot and video of the interface can be viewed in the GitHub repository</w:t>
      </w:r>
      <w:r w:rsidR="002253CE">
        <w:t xml:space="preserve"> (</w:t>
      </w:r>
      <w:hyperlink r:id="rId11" w:history="1">
        <w:r w:rsidR="002253CE" w:rsidRPr="0012285B">
          <w:rPr>
            <w:rStyle w:val="Hyperlink"/>
          </w:rPr>
          <w:t>https://github.com/cobweb-eu/workflow-at</w:t>
        </w:r>
      </w:hyperlink>
      <w:r w:rsidR="002253CE">
        <w:t>)</w:t>
      </w:r>
      <w:r w:rsidR="00A15977" w:rsidRPr="00BB17A8">
        <w:t xml:space="preserve"> and </w:t>
      </w:r>
      <w:r w:rsidR="007E152F" w:rsidRPr="00BB17A8">
        <w:t>shows composition of a QA workflow</w:t>
      </w:r>
      <w:r w:rsidR="008C3A49" w:rsidRPr="00BB17A8">
        <w:t>, including</w:t>
      </w:r>
      <w:r w:rsidR="007E152F" w:rsidRPr="00BB17A8">
        <w:t xml:space="preserve"> choosing a QC from a list of QCs </w:t>
      </w:r>
      <w:r w:rsidR="00436C59" w:rsidRPr="00BB17A8">
        <w:t xml:space="preserve">(classified as one of the </w:t>
      </w:r>
      <w:r w:rsidR="007E152F" w:rsidRPr="00BB17A8">
        <w:t>7 pillars</w:t>
      </w:r>
      <w:r w:rsidR="00436C59" w:rsidRPr="00BB17A8">
        <w:t>)</w:t>
      </w:r>
      <w:r w:rsidR="00D42DE3" w:rsidRPr="00BB17A8">
        <w:t xml:space="preserve">, </w:t>
      </w:r>
      <w:r w:rsidR="007E152F" w:rsidRPr="00BB17A8">
        <w:t xml:space="preserve">populating the necessary input parameters and input data, then continuing to instantiate the workflow. </w:t>
      </w:r>
    </w:p>
    <w:p w14:paraId="3C89DC96" w14:textId="09BA39A3" w:rsidR="00CE27B6" w:rsidRPr="00BB17A8" w:rsidRDefault="002E7E6C" w:rsidP="002E7E6C">
      <w:pPr>
        <w:pStyle w:val="MDPI41tablecaption"/>
        <w:keepNext/>
        <w:jc w:val="center"/>
      </w:pPr>
      <w:r w:rsidRPr="002E7E6C">
        <w:rPr>
          <w:b/>
        </w:rPr>
        <w:lastRenderedPageBreak/>
        <w:t>Table 1</w:t>
      </w:r>
      <w:r>
        <w:t>.</w:t>
      </w:r>
      <w:r w:rsidR="00CE27B6" w:rsidRPr="00BB17A8">
        <w:t xml:space="preserve"> </w:t>
      </w:r>
      <w:r w:rsidR="00CE27B6" w:rsidRPr="00BB17A8">
        <w:rPr>
          <w:lang w:eastAsia="zh-CN"/>
        </w:rPr>
        <w:t>The 7 Pillars of Quality Controls in CS [26</w:t>
      </w:r>
      <w:r w:rsidR="003762DB" w:rsidRPr="00BB17A8">
        <w:rPr>
          <w:lang w:eastAsia="zh-CN"/>
        </w:rPr>
        <w:t>, 36</w:t>
      </w:r>
      <w:r w:rsidR="00CE27B6" w:rsidRPr="00BB17A8">
        <w:rPr>
          <w:lang w:eastAsia="zh-CN"/>
        </w:rPr>
        <w:t>]</w:t>
      </w:r>
      <w:r w:rsidR="00A301C2" w:rsidRPr="00BB17A8">
        <w:rPr>
          <w:lang w:eastAsia="zh-CN"/>
        </w:rPr>
        <w:t>.</w:t>
      </w:r>
    </w:p>
    <w:tbl>
      <w:tblPr>
        <w:tblW w:w="5000" w:type="pct"/>
        <w:jc w:val="center"/>
        <w:tblBorders>
          <w:bottom w:val="single" w:sz="8" w:space="0" w:color="auto"/>
        </w:tblBorders>
        <w:tblLook w:val="0600" w:firstRow="0" w:lastRow="0" w:firstColumn="0" w:lastColumn="0" w:noHBand="1" w:noVBand="1"/>
      </w:tblPr>
      <w:tblGrid>
        <w:gridCol w:w="2207"/>
        <w:gridCol w:w="6637"/>
      </w:tblGrid>
      <w:tr w:rsidR="00CE27B6" w:rsidRPr="00BB17A8" w14:paraId="33EB8F6E" w14:textId="77777777" w:rsidTr="00CB06EC">
        <w:trPr>
          <w:trHeight w:val="263"/>
          <w:jc w:val="center"/>
        </w:trPr>
        <w:tc>
          <w:tcPr>
            <w:tcW w:w="1248" w:type="pct"/>
            <w:tcBorders>
              <w:top w:val="single" w:sz="4" w:space="0" w:color="auto"/>
              <w:bottom w:val="single" w:sz="4" w:space="0" w:color="auto"/>
            </w:tcBorders>
            <w:shd w:val="clear" w:color="auto" w:fill="auto"/>
          </w:tcPr>
          <w:p w14:paraId="0FE046A1" w14:textId="77777777" w:rsidR="00CE27B6" w:rsidRPr="00BB17A8" w:rsidRDefault="00CE27B6" w:rsidP="002E7E6C">
            <w:pPr>
              <w:pStyle w:val="MDPI42tablebody"/>
              <w:keepNext/>
              <w:rPr>
                <w:rFonts w:eastAsia="SimSun"/>
              </w:rPr>
            </w:pPr>
            <w:r w:rsidRPr="00BB17A8">
              <w:rPr>
                <w:rFonts w:eastAsia="SimSun"/>
              </w:rPr>
              <w:t>Pillar name</w:t>
            </w:r>
          </w:p>
        </w:tc>
        <w:tc>
          <w:tcPr>
            <w:tcW w:w="3752" w:type="pct"/>
            <w:tcBorders>
              <w:top w:val="single" w:sz="4" w:space="0" w:color="auto"/>
              <w:bottom w:val="single" w:sz="4" w:space="0" w:color="auto"/>
            </w:tcBorders>
            <w:shd w:val="clear" w:color="auto" w:fill="auto"/>
          </w:tcPr>
          <w:p w14:paraId="2A0243B0" w14:textId="77777777" w:rsidR="00CE27B6" w:rsidRPr="00BB17A8" w:rsidRDefault="00CE27B6" w:rsidP="002E7E6C">
            <w:pPr>
              <w:pStyle w:val="MDPI42tablebody"/>
              <w:keepNext/>
              <w:rPr>
                <w:rFonts w:eastAsia="SimSun"/>
              </w:rPr>
            </w:pPr>
            <w:r w:rsidRPr="00BB17A8">
              <w:rPr>
                <w:rFonts w:eastAsia="SimSun"/>
              </w:rPr>
              <w:t>Pillar description</w:t>
            </w:r>
          </w:p>
        </w:tc>
      </w:tr>
      <w:tr w:rsidR="00CE27B6" w:rsidRPr="00BB17A8" w14:paraId="4F89E3E9" w14:textId="77777777" w:rsidTr="00CB06EC">
        <w:trPr>
          <w:trHeight w:val="292"/>
          <w:jc w:val="center"/>
        </w:trPr>
        <w:tc>
          <w:tcPr>
            <w:tcW w:w="1248" w:type="pct"/>
            <w:tcBorders>
              <w:top w:val="single" w:sz="4" w:space="0" w:color="auto"/>
            </w:tcBorders>
            <w:shd w:val="clear" w:color="auto" w:fill="auto"/>
          </w:tcPr>
          <w:p w14:paraId="6EEA364A" w14:textId="50B339E0" w:rsidR="00CE27B6" w:rsidRPr="00BB17A8" w:rsidRDefault="00B559ED" w:rsidP="002E7E6C">
            <w:pPr>
              <w:pStyle w:val="MDPI42tablebody"/>
              <w:keepNext/>
              <w:rPr>
                <w:rFonts w:eastAsia="SimSun"/>
              </w:rPr>
            </w:pPr>
            <w:r w:rsidRPr="00BB17A8">
              <w:rPr>
                <w:rFonts w:eastAsia="SimSun"/>
              </w:rPr>
              <w:t xml:space="preserve">Pillar 1: </w:t>
            </w:r>
            <w:r w:rsidR="00CE27B6" w:rsidRPr="00BB17A8">
              <w:rPr>
                <w:rFonts w:eastAsia="SimSun"/>
              </w:rPr>
              <w:t>Positioning</w:t>
            </w:r>
          </w:p>
        </w:tc>
        <w:tc>
          <w:tcPr>
            <w:tcW w:w="3752" w:type="pct"/>
            <w:tcBorders>
              <w:top w:val="single" w:sz="4" w:space="0" w:color="auto"/>
            </w:tcBorders>
            <w:shd w:val="clear" w:color="auto" w:fill="auto"/>
          </w:tcPr>
          <w:p w14:paraId="2A31B217" w14:textId="175DFB98" w:rsidR="00CE27B6" w:rsidRPr="00BB17A8" w:rsidRDefault="00B559ED" w:rsidP="002E7E6C">
            <w:pPr>
              <w:pStyle w:val="MDPI42tablebody"/>
              <w:keepNext/>
              <w:rPr>
                <w:rFonts w:eastAsia="SimSun"/>
              </w:rPr>
            </w:pPr>
            <w:r w:rsidRPr="00BB17A8">
              <w:rPr>
                <w:b/>
                <w:bCs/>
              </w:rPr>
              <w:t>Location, position and accuracy</w:t>
            </w:r>
            <w:r w:rsidRPr="00BB17A8">
              <w:rPr>
                <w:bCs/>
              </w:rPr>
              <w:t xml:space="preserve">: </w:t>
            </w:r>
            <w:r w:rsidRPr="00BB17A8">
              <w:rPr>
                <w:i/>
              </w:rPr>
              <w:t>focusing on the position of the user and of the targeted feature (if any), local condition or constraints (e.g. authoritative polygon, navigation, routing</w:t>
            </w:r>
            <w:r w:rsidRPr="00BB17A8">
              <w:t xml:space="preserve">, </w:t>
            </w:r>
            <w:r w:rsidRPr="00BB17A8">
              <w:rPr>
                <w:i/>
              </w:rPr>
              <w:t>etc</w:t>
            </w:r>
            <w:r w:rsidRPr="00BB17A8">
              <w:t>.)</w:t>
            </w:r>
          </w:p>
        </w:tc>
      </w:tr>
      <w:tr w:rsidR="00CE27B6" w:rsidRPr="00BB17A8" w14:paraId="4AAFA92D" w14:textId="77777777" w:rsidTr="00CB06EC">
        <w:trPr>
          <w:jc w:val="center"/>
        </w:trPr>
        <w:tc>
          <w:tcPr>
            <w:tcW w:w="1248" w:type="pct"/>
            <w:shd w:val="clear" w:color="auto" w:fill="auto"/>
          </w:tcPr>
          <w:p w14:paraId="77F94D63" w14:textId="77777777" w:rsidR="00CE27B6" w:rsidRPr="00BB17A8" w:rsidRDefault="00CE27B6" w:rsidP="00804947">
            <w:pPr>
              <w:pStyle w:val="MDPI42tablebody"/>
              <w:rPr>
                <w:rFonts w:eastAsia="SimSun"/>
              </w:rPr>
            </w:pPr>
            <w:r w:rsidRPr="00BB17A8">
              <w:rPr>
                <w:rFonts w:eastAsia="SimSun"/>
              </w:rPr>
              <w:t>Pillar 2: Cleaning</w:t>
            </w:r>
          </w:p>
        </w:tc>
        <w:tc>
          <w:tcPr>
            <w:tcW w:w="3752" w:type="pct"/>
            <w:shd w:val="clear" w:color="auto" w:fill="auto"/>
          </w:tcPr>
          <w:p w14:paraId="321AD6D0" w14:textId="312B7A0D" w:rsidR="00CE27B6" w:rsidRPr="00BB17A8" w:rsidRDefault="00B559ED" w:rsidP="00804947">
            <w:pPr>
              <w:pStyle w:val="MDPI42tablebody"/>
              <w:rPr>
                <w:rFonts w:eastAsia="SimSun"/>
              </w:rPr>
            </w:pPr>
            <w:r w:rsidRPr="00BB17A8">
              <w:rPr>
                <w:b/>
                <w:bCs/>
              </w:rPr>
              <w:t xml:space="preserve">Erroneous entries, mistakes, malicious entries: </w:t>
            </w:r>
            <w:r w:rsidRPr="00BB17A8">
              <w:rPr>
                <w:i/>
              </w:rPr>
              <w:t>Erroneous, true mistakes, intentional mistakes, removals, corrections are checked for the position and for the attributes. Feedback mechanism can be an important part of this pillar if the mistakes can be corrected.</w:t>
            </w:r>
          </w:p>
        </w:tc>
      </w:tr>
      <w:tr w:rsidR="00CE27B6" w:rsidRPr="00BB17A8" w14:paraId="7BD3DDA4" w14:textId="77777777" w:rsidTr="00CB06EC">
        <w:trPr>
          <w:trHeight w:val="634"/>
          <w:jc w:val="center"/>
        </w:trPr>
        <w:tc>
          <w:tcPr>
            <w:tcW w:w="1248" w:type="pct"/>
            <w:shd w:val="clear" w:color="auto" w:fill="auto"/>
          </w:tcPr>
          <w:p w14:paraId="4FFA055A" w14:textId="77777777" w:rsidR="00CE27B6" w:rsidRPr="00BB17A8" w:rsidRDefault="00CE27B6" w:rsidP="00804947">
            <w:pPr>
              <w:pStyle w:val="MDPI42tablebody"/>
              <w:rPr>
                <w:rFonts w:eastAsia="SimSun"/>
              </w:rPr>
            </w:pPr>
            <w:r w:rsidRPr="00BB17A8">
              <w:rPr>
                <w:rFonts w:eastAsia="SimSun"/>
              </w:rPr>
              <w:t>Pillar 3: Automatic Validation</w:t>
            </w:r>
          </w:p>
        </w:tc>
        <w:tc>
          <w:tcPr>
            <w:tcW w:w="3752" w:type="pct"/>
            <w:shd w:val="clear" w:color="auto" w:fill="auto"/>
          </w:tcPr>
          <w:p w14:paraId="45AC3E03" w14:textId="33FC45C7" w:rsidR="00CE27B6" w:rsidRPr="00BB17A8" w:rsidRDefault="00B559ED" w:rsidP="00804947">
            <w:pPr>
              <w:pStyle w:val="MDPI42tablebody"/>
              <w:rPr>
                <w:rFonts w:eastAsia="SimSun"/>
              </w:rPr>
            </w:pPr>
            <w:r w:rsidRPr="00BB17A8">
              <w:rPr>
                <w:b/>
                <w:bCs/>
              </w:rPr>
              <w:t xml:space="preserve">Simple checks, topology relations and attribute ranges: </w:t>
            </w:r>
            <w:r w:rsidRPr="00BB17A8">
              <w:rPr>
                <w:i/>
              </w:rPr>
              <w:t>Carries further the cleaning aspects by validating potential good contributions. Its aim is towards positive rewarding with more inclusive rules than with pillar 2 focusing more on excluding rules.</w:t>
            </w:r>
          </w:p>
        </w:tc>
      </w:tr>
      <w:tr w:rsidR="00B559ED" w:rsidRPr="00BB17A8" w14:paraId="17E7F71E" w14:textId="77777777" w:rsidTr="00CB06EC">
        <w:trPr>
          <w:jc w:val="center"/>
        </w:trPr>
        <w:tc>
          <w:tcPr>
            <w:tcW w:w="1248" w:type="pct"/>
            <w:shd w:val="clear" w:color="auto" w:fill="auto"/>
          </w:tcPr>
          <w:p w14:paraId="09EAD3A5" w14:textId="77777777" w:rsidR="00B559ED" w:rsidRPr="00BB17A8" w:rsidRDefault="00B559ED" w:rsidP="00804947">
            <w:pPr>
              <w:pStyle w:val="MDPI42tablebody"/>
              <w:rPr>
                <w:rFonts w:eastAsia="SimSun"/>
              </w:rPr>
            </w:pPr>
            <w:r w:rsidRPr="00BB17A8">
              <w:rPr>
                <w:rFonts w:eastAsia="SimSun"/>
              </w:rPr>
              <w:t>Pillar 4: Authoritative Data Comparison</w:t>
            </w:r>
          </w:p>
        </w:tc>
        <w:tc>
          <w:tcPr>
            <w:tcW w:w="3752" w:type="pct"/>
            <w:shd w:val="clear" w:color="auto" w:fill="auto"/>
          </w:tcPr>
          <w:p w14:paraId="10C6062F" w14:textId="63780879" w:rsidR="00B559ED" w:rsidRPr="00BB17A8" w:rsidRDefault="00B559ED" w:rsidP="004336BE">
            <w:pPr>
              <w:pStyle w:val="MDPI42tablebody"/>
              <w:rPr>
                <w:rFonts w:eastAsia="SimSun"/>
              </w:rPr>
            </w:pPr>
            <w:r w:rsidRPr="00BB17A8">
              <w:rPr>
                <w:b/>
                <w:bCs/>
              </w:rPr>
              <w:t>Comparison of submitted observations with authoritative data</w:t>
            </w:r>
            <w:r w:rsidRPr="00BB17A8">
              <w:rPr>
                <w:bCs/>
              </w:rPr>
              <w:t xml:space="preserve">: </w:t>
            </w:r>
            <w:r w:rsidRPr="00BB17A8">
              <w:rPr>
                <w:i/>
              </w:rPr>
              <w:t>Either on attributes or position performs statistical test, (fuzzy) logic rule based test qualifying the data captured or reversely qualifies the authoritative data. Knowledge of the metadata of the authoritative data is paramount.</w:t>
            </w:r>
          </w:p>
        </w:tc>
      </w:tr>
      <w:tr w:rsidR="00B559ED" w:rsidRPr="00BB17A8" w14:paraId="63C22EF1" w14:textId="77777777" w:rsidTr="00CB06EC">
        <w:trPr>
          <w:jc w:val="center"/>
        </w:trPr>
        <w:tc>
          <w:tcPr>
            <w:tcW w:w="1248" w:type="pct"/>
            <w:shd w:val="clear" w:color="auto" w:fill="auto"/>
          </w:tcPr>
          <w:p w14:paraId="38FFFCA9" w14:textId="77777777" w:rsidR="00B559ED" w:rsidRPr="00BB17A8" w:rsidRDefault="00B559ED" w:rsidP="00804947">
            <w:pPr>
              <w:pStyle w:val="MDPI42tablebody"/>
              <w:rPr>
                <w:rFonts w:eastAsia="SimSun"/>
              </w:rPr>
            </w:pPr>
            <w:r w:rsidRPr="00BB17A8">
              <w:rPr>
                <w:rFonts w:eastAsia="SimSun"/>
              </w:rPr>
              <w:t>Pillar 5: Model-Based Validation</w:t>
            </w:r>
          </w:p>
        </w:tc>
        <w:tc>
          <w:tcPr>
            <w:tcW w:w="3752" w:type="pct"/>
            <w:shd w:val="clear" w:color="auto" w:fill="auto"/>
          </w:tcPr>
          <w:p w14:paraId="4F8CB32A" w14:textId="3AFABD5F" w:rsidR="00B559ED" w:rsidRPr="00BB17A8" w:rsidRDefault="004771C1" w:rsidP="00804947">
            <w:pPr>
              <w:pStyle w:val="MDPI42tablebody"/>
              <w:rPr>
                <w:rFonts w:eastAsia="SimSun"/>
              </w:rPr>
            </w:pPr>
            <w:r w:rsidRPr="00BB17A8">
              <w:rPr>
                <w:b/>
                <w:bCs/>
              </w:rPr>
              <w:t>Utilizing</w:t>
            </w:r>
            <w:r w:rsidR="00B559ED" w:rsidRPr="00BB17A8">
              <w:rPr>
                <w:b/>
                <w:bCs/>
              </w:rPr>
              <w:t xml:space="preserve"> statistical and </w:t>
            </w:r>
            <w:r w:rsidRPr="00BB17A8">
              <w:rPr>
                <w:b/>
                <w:bCs/>
              </w:rPr>
              <w:t>behavioral</w:t>
            </w:r>
            <w:r w:rsidR="00B559ED" w:rsidRPr="00BB17A8">
              <w:rPr>
                <w:b/>
                <w:bCs/>
              </w:rPr>
              <w:t xml:space="preserve"> models: </w:t>
            </w:r>
            <w:r w:rsidR="00B559ED" w:rsidRPr="00BB17A8">
              <w:rPr>
                <w:i/>
              </w:rPr>
              <w:t xml:space="preserve">Extends pillar 4 testing against modelled data (e.g. physical models, </w:t>
            </w:r>
            <w:r w:rsidRPr="00BB17A8">
              <w:rPr>
                <w:i/>
              </w:rPr>
              <w:t>behavioral</w:t>
            </w:r>
            <w:r w:rsidR="00B559ED" w:rsidRPr="00BB17A8">
              <w:rPr>
                <w:i/>
              </w:rPr>
              <w:t xml:space="preserve"> models) and other user contributed data within the same context. This may use intensively fuzzy logics and interactions with the user within a feedback mechanism of interactive surveying. (if some tests will be similar to pillar 4 the outcome in quality elements can be different)</w:t>
            </w:r>
          </w:p>
        </w:tc>
      </w:tr>
      <w:tr w:rsidR="00B559ED" w:rsidRPr="00BB17A8" w14:paraId="7D5A87CA" w14:textId="77777777" w:rsidTr="00CB06EC">
        <w:trPr>
          <w:jc w:val="center"/>
        </w:trPr>
        <w:tc>
          <w:tcPr>
            <w:tcW w:w="1248" w:type="pct"/>
            <w:shd w:val="clear" w:color="auto" w:fill="auto"/>
          </w:tcPr>
          <w:p w14:paraId="2B8FC7D7" w14:textId="77777777" w:rsidR="00B559ED" w:rsidRPr="00BB17A8" w:rsidRDefault="00B559ED" w:rsidP="00804947">
            <w:pPr>
              <w:pStyle w:val="MDPI42tablebody"/>
              <w:rPr>
                <w:rFonts w:eastAsia="SimSun"/>
              </w:rPr>
            </w:pPr>
            <w:r w:rsidRPr="00BB17A8">
              <w:rPr>
                <w:rFonts w:eastAsia="SimSun"/>
              </w:rPr>
              <w:t>Pillar 6: Linked Data Analysis</w:t>
            </w:r>
          </w:p>
        </w:tc>
        <w:tc>
          <w:tcPr>
            <w:tcW w:w="3752" w:type="pct"/>
            <w:shd w:val="clear" w:color="auto" w:fill="auto"/>
          </w:tcPr>
          <w:p w14:paraId="45F25959" w14:textId="4DD2D179" w:rsidR="00B559ED" w:rsidRPr="00BB17A8" w:rsidRDefault="00B559ED" w:rsidP="00804947">
            <w:pPr>
              <w:pStyle w:val="MDPI42tablebody"/>
              <w:rPr>
                <w:rFonts w:eastAsia="SimSun"/>
              </w:rPr>
            </w:pPr>
            <w:r w:rsidRPr="00BB17A8">
              <w:rPr>
                <w:b/>
                <w:bCs/>
              </w:rPr>
              <w:t xml:space="preserve">Data mining techniques and </w:t>
            </w:r>
            <w:r w:rsidR="004771C1" w:rsidRPr="00BB17A8">
              <w:rPr>
                <w:b/>
                <w:bCs/>
              </w:rPr>
              <w:t>utilizing</w:t>
            </w:r>
            <w:r w:rsidRPr="00BB17A8">
              <w:rPr>
                <w:b/>
                <w:bCs/>
              </w:rPr>
              <w:t xml:space="preserve"> social media outputs: </w:t>
            </w:r>
            <w:r w:rsidRPr="00BB17A8">
              <w:rPr>
                <w:i/>
              </w:rPr>
              <w:t>Extends pillar 5 testing to using various social media data or related data sources within a linked data framework. Tests are driven by a more correlative paradigm than in previous pillars.</w:t>
            </w:r>
          </w:p>
        </w:tc>
      </w:tr>
      <w:tr w:rsidR="00B559ED" w:rsidRPr="00BB17A8" w14:paraId="1493976E" w14:textId="77777777" w:rsidTr="00CB06EC">
        <w:trPr>
          <w:jc w:val="center"/>
        </w:trPr>
        <w:tc>
          <w:tcPr>
            <w:tcW w:w="1248" w:type="pct"/>
            <w:shd w:val="clear" w:color="auto" w:fill="auto"/>
          </w:tcPr>
          <w:p w14:paraId="15185622" w14:textId="77777777" w:rsidR="00B559ED" w:rsidRPr="00BB17A8" w:rsidRDefault="00B559ED" w:rsidP="00804947">
            <w:pPr>
              <w:pStyle w:val="MDPI42tablebody"/>
              <w:rPr>
                <w:rFonts w:eastAsia="SimSun"/>
              </w:rPr>
            </w:pPr>
            <w:r w:rsidRPr="00BB17A8">
              <w:rPr>
                <w:rFonts w:eastAsia="SimSun"/>
              </w:rPr>
              <w:t>Pillar 7: Semantic Harmonisation</w:t>
            </w:r>
          </w:p>
        </w:tc>
        <w:tc>
          <w:tcPr>
            <w:tcW w:w="3752" w:type="pct"/>
            <w:shd w:val="clear" w:color="auto" w:fill="auto"/>
          </w:tcPr>
          <w:p w14:paraId="47B20C6D" w14:textId="7EDE97C9" w:rsidR="00B559ED" w:rsidRPr="00BB17A8" w:rsidRDefault="00B559ED" w:rsidP="00B559ED">
            <w:pPr>
              <w:pStyle w:val="MDPI42tablebody"/>
              <w:rPr>
                <w:bCs/>
              </w:rPr>
            </w:pPr>
            <w:r w:rsidRPr="00BB17A8">
              <w:rPr>
                <w:b/>
              </w:rPr>
              <w:t xml:space="preserve">Conformance enrichment and </w:t>
            </w:r>
            <w:r w:rsidR="00162990" w:rsidRPr="00BB17A8">
              <w:rPr>
                <w:b/>
              </w:rPr>
              <w:t>harmonization</w:t>
            </w:r>
            <w:r w:rsidRPr="00BB17A8">
              <w:rPr>
                <w:b/>
              </w:rPr>
              <w:t xml:space="preserve"> in relation to existing ontologies</w:t>
            </w:r>
            <w:r w:rsidRPr="00BB17A8">
              <w:rPr>
                <w:i/>
              </w:rPr>
              <w:t xml:space="preserve">: Level of discrepancy of the data captured to existing ontology or crowd agreement is transformed into data quality information. In the </w:t>
            </w:r>
            <w:r w:rsidR="00162990" w:rsidRPr="00BB17A8">
              <w:rPr>
                <w:i/>
              </w:rPr>
              <w:t>meantime,</w:t>
            </w:r>
            <w:r w:rsidRPr="00BB17A8">
              <w:rPr>
                <w:i/>
              </w:rPr>
              <w:t xml:space="preserve"> data transformation to meet </w:t>
            </w:r>
            <w:r w:rsidR="004771C1" w:rsidRPr="00BB17A8">
              <w:rPr>
                <w:i/>
              </w:rPr>
              <w:t>harmonization</w:t>
            </w:r>
            <w:r w:rsidRPr="00BB17A8">
              <w:rPr>
                <w:i/>
              </w:rPr>
              <w:t xml:space="preserve"> can take place.</w:t>
            </w:r>
          </w:p>
        </w:tc>
      </w:tr>
    </w:tbl>
    <w:p w14:paraId="1030E652" w14:textId="77777777" w:rsidR="00CE27B6" w:rsidRPr="00BB17A8" w:rsidRDefault="00CE27B6" w:rsidP="00CE27B6">
      <w:pPr>
        <w:pStyle w:val="MDPI31text"/>
        <w:rPr>
          <w:lang w:eastAsia="zh-CN"/>
        </w:rPr>
      </w:pPr>
      <w:r w:rsidRPr="00BB17A8">
        <w:rPr>
          <w:lang w:eastAsia="zh-CN"/>
        </w:rPr>
        <w:t xml:space="preserve">The following section illustrates the usage of this QA framework for CS data from the JKW survey in the SNP. </w:t>
      </w:r>
    </w:p>
    <w:p w14:paraId="3F00954E" w14:textId="77777777" w:rsidR="007E152F" w:rsidRPr="00BB17A8" w:rsidRDefault="005676C7" w:rsidP="00E6548B">
      <w:pPr>
        <w:pStyle w:val="MDPI21heading1"/>
        <w:numPr>
          <w:ilvl w:val="0"/>
          <w:numId w:val="40"/>
        </w:numPr>
      </w:pPr>
      <w:r w:rsidRPr="00BB17A8">
        <w:t>Designing</w:t>
      </w:r>
      <w:r w:rsidR="00CE27B6" w:rsidRPr="00BB17A8">
        <w:t xml:space="preserve"> the Japanese </w:t>
      </w:r>
      <w:r w:rsidR="0063036E" w:rsidRPr="00BB17A8">
        <w:t>k</w:t>
      </w:r>
      <w:r w:rsidR="00CE27B6" w:rsidRPr="00BB17A8">
        <w:t>notweed Quality Assurance</w:t>
      </w:r>
    </w:p>
    <w:p w14:paraId="146CB00C" w14:textId="77777777" w:rsidR="00574B63" w:rsidRPr="00BB17A8" w:rsidRDefault="00574B63" w:rsidP="00574B63">
      <w:pPr>
        <w:pStyle w:val="MDPI31text"/>
      </w:pPr>
      <w:r w:rsidRPr="00BB17A8">
        <w:t>The COBWEB app [12] was used to record the CS data, with a single observation containing positional information, photos of the reported JKW, along with bearing and tilt angle parameters given by their smartphone, and the citizen’s estimates of the heights of the plants. The citizens were also asked to report their distance to the declared JKW occurrence (see Appendix A.3), and an approximation of the area covered by the JKW.</w:t>
      </w:r>
    </w:p>
    <w:p w14:paraId="28AA869D" w14:textId="3B3EAF01" w:rsidR="00574B63" w:rsidRPr="00BB17A8" w:rsidRDefault="00574B63" w:rsidP="00574B63">
      <w:pPr>
        <w:pStyle w:val="MDPI31text"/>
      </w:pPr>
      <w:r w:rsidRPr="00BB17A8">
        <w:t xml:space="preserve">The diagrammatic QA workflow for the JKW study (Figure 2) was designed following initial discussions with the stakeholders. Further engagement led to some modifications to the rules within a QC, for instance ‘JKW does not grow in the forest or in managed </w:t>
      </w:r>
      <w:r w:rsidR="00162990" w:rsidRPr="00BB17A8">
        <w:t>land ‘</w:t>
      </w:r>
      <w:r w:rsidRPr="00BB17A8">
        <w:t>, leading to QCs in Pillar 4 (Authoritative data comparison) using forest and managed land data (termed LPIS in the diagram). The Pillar 4 Point in polygon QC (pillar4.PointInPolygon) tests the inclusion of a point, taking into account positional accuracy of both the point and the authoritative data, and concludes first on the usability, topological consistency and domain consistency. Then, depending on the type of attribute attached (if mentioned), i.e. classification or quantitative or non-quantitative, and of t</w:t>
      </w:r>
      <w:r w:rsidR="00162990">
        <w:t>he agreement looked for (“must</w:t>
      </w:r>
      <w:r w:rsidRPr="00BB17A8">
        <w:t xml:space="preserve"> be in” or “</w:t>
      </w:r>
      <w:r w:rsidR="00162990" w:rsidRPr="00BB17A8">
        <w:t>must</w:t>
      </w:r>
      <w:r w:rsidRPr="00BB17A8">
        <w:t xml:space="preserve"> be not in”), updates the corresponding ISO19157 elements, e.g. thematic classification correctness. </w:t>
      </w:r>
    </w:p>
    <w:p w14:paraId="30FB0F1A" w14:textId="63C1942B" w:rsidR="00574B63" w:rsidRPr="00BB17A8" w:rsidRDefault="00574B63" w:rsidP="00574B63">
      <w:pPr>
        <w:pStyle w:val="MDPI31text"/>
      </w:pPr>
      <w:r w:rsidRPr="00BB17A8">
        <w:t xml:space="preserve">Although the ordering of the pillars in Table 1 is not compulsory when composing any QA workflow, there is often a natural succession of QCs. This subjective order follows from ‘topological </w:t>
      </w:r>
      <w:r w:rsidRPr="00BB17A8">
        <w:lastRenderedPageBreak/>
        <w:t>and location concerns for the observation’, wi</w:t>
      </w:r>
      <w:r w:rsidR="00927CBE" w:rsidRPr="00BB17A8">
        <w:t>th typical QCs in Pillar 1 (</w:t>
      </w:r>
      <w:r w:rsidRPr="00BB17A8">
        <w:t>positioning) and Pillar 2 (Cleaning), to ‘content concerns’, with Pillar 3 (Automatic Validation) for photo quality evaluation. Next follows Pillar 5, with the modelled data from EO (Model-based validation), attribute range (from Pillar 3), and the authoritative data</w:t>
      </w:r>
      <w:r w:rsidR="0030313C" w:rsidRPr="00BB17A8">
        <w:t xml:space="preserve"> of known verified occurrences </w:t>
      </w:r>
      <w:r w:rsidRPr="00BB17A8">
        <w:t>(Pillar 4, Authoritative data Comparison)</w:t>
      </w:r>
      <w:r w:rsidR="009B7074">
        <w:t xml:space="preserve"> with the</w:t>
      </w:r>
      <w:r w:rsidR="009B7074" w:rsidRPr="009B7074">
        <w:t xml:space="preserve"> </w:t>
      </w:r>
      <w:r w:rsidR="009B7074">
        <w:t>a</w:t>
      </w:r>
      <w:r w:rsidR="009B7074" w:rsidRPr="009B7074">
        <w:t>uthoritative data sourced from the Na</w:t>
      </w:r>
      <w:r w:rsidR="009B7074">
        <w:t>tional Biological Network (NBN)</w:t>
      </w:r>
      <w:r w:rsidRPr="00BB17A8">
        <w:t xml:space="preserve">, and then excluding rules in Pillar 4 for forest and managed land. Following this, ‘content concerns’ comes from the consistency of the answer by comparing this citizen to the other citizen scientists (Pillar 5 for reliability distribution and co-occurrence validity). Then enlarging the comparison to other data sources from the crowd with a QC in Pillar 6 (Linked Data Analysis), and finally a normative assessment for the photo annotation from a QC in Pillar 7 (Semantic </w:t>
      </w:r>
      <w:r w:rsidR="00FD0020" w:rsidRPr="00BB17A8">
        <w:t>Harmonization</w:t>
      </w:r>
      <w:r w:rsidRPr="00BB17A8">
        <w:t>).</w:t>
      </w:r>
    </w:p>
    <w:p w14:paraId="68E1D86B" w14:textId="33A8F9DB" w:rsidR="00574B63" w:rsidRPr="00BB17A8" w:rsidRDefault="00574B63" w:rsidP="0023270E">
      <w:pPr>
        <w:pStyle w:val="MDPI31text"/>
      </w:pPr>
      <w:r w:rsidRPr="00BB17A8">
        <w:t xml:space="preserve">The EO data used in Pillar 5 Proximity Suitability Score QC (ProximitySuitabilityScore) are considered as semantically equivalent to the CS data. Observing JKW a citizen also identifies a </w:t>
      </w:r>
      <w:r w:rsidR="003248A3" w:rsidRPr="00BB17A8">
        <w:t>high-risk</w:t>
      </w:r>
      <w:r w:rsidRPr="00BB17A8">
        <w:t xml:space="preserve"> zone (without delineation). The risk is taken as the classification correctness reached by the citizen, 1 if CS is considered as ground truth, but could be lower depending on the quality and trust of this CS data. The fact that, if more citizens make the same observation it would increase the local quality of the EO data itself, is not the purpose here. Nonetheless, these co-occurrences made from the CS view-point are used in the QA (qualifying the CS data), as increasing the quality of the observation and credibility of the citizen.</w:t>
      </w:r>
      <w:r w:rsidR="0023270E">
        <w:t xml:space="preserve"> </w:t>
      </w:r>
      <w:r w:rsidRPr="00BB17A8">
        <w:t xml:space="preserve">Where the EO product </w:t>
      </w:r>
      <w:r w:rsidR="00DB5058" w:rsidRPr="00BB17A8">
        <w:t xml:space="preserve">estimates </w:t>
      </w:r>
      <w:r w:rsidRPr="00BB17A8">
        <w:t>a</w:t>
      </w:r>
      <w:r w:rsidR="00DB5058" w:rsidRPr="00BB17A8">
        <w:t xml:space="preserve">n area </w:t>
      </w:r>
      <w:r w:rsidRPr="00BB17A8">
        <w:t>with a high-risk value, one could expect</w:t>
      </w:r>
      <w:r w:rsidR="00830001" w:rsidRPr="00BB17A8">
        <w:t xml:space="preserve"> (</w:t>
      </w:r>
      <w:r w:rsidRPr="00BB17A8">
        <w:t>with a high probability</w:t>
      </w:r>
      <w:r w:rsidR="00830001" w:rsidRPr="00BB17A8">
        <w:t>)</w:t>
      </w:r>
      <w:r w:rsidRPr="00BB17A8">
        <w:t xml:space="preserve"> that a </w:t>
      </w:r>
      <w:r w:rsidR="00DB5058" w:rsidRPr="00BB17A8">
        <w:t xml:space="preserve">nearby </w:t>
      </w:r>
      <w:r w:rsidR="00830001" w:rsidRPr="00BB17A8">
        <w:t xml:space="preserve">citizen scientist </w:t>
      </w:r>
      <w:r w:rsidR="00DB5058" w:rsidRPr="00BB17A8">
        <w:t>would</w:t>
      </w:r>
      <w:r w:rsidRPr="00BB17A8">
        <w:t xml:space="preserve"> report a JKW occurrence. Nonetheless, the survey was not set up to allow regular reporting of occurrences or absences of JKW, i.e. the citizen would be prompted to report at regular time intervals or set distances as well as allowing spontaneous reporting. Therefore, the equivalence of CS and EO information is directly valid only for areas of declared occurrences from citizens (true and false positive statistics). False negatives were obtained indirectly,</w:t>
      </w:r>
      <w:r w:rsidR="005C1579" w:rsidRPr="00BB17A8">
        <w:t xml:space="preserve"> using the verification process;</w:t>
      </w:r>
      <w:r w:rsidRPr="00BB17A8">
        <w:t xml:space="preserve"> </w:t>
      </w:r>
      <w:r w:rsidR="003248A3" w:rsidRPr="00BB17A8">
        <w:t>however,</w:t>
      </w:r>
      <w:r w:rsidRPr="00BB17A8">
        <w:t xml:space="preserve"> the sample was considered unbalanced, with o</w:t>
      </w:r>
      <w:r w:rsidR="005C1579" w:rsidRPr="00BB17A8">
        <w:t>nly 10% incorrect observations.</w:t>
      </w:r>
      <w:r w:rsidRPr="00BB17A8">
        <w:t xml:space="preserve"> This paper does not include </w:t>
      </w:r>
      <w:r w:rsidR="005C1579" w:rsidRPr="00BB17A8">
        <w:t xml:space="preserve">a </w:t>
      </w:r>
      <w:r w:rsidRPr="00BB17A8">
        <w:t xml:space="preserve">comment on the method of EO data product generation that predicted the risk of occurrence of the JKW, as this is not its focus; only what the EO product represents is required, either when using it in the QA workflow as in Figure 2 (see Section 5) or when using CS to validate it (see Section 4). </w:t>
      </w:r>
    </w:p>
    <w:p w14:paraId="002A19AF" w14:textId="43A423C7" w:rsidR="00574B63" w:rsidRPr="00BB17A8" w:rsidRDefault="00F940CC" w:rsidP="0023270E">
      <w:pPr>
        <w:pStyle w:val="MDPI31text"/>
      </w:pPr>
      <w:r w:rsidRPr="00BB17A8">
        <w:t xml:space="preserve">Taking the values of </w:t>
      </w:r>
      <w:r w:rsidR="00A80DC6" w:rsidRPr="00BB17A8">
        <w:t xml:space="preserve">the </w:t>
      </w:r>
      <w:r w:rsidR="00574B63" w:rsidRPr="00BB17A8">
        <w:t>EO data as suitability</w:t>
      </w:r>
      <w:r w:rsidR="005C1579" w:rsidRPr="00BB17A8">
        <w:t xml:space="preserve"> scores, which are</w:t>
      </w:r>
      <w:r w:rsidR="00B263F7" w:rsidRPr="00BB17A8">
        <w:t xml:space="preserve"> </w:t>
      </w:r>
      <w:r w:rsidR="005C1579" w:rsidRPr="00BB17A8">
        <w:t>measures of likelihood of occurrence</w:t>
      </w:r>
      <w:r w:rsidR="00574B63" w:rsidRPr="00BB17A8">
        <w:t>, the pillar 5 Proximity Suitability Score QC (ProximitySuitabilityScore),</w:t>
      </w:r>
      <w:r w:rsidR="0023270E">
        <w:t xml:space="preserve"> highlighted in Figure 2,</w:t>
      </w:r>
      <w:r w:rsidR="00574B63" w:rsidRPr="00BB17A8">
        <w:t xml:space="preserve"> computes a weighted summary (mean or max) of the values found within the nearby polygons of the EO data product, to the current CS observation. It then assigns these to the classification correctness quality element of that current CS record. Usability and position</w:t>
      </w:r>
      <w:r w:rsidR="00C854D1" w:rsidRPr="00BB17A8">
        <w:t>al</w:t>
      </w:r>
      <w:r w:rsidR="00574B63" w:rsidRPr="00BB17A8">
        <w:t xml:space="preserve"> accuracy (from accuracies of the polygons) are updated during the process, depending on the score obtained during the comparison to a chosen quality element with simple </w:t>
      </w:r>
      <w:r w:rsidR="00BF3A40" w:rsidRPr="00BB17A8">
        <w:t>threshold</w:t>
      </w:r>
      <w:r w:rsidR="00574B63" w:rsidRPr="00BB17A8">
        <w:t xml:space="preserve"> rules.</w:t>
      </w:r>
    </w:p>
    <w:p w14:paraId="6A280319" w14:textId="6241D27F" w:rsidR="00574B63" w:rsidRPr="00BB17A8" w:rsidRDefault="00574B63" w:rsidP="00574B63">
      <w:pPr>
        <w:pStyle w:val="MDPI31text"/>
      </w:pPr>
      <w:r w:rsidRPr="00BB17A8">
        <w:t>For the remainder of the paper</w:t>
      </w:r>
      <w:r w:rsidR="004E6D88" w:rsidRPr="00BB17A8">
        <w:t>,</w:t>
      </w:r>
      <w:r w:rsidRPr="00BB17A8">
        <w:t xml:space="preserve"> there is a distinction made between the entire QA (as shown in Appendix A.1), and the QA without the Pillar 5 (Model-based Validation) QC, which uses the EO data (for the risk of JKW). The latter is highlighted in Figure 2. Note, for both situations, the QCs in Pillar 6 (Linked Data Analysis) and Pillar 7 (Semantic </w:t>
      </w:r>
      <w:r w:rsidR="003248A3" w:rsidRPr="00BB17A8">
        <w:t>Harmonization</w:t>
      </w:r>
      <w:r w:rsidRPr="00BB17A8">
        <w:t>) were not used due to insufficient, relevant additional data but were left in Figure 2 as part of the established QA workflow for JKW. Running the QA workflow produced quality values for each recorded observation in the CS data. Summaries at dataset level can be made but in the remainder of this paper, CS data quality are considered at individual record level (each citizen’s observations). For example, the Data Quality element Classification Correctness (DQ_ClassificationCorrectness), for the CS data from this study, is a vector of 177 values, each ranging between 0 and 1.</w:t>
      </w:r>
    </w:p>
    <w:p w14:paraId="094E9AF1" w14:textId="77777777" w:rsidR="00574B63" w:rsidRPr="00BB17A8" w:rsidRDefault="00574B63" w:rsidP="0092659F">
      <w:pPr>
        <w:pStyle w:val="MDPI21heading1"/>
        <w:numPr>
          <w:ilvl w:val="0"/>
          <w:numId w:val="40"/>
        </w:numPr>
      </w:pPr>
      <w:r w:rsidRPr="00BB17A8">
        <w:t xml:space="preserve">Using </w:t>
      </w:r>
      <w:r w:rsidR="008D5DAC" w:rsidRPr="00BB17A8">
        <w:t>Citizen Sci</w:t>
      </w:r>
      <w:r w:rsidR="00611B18" w:rsidRPr="00BB17A8">
        <w:t>e</w:t>
      </w:r>
      <w:r w:rsidR="008D5DAC" w:rsidRPr="00BB17A8">
        <w:t>nce</w:t>
      </w:r>
      <w:r w:rsidRPr="00BB17A8">
        <w:t xml:space="preserve"> for Earth Observation validation</w:t>
      </w:r>
    </w:p>
    <w:p w14:paraId="758C687B" w14:textId="3F3D4448" w:rsidR="00DB3F61" w:rsidRPr="00BB17A8" w:rsidRDefault="00DB3F61" w:rsidP="00F7540D">
      <w:pPr>
        <w:pStyle w:val="MDPI31text"/>
      </w:pPr>
      <w:r w:rsidRPr="00BB17A8">
        <w:t xml:space="preserve">Within the approach for validating an EO data product from other data sources, CS data can play an important role for the validation itself. This can be within a partial opportunistic scheme or providing a training sample as a ground truth, e.g. for a supervised classification algorithm. Although all the data quality elements are potentially important for the future usage of the CS data, the main quality of interest here is the classification correctness (from ISO19157). Each of the 177 CS data </w:t>
      </w:r>
      <w:r w:rsidRPr="00BB17A8">
        <w:lastRenderedPageBreak/>
        <w:t>records were verified by an expert, who from photo examination, declared 16 as incorrectly identifying a JKW presence. Further information on the JKW co-design study can be found on the COBWEB website (</w:t>
      </w:r>
      <w:hyperlink r:id="rId12" w:history="1">
        <w:r w:rsidRPr="00BB17A8">
          <w:rPr>
            <w:rStyle w:val="Hyperlink"/>
          </w:rPr>
          <w:t>https://cobwebproject.eu</w:t>
        </w:r>
      </w:hyperlink>
      <w:r w:rsidRPr="00BB17A8">
        <w:t>).</w:t>
      </w:r>
    </w:p>
    <w:p w14:paraId="269136AA" w14:textId="77777777" w:rsidR="00EA6423" w:rsidRPr="00BB17A8" w:rsidRDefault="00DB3F61" w:rsidP="0092659F">
      <w:pPr>
        <w:pStyle w:val="MDPI22heading2"/>
        <w:numPr>
          <w:ilvl w:val="1"/>
          <w:numId w:val="40"/>
        </w:numPr>
        <w:rPr>
          <w:noProof w:val="0"/>
        </w:rPr>
      </w:pPr>
      <w:r w:rsidRPr="00BB17A8">
        <w:rPr>
          <w:noProof w:val="0"/>
        </w:rPr>
        <w:t xml:space="preserve">Without </w:t>
      </w:r>
      <w:r w:rsidR="00611B18" w:rsidRPr="00BB17A8">
        <w:rPr>
          <w:noProof w:val="0"/>
        </w:rPr>
        <w:t xml:space="preserve">Quality </w:t>
      </w:r>
      <w:r w:rsidRPr="00BB17A8">
        <w:rPr>
          <w:noProof w:val="0"/>
        </w:rPr>
        <w:t>A</w:t>
      </w:r>
      <w:r w:rsidR="00611B18" w:rsidRPr="00BB17A8">
        <w:rPr>
          <w:noProof w:val="0"/>
        </w:rPr>
        <w:t>ssurance</w:t>
      </w:r>
      <w:r w:rsidRPr="00BB17A8">
        <w:rPr>
          <w:noProof w:val="0"/>
        </w:rPr>
        <w:t xml:space="preserve"> of the </w:t>
      </w:r>
      <w:r w:rsidR="00611B18" w:rsidRPr="00BB17A8">
        <w:rPr>
          <w:noProof w:val="0"/>
        </w:rPr>
        <w:t xml:space="preserve">Citizen Science </w:t>
      </w:r>
      <w:r w:rsidRPr="00BB17A8">
        <w:rPr>
          <w:noProof w:val="0"/>
        </w:rPr>
        <w:t>data</w:t>
      </w:r>
    </w:p>
    <w:p w14:paraId="2BEAD487" w14:textId="77777777" w:rsidR="008521D4" w:rsidRPr="00BB17A8" w:rsidRDefault="008521D4" w:rsidP="008521D4">
      <w:pPr>
        <w:pStyle w:val="MDPI31text"/>
      </w:pPr>
      <w:r w:rsidRPr="00BB17A8">
        <w:t xml:space="preserve">Without a means of QA, there is total uncertainty concerning the quality of the CS data, so either the end user would have to blindly trust the data by artificially assigning a classification correctness of 1 (as degree of agreement) for each observation, or they would have to assign 0.5 as degree of agreement (neither correct nor incorrect). A value equal </w:t>
      </w:r>
      <w:r w:rsidR="004E6D88" w:rsidRPr="00BB17A8">
        <w:t xml:space="preserve">to </w:t>
      </w:r>
      <w:r w:rsidRPr="00BB17A8">
        <w:t xml:space="preserve">or below 0.5 is not usable for validation, so to use </w:t>
      </w:r>
      <w:r w:rsidR="004E6D88" w:rsidRPr="00BB17A8">
        <w:t xml:space="preserve">the </w:t>
      </w:r>
      <w:r w:rsidRPr="00BB17A8">
        <w:t xml:space="preserve">CS data without QA implies </w:t>
      </w:r>
      <w:r w:rsidR="00070DCD" w:rsidRPr="00BB17A8">
        <w:t xml:space="preserve">a </w:t>
      </w:r>
      <w:r w:rsidRPr="00BB17A8">
        <w:t xml:space="preserve">full </w:t>
      </w:r>
      <w:r w:rsidR="00070DCD" w:rsidRPr="00BB17A8">
        <w:t xml:space="preserve">degree of </w:t>
      </w:r>
      <w:r w:rsidRPr="00BB17A8">
        <w:t>trust.</w:t>
      </w:r>
    </w:p>
    <w:p w14:paraId="6AE7FE6E" w14:textId="77777777" w:rsidR="008521D4" w:rsidRPr="00BB17A8" w:rsidRDefault="008521D4" w:rsidP="008521D4">
      <w:pPr>
        <w:pStyle w:val="MDPI31text"/>
      </w:pPr>
      <w:r w:rsidRPr="00BB17A8">
        <w:rPr>
          <w:noProof/>
          <w:lang w:val="en-GB" w:eastAsia="en-GB" w:bidi="ar-SA"/>
        </w:rPr>
        <w:drawing>
          <wp:inline distT="0" distB="0" distL="0" distR="0" wp14:anchorId="2442952C" wp14:editId="5FF6FDA3">
            <wp:extent cx="4184015" cy="5506102"/>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pillar5highligh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5568" cy="5508146"/>
                    </a:xfrm>
                    <a:prstGeom prst="rect">
                      <a:avLst/>
                    </a:prstGeom>
                  </pic:spPr>
                </pic:pic>
              </a:graphicData>
            </a:graphic>
          </wp:inline>
        </w:drawing>
      </w:r>
    </w:p>
    <w:p w14:paraId="6118B56C" w14:textId="41F53643" w:rsidR="008521D4" w:rsidRPr="00BB17A8" w:rsidRDefault="002E7E6C" w:rsidP="008521D4">
      <w:pPr>
        <w:pStyle w:val="MDPI51figurecaption"/>
      </w:pPr>
      <w:r w:rsidRPr="002E7E6C">
        <w:rPr>
          <w:b/>
        </w:rPr>
        <w:t>Figure 2.</w:t>
      </w:r>
      <w:r w:rsidR="008521D4" w:rsidRPr="00BB17A8">
        <w:t xml:space="preserve"> Highlight of one QC within the entire QA workflow (greyed) designed for the </w:t>
      </w:r>
      <w:r w:rsidR="008521D4" w:rsidRPr="003248A3">
        <w:rPr>
          <w:i/>
        </w:rPr>
        <w:t>Fallopia</w:t>
      </w:r>
      <w:r w:rsidR="008521D4" w:rsidRPr="00BB17A8">
        <w:t xml:space="preserve"> </w:t>
      </w:r>
      <w:r w:rsidR="008521D4" w:rsidRPr="003248A3">
        <w:rPr>
          <w:i/>
        </w:rPr>
        <w:t>japonica</w:t>
      </w:r>
      <w:r w:rsidR="008521D4" w:rsidRPr="00BB17A8">
        <w:t xml:space="preserve"> (Japanese </w:t>
      </w:r>
      <w:r w:rsidR="00020203" w:rsidRPr="00BB17A8">
        <w:t>k</w:t>
      </w:r>
      <w:r w:rsidR="008521D4" w:rsidRPr="00BB17A8">
        <w:t>notweed) study. See Appendix A.1 for the whole annotated BPMN where each QC is labelled with its pillar number, pillar name and a short textual illustrating the semantic</w:t>
      </w:r>
      <w:r w:rsidR="00501F57" w:rsidRPr="00BB17A8">
        <w:t>s</w:t>
      </w:r>
      <w:r w:rsidR="008521D4" w:rsidRPr="00BB17A8">
        <w:t xml:space="preserve"> of the process, e.g. Pillar 3 Automatic Validation / photo quality. The annotations in brown list the quality metadata output at each step.</w:t>
      </w:r>
    </w:p>
    <w:p w14:paraId="0BF4ECFE" w14:textId="6114D6C0" w:rsidR="008D3D34" w:rsidRPr="00BB17A8" w:rsidRDefault="008D3D34" w:rsidP="008D3D34">
      <w:pPr>
        <w:pStyle w:val="MDPI31text"/>
      </w:pPr>
      <w:r w:rsidRPr="00BB17A8">
        <w:t xml:space="preserve">As each CS </w:t>
      </w:r>
      <w:r w:rsidR="00DF732F" w:rsidRPr="00BB17A8">
        <w:t xml:space="preserve">observation </w:t>
      </w:r>
      <w:r w:rsidRPr="00BB17A8">
        <w:t>should be associated in the EO data as a hig</w:t>
      </w:r>
      <w:r w:rsidR="003248A3">
        <w:t>h-</w:t>
      </w:r>
      <w:r w:rsidRPr="00BB17A8">
        <w:t xml:space="preserve">risk point of observing JKW, the ‘score’ obtained in the Pillar 5 QC (Proximity Suitability Score (ProximitySuitabilityScore)) alone is a validation measure for the EO, of high risk zones. </w:t>
      </w:r>
      <w:r w:rsidR="00F85075">
        <w:t>When</w:t>
      </w:r>
      <w:r w:rsidRPr="00BB17A8">
        <w:t xml:space="preserve"> this score is high, the single CS observation </w:t>
      </w:r>
      <w:r w:rsidR="00F85075">
        <w:t>is</w:t>
      </w:r>
      <w:r w:rsidRPr="00BB17A8">
        <w:t xml:space="preserve"> not too far from a polygon of the EO data attributed as high risk of JKW presence. </w:t>
      </w:r>
      <w:r w:rsidRPr="00BB17A8">
        <w:lastRenderedPageBreak/>
        <w:t>Therefore, this CS observation implicitly declares the EO data as accurate in this zone. However, if this CS observation has been verified as incorrectly declaring the presence of JKW</w:t>
      </w:r>
      <w:r w:rsidR="00F00277">
        <w:t xml:space="preserve"> </w:t>
      </w:r>
      <w:r w:rsidRPr="00BB17A8">
        <w:t>the EO</w:t>
      </w:r>
      <w:r w:rsidR="003248A3">
        <w:t xml:space="preserve"> polygon contributing to a high-</w:t>
      </w:r>
      <w:r w:rsidRPr="00BB17A8">
        <w:t>risk score can also be considered as</w:t>
      </w:r>
      <w:r w:rsidR="004D6AA3">
        <w:t xml:space="preserve"> incorrect: </w:t>
      </w:r>
      <w:r w:rsidRPr="00BB17A8">
        <w:t>a commission error</w:t>
      </w:r>
      <w:r w:rsidR="008B6F38">
        <w:t xml:space="preserve"> (i.e., </w:t>
      </w:r>
      <w:r w:rsidR="008B6F38" w:rsidRPr="008B6F38">
        <w:t>excess data present in a dataset, measured here as number of excess items in the dataset or sample in relation to the number of items that should have been pr</w:t>
      </w:r>
      <w:r w:rsidR="008B6F38">
        <w:t>esent (ISO19157); t</w:t>
      </w:r>
      <w:r w:rsidR="008B6F38" w:rsidRPr="008B6F38">
        <w:t xml:space="preserve">his </w:t>
      </w:r>
      <w:r w:rsidR="008B6F38">
        <w:t>is also the false positive rate)</w:t>
      </w:r>
      <w:r w:rsidRPr="00BB17A8">
        <w:t xml:space="preserve">. </w:t>
      </w:r>
      <w:r w:rsidR="004D6AA3">
        <w:t>W</w:t>
      </w:r>
      <w:r w:rsidRPr="00BB17A8">
        <w:t xml:space="preserve">hen the score obtained for </w:t>
      </w:r>
      <w:r w:rsidR="00565963">
        <w:t>a verified</w:t>
      </w:r>
      <w:r w:rsidR="00F00277">
        <w:t xml:space="preserve"> as correct</w:t>
      </w:r>
      <w:r w:rsidR="00565963">
        <w:t xml:space="preserve"> </w:t>
      </w:r>
      <w:r w:rsidR="004D6AA3">
        <w:t>single</w:t>
      </w:r>
      <w:r w:rsidRPr="00BB17A8">
        <w:t xml:space="preserve"> CS data is low, this infers that the EO data has an omission</w:t>
      </w:r>
      <w:r w:rsidR="004F5F93">
        <w:t xml:space="preserve"> of high-risk polygons </w:t>
      </w:r>
      <w:r w:rsidR="004F5F93" w:rsidRPr="00BB17A8">
        <w:t>in this zone</w:t>
      </w:r>
      <w:r w:rsidR="008B6F38">
        <w:t xml:space="preserve"> (i.e., </w:t>
      </w:r>
      <w:r w:rsidR="008B6F38" w:rsidRPr="008B6F38">
        <w:t>data absent from the dataset, measured here by the number of missing items in the dataset or sample in relation to the number of items that shoul</w:t>
      </w:r>
      <w:r w:rsidR="008B6F38">
        <w:t>d have been present (ISO19157); this is also the f</w:t>
      </w:r>
      <w:r w:rsidR="008B6F38" w:rsidRPr="008B6F38">
        <w:t>alse negative rate</w:t>
      </w:r>
      <w:r w:rsidR="008B6F38">
        <w:t>)</w:t>
      </w:r>
      <w:r w:rsidRPr="00BB17A8">
        <w:t xml:space="preserve">. </w:t>
      </w:r>
      <w:r w:rsidR="00CD2D9A">
        <w:t>Applying these rules f</w:t>
      </w:r>
      <w:r w:rsidRPr="00BB17A8">
        <w:t>or the whole CS data sample, the findings are:</w:t>
      </w:r>
    </w:p>
    <w:p w14:paraId="4E34904F" w14:textId="77777777" w:rsidR="008D3D34" w:rsidRPr="00BB17A8" w:rsidRDefault="008D3D34" w:rsidP="008D3D34">
      <w:pPr>
        <w:pStyle w:val="MDPI31text"/>
      </w:pPr>
      <w:r w:rsidRPr="00BB17A8">
        <w:t>•</w:t>
      </w:r>
      <w:r w:rsidRPr="00BB17A8">
        <w:tab/>
        <w:t>CS data with no score (25/177) and score &lt;0.2 (20/177) represent an omission for high-risk zones of 45/177 (25%) and correcting for ground truth gives 39/161 (24%).</w:t>
      </w:r>
    </w:p>
    <w:p w14:paraId="5190FDD7" w14:textId="77777777" w:rsidR="008D3D34" w:rsidRPr="00BB17A8" w:rsidRDefault="008D3D34" w:rsidP="008D3D34">
      <w:pPr>
        <w:pStyle w:val="MDPI31text"/>
      </w:pPr>
      <w:r w:rsidRPr="00BB17A8">
        <w:t>•</w:t>
      </w:r>
      <w:r w:rsidRPr="00BB17A8">
        <w:tab/>
        <w:t>CS data with score &gt;0.5 represent accurate areas, 120/177 (68%), but 10/120 (8%) points wrongly identified JKW so a corrected accuracy of 110/177 (62%) with a commission of 8%.</w:t>
      </w:r>
    </w:p>
    <w:p w14:paraId="4BAF4197" w14:textId="147B37CA" w:rsidR="0039280C" w:rsidRDefault="0039280C" w:rsidP="008D3D34">
      <w:pPr>
        <w:pStyle w:val="MDPI31text"/>
      </w:pPr>
      <w:r>
        <w:t>T</w:t>
      </w:r>
      <w:r w:rsidR="008D3D34" w:rsidRPr="00BB17A8">
        <w:t>he accuracy measures above</w:t>
      </w:r>
      <w:r>
        <w:t xml:space="preserve"> (</w:t>
      </w:r>
      <w:r w:rsidR="008D3D34" w:rsidRPr="00BB17A8">
        <w:t xml:space="preserve">68% </w:t>
      </w:r>
      <w:r>
        <w:t>and</w:t>
      </w:r>
      <w:r w:rsidR="008D3D34" w:rsidRPr="00BB17A8">
        <w:t xml:space="preserve"> 62%</w:t>
      </w:r>
      <w:r>
        <w:t>)</w:t>
      </w:r>
      <w:r w:rsidR="008D3D34" w:rsidRPr="00BB17A8">
        <w:t xml:space="preserve"> represent the validation of high or medium risk zones only but these accuracy measures are relative to this very opportunistic sample that the CS data represents. </w:t>
      </w:r>
      <w:r w:rsidRPr="00BB17A8">
        <w:t>Note, the maximum accuracy one can obtain using this sample of 177 is 91%, due to 16/177 being incorrectly identified JKW observations.</w:t>
      </w:r>
    </w:p>
    <w:p w14:paraId="42670476" w14:textId="1D742509" w:rsidR="008D3D34" w:rsidRPr="00BB17A8" w:rsidRDefault="008D3D34" w:rsidP="008D3D34">
      <w:pPr>
        <w:pStyle w:val="MDPI31text"/>
      </w:pPr>
      <w:r w:rsidRPr="00BB17A8">
        <w:t>The commission accuracy for the ‘low’ or ‘no’ risk zones identified by the EO data can be calculated with the same algorithm by inver</w:t>
      </w:r>
      <w:r w:rsidR="007029AA" w:rsidRPr="00BB17A8">
        <w:t>t</w:t>
      </w:r>
      <w:r w:rsidRPr="00BB17A8">
        <w:t xml:space="preserve">ing the risk values, giving 3/177 (2%) or 3/161 (2%) corrected. Obviously, here the sample size of 177 control data </w:t>
      </w:r>
      <w:r w:rsidR="007029AA" w:rsidRPr="00BB17A8">
        <w:t xml:space="preserve">points </w:t>
      </w:r>
      <w:r w:rsidRPr="00BB17A8">
        <w:t>can be considered too small in comparison to the number of segmented zones within the EO data. (Note the 16 incorrect observations</w:t>
      </w:r>
      <w:r w:rsidR="007029AA" w:rsidRPr="00BB17A8">
        <w:t xml:space="preserve"> would also contribute to defining</w:t>
      </w:r>
      <w:r w:rsidRPr="00BB17A8">
        <w:t xml:space="preserve"> the accuracy of the ‘no risk’ zones but with a very small sample). However, the nature of CS data is such that optimal sample numbers and spatial distribution </w:t>
      </w:r>
      <w:r w:rsidR="002F526A" w:rsidRPr="00BB17A8">
        <w:t xml:space="preserve">are </w:t>
      </w:r>
      <w:r w:rsidRPr="00BB17A8">
        <w:t>rarely obtained, e.g. areas inaccessible by the citizens.</w:t>
      </w:r>
    </w:p>
    <w:p w14:paraId="2970C6FF" w14:textId="77777777" w:rsidR="009223BB" w:rsidRPr="00BB17A8" w:rsidRDefault="009223BB" w:rsidP="009223BB">
      <w:pPr>
        <w:pStyle w:val="MDPI31text"/>
      </w:pPr>
      <w:r w:rsidRPr="00BB17A8">
        <w:t>If this CS sample cannot be used to assess the validation of the EO data, one can nonetheless expect that if the EO data were accurate, with 10% omission for the high-risk zones, this omission value should be observed for any sample coming to challenge this validation. The CS sample (taken as fully accurate) gave an omission of 25% (24% corrected).</w:t>
      </w:r>
    </w:p>
    <w:p w14:paraId="16696422" w14:textId="77777777" w:rsidR="00896DCC" w:rsidRPr="00BB17A8" w:rsidRDefault="00896DCC" w:rsidP="001A1C56">
      <w:pPr>
        <w:pStyle w:val="MDPI21heading1"/>
        <w:numPr>
          <w:ilvl w:val="1"/>
          <w:numId w:val="43"/>
        </w:numPr>
      </w:pPr>
      <w:r w:rsidRPr="00BB17A8">
        <w:t xml:space="preserve">With Quality Assurance of the </w:t>
      </w:r>
      <w:r w:rsidR="00F75075" w:rsidRPr="00BB17A8">
        <w:t>Citizen Science</w:t>
      </w:r>
      <w:r w:rsidRPr="00BB17A8">
        <w:t xml:space="preserve"> data</w:t>
      </w:r>
    </w:p>
    <w:p w14:paraId="64333029" w14:textId="115859AF" w:rsidR="00D64E39" w:rsidRPr="00BB17A8" w:rsidRDefault="00D64E39" w:rsidP="00D64E39">
      <w:pPr>
        <w:pStyle w:val="MDPI31text"/>
      </w:pPr>
      <w:r w:rsidRPr="00BB17A8">
        <w:t xml:space="preserve">As expressed above, CS data identifying invasive species without quality is taken either as truth in full trust (classification correctness implicitly set to 1) or full uncertainty (classification correctness set to 0.5). Therefore, when starting any QA, the quality elements measured from a level of agreement, start with a value of 0.5. Due to the small number of incorrect JKW in the verification (16/177), a QA matching the verification performance should not change the above accuracy statistics for the EO data. However, it is established that expert validation itself is not always fully accurate. As the QA is based upon external assessments, and a set of rules, it will also be discriminating the correct observations, and changes will occur in these statistics when based upon selecting only high quality CS data. Note that here the QA may discard (give a </w:t>
      </w:r>
      <w:r w:rsidR="00F7540D" w:rsidRPr="00BB17A8">
        <w:t>low-quality</w:t>
      </w:r>
      <w:r w:rsidRPr="00BB17A8">
        <w:t xml:space="preserve"> value) for an accurate JKW observation, e.g. the observation is located too close to forest, therefore being ‘unreliable’ as defined in the QA rules. </w:t>
      </w:r>
    </w:p>
    <w:p w14:paraId="1ACB7D7F" w14:textId="77777777" w:rsidR="00D64E39" w:rsidRPr="00BB17A8" w:rsidRDefault="00D64E39" w:rsidP="00D64E39">
      <w:pPr>
        <w:pStyle w:val="MDPI31text"/>
      </w:pPr>
      <w:r w:rsidRPr="00BB17A8">
        <w:t xml:space="preserve">The QA from Figure 2, was then executed without the inclusion of the Pillar 5 QC </w:t>
      </w:r>
      <w:r w:rsidR="000E260F" w:rsidRPr="00BB17A8">
        <w:t>test, which</w:t>
      </w:r>
      <w:r w:rsidRPr="00BB17A8">
        <w:t xml:space="preserve"> used the EO data product. Selecting only CS data with usability or classification correctness above the chosen threshold of 0.7, the findings in 4.1 become:</w:t>
      </w:r>
    </w:p>
    <w:p w14:paraId="0B9A3A7F" w14:textId="77777777" w:rsidR="00D64E39" w:rsidRPr="00BB17A8" w:rsidRDefault="00D64E39" w:rsidP="00062F7F">
      <w:pPr>
        <w:pStyle w:val="MDPI38bullet"/>
      </w:pPr>
      <w:r w:rsidRPr="00BB17A8">
        <w:t>CS data with no score (10/66) or score &lt;0.2 (9/66) represent omission areas of 19/66 (29%).</w:t>
      </w:r>
    </w:p>
    <w:p w14:paraId="36C2C6F2" w14:textId="77777777" w:rsidR="00D64E39" w:rsidRPr="00BB17A8" w:rsidRDefault="00D64E39" w:rsidP="00062F7F">
      <w:pPr>
        <w:pStyle w:val="MDPI38bullet"/>
      </w:pPr>
      <w:r w:rsidRPr="00BB17A8">
        <w:t>CS data with score &gt;0.5 represent accurate areas, 41/66 (62%).</w:t>
      </w:r>
    </w:p>
    <w:p w14:paraId="6956FD37" w14:textId="77777777" w:rsidR="00D64E39" w:rsidRPr="00BB17A8" w:rsidRDefault="00D64E39" w:rsidP="00D64E39">
      <w:pPr>
        <w:pStyle w:val="MDPI31text"/>
      </w:pPr>
      <w:r w:rsidRPr="00BB17A8">
        <w:t>Comparing these results with those based upon ground truth, reveals a similar global accuracy (for the high and medium risk zones), 62%, but a more pessimistic omission rate 29% vs 24%. The sample size after selection, of at least 0.7 in usability or classification correctness, can be put into question. Nonetheless, it shows that qualified CS data could be a substitute to verified CS data.</w:t>
      </w:r>
    </w:p>
    <w:p w14:paraId="477D059F" w14:textId="77777777" w:rsidR="001821D2" w:rsidRPr="00BB17A8" w:rsidRDefault="001A1C56" w:rsidP="001821D2">
      <w:pPr>
        <w:pStyle w:val="MDPI21heading1"/>
      </w:pPr>
      <w:r w:rsidRPr="00BB17A8">
        <w:lastRenderedPageBreak/>
        <w:t xml:space="preserve">4.3 </w:t>
      </w:r>
      <w:r w:rsidR="001821D2" w:rsidRPr="00BB17A8">
        <w:t>With L</w:t>
      </w:r>
      <w:r w:rsidR="00271F67" w:rsidRPr="00BB17A8">
        <w:t xml:space="preserve">ine </w:t>
      </w:r>
      <w:r w:rsidR="001821D2" w:rsidRPr="00BB17A8">
        <w:t>o</w:t>
      </w:r>
      <w:r w:rsidR="00271F67" w:rsidRPr="00BB17A8">
        <w:t xml:space="preserve">f </w:t>
      </w:r>
      <w:r w:rsidR="001821D2" w:rsidRPr="00BB17A8">
        <w:t>S</w:t>
      </w:r>
      <w:r w:rsidR="00271F67" w:rsidRPr="00BB17A8">
        <w:t>ight</w:t>
      </w:r>
      <w:r w:rsidR="001821D2" w:rsidRPr="00BB17A8">
        <w:t xml:space="preserve"> correction in the QA for the C</w:t>
      </w:r>
      <w:r w:rsidR="00271F67" w:rsidRPr="00BB17A8">
        <w:t xml:space="preserve">itizen </w:t>
      </w:r>
      <w:r w:rsidR="001821D2" w:rsidRPr="00BB17A8">
        <w:t>S</w:t>
      </w:r>
      <w:r w:rsidR="00271F67" w:rsidRPr="00BB17A8">
        <w:t>cience</w:t>
      </w:r>
      <w:r w:rsidR="001821D2" w:rsidRPr="00BB17A8">
        <w:t xml:space="preserve"> data</w:t>
      </w:r>
    </w:p>
    <w:p w14:paraId="224D7709" w14:textId="1724FE4A" w:rsidR="00EB2CE2" w:rsidRPr="00BB17A8" w:rsidRDefault="00EB2CE2" w:rsidP="00EB2CE2">
      <w:pPr>
        <w:pStyle w:val="MDPI31text"/>
      </w:pPr>
      <w:r w:rsidRPr="00BB17A8">
        <w:t xml:space="preserve">One important consideration when deriving the data quality is that the geoprocessing algorithms are based upon the location of the citizen (of their smartphone), and not the actual position of the observation, which is the aimed point on the ground when taking the photo (line of sight (LoS)). In the QA described in Figure 2, the first QC, Pillar 1 Relative Position Line Of Sight QC (RelativePositionLineOfSight), uses the LoS but aims to investigate the quality of the topological consistency. The process uses </w:t>
      </w:r>
      <w:r w:rsidR="00BC0257" w:rsidRPr="00BB17A8">
        <w:t>a Digital Elevation Model (DEM)</w:t>
      </w:r>
      <w:r w:rsidRPr="00BB17A8">
        <w:t xml:space="preserve">, and the device’s bearing, tilt and position information to compute the LoS [39]. </w:t>
      </w:r>
      <w:r w:rsidR="0090799C" w:rsidRPr="0090799C">
        <w:t>For this case study, the Natural Resources Wales LiDAR 2 m resolution Digital Surface Model was used for the DEM input.</w:t>
      </w:r>
      <w:r w:rsidR="0090799C">
        <w:t xml:space="preserve"> </w:t>
      </w:r>
      <w:r w:rsidRPr="00BB17A8">
        <w:t xml:space="preserve">The QC assesses whether the distance of the citizen to the declared observation is too far or not (see the pseudo code given in Figure 3), and has the option of correcting the position of the observation by replacing it with the line of sight base point, under certain conditions. With this option chosen, the quality values may differ considerably (see Section 5) during the rest of the QA. </w:t>
      </w:r>
    </w:p>
    <w:p w14:paraId="10DC58AF" w14:textId="77777777" w:rsidR="00EB2CE2" w:rsidRPr="00BB17A8" w:rsidRDefault="00EB2CE2" w:rsidP="00EB2CE2">
      <w:pPr>
        <w:pStyle w:val="MDPI31text"/>
      </w:pPr>
      <w:r w:rsidRPr="00BB17A8">
        <w:t>The pseudo</w:t>
      </w:r>
      <w:r w:rsidR="003F3680" w:rsidRPr="00BB17A8">
        <w:t>-</w:t>
      </w:r>
      <w:r w:rsidRPr="00BB17A8">
        <w:t xml:space="preserve">code in Figure 3, as does the other QCs given in Appendix A.2, gives some insight into how The 7 Pillars of QC have been designed and coded. According to the pillar concept, </w:t>
      </w:r>
      <w:r w:rsidR="003E4E9F" w:rsidRPr="00BB17A8">
        <w:t xml:space="preserve">QC test undertakes some computation based on its input data </w:t>
      </w:r>
      <w:r w:rsidRPr="00BB17A8">
        <w:t>(for Figure 3 this is the LoS point and its distance to the volunteer), which is then passed onto bespoke rules esti</w:t>
      </w:r>
      <w:r w:rsidR="000968C2" w:rsidRPr="00BB17A8">
        <w:t>mating relevant quality element</w:t>
      </w:r>
      <w:r w:rsidRPr="00BB17A8">
        <w:t xml:space="preserve"> values. </w:t>
      </w:r>
    </w:p>
    <w:p w14:paraId="7042DED4" w14:textId="77777777" w:rsidR="00EB2CE2" w:rsidRPr="00BB17A8" w:rsidRDefault="00EB2CE2" w:rsidP="00EB2CE2">
      <w:pPr>
        <w:pStyle w:val="MDPI31text"/>
      </w:pPr>
      <w:r w:rsidRPr="00BB17A8">
        <w:t xml:space="preserve">Using a threshold distance of 5 m to define the topological consistency (e.g. a swap from 8.3 m using </w:t>
      </w:r>
      <w:r w:rsidRPr="00BB17A8">
        <w:rPr>
          <w:i/>
        </w:rPr>
        <w:t>p</w:t>
      </w:r>
      <w:r w:rsidRPr="00BB17A8">
        <w:t>-below set to 0.6, if the accuracy is similar to the initial average position accuracy of 13 m), the findings above, still selecting only CS data with usability above 0.7, become:</w:t>
      </w:r>
    </w:p>
    <w:p w14:paraId="506B6021" w14:textId="77777777" w:rsidR="00EB2CE2" w:rsidRPr="00BB17A8" w:rsidRDefault="00EB2CE2" w:rsidP="00EB2CE2">
      <w:pPr>
        <w:pStyle w:val="MDPI31text"/>
      </w:pPr>
      <w:r w:rsidRPr="00BB17A8">
        <w:t>•</w:t>
      </w:r>
      <w:r w:rsidRPr="00BB17A8">
        <w:tab/>
        <w:t xml:space="preserve">CS data with no score represents omission areas, 0/72 (0%). </w:t>
      </w:r>
    </w:p>
    <w:p w14:paraId="4253A83B" w14:textId="77777777" w:rsidR="00EB2CE2" w:rsidRPr="00BB17A8" w:rsidRDefault="00EB2CE2" w:rsidP="00EB2CE2">
      <w:pPr>
        <w:pStyle w:val="MDPI31text"/>
      </w:pPr>
      <w:r w:rsidRPr="00BB17A8">
        <w:t>•</w:t>
      </w:r>
      <w:r w:rsidRPr="00BB17A8">
        <w:tab/>
        <w:t>CS data with score &gt;0.5 represent accurate areas, 72/72 (100%), correcting for ground truth gives 67/72 (93%).</w:t>
      </w:r>
    </w:p>
    <w:p w14:paraId="595A1F93" w14:textId="22F6ADFB" w:rsidR="00EB2CE2" w:rsidRPr="00BB17A8" w:rsidRDefault="00EB2CE2" w:rsidP="00000BC1">
      <w:pPr>
        <w:pStyle w:val="MDPI31text"/>
      </w:pPr>
      <w:r w:rsidRPr="00BB17A8">
        <w:t>•</w:t>
      </w:r>
      <w:r w:rsidRPr="00BB17A8">
        <w:tab/>
        <w:t>CS data with score &lt;0.2 (which was the low risk value in the EO data) represents an omission rate of 0/72 (0%).</w:t>
      </w:r>
    </w:p>
    <w:p w14:paraId="717A2D01" w14:textId="77777777" w:rsidR="009223BB" w:rsidRPr="00BB17A8" w:rsidRDefault="00EB2CE2" w:rsidP="009223BB">
      <w:pPr>
        <w:pStyle w:val="MDPI31text"/>
      </w:pPr>
      <w:r w:rsidRPr="00BB17A8">
        <w:rPr>
          <w:b/>
          <w:noProof/>
          <w:lang w:val="en-GB" w:eastAsia="en-GB" w:bidi="ar-SA"/>
        </w:rPr>
        <w:drawing>
          <wp:inline distT="0" distB="0" distL="0" distR="0" wp14:anchorId="19963C06" wp14:editId="33897B16">
            <wp:extent cx="5394960" cy="1696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_LoSpseudoCo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4960" cy="1696720"/>
                    </a:xfrm>
                    <a:prstGeom prst="rect">
                      <a:avLst/>
                    </a:prstGeom>
                  </pic:spPr>
                </pic:pic>
              </a:graphicData>
            </a:graphic>
          </wp:inline>
        </w:drawing>
      </w:r>
    </w:p>
    <w:p w14:paraId="771D8110" w14:textId="03F6114E" w:rsidR="00EB2CE2" w:rsidRPr="00BB17A8" w:rsidRDefault="00AD3504" w:rsidP="006F4DA5">
      <w:pPr>
        <w:pStyle w:val="MDPI51figurecaption"/>
      </w:pPr>
      <w:r w:rsidRPr="00AD3504">
        <w:rPr>
          <w:b/>
        </w:rPr>
        <w:t>Figure 3</w:t>
      </w:r>
      <w:r>
        <w:t xml:space="preserve">. </w:t>
      </w:r>
      <w:r w:rsidR="00EB2CE2" w:rsidRPr="00BB17A8">
        <w:t>Pseudo-code (using an R script style) of the QC using LoS: Pillar 1 Relative Position Line Of Sight QC (RelativePositionLineOfSight).</w:t>
      </w:r>
    </w:p>
    <w:p w14:paraId="41ED2CD6" w14:textId="77777777" w:rsidR="00691ABE" w:rsidRPr="00BB17A8" w:rsidRDefault="00691ABE" w:rsidP="00691ABE">
      <w:pPr>
        <w:pStyle w:val="MDPI31text"/>
      </w:pPr>
      <w:r w:rsidRPr="00BB17A8">
        <w:t>The LoS correction affected 38 out of 177 CS data records, i.e. where the LoS gave a result. No estimation is returned when either the line of sight does not reach the DEM within a 1000 m distance, or the tilt angle is inadequate, or when the DEM has an issue (no data value encountered, due to holes etc.) [43]. Out of the 38 points, 26 obtained a topological consistency below 0.6,</w:t>
      </w:r>
      <w:r w:rsidR="005E05C4" w:rsidRPr="00BB17A8">
        <w:t xml:space="preserve"> i.e. </w:t>
      </w:r>
      <w:r w:rsidRPr="00BB17A8">
        <w:t xml:space="preserve">the citizen </w:t>
      </w:r>
      <w:r w:rsidR="005E05C4" w:rsidRPr="00BB17A8">
        <w:t xml:space="preserve">was identified as </w:t>
      </w:r>
      <w:r w:rsidRPr="00BB17A8">
        <w:t xml:space="preserve">being too far from the observation. Forcing </w:t>
      </w:r>
      <w:r w:rsidR="00A03548" w:rsidRPr="00BB17A8">
        <w:t xml:space="preserve">a </w:t>
      </w:r>
      <w:r w:rsidRPr="00BB17A8">
        <w:t xml:space="preserve">replacement, for example by setting </w:t>
      </w:r>
      <w:r w:rsidRPr="00BB17A8">
        <w:rPr>
          <w:i/>
        </w:rPr>
        <w:t>p</w:t>
      </w:r>
      <w:r w:rsidRPr="00BB17A8">
        <w:t xml:space="preserve">-below to 0.99, could introduce some error propagation effects, as the uncertainties of the tilt and bearing can be potentially important (see Table 3 in the Discussion section). </w:t>
      </w:r>
      <w:r w:rsidR="008C2B07" w:rsidRPr="00BB17A8">
        <w:t xml:space="preserve">Overall, </w:t>
      </w:r>
      <w:r w:rsidRPr="00BB17A8">
        <w:t>comparing results in 4.2 and 4.3, the LoS base point correction improved the EO accuracies.</w:t>
      </w:r>
    </w:p>
    <w:p w14:paraId="42DDE87B" w14:textId="77777777" w:rsidR="00691ABE" w:rsidRPr="00BB17A8" w:rsidRDefault="001A1C56" w:rsidP="00691ABE">
      <w:pPr>
        <w:pStyle w:val="MDPI21heading1"/>
      </w:pPr>
      <w:r w:rsidRPr="00BB17A8">
        <w:t xml:space="preserve">5. </w:t>
      </w:r>
      <w:r w:rsidR="00691ABE" w:rsidRPr="00BB17A8">
        <w:t>Using E</w:t>
      </w:r>
      <w:r w:rsidR="004031F6" w:rsidRPr="00BB17A8">
        <w:t xml:space="preserve">arth </w:t>
      </w:r>
      <w:r w:rsidR="00691ABE" w:rsidRPr="00BB17A8">
        <w:t>O</w:t>
      </w:r>
      <w:r w:rsidR="004031F6" w:rsidRPr="00BB17A8">
        <w:t>bservation</w:t>
      </w:r>
      <w:r w:rsidR="00691ABE" w:rsidRPr="00BB17A8">
        <w:t xml:space="preserve"> to improve </w:t>
      </w:r>
      <w:r w:rsidR="00031D77" w:rsidRPr="00BB17A8">
        <w:t>Citizen</w:t>
      </w:r>
      <w:r w:rsidR="00691ABE" w:rsidRPr="00BB17A8">
        <w:t xml:space="preserve"> </w:t>
      </w:r>
      <w:r w:rsidR="00031D77" w:rsidRPr="00BB17A8">
        <w:t xml:space="preserve">Science </w:t>
      </w:r>
      <w:r w:rsidR="00691ABE" w:rsidRPr="00BB17A8">
        <w:t>data quality</w:t>
      </w:r>
    </w:p>
    <w:p w14:paraId="562C8F3F" w14:textId="77777777" w:rsidR="00691ABE" w:rsidRPr="00BB17A8" w:rsidRDefault="00691ABE" w:rsidP="00691ABE">
      <w:pPr>
        <w:pStyle w:val="MDPI31text"/>
      </w:pPr>
      <w:r w:rsidRPr="00BB17A8">
        <w:t xml:space="preserve">In Section 4.2, the QA from Figure 2 was used without the inclusion of the Pillar 1 Proximity Suitability Score QC (ProximitySuitabilityScore) as highlighted in Figure 2, which uses the EO data </w:t>
      </w:r>
      <w:r w:rsidRPr="00BB17A8">
        <w:lastRenderedPageBreak/>
        <w:t xml:space="preserve">product. Comparing the quality element obtained with and without running this particular QC gives some indications of the usefulness of such </w:t>
      </w:r>
      <w:r w:rsidR="00AB604B" w:rsidRPr="00BB17A8">
        <w:t xml:space="preserve">an </w:t>
      </w:r>
      <w:r w:rsidRPr="00BB17A8">
        <w:t xml:space="preserve">EO data product, and whether or not this can be used directly in environmental policy making, even if the EO product itself is not considered as ‘perfect’. The plots in Figure 4 are density plots of the quality element values derived after running the QA (entirely or without that QC), and were obtained from the R function </w:t>
      </w:r>
      <w:r w:rsidRPr="00F7540D">
        <w:rPr>
          <w:i/>
        </w:rPr>
        <w:t>density():</w:t>
      </w:r>
      <w:r w:rsidRPr="00BB17A8">
        <w:t xml:space="preserve"> the y-axis is the density value as defined by this function. Raw observations have also been overlaid for each group, displaying the observed distributions of values (no y-axis for these).</w:t>
      </w:r>
    </w:p>
    <w:p w14:paraId="0680588E" w14:textId="77777777" w:rsidR="00691ABE" w:rsidRPr="00BB17A8" w:rsidRDefault="001A1C56" w:rsidP="00D10052">
      <w:pPr>
        <w:pStyle w:val="MDPI22heading2"/>
        <w:rPr>
          <w:noProof w:val="0"/>
        </w:rPr>
      </w:pPr>
      <w:r w:rsidRPr="00BB17A8">
        <w:rPr>
          <w:noProof w:val="0"/>
        </w:rPr>
        <w:t xml:space="preserve">5.1 </w:t>
      </w:r>
      <w:r w:rsidR="00691ABE" w:rsidRPr="00BB17A8">
        <w:rPr>
          <w:noProof w:val="0"/>
        </w:rPr>
        <w:t>CS data validation</w:t>
      </w:r>
    </w:p>
    <w:p w14:paraId="0520630B" w14:textId="77777777" w:rsidR="00FD0020" w:rsidRDefault="00691ABE" w:rsidP="00FD0020">
      <w:pPr>
        <w:pStyle w:val="MDPI31text"/>
      </w:pPr>
      <w:r w:rsidRPr="00BB17A8">
        <w:t xml:space="preserve">The first row of plots in Figure 4 corresponds to the values used in 4.2, </w:t>
      </w:r>
      <w:r w:rsidR="00C457C9" w:rsidRPr="00BB17A8">
        <w:t>i.e.</w:t>
      </w:r>
      <w:r w:rsidRPr="00BB17A8">
        <w:t xml:space="preserve"> without the QC in Pillar 5 involving the EO data. Being able to test the performance of the QA with verified CS data, also completes the EO to CS data validation.</w:t>
      </w:r>
      <w:r w:rsidR="00FD0020">
        <w:t xml:space="preserve"> </w:t>
      </w:r>
    </w:p>
    <w:p w14:paraId="663472AE" w14:textId="46844AB4" w:rsidR="00FD0020" w:rsidRPr="00BB17A8" w:rsidRDefault="00FD0020" w:rsidP="00FD0020">
      <w:pPr>
        <w:pStyle w:val="MDPI31text"/>
        <w:rPr>
          <w:lang w:eastAsia="zh-CN"/>
        </w:rPr>
      </w:pPr>
      <w:r w:rsidRPr="00BB17A8">
        <w:rPr>
          <w:lang w:eastAsia="zh-CN"/>
        </w:rPr>
        <w:t>Figure 4 shows that, without the Pillar 5 QC involving the EO data product, the data resulted in too many correct JKW observations with low quality values. The densities are also very similar between the two groups, even though the densities of very low quality values are higher for incorrectly identified JKW observations. However, one must be cautious, as the sample size difference between the two groups introduces a bias when looking at the densities. Running the entire QA corrected these two aspects to some degree, as the densities of correctly identified JKW observations have a mode towards high qualities (plots labelled ‘Entire QA’).</w:t>
      </w:r>
    </w:p>
    <w:p w14:paraId="7F58F97F" w14:textId="4AF4CEF8" w:rsidR="00000BC1" w:rsidRPr="00BB17A8" w:rsidRDefault="00FD0020" w:rsidP="00760341">
      <w:pPr>
        <w:pStyle w:val="MDPI31text"/>
        <w:rPr>
          <w:lang w:eastAsia="zh-CN"/>
        </w:rPr>
      </w:pPr>
      <w:r w:rsidRPr="00BB17A8">
        <w:rPr>
          <w:lang w:eastAsia="zh-CN"/>
        </w:rPr>
        <w:t>The distributions also appear more in agreement with correct and incorrect JKW observations, as uncertainties (0.5) remain higher for incorrect JKW observations, and the density of high qualities is higher for correct JKW observations. Nonetheless, low quality values are still given to a considerable number of correct JKW observations. This could be an indication for adding more tests into the QA workflow, or adjusting some parameters used in these QCs. Beside a calibration issue, there may also be a sensitivity issue due, for example, to position uncertainty or the quality of the authoritative data used in the different QCs.</w:t>
      </w:r>
      <w:r w:rsidR="00760341">
        <w:rPr>
          <w:lang w:eastAsia="zh-CN"/>
        </w:rPr>
        <w:t xml:space="preserve"> </w:t>
      </w:r>
      <w:r w:rsidR="00000BC1" w:rsidRPr="00BB17A8">
        <w:rPr>
          <w:lang w:eastAsia="zh-CN"/>
        </w:rPr>
        <w:t xml:space="preserve">Note that a simple </w:t>
      </w:r>
      <w:r w:rsidR="00000BC1" w:rsidRPr="00BB17A8">
        <w:rPr>
          <w:i/>
          <w:lang w:eastAsia="zh-CN"/>
        </w:rPr>
        <w:t>t</w:t>
      </w:r>
      <w:r w:rsidR="00000BC1" w:rsidRPr="00BB17A8">
        <w:rPr>
          <w:lang w:eastAsia="zh-CN"/>
        </w:rPr>
        <w:t>-test for classification correctness resulted in a mean comparison of 0.65 for correctly identified JKW, and of 0.57 for incorrectly identified JKW (p value = 0.09).</w:t>
      </w:r>
      <w:r w:rsidR="0090799C">
        <w:rPr>
          <w:lang w:eastAsia="zh-CN"/>
        </w:rPr>
        <w:t xml:space="preserve"> For the </w:t>
      </w:r>
      <w:r w:rsidR="0090799C" w:rsidRPr="0090799C">
        <w:rPr>
          <w:lang w:eastAsia="zh-CN"/>
        </w:rPr>
        <w:t xml:space="preserve">QA without LoS correction, </w:t>
      </w:r>
      <w:r w:rsidR="0090799C">
        <w:rPr>
          <w:lang w:eastAsia="zh-CN"/>
        </w:rPr>
        <w:t xml:space="preserve">the same </w:t>
      </w:r>
      <w:r w:rsidR="0090799C" w:rsidRPr="0090799C">
        <w:rPr>
          <w:lang w:eastAsia="zh-CN"/>
        </w:rPr>
        <w:t xml:space="preserve">t-test </w:t>
      </w:r>
      <w:r w:rsidR="0090799C">
        <w:rPr>
          <w:lang w:eastAsia="zh-CN"/>
        </w:rPr>
        <w:t>gives</w:t>
      </w:r>
      <w:r w:rsidR="0090799C" w:rsidRPr="0090799C">
        <w:rPr>
          <w:lang w:eastAsia="zh-CN"/>
        </w:rPr>
        <w:t>: correct JKW, 0.65 incorrect JKW 0.58 (p-value = 0.10)</w:t>
      </w:r>
      <w:r w:rsidR="00000BC1" w:rsidRPr="00BB17A8">
        <w:rPr>
          <w:lang w:eastAsia="zh-CN"/>
        </w:rPr>
        <w:t xml:space="preserve"> This solely demonstrates the usefulness of the QA in discriminating data quality. Moreover, the same </w:t>
      </w:r>
      <w:r w:rsidR="00000BC1" w:rsidRPr="00BB17A8">
        <w:rPr>
          <w:i/>
          <w:lang w:eastAsia="zh-CN"/>
        </w:rPr>
        <w:t>t</w:t>
      </w:r>
      <w:r w:rsidR="00000BC1" w:rsidRPr="00BB17A8">
        <w:rPr>
          <w:lang w:eastAsia="zh-CN"/>
        </w:rPr>
        <w:t>-test for the quality results obtained without the QC in Pillar 5 (Model-based Validation), involving the EO data, is not significant (p value = 0.3), therefore highlighting the importance of this Pillar 5 QC and supporting EO data product, in the QA process.</w:t>
      </w:r>
    </w:p>
    <w:p w14:paraId="7AB23D88" w14:textId="77777777" w:rsidR="00000BC1" w:rsidRPr="00BB17A8" w:rsidRDefault="00000BC1" w:rsidP="00000BC1">
      <w:pPr>
        <w:pStyle w:val="MDPI22heading2"/>
        <w:rPr>
          <w:noProof w:val="0"/>
        </w:rPr>
      </w:pPr>
      <w:r w:rsidRPr="00BB17A8">
        <w:rPr>
          <w:noProof w:val="0"/>
        </w:rPr>
        <w:t>5.2 Iterative Paradigm</w:t>
      </w:r>
    </w:p>
    <w:p w14:paraId="04D1EBF3" w14:textId="5DD95D29" w:rsidR="00691ABE" w:rsidRPr="00BB17A8" w:rsidRDefault="00000BC1" w:rsidP="00760341">
      <w:pPr>
        <w:pStyle w:val="MDPI31text"/>
      </w:pPr>
      <w:r w:rsidRPr="00BB17A8">
        <w:t>As seen in Section 5.1, despite the indication that the EO data quality is not high (Section 4), the CS data quality will only improve when used in the QA. Provided the EO data does not have high commission (false positive rate) and omission (false negative rate) errors, this would generally work, otherwise to some extent, the errors will propagate into the CS qualification. Here, this could be the cause of high quality values for some incorrect JKW observations (false positives), as well as low quality for some correct JKW observations. Note that the differences in commission for high and low risk categories could be challenging, therefore, only using the extreme risk categories within EO data for a JKW risk product, would be a better choice for QA.</w:t>
      </w:r>
      <w:r w:rsidR="00760341">
        <w:t xml:space="preserve"> </w:t>
      </w:r>
    </w:p>
    <w:p w14:paraId="04556AC6" w14:textId="77777777" w:rsidR="00D10052" w:rsidRPr="00BB17A8" w:rsidRDefault="00D10052" w:rsidP="00691ABE">
      <w:pPr>
        <w:pStyle w:val="MDPI31text"/>
      </w:pPr>
      <w:r w:rsidRPr="00BB17A8">
        <w:rPr>
          <w:noProof/>
          <w:snapToGrid/>
          <w:sz w:val="18"/>
          <w:szCs w:val="24"/>
          <w:lang w:val="en-GB" w:eastAsia="en-GB" w:bidi="ar-SA"/>
        </w:rPr>
        <w:lastRenderedPageBreak/>
        <w:drawing>
          <wp:inline distT="0" distB="0" distL="0" distR="0" wp14:anchorId="3C43CAB7" wp14:editId="0FC4B283">
            <wp:extent cx="5394960" cy="539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4960" cy="5394960"/>
                    </a:xfrm>
                    <a:prstGeom prst="rect">
                      <a:avLst/>
                    </a:prstGeom>
                  </pic:spPr>
                </pic:pic>
              </a:graphicData>
            </a:graphic>
          </wp:inline>
        </w:drawing>
      </w:r>
    </w:p>
    <w:p w14:paraId="5BEDE8D2" w14:textId="7A1FDD6A" w:rsidR="00D10052" w:rsidRPr="00BB17A8" w:rsidRDefault="00AD3504" w:rsidP="001E0492">
      <w:pPr>
        <w:pStyle w:val="MDPI51figurecaption"/>
        <w:rPr>
          <w:lang w:eastAsia="zh-CN"/>
        </w:rPr>
      </w:pPr>
      <w:r w:rsidRPr="00AD3504">
        <w:rPr>
          <w:b/>
          <w:lang w:eastAsia="zh-CN"/>
        </w:rPr>
        <w:t>Figure 4</w:t>
      </w:r>
      <w:r>
        <w:rPr>
          <w:lang w:eastAsia="zh-CN"/>
        </w:rPr>
        <w:t>.</w:t>
      </w:r>
      <w:r w:rsidR="00D10052" w:rsidRPr="00BB17A8">
        <w:rPr>
          <w:lang w:eastAsia="zh-CN"/>
        </w:rPr>
        <w:t xml:space="preserve"> Quality values and densities for classification correctness and usability for two different QA processes, and for the two groups of observations correctly identifying JKW or not (raw observations are also overlaid).</w:t>
      </w:r>
    </w:p>
    <w:p w14:paraId="335EF287" w14:textId="18CD84CA" w:rsidR="00ED22CB" w:rsidRPr="00BB17A8" w:rsidRDefault="00ED22CB" w:rsidP="00ED22CB">
      <w:pPr>
        <w:pStyle w:val="MDPI31text"/>
      </w:pPr>
      <w:r w:rsidRPr="00BB17A8">
        <w:t xml:space="preserve">The EO algorithm could also </w:t>
      </w:r>
      <w:r w:rsidR="00CF5D43" w:rsidRPr="00BB17A8">
        <w:t>utilize</w:t>
      </w:r>
      <w:r w:rsidRPr="00BB17A8">
        <w:t xml:space="preserve"> the qualified CS data as additional evidence to support the algorithm (</w:t>
      </w:r>
      <w:r w:rsidR="00F2295D" w:rsidRPr="00BB17A8">
        <w:t xml:space="preserve">as a </w:t>
      </w:r>
      <w:r w:rsidRPr="00BB17A8">
        <w:t>training sample). From the iterative process that could result, the EO data zones where the CS data have been validated would then conflate appropriately to the CS data, ensuring better agreement of CS with EO data. Providing the QA makes use of the additional ‘qualifying rules’ related to EO data product, this iterative process would be alternating (i) the EO supervised algorithm using the CS of high quality, and (ii) the QA for the CS data including the EO data product for JKW risk obtained in (iii), where a threshold of high quality is fixed after the first iteration. Once validated, the new CS data collection, used as supplementary training samples, could also generate some benchmarking requirements when new EO imagery data would be needed, i.e. using the goodness of fit of the EO algorithm. Within an environmental monitoring scheme, EO and CS would then be complementary.</w:t>
      </w:r>
    </w:p>
    <w:p w14:paraId="5AF97A6E" w14:textId="77777777" w:rsidR="001A1C56" w:rsidRPr="00BB17A8" w:rsidRDefault="001A1C56" w:rsidP="001A1C56">
      <w:pPr>
        <w:pStyle w:val="MDPI21heading1"/>
        <w:numPr>
          <w:ilvl w:val="0"/>
          <w:numId w:val="40"/>
        </w:numPr>
      </w:pPr>
      <w:r w:rsidRPr="00BB17A8">
        <w:t>Discussion</w:t>
      </w:r>
    </w:p>
    <w:p w14:paraId="2FDAA242" w14:textId="1FB14DCC" w:rsidR="001A1C56" w:rsidRPr="00BB17A8" w:rsidRDefault="00D04532" w:rsidP="001A1C56">
      <w:pPr>
        <w:pStyle w:val="MDPI31text"/>
      </w:pPr>
      <w:r>
        <w:t>With the aim of providing relevant metadata</w:t>
      </w:r>
      <w:r w:rsidR="00E92B74">
        <w:t xml:space="preserve"> for CS data along with the provenance of the metadata on data quality, i.e. the metaquality encapsulated in the QA workflow, t</w:t>
      </w:r>
      <w:r w:rsidR="00823677" w:rsidRPr="00BB17A8">
        <w:t xml:space="preserve">he results shown in the preceding </w:t>
      </w:r>
      <w:r w:rsidR="001A1C56" w:rsidRPr="00BB17A8">
        <w:t xml:space="preserve">sections </w:t>
      </w:r>
      <w:r w:rsidR="00E92B74">
        <w:t xml:space="preserve">are promising. They show also the benefit of using qualified CS data to </w:t>
      </w:r>
      <w:r w:rsidR="00E92B74">
        <w:lastRenderedPageBreak/>
        <w:t>validate the EO data. H</w:t>
      </w:r>
      <w:r w:rsidR="00823677" w:rsidRPr="00BB17A8">
        <w:t>owever</w:t>
      </w:r>
      <w:r w:rsidR="00E92B74">
        <w:t>,</w:t>
      </w:r>
      <w:r w:rsidR="00823677" w:rsidRPr="00BB17A8">
        <w:t xml:space="preserve"> there are</w:t>
      </w:r>
      <w:r w:rsidR="001A1C56" w:rsidRPr="00BB17A8">
        <w:t xml:space="preserve"> some </w:t>
      </w:r>
      <w:r w:rsidR="00823677" w:rsidRPr="00BB17A8">
        <w:t xml:space="preserve">important and notable </w:t>
      </w:r>
      <w:r w:rsidR="001A1C56" w:rsidRPr="00BB17A8">
        <w:t>limitations. The EO data validation must be seen more as a confirmation rather than an assessment of the validation</w:t>
      </w:r>
      <w:r w:rsidR="00E92B74">
        <w:t xml:space="preserve"> because the CS data is an opportunistic sample not controlled for EO validation. Nonetheless, for</w:t>
      </w:r>
      <w:r w:rsidR="001A1C56" w:rsidRPr="00BB17A8">
        <w:t xml:space="preserve"> the user’s accuracy, and whether </w:t>
      </w:r>
      <w:r w:rsidR="00E92B74">
        <w:t xml:space="preserve">the </w:t>
      </w:r>
      <w:r w:rsidR="001A1C56" w:rsidRPr="00BB17A8">
        <w:t>sampling is contro</w:t>
      </w:r>
      <w:r w:rsidR="00E92B74">
        <w:t>lled or not, as long as</w:t>
      </w:r>
      <w:r w:rsidR="001A1C56" w:rsidRPr="00BB17A8">
        <w:t xml:space="preserve"> no evidence of introducing a bias in omission or commission</w:t>
      </w:r>
      <w:r w:rsidR="00E92B74">
        <w:t xml:space="preserve"> can be established</w:t>
      </w:r>
      <w:r w:rsidR="001A1C56" w:rsidRPr="00BB17A8">
        <w:t xml:space="preserve">, the values obtained reflect a level of quality </w:t>
      </w:r>
      <w:r w:rsidR="00290682" w:rsidRPr="00BB17A8">
        <w:t xml:space="preserve">present in </w:t>
      </w:r>
      <w:r w:rsidR="001A1C56" w:rsidRPr="00BB17A8">
        <w:t xml:space="preserve">the EO data product. If the sample size of the verified data (ground truth) </w:t>
      </w:r>
      <w:r w:rsidR="00676B0B">
        <w:t>were</w:t>
      </w:r>
      <w:r w:rsidR="001A1C56" w:rsidRPr="00BB17A8">
        <w:t xml:space="preserve"> large enough and balanced in potential presence </w:t>
      </w:r>
      <w:r w:rsidR="00E92B74">
        <w:t>or</w:t>
      </w:r>
      <w:r w:rsidR="001A1C56" w:rsidRPr="00BB17A8">
        <w:t xml:space="preserve"> absence of the INNS</w:t>
      </w:r>
      <w:r w:rsidR="00E92B74">
        <w:t>,</w:t>
      </w:r>
      <w:r w:rsidR="001A1C56" w:rsidRPr="00BB17A8">
        <w:t xml:space="preserve"> assess</w:t>
      </w:r>
      <w:r w:rsidR="00E92B74">
        <w:t>ing</w:t>
      </w:r>
      <w:r w:rsidR="001A1C56" w:rsidRPr="00BB17A8">
        <w:t xml:space="preserve"> the omissions and commissions of the EO data (</w:t>
      </w:r>
      <w:r w:rsidR="00676B0B">
        <w:t xml:space="preserve">as </w:t>
      </w:r>
      <w:r w:rsidR="001A1C56" w:rsidRPr="00BB17A8">
        <w:t xml:space="preserve">in Section 4), using qualified CS data instead of </w:t>
      </w:r>
      <w:r w:rsidR="00676B0B">
        <w:t xml:space="preserve">only the </w:t>
      </w:r>
      <w:r w:rsidR="001A1C56" w:rsidRPr="00BB17A8">
        <w:t xml:space="preserve">verified data </w:t>
      </w:r>
      <w:r w:rsidR="00F2295D" w:rsidRPr="00BB17A8">
        <w:t>has</w:t>
      </w:r>
      <w:r w:rsidR="00676B0B">
        <w:t xml:space="preserve"> </w:t>
      </w:r>
      <w:r w:rsidR="001A1C56" w:rsidRPr="00BB17A8">
        <w:t>nonetheless, proven to</w:t>
      </w:r>
      <w:r w:rsidR="0098251B" w:rsidRPr="00BB17A8">
        <w:t xml:space="preserve"> be useful. </w:t>
      </w:r>
      <w:r w:rsidR="001A405A">
        <w:t xml:space="preserve">Moreover, </w:t>
      </w:r>
      <w:r w:rsidR="001A1C56" w:rsidRPr="00BB17A8">
        <w:t>correcting the position of the occurrence</w:t>
      </w:r>
      <w:r w:rsidR="001A405A">
        <w:t>s</w:t>
      </w:r>
      <w:r w:rsidR="001A1C56" w:rsidRPr="00BB17A8">
        <w:t xml:space="preserve"> using the LoS improved the results in EO confirmatory validation</w:t>
      </w:r>
      <w:r w:rsidR="001A405A">
        <w:t xml:space="preserve"> (section 4.3</w:t>
      </w:r>
      <w:r w:rsidR="00424B75">
        <w:t>, even though the</w:t>
      </w:r>
      <w:r w:rsidR="001A1C56" w:rsidRPr="00BB17A8">
        <w:t xml:space="preserve"> DEM accuracy as well as tilt an</w:t>
      </w:r>
      <w:r w:rsidR="00424B75">
        <w:t>d bearing accuracy</w:t>
      </w:r>
      <w:r w:rsidR="001A1C56" w:rsidRPr="00BB17A8">
        <w:t xml:space="preserve"> </w:t>
      </w:r>
      <w:r w:rsidR="00424B75">
        <w:t xml:space="preserve">may </w:t>
      </w:r>
      <w:r w:rsidR="001A1C56" w:rsidRPr="00BB17A8">
        <w:t>induc</w:t>
      </w:r>
      <w:r w:rsidR="00424B75">
        <w:t>e a propagation of errors. T</w:t>
      </w:r>
      <w:r w:rsidR="001A1C56" w:rsidRPr="00BB17A8">
        <w:t xml:space="preserve">he distance to the observation as declared by the volunteers can </w:t>
      </w:r>
      <w:r w:rsidR="0098251B" w:rsidRPr="00BB17A8">
        <w:t xml:space="preserve">have variable </w:t>
      </w:r>
      <w:r w:rsidR="00424B75">
        <w:t>quality and</w:t>
      </w:r>
      <w:r w:rsidR="001A1C56" w:rsidRPr="00BB17A8">
        <w:t xml:space="preserve"> its comparison to the LoS distance showed large differences (see Appendix A.3). </w:t>
      </w:r>
    </w:p>
    <w:p w14:paraId="718F7EB6" w14:textId="6FF3340B" w:rsidR="004023CF" w:rsidRPr="00BB17A8" w:rsidRDefault="001A1C56" w:rsidP="001A1C56">
      <w:pPr>
        <w:pStyle w:val="MDPI31text"/>
      </w:pPr>
      <w:r w:rsidRPr="00BB17A8">
        <w:t xml:space="preserve">If, overall, the QA results discriminated the correct and incorrect JKW occurrences </w:t>
      </w:r>
      <w:r w:rsidR="002E136F" w:rsidRPr="00BB17A8">
        <w:t xml:space="preserve">well </w:t>
      </w:r>
      <w:r w:rsidRPr="00BB17A8">
        <w:t xml:space="preserve">(true positive versus false positive), the current QA performance did not seem </w:t>
      </w:r>
      <w:r w:rsidR="002E136F" w:rsidRPr="00BB17A8">
        <w:t xml:space="preserve">able </w:t>
      </w:r>
      <w:r w:rsidRPr="00BB17A8">
        <w:t>to adequately identify a single observation as correct</w:t>
      </w:r>
      <w:r w:rsidR="00653D17" w:rsidRPr="00BB17A8">
        <w:t>,</w:t>
      </w:r>
      <w:r w:rsidRPr="00BB17A8">
        <w:t xml:space="preserve"> or not</w:t>
      </w:r>
      <w:r w:rsidR="00653D17" w:rsidRPr="00BB17A8">
        <w:t xml:space="preserve">, </w:t>
      </w:r>
      <w:r w:rsidRPr="00BB17A8">
        <w:t xml:space="preserve">from its resulting qualities. The number of QCs used, their characteristics, </w:t>
      </w:r>
      <w:r w:rsidR="00653D17" w:rsidRPr="00BB17A8">
        <w:t xml:space="preserve">their </w:t>
      </w:r>
      <w:r w:rsidRPr="00BB17A8">
        <w:t xml:space="preserve">order in the QA workflow, </w:t>
      </w:r>
      <w:r w:rsidR="00653D17" w:rsidRPr="00BB17A8">
        <w:t xml:space="preserve">the </w:t>
      </w:r>
      <w:r w:rsidRPr="00BB17A8">
        <w:t>position</w:t>
      </w:r>
      <w:r w:rsidR="00653D17" w:rsidRPr="00BB17A8">
        <w:t>al</w:t>
      </w:r>
      <w:r w:rsidRPr="00BB17A8">
        <w:t xml:space="preserve"> accuracy sensitivity for both the observed data and the external data used, along with the parameters chosen in the QC (such as threshold distances) are contributing to the QA outcome, with potential issues due to calibration and error propagated through the defined QA workflow. One could expect that increasing the number of QCs would diminish its sensitivity. Cancelling out the assessment for a given QC, if the quality metadata linked to the external data </w:t>
      </w:r>
      <w:r w:rsidR="003010F2" w:rsidRPr="00BB17A8">
        <w:t xml:space="preserve">do note reach </w:t>
      </w:r>
      <w:r w:rsidRPr="00BB17A8">
        <w:t>a certain level, would diminish error propagation whilst highlighting inadequacy. Down weig</w:t>
      </w:r>
      <w:r w:rsidR="003010F2" w:rsidRPr="00BB17A8">
        <w:t>hting the impact of new quality</w:t>
      </w:r>
      <w:r w:rsidRPr="00BB17A8">
        <w:t xml:space="preserve"> values when updating can also be a less drastic solution to low quality external data used in the QA. Note, the concern was only on qualifying the declaration of occurrence of the JKW plant</w:t>
      </w:r>
      <w:r w:rsidR="00773973" w:rsidRPr="00BB17A8">
        <w:t>;</w:t>
      </w:r>
      <w:r w:rsidRPr="00BB17A8">
        <w:t xml:space="preserve"> </w:t>
      </w:r>
      <w:r w:rsidR="00F7540D" w:rsidRPr="00BB17A8">
        <w:t>however,</w:t>
      </w:r>
      <w:r w:rsidRPr="00BB17A8">
        <w:t xml:space="preserve"> combining evidence across other available information can lead to better qualifying. For instance, the extent of the JKW at a declared occurrence and its potential agreement with the EO data product may be useful, i.e. it can be reasonably thought that the confidence in the risk given by the EO data product is increased as the extent detected by the EO algorithm becomes larger. This also raises concerns </w:t>
      </w:r>
      <w:r w:rsidR="00773973" w:rsidRPr="00BB17A8">
        <w:t xml:space="preserve">about </w:t>
      </w:r>
      <w:r w:rsidRPr="00BB17A8">
        <w:t xml:space="preserve">the use of EO to bring evidence of the JKW or another INNS without appropriate spatial and temporal resolution for the detection of early spread [40]. A citizen scientist may detect </w:t>
      </w:r>
      <w:r w:rsidR="00290625" w:rsidRPr="00BB17A8">
        <w:t xml:space="preserve">a </w:t>
      </w:r>
      <w:r w:rsidRPr="00BB17A8">
        <w:t xml:space="preserve">very early spread of JKW, observing a very small extent that EO would be unable to achieve. These considerations have impacts on both, EO for CS or CS for EO validation paths. </w:t>
      </w:r>
    </w:p>
    <w:p w14:paraId="28FD09EC" w14:textId="48735F24" w:rsidR="001A1C56" w:rsidRPr="00BB17A8" w:rsidRDefault="004023CF" w:rsidP="001A1C56">
      <w:pPr>
        <w:pStyle w:val="MDPI31text"/>
      </w:pPr>
      <w:r w:rsidRPr="00BB17A8">
        <w:t xml:space="preserve">A further </w:t>
      </w:r>
      <w:r w:rsidR="001A1C56" w:rsidRPr="00BB17A8">
        <w:t>limitation is the number of volunteers used (34) and the number of observations (177)</w:t>
      </w:r>
      <w:r w:rsidR="0075670F" w:rsidRPr="00BB17A8">
        <w:t xml:space="preserve">, and reflected the relatively small scale co-design type project. </w:t>
      </w:r>
      <w:r w:rsidR="001A1C56" w:rsidRPr="00BB17A8">
        <w:t xml:space="preserve">One way of increasing the number of observations would have been to regularly ask the citizen scientist to identify, at their current location, the occurrence or absence data for JKW. This would also have resulted in a better estimation of commission in the EO data, along with a better calibration of the </w:t>
      </w:r>
      <w:r w:rsidR="00FF5254" w:rsidRPr="00BB17A8">
        <w:t>citizen’s qualities as a sensor</w:t>
      </w:r>
      <w:r w:rsidR="001A1C56" w:rsidRPr="00BB17A8">
        <w:t>, i.e. trust, reliability.</w:t>
      </w:r>
    </w:p>
    <w:p w14:paraId="58FF66A0" w14:textId="77777777" w:rsidR="00C80D3B" w:rsidRPr="00BB17A8" w:rsidRDefault="00C80D3B" w:rsidP="00C80D3B">
      <w:pPr>
        <w:pStyle w:val="MDPI21heading1"/>
        <w:numPr>
          <w:ilvl w:val="0"/>
          <w:numId w:val="40"/>
        </w:numPr>
      </w:pPr>
      <w:r w:rsidRPr="00BB17A8">
        <w:t>Conclusion</w:t>
      </w:r>
    </w:p>
    <w:p w14:paraId="023B3DDC" w14:textId="77777777" w:rsidR="00326D44" w:rsidRDefault="00C80D3B" w:rsidP="001A1C56">
      <w:pPr>
        <w:pStyle w:val="MDPI31text"/>
      </w:pPr>
      <w:r w:rsidRPr="00BB17A8">
        <w:t>As an alternative to a costly and not necessarily reliable ‘verification process’ often used in biodiversity C</w:t>
      </w:r>
      <w:r w:rsidR="002816A3" w:rsidRPr="00BB17A8">
        <w:t xml:space="preserve">itizen </w:t>
      </w:r>
      <w:r w:rsidRPr="00BB17A8">
        <w:t>S</w:t>
      </w:r>
      <w:r w:rsidR="002816A3" w:rsidRPr="00BB17A8">
        <w:t>cience (CS)</w:t>
      </w:r>
      <w:r w:rsidRPr="00BB17A8">
        <w:t xml:space="preserve"> surveys, this paper investigated the role and usefulness of an automat</w:t>
      </w:r>
      <w:r w:rsidR="00AF5BD0" w:rsidRPr="00BB17A8">
        <w:t>ed</w:t>
      </w:r>
      <w:r w:rsidRPr="00BB17A8">
        <w:t xml:space="preserve"> Q</w:t>
      </w:r>
      <w:r w:rsidR="00AF5BD0" w:rsidRPr="00BB17A8">
        <w:t xml:space="preserve">uality </w:t>
      </w:r>
      <w:r w:rsidRPr="00BB17A8">
        <w:t>A</w:t>
      </w:r>
      <w:r w:rsidR="00AF5BD0" w:rsidRPr="00BB17A8">
        <w:t>ssurance</w:t>
      </w:r>
      <w:r w:rsidRPr="00BB17A8">
        <w:t xml:space="preserve"> workflow process based on 7 Pillars of Q</w:t>
      </w:r>
      <w:r w:rsidR="00AF5BD0" w:rsidRPr="00BB17A8">
        <w:t xml:space="preserve">uality </w:t>
      </w:r>
      <w:r w:rsidRPr="00BB17A8">
        <w:t>C</w:t>
      </w:r>
      <w:r w:rsidR="00AF5BD0" w:rsidRPr="00BB17A8">
        <w:t>ontrols</w:t>
      </w:r>
      <w:r w:rsidRPr="00BB17A8">
        <w:t xml:space="preserve">, and the three quality models introduced by the COBWEB project [12]. Besides the flexibility </w:t>
      </w:r>
      <w:r w:rsidR="00CE675C" w:rsidRPr="00BB17A8">
        <w:t xml:space="preserve">this approach offers </w:t>
      </w:r>
      <w:r w:rsidRPr="00BB17A8">
        <w:t xml:space="preserve">for curation of CS data, </w:t>
      </w:r>
      <w:r w:rsidR="00CE675C" w:rsidRPr="00BB17A8">
        <w:t xml:space="preserve">a </w:t>
      </w:r>
      <w:r w:rsidRPr="00BB17A8">
        <w:t xml:space="preserve">case study </w:t>
      </w:r>
      <w:r w:rsidR="00CE675C" w:rsidRPr="00BB17A8">
        <w:t>and results investigating citizen reporting of an invasive species (Japanese knotweed) are reported</w:t>
      </w:r>
      <w:r w:rsidRPr="00BB17A8">
        <w:t xml:space="preserve">. Specifically, using informative </w:t>
      </w:r>
      <w:r w:rsidR="00863AB1" w:rsidRPr="00BB17A8">
        <w:t>earth observation</w:t>
      </w:r>
      <w:r w:rsidRPr="00BB17A8">
        <w:t xml:space="preserve"> data within the </w:t>
      </w:r>
      <w:r w:rsidR="00CE675C" w:rsidRPr="00BB17A8">
        <w:t>quality assurance</w:t>
      </w:r>
      <w:r w:rsidRPr="00BB17A8">
        <w:t xml:space="preserve"> workflow, in relation to the occurrences of</w:t>
      </w:r>
      <w:r w:rsidR="00CE675C" w:rsidRPr="00BB17A8">
        <w:t xml:space="preserve"> Japanese knotweed</w:t>
      </w:r>
      <w:r w:rsidRPr="00BB17A8">
        <w:t xml:space="preserve">, even when of low quality, improves the CS quality assessment, i.e. it enables better discrimination between correct and incorrect JKW occurrences. Conversely, using qualified CS instead of raw CS data resulted in increased user’s accuracy for the </w:t>
      </w:r>
      <w:r w:rsidR="00CE675C" w:rsidRPr="00BB17A8">
        <w:t xml:space="preserve">earth observation </w:t>
      </w:r>
      <w:r w:rsidRPr="00BB17A8">
        <w:t xml:space="preserve">data. In Groom et. al. [41], the authors advocate an open data approach concerning the </w:t>
      </w:r>
      <w:r w:rsidR="00C067BF" w:rsidRPr="00BB17A8">
        <w:t>invasive non-native species (</w:t>
      </w:r>
      <w:r w:rsidRPr="00BB17A8">
        <w:t>INNS</w:t>
      </w:r>
      <w:r w:rsidR="00C067BF" w:rsidRPr="00BB17A8">
        <w:t>)</w:t>
      </w:r>
      <w:r w:rsidRPr="00BB17A8">
        <w:t xml:space="preserve">, in order to facilitate policy </w:t>
      </w:r>
      <w:r w:rsidRPr="00BB17A8">
        <w:lastRenderedPageBreak/>
        <w:t>and management. As the CS data are unlikely to be of high quality, and verification from expert</w:t>
      </w:r>
      <w:r w:rsidR="003144C4" w:rsidRPr="00BB17A8">
        <w:t>s</w:t>
      </w:r>
      <w:r w:rsidRPr="00BB17A8">
        <w:t xml:space="preserve"> is not always viable (</w:t>
      </w:r>
      <w:r w:rsidR="003144C4" w:rsidRPr="00BB17A8">
        <w:t xml:space="preserve">or </w:t>
      </w:r>
      <w:r w:rsidRPr="00BB17A8">
        <w:t xml:space="preserve">not possible for all CS data), the automatic </w:t>
      </w:r>
      <w:r w:rsidR="0030389A" w:rsidRPr="00BB17A8">
        <w:t xml:space="preserve">quality assurance </w:t>
      </w:r>
      <w:r w:rsidRPr="00BB17A8">
        <w:t xml:space="preserve">presented in this paper could be beneficial. Several limitations have been highlighted, however, </w:t>
      </w:r>
      <w:r w:rsidR="0030389A" w:rsidRPr="00BB17A8">
        <w:t xml:space="preserve">and </w:t>
      </w:r>
      <w:r w:rsidRPr="00BB17A8">
        <w:t>indication</w:t>
      </w:r>
      <w:r w:rsidR="0030389A" w:rsidRPr="00BB17A8">
        <w:t xml:space="preserve"> </w:t>
      </w:r>
      <w:r w:rsidRPr="00BB17A8">
        <w:t xml:space="preserve">for potential remedies to the sensitivity of the </w:t>
      </w:r>
      <w:r w:rsidR="0030389A" w:rsidRPr="00BB17A8">
        <w:t>quality assurance p</w:t>
      </w:r>
      <w:r w:rsidRPr="00BB17A8">
        <w:t xml:space="preserve">rocess were given. Multiple criteria selection on the quality elements, to validate CS data, could compensate </w:t>
      </w:r>
      <w:r w:rsidR="00781C20" w:rsidRPr="00BB17A8">
        <w:t xml:space="preserve">for the </w:t>
      </w:r>
      <w:r w:rsidRPr="00BB17A8">
        <w:t>weaknesses of the QA workflow used. Trustworthiness is used in many CS data collection systems, such as iSpot [42] and CoralWatch [27] as prox</w:t>
      </w:r>
      <w:r w:rsidR="00773AEC" w:rsidRPr="00BB17A8">
        <w:t>ies</w:t>
      </w:r>
      <w:r w:rsidRPr="00BB17A8">
        <w:t xml:space="preserve"> for verification or in combination </w:t>
      </w:r>
      <w:r w:rsidR="004C3EBE" w:rsidRPr="00BB17A8">
        <w:t xml:space="preserve">with </w:t>
      </w:r>
      <w:r w:rsidRPr="00BB17A8">
        <w:t xml:space="preserve">other QA approaches to highlight potential re-use. </w:t>
      </w:r>
      <w:r w:rsidR="00F44A12" w:rsidRPr="00BB17A8">
        <w:t>Addressing several dimensions related to trustworthiness</w:t>
      </w:r>
      <w:r w:rsidR="00B559FE" w:rsidRPr="00BB17A8">
        <w:t xml:space="preserve">, </w:t>
      </w:r>
      <w:r w:rsidR="00F44A12" w:rsidRPr="00BB17A8">
        <w:t>the</w:t>
      </w:r>
      <w:r w:rsidR="00B559FE" w:rsidRPr="00BB17A8">
        <w:t xml:space="preserve"> </w:t>
      </w:r>
      <w:r w:rsidRPr="00BB17A8">
        <w:t>stakeholder quality model play</w:t>
      </w:r>
      <w:r w:rsidR="00F44A12" w:rsidRPr="00BB17A8">
        <w:t>s</w:t>
      </w:r>
      <w:r w:rsidR="00B559FE" w:rsidRPr="00BB17A8">
        <w:t xml:space="preserve"> a </w:t>
      </w:r>
      <w:r w:rsidRPr="00BB17A8">
        <w:t xml:space="preserve">role </w:t>
      </w:r>
      <w:r w:rsidR="00B559FE" w:rsidRPr="00BB17A8">
        <w:t xml:space="preserve">in </w:t>
      </w:r>
      <w:r w:rsidRPr="00BB17A8">
        <w:t>qualifying the volunteer</w:t>
      </w:r>
      <w:r w:rsidR="00F44A12" w:rsidRPr="00BB17A8">
        <w:t>’s observations</w:t>
      </w:r>
      <w:r w:rsidRPr="00BB17A8">
        <w:t xml:space="preserve">. </w:t>
      </w:r>
      <w:r w:rsidR="00B559FE" w:rsidRPr="00BB17A8">
        <w:t xml:space="preserve">A </w:t>
      </w:r>
      <w:r w:rsidRPr="00BB17A8">
        <w:t xml:space="preserve">QC </w:t>
      </w:r>
      <w:r w:rsidR="00B559FE" w:rsidRPr="00BB17A8">
        <w:t>c</w:t>
      </w:r>
      <w:r w:rsidR="00F44A12" w:rsidRPr="00BB17A8">
        <w:t>an</w:t>
      </w:r>
      <w:r w:rsidR="00B559FE" w:rsidRPr="00BB17A8">
        <w:t xml:space="preserve"> </w:t>
      </w:r>
      <w:r w:rsidRPr="00BB17A8">
        <w:t>use those quality values as weight</w:t>
      </w:r>
      <w:r w:rsidR="00B559FE" w:rsidRPr="00BB17A8">
        <w:t xml:space="preserve">s </w:t>
      </w:r>
      <w:r w:rsidRPr="00BB17A8">
        <w:t xml:space="preserve">for updating the other quality elements. It is expected that the flexibility provided by this QA framework, along with its principles, would guide the development of new QCs within the given pillars system as in the composition of workflows from stakeholders. </w:t>
      </w:r>
      <w:r w:rsidR="00F44A12" w:rsidRPr="00BB17A8">
        <w:t>In order to achi</w:t>
      </w:r>
      <w:r w:rsidR="00FE0301" w:rsidRPr="00BB17A8">
        <w:t>e</w:t>
      </w:r>
      <w:r w:rsidR="00F44A12" w:rsidRPr="00BB17A8">
        <w:t>ve robustness of the qualifying process</w:t>
      </w:r>
      <w:r w:rsidR="00524F16" w:rsidRPr="00BB17A8">
        <w:t xml:space="preserve">, </w:t>
      </w:r>
      <w:r w:rsidRPr="00BB17A8">
        <w:t>perform</w:t>
      </w:r>
      <w:r w:rsidR="00524F16" w:rsidRPr="00BB17A8">
        <w:t>ing</w:t>
      </w:r>
      <w:r w:rsidRPr="00BB17A8">
        <w:t xml:space="preserve"> a pilot study in order to test the composed workflow QA on a verified</w:t>
      </w:r>
      <w:r w:rsidR="00F44A12" w:rsidRPr="00BB17A8">
        <w:t xml:space="preserve"> sample</w:t>
      </w:r>
      <w:r w:rsidRPr="00BB17A8">
        <w:t xml:space="preserve"> </w:t>
      </w:r>
      <w:r w:rsidR="004C3EBE" w:rsidRPr="00BB17A8">
        <w:t xml:space="preserve">is </w:t>
      </w:r>
      <w:r w:rsidR="00524F16" w:rsidRPr="00BB17A8">
        <w:t xml:space="preserve">recommended as </w:t>
      </w:r>
      <w:r w:rsidR="00B137C5" w:rsidRPr="00BB17A8">
        <w:t>a necessary step</w:t>
      </w:r>
      <w:r w:rsidRPr="00BB17A8">
        <w:t xml:space="preserve"> before being used for a complete CS study.</w:t>
      </w:r>
    </w:p>
    <w:p w14:paraId="5910EC9A" w14:textId="5617FD73" w:rsidR="00C80D3B" w:rsidRPr="00BB17A8" w:rsidRDefault="00841436" w:rsidP="001A1C56">
      <w:pPr>
        <w:pStyle w:val="MDPI31text"/>
      </w:pPr>
      <w:r>
        <w:t xml:space="preserve">The QA framework presented is applicable in </w:t>
      </w:r>
      <w:r w:rsidR="00F07908">
        <w:t xml:space="preserve">other </w:t>
      </w:r>
      <w:r>
        <w:t>environmental monitoring contexts for which EO data and CS data can be complementary.</w:t>
      </w:r>
      <w:r w:rsidR="006117A6">
        <w:t xml:space="preserve"> A typical example can be land use mapping with an emphasis on crop identification </w:t>
      </w:r>
      <w:r w:rsidR="00693356">
        <w:t>for</w:t>
      </w:r>
      <w:r w:rsidR="006117A6">
        <w:t xml:space="preserve"> agricultural land.</w:t>
      </w:r>
      <w:r w:rsidR="00246E79">
        <w:t xml:space="preserve"> Being able to appropriately combine multiple source of information with EO data, including CS data is becoming </w:t>
      </w:r>
      <w:r w:rsidR="00EB5689">
        <w:t xml:space="preserve">a high priority in initiatives such as the </w:t>
      </w:r>
      <w:r w:rsidR="00246E79">
        <w:t>Copernicus programme</w:t>
      </w:r>
      <w:r w:rsidR="00EB5689">
        <w:t xml:space="preserve"> directed by </w:t>
      </w:r>
      <w:r w:rsidR="00246E79">
        <w:t>European</w:t>
      </w:r>
      <w:r w:rsidR="00EB5689">
        <w:t xml:space="preserve"> Commission</w:t>
      </w:r>
      <w:r w:rsidR="00DA5ACD">
        <w:t xml:space="preserve"> </w:t>
      </w:r>
      <w:r w:rsidR="00246E79">
        <w:t>[</w:t>
      </w:r>
      <w:r w:rsidR="00DA5ACD">
        <w:t>43</w:t>
      </w:r>
      <w:r w:rsidR="00246E79">
        <w:t>]</w:t>
      </w:r>
      <w:r w:rsidR="00DA5ACD">
        <w:t>.</w:t>
      </w:r>
      <w:r w:rsidR="004B2827">
        <w:t xml:space="preserve"> Citizen observatories</w:t>
      </w:r>
      <w:r w:rsidR="0037344B">
        <w:t>, where citizen science data</w:t>
      </w:r>
      <w:r w:rsidR="00693356">
        <w:t xml:space="preserve"> </w:t>
      </w:r>
      <w:r w:rsidR="004A3672">
        <w:t>are</w:t>
      </w:r>
      <w:r w:rsidR="00693356">
        <w:t xml:space="preserve"> empowering directly the citizens</w:t>
      </w:r>
      <w:r w:rsidR="00C138ED">
        <w:t>,</w:t>
      </w:r>
      <w:r w:rsidR="00693356">
        <w:t xml:space="preserve"> for example in reaction to the EO available, play an important role in this ‘Copernicus chain’ (from EO data to usable information) [43]. It is acknowledged that a successful implementation of this ‘Copernicus chain’ would require attention to data quality. The QA framework presented in this paper could contribute to this success.</w:t>
      </w:r>
    </w:p>
    <w:p w14:paraId="7951C009" w14:textId="77777777" w:rsidR="00EA6423" w:rsidRPr="00BB17A8" w:rsidRDefault="00EA6423" w:rsidP="00D0599E">
      <w:pPr>
        <w:pStyle w:val="MDPI62Acknowledgments"/>
        <w:rPr>
          <w:b/>
        </w:rPr>
      </w:pPr>
      <w:r w:rsidRPr="00BB17A8">
        <w:rPr>
          <w:b/>
        </w:rPr>
        <w:t>Acknowledgments:</w:t>
      </w:r>
      <w:r w:rsidRPr="00BB17A8">
        <w:t xml:space="preserve"> </w:t>
      </w:r>
      <w:r w:rsidR="00D0599E" w:rsidRPr="00BB17A8">
        <w:t>This research has received funding from the European Union Seventh Framework Programme (FP7/2007-2013) under grant agreement number 308513.</w:t>
      </w:r>
    </w:p>
    <w:p w14:paraId="55F43C60" w14:textId="402B4A35" w:rsidR="002B7F24" w:rsidRPr="002B7F24" w:rsidRDefault="00EA6423" w:rsidP="002B7F24">
      <w:pPr>
        <w:pStyle w:val="MDPI63AuthorContributions"/>
        <w:rPr>
          <w:b/>
        </w:rPr>
      </w:pPr>
      <w:r w:rsidRPr="00BB17A8">
        <w:rPr>
          <w:b/>
        </w:rPr>
        <w:t xml:space="preserve">Author Contributions: </w:t>
      </w:r>
      <w:r w:rsidR="002B7F24">
        <w:rPr>
          <w:rFonts w:cs="Palatino Linotype"/>
          <w:bCs/>
          <w:szCs w:val="18"/>
          <w:lang w:eastAsia="zh-CN"/>
        </w:rPr>
        <w:t>C.H.,</w:t>
      </w:r>
      <w:r w:rsidR="002B7F24" w:rsidRPr="00D6256D">
        <w:rPr>
          <w:rFonts w:cs="Palatino Linotype"/>
          <w:bCs/>
          <w:szCs w:val="18"/>
          <w:lang w:eastAsia="zh-CN"/>
        </w:rPr>
        <w:t xml:space="preserve"> C.C</w:t>
      </w:r>
      <w:r w:rsidR="002B7F24">
        <w:rPr>
          <w:rFonts w:cs="Palatino Linotype"/>
          <w:bCs/>
          <w:szCs w:val="18"/>
          <w:lang w:eastAsia="zh-CN"/>
        </w:rPr>
        <w:t>., Cr.H</w:t>
      </w:r>
      <w:r w:rsidR="002C09C3">
        <w:rPr>
          <w:rFonts w:cs="Palatino Linotype"/>
          <w:bCs/>
          <w:szCs w:val="18"/>
          <w:lang w:eastAsia="zh-CN"/>
        </w:rPr>
        <w:t>.</w:t>
      </w:r>
      <w:r w:rsidR="002B7F24" w:rsidRPr="00D6256D">
        <w:rPr>
          <w:rFonts w:cs="Palatino Linotype"/>
          <w:bCs/>
          <w:szCs w:val="18"/>
          <w:lang w:eastAsia="zh-CN"/>
        </w:rPr>
        <w:t xml:space="preserve"> and C</w:t>
      </w:r>
      <w:r w:rsidR="002B7F24">
        <w:rPr>
          <w:rFonts w:cs="Palatino Linotype"/>
          <w:bCs/>
          <w:szCs w:val="18"/>
          <w:lang w:eastAsia="zh-CN"/>
        </w:rPr>
        <w:t>h</w:t>
      </w:r>
      <w:r w:rsidR="002B7F24" w:rsidRPr="00D6256D">
        <w:rPr>
          <w:rFonts w:cs="Palatino Linotype"/>
          <w:bCs/>
          <w:szCs w:val="18"/>
          <w:lang w:eastAsia="zh-CN"/>
        </w:rPr>
        <w:t>.H</w:t>
      </w:r>
      <w:r w:rsidR="002B7F24">
        <w:rPr>
          <w:rFonts w:cs="Palatino Linotype"/>
          <w:bCs/>
          <w:szCs w:val="18"/>
          <w:lang w:eastAsia="zh-CN"/>
        </w:rPr>
        <w:t>.</w:t>
      </w:r>
      <w:r w:rsidR="002B7F24" w:rsidRPr="00D6256D">
        <w:rPr>
          <w:rFonts w:cs="Palatino Linotype"/>
          <w:bCs/>
          <w:szCs w:val="18"/>
          <w:lang w:eastAsia="zh-CN"/>
        </w:rPr>
        <w:t xml:space="preserve"> co-designed the JKW experiment. D.L</w:t>
      </w:r>
      <w:r w:rsidR="002B7F24">
        <w:rPr>
          <w:rFonts w:cs="Palatino Linotype"/>
          <w:bCs/>
          <w:szCs w:val="18"/>
          <w:lang w:eastAsia="zh-CN"/>
        </w:rPr>
        <w:t>.</w:t>
      </w:r>
      <w:r w:rsidR="002B7F24" w:rsidRPr="00D6256D">
        <w:rPr>
          <w:rFonts w:cs="Palatino Linotype"/>
          <w:bCs/>
          <w:szCs w:val="18"/>
          <w:lang w:eastAsia="zh-CN"/>
        </w:rPr>
        <w:t>, J.R</w:t>
      </w:r>
      <w:r w:rsidR="002B7F24">
        <w:rPr>
          <w:rFonts w:cs="Palatino Linotype"/>
          <w:bCs/>
          <w:szCs w:val="18"/>
          <w:lang w:eastAsia="zh-CN"/>
        </w:rPr>
        <w:t>.</w:t>
      </w:r>
      <w:r w:rsidR="002B7F24" w:rsidRPr="00D6256D">
        <w:rPr>
          <w:rFonts w:cs="Palatino Linotype"/>
          <w:bCs/>
          <w:szCs w:val="18"/>
          <w:lang w:eastAsia="zh-CN"/>
        </w:rPr>
        <w:t xml:space="preserve"> and M.J</w:t>
      </w:r>
      <w:r w:rsidR="002B7F24">
        <w:rPr>
          <w:rFonts w:cs="Palatino Linotype"/>
          <w:bCs/>
          <w:szCs w:val="18"/>
          <w:lang w:eastAsia="zh-CN"/>
        </w:rPr>
        <w:t>.</w:t>
      </w:r>
      <w:r w:rsidR="002B7F24" w:rsidRPr="00D6256D">
        <w:rPr>
          <w:rFonts w:cs="Palatino Linotype"/>
          <w:bCs/>
          <w:szCs w:val="18"/>
          <w:lang w:eastAsia="zh-CN"/>
        </w:rPr>
        <w:t xml:space="preserve"> designed the QA framework. D.L</w:t>
      </w:r>
      <w:r w:rsidR="002B7F24">
        <w:rPr>
          <w:rFonts w:cs="Palatino Linotype"/>
          <w:bCs/>
          <w:szCs w:val="18"/>
          <w:lang w:eastAsia="zh-CN"/>
        </w:rPr>
        <w:t>.</w:t>
      </w:r>
      <w:r w:rsidR="002B7F24" w:rsidRPr="00D6256D">
        <w:rPr>
          <w:rFonts w:cs="Palatino Linotype"/>
          <w:bCs/>
          <w:szCs w:val="18"/>
          <w:lang w:eastAsia="zh-CN"/>
        </w:rPr>
        <w:t xml:space="preserve"> and J.W</w:t>
      </w:r>
      <w:r w:rsidR="002B7F24">
        <w:rPr>
          <w:rFonts w:cs="Palatino Linotype"/>
          <w:bCs/>
          <w:szCs w:val="18"/>
          <w:lang w:eastAsia="zh-CN"/>
        </w:rPr>
        <w:t>.</w:t>
      </w:r>
      <w:r w:rsidR="002B7F24" w:rsidRPr="00D6256D">
        <w:rPr>
          <w:rFonts w:cs="Palatino Linotype"/>
          <w:bCs/>
          <w:szCs w:val="18"/>
          <w:lang w:eastAsia="zh-CN"/>
        </w:rPr>
        <w:t xml:space="preserve"> designed the JKW QA. J.W</w:t>
      </w:r>
      <w:r w:rsidR="002B7F24">
        <w:rPr>
          <w:rFonts w:cs="Palatino Linotype"/>
          <w:bCs/>
          <w:szCs w:val="18"/>
          <w:lang w:eastAsia="zh-CN"/>
        </w:rPr>
        <w:t>.</w:t>
      </w:r>
      <w:r w:rsidR="002B7F24" w:rsidRPr="00D6256D">
        <w:rPr>
          <w:rFonts w:cs="Palatino Linotype"/>
          <w:bCs/>
          <w:szCs w:val="18"/>
          <w:lang w:eastAsia="zh-CN"/>
        </w:rPr>
        <w:t xml:space="preserve"> provided the EO data related to JKW risk. D.L</w:t>
      </w:r>
      <w:r w:rsidR="002B7F24">
        <w:rPr>
          <w:rFonts w:cs="Palatino Linotype"/>
          <w:bCs/>
          <w:szCs w:val="18"/>
          <w:lang w:eastAsia="zh-CN"/>
        </w:rPr>
        <w:t>.</w:t>
      </w:r>
      <w:r w:rsidR="002B7F24" w:rsidRPr="00D6256D">
        <w:rPr>
          <w:rFonts w:cs="Palatino Linotype"/>
          <w:bCs/>
          <w:szCs w:val="18"/>
          <w:lang w:eastAsia="zh-CN"/>
        </w:rPr>
        <w:t xml:space="preserve"> and J.R</w:t>
      </w:r>
      <w:r w:rsidR="002B7F24">
        <w:rPr>
          <w:rFonts w:cs="Palatino Linotype"/>
          <w:bCs/>
          <w:szCs w:val="18"/>
          <w:lang w:eastAsia="zh-CN"/>
        </w:rPr>
        <w:t>.</w:t>
      </w:r>
      <w:r w:rsidR="002B7F24" w:rsidRPr="00D6256D">
        <w:rPr>
          <w:rFonts w:cs="Palatino Linotype"/>
          <w:bCs/>
          <w:szCs w:val="18"/>
          <w:lang w:eastAsia="zh-CN"/>
        </w:rPr>
        <w:t xml:space="preserve"> </w:t>
      </w:r>
      <w:r w:rsidR="002B7F24">
        <w:rPr>
          <w:rFonts w:cs="Palatino Linotype"/>
          <w:bCs/>
          <w:szCs w:val="18"/>
          <w:lang w:eastAsia="zh-CN"/>
        </w:rPr>
        <w:t>implemented</w:t>
      </w:r>
      <w:r w:rsidR="002B7F24" w:rsidRPr="00D6256D">
        <w:rPr>
          <w:rFonts w:cs="Palatino Linotype"/>
          <w:bCs/>
          <w:szCs w:val="18"/>
          <w:lang w:eastAsia="zh-CN"/>
        </w:rPr>
        <w:t xml:space="preserve"> the QA. D.L</w:t>
      </w:r>
      <w:r w:rsidR="002B7F24">
        <w:rPr>
          <w:rFonts w:cs="Palatino Linotype"/>
          <w:bCs/>
          <w:szCs w:val="18"/>
          <w:lang w:eastAsia="zh-CN"/>
        </w:rPr>
        <w:t>.</w:t>
      </w:r>
      <w:r w:rsidR="002B7F24" w:rsidRPr="00D6256D">
        <w:rPr>
          <w:rFonts w:cs="Palatino Linotype"/>
          <w:bCs/>
          <w:szCs w:val="18"/>
          <w:lang w:eastAsia="zh-CN"/>
        </w:rPr>
        <w:t xml:space="preserve"> structured the paper, performed the analysis and wrote the paper</w:t>
      </w:r>
      <w:r w:rsidR="002B7F24" w:rsidRPr="00D6256D">
        <w:rPr>
          <w:rFonts w:cs="Palatino Linotype"/>
          <w:szCs w:val="18"/>
          <w:lang w:eastAsia="zh-CN"/>
        </w:rPr>
        <w:t>. D.L, C</w:t>
      </w:r>
      <w:r w:rsidR="002C09C3">
        <w:rPr>
          <w:rFonts w:cs="Palatino Linotype"/>
          <w:szCs w:val="18"/>
          <w:lang w:eastAsia="zh-CN"/>
        </w:rPr>
        <w:t>r</w:t>
      </w:r>
      <w:r w:rsidR="002B7F24" w:rsidRPr="00D6256D">
        <w:rPr>
          <w:rFonts w:cs="Palatino Linotype"/>
          <w:szCs w:val="18"/>
          <w:lang w:eastAsia="zh-CN"/>
        </w:rPr>
        <w:t>.H</w:t>
      </w:r>
      <w:r w:rsidR="002B7F24">
        <w:rPr>
          <w:rFonts w:cs="Palatino Linotype"/>
          <w:szCs w:val="18"/>
          <w:lang w:eastAsia="zh-CN"/>
        </w:rPr>
        <w:t>., J.W.</w:t>
      </w:r>
      <w:r w:rsidR="002B7F24" w:rsidRPr="00D6256D">
        <w:rPr>
          <w:rFonts w:cs="Palatino Linotype"/>
          <w:szCs w:val="18"/>
          <w:lang w:eastAsia="zh-CN"/>
        </w:rPr>
        <w:t xml:space="preserve"> and J.R finalized the paper.</w:t>
      </w:r>
    </w:p>
    <w:p w14:paraId="70D65278" w14:textId="7A0FB79B" w:rsidR="002B7F24" w:rsidRPr="0072250C" w:rsidRDefault="00EA6423" w:rsidP="0072250C">
      <w:pPr>
        <w:pStyle w:val="MDPI64CoI"/>
      </w:pPr>
      <w:r w:rsidRPr="00BB17A8">
        <w:rPr>
          <w:b/>
        </w:rPr>
        <w:t>Conflicts of Interest:</w:t>
      </w:r>
      <w:r w:rsidRPr="00BB17A8">
        <w:t xml:space="preserve"> The authors declare no conflict of interest</w:t>
      </w:r>
      <w:r w:rsidR="004427FD" w:rsidRPr="00BB17A8">
        <w:t>.</w:t>
      </w:r>
    </w:p>
    <w:p w14:paraId="7C0CF046" w14:textId="77777777" w:rsidR="002B7F24" w:rsidRPr="00D6256D" w:rsidRDefault="002B7F24" w:rsidP="002B7F24">
      <w:pPr>
        <w:widowControl w:val="0"/>
        <w:autoSpaceDE w:val="0"/>
        <w:autoSpaceDN w:val="0"/>
        <w:adjustRightInd w:val="0"/>
        <w:rPr>
          <w:rFonts w:ascii="Times" w:eastAsia="SimSun" w:hAnsi="Times" w:cs="Times"/>
          <w:lang w:eastAsia="zh-CN"/>
        </w:rPr>
      </w:pPr>
      <w:r w:rsidRPr="002679A7">
        <w:rPr>
          <w:rFonts w:ascii="Palatino Linotype" w:eastAsia="SimSun" w:hAnsi="Palatino Linotype" w:cs="Palatino Linotype"/>
          <w:b/>
          <w:bCs/>
          <w:sz w:val="20"/>
          <w:lang w:eastAsia="zh-CN"/>
        </w:rPr>
        <w:t>Abbreviations</w:t>
      </w:r>
    </w:p>
    <w:p w14:paraId="176AAD2F" w14:textId="77777777" w:rsidR="002B7F24"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The following abbreviations are used in this manuscript:</w:t>
      </w:r>
    </w:p>
    <w:p w14:paraId="7282B25F" w14:textId="77777777" w:rsidR="002B7F24" w:rsidRPr="00D6256D" w:rsidRDefault="002B7F24" w:rsidP="002B7F24">
      <w:pPr>
        <w:widowControl w:val="0"/>
        <w:autoSpaceDE w:val="0"/>
        <w:autoSpaceDN w:val="0"/>
        <w:adjustRightInd w:val="0"/>
        <w:rPr>
          <w:rFonts w:ascii="Times" w:eastAsia="SimSun" w:hAnsi="Times" w:cs="Times"/>
          <w:lang w:eastAsia="zh-CN"/>
        </w:rPr>
      </w:pPr>
      <w:r>
        <w:rPr>
          <w:rFonts w:ascii="Palatino Linotype" w:eastAsia="SimSun" w:hAnsi="Palatino Linotype" w:cs="Palatino Linotype"/>
          <w:sz w:val="18"/>
          <w:szCs w:val="18"/>
          <w:lang w:eastAsia="zh-CN"/>
        </w:rPr>
        <w:t>CIR: Coloured Infra-Red</w:t>
      </w:r>
    </w:p>
    <w:p w14:paraId="1B01DF99" w14:textId="7F58505B" w:rsidR="002B7F24" w:rsidRPr="00D6256D" w:rsidRDefault="0072250C" w:rsidP="002B7F24">
      <w:pPr>
        <w:widowControl w:val="0"/>
        <w:autoSpaceDE w:val="0"/>
        <w:autoSpaceDN w:val="0"/>
        <w:adjustRightInd w:val="0"/>
        <w:rPr>
          <w:rFonts w:ascii="Palatino Linotype" w:eastAsia="SimSun" w:hAnsi="Palatino Linotype" w:cs="Palatino Linotype"/>
          <w:sz w:val="18"/>
          <w:szCs w:val="18"/>
          <w:lang w:eastAsia="zh-CN"/>
        </w:rPr>
      </w:pPr>
      <w:r>
        <w:rPr>
          <w:rFonts w:ascii="Palatino Linotype" w:eastAsia="SimSun" w:hAnsi="Palatino Linotype" w:cs="Palatino Linotype"/>
          <w:sz w:val="18"/>
          <w:szCs w:val="18"/>
          <w:lang w:eastAsia="zh-CN"/>
        </w:rPr>
        <w:t>COBWEB: Citizen OBservatory WEB</w:t>
      </w:r>
    </w:p>
    <w:p w14:paraId="31EBB870"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CS: Citizen Science</w:t>
      </w:r>
    </w:p>
    <w:p w14:paraId="3B0F81F2" w14:textId="77777777" w:rsidR="002B7F24" w:rsidRPr="00D6256D" w:rsidRDefault="002B7F24" w:rsidP="002B7F24">
      <w:pPr>
        <w:widowControl w:val="0"/>
        <w:autoSpaceDE w:val="0"/>
        <w:autoSpaceDN w:val="0"/>
        <w:adjustRightInd w:val="0"/>
        <w:rPr>
          <w:rFonts w:ascii="Times" w:eastAsia="SimSun" w:hAnsi="Times" w:cs="Times"/>
          <w:lang w:eastAsia="zh-CN"/>
        </w:rPr>
      </w:pPr>
      <w:r w:rsidRPr="00D6256D">
        <w:rPr>
          <w:rFonts w:ascii="Palatino Linotype" w:eastAsia="SimSun" w:hAnsi="Palatino Linotype" w:cs="Palatino Linotype"/>
          <w:sz w:val="18"/>
          <w:szCs w:val="18"/>
          <w:lang w:eastAsia="zh-CN"/>
        </w:rPr>
        <w:t>DEM: Digital Elevation Model</w:t>
      </w:r>
    </w:p>
    <w:p w14:paraId="5CF8F1E9" w14:textId="77777777" w:rsidR="002B7F24" w:rsidRPr="00D6256D" w:rsidRDefault="002B7F24" w:rsidP="002B7F24">
      <w:pPr>
        <w:widowControl w:val="0"/>
        <w:autoSpaceDE w:val="0"/>
        <w:autoSpaceDN w:val="0"/>
        <w:adjustRightInd w:val="0"/>
        <w:rPr>
          <w:rFonts w:ascii="Times" w:eastAsia="SimSun" w:hAnsi="Times" w:cs="Times"/>
          <w:lang w:eastAsia="zh-CN"/>
        </w:rPr>
      </w:pPr>
      <w:r w:rsidRPr="00D6256D">
        <w:rPr>
          <w:rFonts w:ascii="Palatino Linotype" w:eastAsia="SimSun" w:hAnsi="Palatino Linotype" w:cs="Palatino Linotype"/>
          <w:sz w:val="18"/>
          <w:szCs w:val="18"/>
          <w:lang w:eastAsia="zh-CN"/>
        </w:rPr>
        <w:t>EO: Earth Observation</w:t>
      </w:r>
    </w:p>
    <w:p w14:paraId="55655F0B"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FP7: Framework Program 7</w:t>
      </w:r>
    </w:p>
    <w:p w14:paraId="2CFC1C50" w14:textId="77777777" w:rsidR="002B7F24"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IAS: Invasive Alien Species</w:t>
      </w:r>
    </w:p>
    <w:p w14:paraId="5ED6F171"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Pr>
          <w:rFonts w:ascii="Palatino Linotype" w:eastAsia="SimSun" w:hAnsi="Palatino Linotype" w:cs="Palatino Linotype"/>
          <w:sz w:val="18"/>
          <w:szCs w:val="18"/>
          <w:lang w:eastAsia="zh-CN"/>
        </w:rPr>
        <w:t xml:space="preserve">JKW: </w:t>
      </w:r>
      <w:r>
        <w:rPr>
          <w:rFonts w:ascii="Palatino Linotype" w:hAnsi="Palatino Linotype"/>
          <w:sz w:val="20"/>
        </w:rPr>
        <w:t>Japanese KnotWeed</w:t>
      </w:r>
    </w:p>
    <w:p w14:paraId="76F967B8" w14:textId="77777777" w:rsidR="002B7F24"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INNS: Invasive Non-Native Species</w:t>
      </w:r>
    </w:p>
    <w:p w14:paraId="590CFEB8" w14:textId="77777777" w:rsidR="002B7F24"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Pr>
          <w:rFonts w:ascii="Palatino Linotype" w:eastAsia="SimSun" w:hAnsi="Palatino Linotype" w:cs="Palatino Linotype"/>
          <w:sz w:val="18"/>
          <w:szCs w:val="18"/>
          <w:lang w:eastAsia="zh-CN"/>
        </w:rPr>
        <w:t xml:space="preserve">LiDAR: </w:t>
      </w:r>
      <w:r w:rsidRPr="00303313">
        <w:rPr>
          <w:rFonts w:ascii="Palatino Linotype" w:eastAsia="SimSun" w:hAnsi="Palatino Linotype" w:cs="Palatino Linotype"/>
          <w:sz w:val="18"/>
          <w:szCs w:val="18"/>
          <w:lang w:eastAsia="zh-CN"/>
        </w:rPr>
        <w:t>Light Detection And Ranging</w:t>
      </w:r>
    </w:p>
    <w:p w14:paraId="6294C2DE"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Pr>
          <w:rFonts w:ascii="Palatino Linotype" w:eastAsia="SimSun" w:hAnsi="Palatino Linotype" w:cs="Palatino Linotype"/>
          <w:sz w:val="18"/>
          <w:szCs w:val="18"/>
          <w:lang w:eastAsia="zh-CN"/>
        </w:rPr>
        <w:t>LoS: Line of Sight</w:t>
      </w:r>
    </w:p>
    <w:p w14:paraId="00049951" w14:textId="77777777" w:rsidR="002B7F24"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QA: Quality Assurance</w:t>
      </w:r>
    </w:p>
    <w:p w14:paraId="4B7A63A9"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QA</w:t>
      </w:r>
      <w:r>
        <w:rPr>
          <w:rFonts w:ascii="Palatino Linotype" w:eastAsia="SimSun" w:hAnsi="Palatino Linotype" w:cs="Palatino Linotype"/>
          <w:sz w:val="18"/>
          <w:szCs w:val="18"/>
          <w:lang w:eastAsia="zh-CN"/>
        </w:rPr>
        <w:t>wAT</w:t>
      </w:r>
      <w:r w:rsidRPr="00D6256D">
        <w:rPr>
          <w:rFonts w:ascii="Palatino Linotype" w:eastAsia="SimSun" w:hAnsi="Palatino Linotype" w:cs="Palatino Linotype"/>
          <w:sz w:val="18"/>
          <w:szCs w:val="18"/>
          <w:lang w:eastAsia="zh-CN"/>
        </w:rPr>
        <w:t>: Quality Assurance</w:t>
      </w:r>
      <w:r>
        <w:rPr>
          <w:rFonts w:ascii="Palatino Linotype" w:eastAsia="SimSun" w:hAnsi="Palatino Linotype" w:cs="Palatino Linotype"/>
          <w:sz w:val="18"/>
          <w:szCs w:val="18"/>
          <w:lang w:eastAsia="zh-CN"/>
        </w:rPr>
        <w:t xml:space="preserve"> workflow Authoring Tool</w:t>
      </w:r>
    </w:p>
    <w:p w14:paraId="314E1CD1"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QC: Quality Controls</w:t>
      </w:r>
    </w:p>
    <w:p w14:paraId="1CB45E23" w14:textId="77777777" w:rsidR="002B7F24" w:rsidRPr="00D6256D" w:rsidRDefault="002B7F24" w:rsidP="002B7F24">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lastRenderedPageBreak/>
        <w:t>SNP: Snowdonia National Park</w:t>
      </w:r>
    </w:p>
    <w:p w14:paraId="372A1FAD" w14:textId="5B26AE86" w:rsidR="00C22CAD" w:rsidRPr="00475043" w:rsidRDefault="002B7F24" w:rsidP="00475043">
      <w:pPr>
        <w:widowControl w:val="0"/>
        <w:autoSpaceDE w:val="0"/>
        <w:autoSpaceDN w:val="0"/>
        <w:adjustRightInd w:val="0"/>
        <w:rPr>
          <w:rFonts w:ascii="Palatino Linotype" w:eastAsia="SimSun" w:hAnsi="Palatino Linotype" w:cs="Palatino Linotype"/>
          <w:sz w:val="18"/>
          <w:szCs w:val="18"/>
          <w:lang w:eastAsia="zh-CN"/>
        </w:rPr>
      </w:pPr>
      <w:r w:rsidRPr="00D6256D">
        <w:rPr>
          <w:rFonts w:ascii="Palatino Linotype" w:eastAsia="SimSun" w:hAnsi="Palatino Linotype" w:cs="Palatino Linotype"/>
          <w:sz w:val="18"/>
          <w:szCs w:val="18"/>
          <w:lang w:eastAsia="zh-CN"/>
        </w:rPr>
        <w:t>VGI: Volunteered Geographic Information</w:t>
      </w:r>
    </w:p>
    <w:p w14:paraId="3EA90A42" w14:textId="12028101" w:rsidR="00C22CAD" w:rsidRPr="00AD3504" w:rsidRDefault="00EA6423" w:rsidP="00AD3504">
      <w:pPr>
        <w:pStyle w:val="MDPI21heading1"/>
      </w:pPr>
      <w:r w:rsidRPr="00BB17A8">
        <w:t>Appendix A</w:t>
      </w:r>
    </w:p>
    <w:p w14:paraId="19463E32" w14:textId="59506CE0" w:rsidR="00CB06EC" w:rsidRPr="00475043" w:rsidRDefault="00000BC1" w:rsidP="00475043">
      <w:pPr>
        <w:pStyle w:val="MDPI21heading1"/>
        <w:spacing w:before="0" w:after="0" w:line="240" w:lineRule="auto"/>
        <w:jc w:val="both"/>
        <w:rPr>
          <w:b w:val="0"/>
          <w:snapToGrid/>
          <w:szCs w:val="20"/>
          <w:lang w:val="en-GB"/>
        </w:rPr>
      </w:pPr>
      <w:r>
        <w:rPr>
          <w:rFonts w:eastAsia="SimSun" w:cs="Palatino Linotype"/>
          <w:color w:val="auto"/>
          <w:szCs w:val="20"/>
          <w:lang w:eastAsia="zh-CN"/>
        </w:rPr>
        <w:t>A.1</w:t>
      </w:r>
      <w:r w:rsidR="00CB06EC" w:rsidRPr="00791E9F">
        <w:rPr>
          <w:rFonts w:eastAsia="SimSun" w:cs="Palatino Linotype"/>
          <w:color w:val="auto"/>
          <w:szCs w:val="20"/>
          <w:lang w:eastAsia="zh-CN"/>
        </w:rPr>
        <w:t xml:space="preserve"> Entire QA workflow of Figure 2: </w:t>
      </w:r>
      <w:r w:rsidR="00CB06EC" w:rsidRPr="00791E9F">
        <w:rPr>
          <w:b w:val="0"/>
          <w:snapToGrid/>
          <w:szCs w:val="20"/>
          <w:lang w:val="en-GB"/>
        </w:rPr>
        <w:t>annotated BPMN where each QC is labelled with its pillar number, pillar name, and a short textual illustrating the semantic of the process.</w:t>
      </w:r>
      <w:r w:rsidR="00D43988">
        <w:rPr>
          <w:b w:val="0"/>
          <w:snapToGrid/>
          <w:szCs w:val="20"/>
          <w:lang w:val="en-GB"/>
        </w:rPr>
        <w:t xml:space="preserve"> </w:t>
      </w:r>
      <w:r w:rsidR="00CB06EC" w:rsidRPr="00791E9F">
        <w:rPr>
          <w:b w:val="0"/>
          <w:snapToGrid/>
          <w:szCs w:val="20"/>
          <w:lang w:val="en-GB"/>
        </w:rPr>
        <w:t xml:space="preserve">The annotations in brown list the quality metadata output at each step. (see </w:t>
      </w:r>
      <w:hyperlink r:id="rId16" w:history="1">
        <w:r w:rsidR="00CB06EC" w:rsidRPr="00791E9F">
          <w:rPr>
            <w:b w:val="0"/>
            <w:snapToGrid/>
            <w:szCs w:val="20"/>
            <w:lang w:val="en-GB"/>
          </w:rPr>
          <w:t>www.bpmn.org</w:t>
        </w:r>
      </w:hyperlink>
      <w:r w:rsidR="00CB06EC" w:rsidRPr="00791E9F">
        <w:rPr>
          <w:b w:val="0"/>
          <w:snapToGrid/>
          <w:szCs w:val="20"/>
          <w:lang w:val="en-GB"/>
        </w:rPr>
        <w:t xml:space="preserve"> for BPMN artefact descriptions)</w:t>
      </w:r>
    </w:p>
    <w:p w14:paraId="36CCB40B" w14:textId="77777777" w:rsidR="00CB06EC" w:rsidRPr="00791E9F" w:rsidRDefault="00CB06EC" w:rsidP="00CB06EC">
      <w:pPr>
        <w:widowControl w:val="0"/>
        <w:autoSpaceDE w:val="0"/>
        <w:autoSpaceDN w:val="0"/>
        <w:adjustRightInd w:val="0"/>
        <w:ind w:firstLine="420"/>
        <w:rPr>
          <w:rFonts w:ascii="Palatino Linotype" w:eastAsia="SimSun" w:hAnsi="Palatino Linotype" w:cs="Palatino Linotype"/>
          <w:sz w:val="20"/>
          <w:lang w:eastAsia="zh-CN"/>
        </w:rPr>
      </w:pPr>
      <w:r w:rsidRPr="00791E9F">
        <w:rPr>
          <w:rFonts w:ascii="Palatino Linotype" w:hAnsi="Palatino Linotype"/>
          <w:b/>
          <w:noProof/>
          <w:sz w:val="20"/>
          <w:lang w:eastAsia="en-GB"/>
        </w:rPr>
        <w:drawing>
          <wp:inline distT="0" distB="0" distL="0" distR="0" wp14:anchorId="6468785A" wp14:editId="5B8B5B2F">
            <wp:extent cx="5417457" cy="7136130"/>
            <wp:effectExtent l="0" t="0" r="0" b="127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QAQC_knotweed_April2016.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20541" cy="7140193"/>
                    </a:xfrm>
                    <a:prstGeom prst="rect">
                      <a:avLst/>
                    </a:prstGeom>
                    <a:noFill/>
                    <a:ln>
                      <a:noFill/>
                    </a:ln>
                  </pic:spPr>
                </pic:pic>
              </a:graphicData>
            </a:graphic>
          </wp:inline>
        </w:drawing>
      </w:r>
    </w:p>
    <w:p w14:paraId="6623E675" w14:textId="77777777" w:rsidR="00CB06EC" w:rsidRPr="00791E9F" w:rsidRDefault="00CB06EC" w:rsidP="00CB06EC">
      <w:pPr>
        <w:widowControl w:val="0"/>
        <w:autoSpaceDE w:val="0"/>
        <w:autoSpaceDN w:val="0"/>
        <w:adjustRightInd w:val="0"/>
        <w:rPr>
          <w:rFonts w:ascii="Palatino Linotype" w:eastAsia="SimSun" w:hAnsi="Palatino Linotype" w:cs="Palatino Linotype"/>
          <w:sz w:val="20"/>
          <w:lang w:eastAsia="zh-CN"/>
        </w:rPr>
      </w:pPr>
    </w:p>
    <w:p w14:paraId="0A4CF5E4" w14:textId="7497A4EC" w:rsidR="00CB06EC" w:rsidRPr="00791E9F" w:rsidRDefault="00000BC1" w:rsidP="00CB06EC">
      <w:pPr>
        <w:keepNext/>
        <w:autoSpaceDE w:val="0"/>
        <w:autoSpaceDN w:val="0"/>
        <w:adjustRightInd w:val="0"/>
        <w:rPr>
          <w:rFonts w:ascii="Palatino Linotype" w:eastAsia="SimSun" w:hAnsi="Palatino Linotype" w:cs="Palatino Linotype"/>
          <w:sz w:val="20"/>
          <w:lang w:eastAsia="zh-CN"/>
        </w:rPr>
      </w:pPr>
      <w:r>
        <w:rPr>
          <w:rFonts w:ascii="Palatino Linotype" w:eastAsia="SimSun" w:hAnsi="Palatino Linotype" w:cs="Palatino Linotype"/>
          <w:b/>
          <w:sz w:val="20"/>
          <w:lang w:eastAsia="zh-CN"/>
        </w:rPr>
        <w:lastRenderedPageBreak/>
        <w:t>A.2</w:t>
      </w:r>
      <w:r w:rsidR="00CB06EC" w:rsidRPr="00791E9F">
        <w:rPr>
          <w:rFonts w:ascii="Palatino Linotype" w:eastAsia="SimSun" w:hAnsi="Palatino Linotype" w:cs="Palatino Linotype"/>
          <w:b/>
          <w:sz w:val="20"/>
          <w:lang w:eastAsia="zh-CN"/>
        </w:rPr>
        <w:t xml:space="preserve"> Detailing further Figure 2</w:t>
      </w:r>
      <w:r w:rsidR="00CB06EC" w:rsidRPr="00791E9F">
        <w:rPr>
          <w:rFonts w:ascii="Palatino Linotype" w:eastAsia="SimSun" w:hAnsi="Palatino Linotype" w:cs="Palatino Linotype"/>
          <w:sz w:val="20"/>
          <w:lang w:eastAsia="zh-CN"/>
        </w:rPr>
        <w:t xml:space="preserve"> and Section 2 this appendix gives the ‘Short description’, ‘pseudo-code’ and ‘metadata output’ of some of the QCs used in Figure 2.</w:t>
      </w:r>
    </w:p>
    <w:p w14:paraId="4581E812" w14:textId="77777777" w:rsidR="00CB06EC" w:rsidRPr="00262AC7" w:rsidRDefault="00CB06EC" w:rsidP="00CB06EC">
      <w:pPr>
        <w:keepNext/>
        <w:autoSpaceDE w:val="0"/>
        <w:autoSpaceDN w:val="0"/>
        <w:adjustRightInd w:val="0"/>
        <w:rPr>
          <w:rFonts w:eastAsia="SimSun" w:cs="Palatino Linotype"/>
          <w:sz w:val="20"/>
          <w:lang w:eastAsia="zh-CN"/>
        </w:rPr>
      </w:pPr>
    </w:p>
    <w:tbl>
      <w:tblPr>
        <w:tblW w:w="89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80"/>
        <w:gridCol w:w="2924"/>
        <w:gridCol w:w="4878"/>
      </w:tblGrid>
      <w:tr w:rsidR="00CB06EC" w:rsidRPr="00881A69" w14:paraId="14AA98CF" w14:textId="77777777" w:rsidTr="00CB06EC">
        <w:trPr>
          <w:trHeight w:val="565"/>
          <w:jc w:val="right"/>
        </w:trPr>
        <w:tc>
          <w:tcPr>
            <w:tcW w:w="1180" w:type="dxa"/>
            <w:shd w:val="clear" w:color="auto" w:fill="D9D9D9"/>
            <w:hideMark/>
          </w:tcPr>
          <w:p w14:paraId="23B0D5E1" w14:textId="77777777" w:rsidR="00CB06EC" w:rsidRPr="00881A69" w:rsidRDefault="00CB06EC" w:rsidP="00CB06EC">
            <w:pPr>
              <w:keepNext/>
              <w:spacing w:line="220" w:lineRule="exact"/>
              <w:rPr>
                <w:rFonts w:ascii="Monaco" w:hAnsi="Monaco" w:cs="Arial"/>
                <w:sz w:val="18"/>
                <w:szCs w:val="18"/>
              </w:rPr>
            </w:pPr>
            <w:r w:rsidRPr="00881A69">
              <w:rPr>
                <w:rFonts w:ascii="Monaco" w:hAnsi="Monaco" w:cs="Arial"/>
                <w:b/>
                <w:bCs/>
                <w:sz w:val="18"/>
                <w:szCs w:val="18"/>
              </w:rPr>
              <w:t>Pseudo Code</w:t>
            </w:r>
          </w:p>
        </w:tc>
        <w:tc>
          <w:tcPr>
            <w:tcW w:w="2924" w:type="dxa"/>
            <w:shd w:val="clear" w:color="auto" w:fill="D9D9D9"/>
            <w:hideMark/>
          </w:tcPr>
          <w:p w14:paraId="5209DC53" w14:textId="77777777" w:rsidR="00CB06EC" w:rsidRPr="00881A69" w:rsidRDefault="00CB06EC" w:rsidP="00CB06EC">
            <w:pPr>
              <w:keepNext/>
              <w:spacing w:line="220" w:lineRule="exact"/>
              <w:rPr>
                <w:rFonts w:ascii="Monaco" w:hAnsi="Monaco" w:cs="Arial"/>
                <w:sz w:val="18"/>
                <w:szCs w:val="18"/>
              </w:rPr>
            </w:pPr>
            <w:r w:rsidRPr="00881A69">
              <w:rPr>
                <w:rFonts w:ascii="Monaco" w:hAnsi="Monaco" w:cs="Arial"/>
                <w:b/>
                <w:bCs/>
                <w:sz w:val="18"/>
                <w:szCs w:val="18"/>
              </w:rPr>
              <w:t>Short Description</w:t>
            </w:r>
          </w:p>
        </w:tc>
        <w:tc>
          <w:tcPr>
            <w:tcW w:w="4878" w:type="dxa"/>
            <w:shd w:val="clear" w:color="auto" w:fill="D9D9D9"/>
            <w:hideMark/>
          </w:tcPr>
          <w:p w14:paraId="5F562FD8" w14:textId="77777777" w:rsidR="00CB06EC" w:rsidRPr="00881A69" w:rsidRDefault="00CB06EC" w:rsidP="00CB06EC">
            <w:pPr>
              <w:keepNext/>
              <w:spacing w:line="220" w:lineRule="exact"/>
              <w:rPr>
                <w:rFonts w:ascii="Monaco" w:hAnsi="Monaco" w:cs="Arial"/>
                <w:b/>
                <w:bCs/>
                <w:sz w:val="18"/>
                <w:szCs w:val="18"/>
              </w:rPr>
            </w:pPr>
            <w:r w:rsidRPr="00881A69">
              <w:rPr>
                <w:rFonts w:ascii="Monaco" w:hAnsi="Monaco" w:cs="Arial"/>
                <w:b/>
                <w:bCs/>
                <w:sz w:val="18"/>
                <w:szCs w:val="18"/>
              </w:rPr>
              <w:t xml:space="preserve">Quality elements metadata created or updated: </w:t>
            </w:r>
          </w:p>
          <w:p w14:paraId="08766D8E" w14:textId="77777777" w:rsidR="00CB06EC" w:rsidRPr="00881A69" w:rsidRDefault="00CB06EC" w:rsidP="00CB06EC">
            <w:pPr>
              <w:keepNext/>
              <w:spacing w:line="220" w:lineRule="exact"/>
              <w:rPr>
                <w:rFonts w:ascii="Monaco" w:hAnsi="Monaco" w:cs="Arial"/>
                <w:b/>
                <w:bCs/>
                <w:sz w:val="18"/>
                <w:szCs w:val="18"/>
              </w:rPr>
            </w:pPr>
            <w:r w:rsidRPr="00881A69">
              <w:rPr>
                <w:rFonts w:ascii="Monaco" w:hAnsi="Monaco" w:cs="Arial"/>
                <w:b/>
                <w:bCs/>
                <w:sz w:val="18"/>
                <w:szCs w:val="18"/>
              </w:rPr>
              <w:t xml:space="preserve">DQ ISO19157 producer model </w:t>
            </w:r>
          </w:p>
          <w:p w14:paraId="42558C45" w14:textId="77777777" w:rsidR="00CB06EC" w:rsidRPr="00881A69" w:rsidRDefault="00CB06EC" w:rsidP="00CB06EC">
            <w:pPr>
              <w:keepNext/>
              <w:spacing w:line="220" w:lineRule="exact"/>
              <w:rPr>
                <w:rFonts w:ascii="Monaco" w:hAnsi="Monaco" w:cs="Arial"/>
                <w:b/>
                <w:bCs/>
                <w:sz w:val="18"/>
                <w:szCs w:val="18"/>
              </w:rPr>
            </w:pPr>
            <w:r w:rsidRPr="00881A69">
              <w:rPr>
                <w:rFonts w:ascii="Monaco" w:hAnsi="Monaco" w:cs="Arial"/>
                <w:b/>
                <w:bCs/>
                <w:sz w:val="18"/>
                <w:szCs w:val="18"/>
              </w:rPr>
              <w:t>GVQ GeoViQUA’s feedback model (simplified)</w:t>
            </w:r>
          </w:p>
          <w:p w14:paraId="66F308EF" w14:textId="77777777" w:rsidR="00CB06EC" w:rsidRPr="00881A69" w:rsidRDefault="00CB06EC" w:rsidP="00CB06EC">
            <w:pPr>
              <w:keepNext/>
              <w:spacing w:line="220" w:lineRule="exact"/>
              <w:rPr>
                <w:rFonts w:ascii="Monaco" w:hAnsi="Monaco" w:cs="Arial"/>
                <w:b/>
                <w:bCs/>
                <w:sz w:val="18"/>
                <w:szCs w:val="18"/>
              </w:rPr>
            </w:pPr>
            <w:r w:rsidRPr="00881A69">
              <w:rPr>
                <w:rFonts w:ascii="Monaco" w:hAnsi="Monaco" w:cs="Arial"/>
                <w:b/>
                <w:bCs/>
                <w:sz w:val="18"/>
                <w:szCs w:val="18"/>
              </w:rPr>
              <w:t xml:space="preserve">CSQ COBWEB’s stakeholder model </w:t>
            </w:r>
          </w:p>
        </w:tc>
      </w:tr>
      <w:tr w:rsidR="00CB06EC" w:rsidRPr="00881A69" w14:paraId="0F6D2163" w14:textId="77777777" w:rsidTr="00CB06EC">
        <w:trPr>
          <w:trHeight w:val="362"/>
          <w:jc w:val="right"/>
        </w:trPr>
        <w:tc>
          <w:tcPr>
            <w:tcW w:w="8982" w:type="dxa"/>
            <w:gridSpan w:val="3"/>
            <w:shd w:val="clear" w:color="auto" w:fill="D9D9D9"/>
            <w:hideMark/>
          </w:tcPr>
          <w:p w14:paraId="6FB50AD3"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pillar1.LocationBasedServicePosition.RelativePositionLineOfSight</w:t>
            </w:r>
          </w:p>
        </w:tc>
      </w:tr>
      <w:tr w:rsidR="00CB06EC" w:rsidRPr="00881A69" w14:paraId="215CF988" w14:textId="77777777" w:rsidTr="00CB06EC">
        <w:trPr>
          <w:trHeight w:val="510"/>
          <w:jc w:val="right"/>
        </w:trPr>
        <w:tc>
          <w:tcPr>
            <w:tcW w:w="8982" w:type="dxa"/>
            <w:gridSpan w:val="3"/>
            <w:shd w:val="clear" w:color="auto" w:fill="auto"/>
            <w:hideMark/>
          </w:tcPr>
          <w:p w14:paraId="4916518A"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7842EAB4"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"citizen position, DEM, tilt and bearing of the phone "</w:t>
            </w:r>
            <w:r w:rsidRPr="00881A69">
              <w:rPr>
                <w:rFonts w:ascii="Monaco" w:eastAsia="SimSun" w:hAnsi="Monaco" w:cs="Monaco"/>
                <w:color w:val="0000CC"/>
                <w:sz w:val="18"/>
                <w:szCs w:val="18"/>
                <w:lang w:eastAsia="zh-CN"/>
              </w:rPr>
              <w:t>)</w:t>
            </w:r>
          </w:p>
          <w:p w14:paraId="3A32F7D9"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LoSpt</w:t>
            </w:r>
            <w:r w:rsidRPr="00881A69">
              <w:rPr>
                <w:rFonts w:ascii="Monaco" w:eastAsia="SimSun" w:hAnsi="Monaco" w:cs="Monaco"/>
                <w:color w:val="0000CC"/>
                <w:sz w:val="18"/>
                <w:szCs w:val="18"/>
                <w:lang w:eastAsia="zh-CN"/>
              </w:rPr>
              <w:t>=computeTheLoSpoint(</w:t>
            </w:r>
            <w:r w:rsidRPr="00881A69">
              <w:rPr>
                <w:rFonts w:ascii="Monaco" w:eastAsia="SimSun" w:hAnsi="Monaco" w:cs="Monaco"/>
                <w:color w:val="333333"/>
                <w:sz w:val="18"/>
                <w:szCs w:val="18"/>
                <w:lang w:eastAsia="zh-CN"/>
              </w:rPr>
              <w:t>position</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DEM</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tilt</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bearing</w:t>
            </w:r>
            <w:r w:rsidRPr="00881A69">
              <w:rPr>
                <w:rFonts w:ascii="Monaco" w:eastAsia="SimSun" w:hAnsi="Monaco" w:cs="Monaco"/>
                <w:color w:val="0000CC"/>
                <w:sz w:val="18"/>
                <w:szCs w:val="18"/>
                <w:lang w:eastAsia="zh-CN"/>
              </w:rPr>
              <w:t>)</w:t>
            </w:r>
          </w:p>
          <w:p w14:paraId="505B0E6E"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"input DEM uncertainty and position uncertainty"</w:t>
            </w:r>
            <w:r w:rsidRPr="00881A69">
              <w:rPr>
                <w:rFonts w:ascii="Monaco" w:eastAsia="SimSun" w:hAnsi="Monaco" w:cs="Monaco"/>
                <w:color w:val="0000CC"/>
                <w:sz w:val="18"/>
                <w:szCs w:val="18"/>
                <w:lang w:eastAsia="zh-CN"/>
              </w:rPr>
              <w:t>)</w:t>
            </w:r>
          </w:p>
          <w:p w14:paraId="5045808E"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w:t>
            </w:r>
            <w:r w:rsidRPr="00881A69">
              <w:rPr>
                <w:rFonts w:ascii="Monaco" w:eastAsia="SimSun" w:hAnsi="Monaco" w:cs="Monaco"/>
                <w:color w:val="0000CC"/>
                <w:sz w:val="18"/>
                <w:szCs w:val="18"/>
                <w:lang w:eastAsia="zh-CN"/>
              </w:rPr>
              <w:t>=distance(</w:t>
            </w:r>
            <w:r w:rsidRPr="00881A69">
              <w:rPr>
                <w:rFonts w:ascii="Monaco" w:eastAsia="SimSun" w:hAnsi="Monaco" w:cs="Monaco"/>
                <w:color w:val="333333"/>
                <w:sz w:val="18"/>
                <w:szCs w:val="18"/>
                <w:lang w:eastAsia="zh-CN"/>
              </w:rPr>
              <w:t>position</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LoSpoint</w:t>
            </w:r>
            <w:r w:rsidRPr="00881A69">
              <w:rPr>
                <w:rFonts w:ascii="Monaco" w:eastAsia="SimSun" w:hAnsi="Monaco" w:cs="Monaco"/>
                <w:color w:val="0000CC"/>
                <w:sz w:val="18"/>
                <w:szCs w:val="18"/>
                <w:lang w:eastAsia="zh-CN"/>
              </w:rPr>
              <w:t>)</w:t>
            </w:r>
          </w:p>
          <w:p w14:paraId="1561A553"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sd</w:t>
            </w:r>
            <w:r w:rsidRPr="00881A69">
              <w:rPr>
                <w:rFonts w:ascii="Monaco" w:eastAsia="SimSun" w:hAnsi="Monaco" w:cs="Monaco"/>
                <w:color w:val="0000CC"/>
                <w:sz w:val="18"/>
                <w:szCs w:val="18"/>
                <w:lang w:eastAsia="zh-CN"/>
              </w:rPr>
              <w:t>= uncertaintyofDistance(</w:t>
            </w:r>
            <w:r w:rsidRPr="00881A69">
              <w:rPr>
                <w:rFonts w:ascii="Monaco" w:eastAsia="SimSun" w:hAnsi="Monaco" w:cs="Monaco"/>
                <w:color w:val="333333"/>
                <w:sz w:val="18"/>
                <w:szCs w:val="18"/>
                <w:lang w:eastAsia="zh-CN"/>
              </w:rPr>
              <w:t>d</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DEM_Accuracy</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DQ_AbsoluteExternalPositionalAccuracy</w:t>
            </w:r>
            <w:r w:rsidRPr="00881A69">
              <w:rPr>
                <w:rFonts w:ascii="Monaco" w:eastAsia="SimSun" w:hAnsi="Monaco" w:cs="Monaco"/>
                <w:color w:val="0000CC"/>
                <w:sz w:val="18"/>
                <w:szCs w:val="18"/>
                <w:lang w:eastAsia="zh-CN"/>
              </w:rPr>
              <w:t xml:space="preserve">) </w:t>
            </w:r>
          </w:p>
          <w:p w14:paraId="5E101D8B"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"choosing Threshold distance"</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800000"/>
                <w:sz w:val="18"/>
                <w:szCs w:val="18"/>
                <w:lang w:eastAsia="zh-CN"/>
              </w:rPr>
              <w:t>"OptionSwap=TRUE or FALSE"</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p</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below</w:t>
            </w:r>
            <w:r w:rsidRPr="00881A69">
              <w:rPr>
                <w:rFonts w:ascii="Monaco" w:eastAsia="SimSun" w:hAnsi="Monaco" w:cs="Monaco"/>
                <w:color w:val="0000CC"/>
                <w:sz w:val="18"/>
                <w:szCs w:val="18"/>
                <w:lang w:eastAsia="zh-CN"/>
              </w:rPr>
              <w:t>=</w:t>
            </w:r>
            <w:r w:rsidRPr="00881A69">
              <w:rPr>
                <w:rFonts w:ascii="Monaco" w:eastAsia="SimSun" w:hAnsi="Monaco" w:cs="Monaco"/>
                <w:color w:val="804000"/>
                <w:sz w:val="18"/>
                <w:szCs w:val="18"/>
                <w:lang w:eastAsia="zh-CN"/>
              </w:rPr>
              <w:t>0.6</w:t>
            </w:r>
            <w:r w:rsidRPr="00881A69">
              <w:rPr>
                <w:rFonts w:ascii="Monaco" w:eastAsia="SimSun" w:hAnsi="Monaco" w:cs="Monaco"/>
                <w:color w:val="0000CC"/>
                <w:sz w:val="18"/>
                <w:szCs w:val="18"/>
                <w:lang w:eastAsia="zh-CN"/>
              </w:rPr>
              <w:t>)</w:t>
            </w:r>
          </w:p>
          <w:p w14:paraId="2B4A46C6"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DQ_topologicalConsistency</w:t>
            </w:r>
            <w:r w:rsidRPr="00881A69">
              <w:rPr>
                <w:rFonts w:ascii="Monaco" w:eastAsia="SimSun" w:hAnsi="Monaco" w:cs="Monaco"/>
                <w:color w:val="0000CC"/>
                <w:sz w:val="18"/>
                <w:szCs w:val="18"/>
                <w:lang w:eastAsia="zh-CN"/>
              </w:rPr>
              <w:t>=probability(GaussianDistribution(</w:t>
            </w:r>
            <w:r w:rsidRPr="00881A69">
              <w:rPr>
                <w:rFonts w:ascii="Monaco" w:eastAsia="SimSun" w:hAnsi="Monaco" w:cs="Monaco"/>
                <w:color w:val="333333"/>
                <w:sz w:val="18"/>
                <w:szCs w:val="18"/>
                <w:lang w:eastAsia="zh-CN"/>
              </w:rPr>
              <w:t>d</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sd</w:t>
            </w:r>
            <w:r w:rsidRPr="00881A69">
              <w:rPr>
                <w:rFonts w:ascii="Monaco" w:eastAsia="SimSun" w:hAnsi="Monaco" w:cs="Monaco"/>
                <w:color w:val="0000CC"/>
                <w:sz w:val="18"/>
                <w:szCs w:val="18"/>
                <w:lang w:eastAsia="zh-CN"/>
              </w:rPr>
              <w:t>^</w:t>
            </w:r>
            <w:r w:rsidRPr="00881A69">
              <w:rPr>
                <w:rFonts w:ascii="Monaco" w:eastAsia="SimSun" w:hAnsi="Monaco" w:cs="Monaco"/>
                <w:color w:val="804000"/>
                <w:sz w:val="18"/>
                <w:szCs w:val="18"/>
                <w:lang w:eastAsia="zh-CN"/>
              </w:rPr>
              <w:t>2</w:t>
            </w:r>
            <w:r w:rsidRPr="00881A69">
              <w:rPr>
                <w:rFonts w:ascii="Monaco" w:eastAsia="SimSun" w:hAnsi="Monaco" w:cs="Monaco"/>
                <w:color w:val="0000CC"/>
                <w:sz w:val="18"/>
                <w:szCs w:val="18"/>
                <w:lang w:eastAsia="zh-CN"/>
              </w:rPr>
              <w:t>)&lt;=</w:t>
            </w:r>
            <w:r w:rsidRPr="00881A69">
              <w:rPr>
                <w:rFonts w:ascii="Monaco" w:eastAsia="SimSun" w:hAnsi="Monaco" w:cs="Monaco"/>
                <w:color w:val="333333"/>
                <w:sz w:val="18"/>
                <w:szCs w:val="18"/>
                <w:lang w:eastAsia="zh-CN"/>
              </w:rPr>
              <w:t>Threshold</w:t>
            </w:r>
            <w:r w:rsidRPr="00881A69">
              <w:rPr>
                <w:rFonts w:ascii="Monaco" w:eastAsia="SimSun" w:hAnsi="Monaco" w:cs="Monaco"/>
                <w:color w:val="0000CC"/>
                <w:sz w:val="18"/>
                <w:szCs w:val="18"/>
                <w:lang w:eastAsia="zh-CN"/>
              </w:rPr>
              <w:t>)</w:t>
            </w:r>
          </w:p>
          <w:p w14:paraId="5B89D546"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eastAsia="zh-CN"/>
              </w:rPr>
              <w:t>if</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OptionSwap</w:t>
            </w:r>
            <w:r w:rsidRPr="00881A69">
              <w:rPr>
                <w:rFonts w:ascii="Monaco" w:eastAsia="SimSun" w:hAnsi="Monaco" w:cs="Monaco"/>
                <w:color w:val="0000CC"/>
                <w:sz w:val="18"/>
                <w:szCs w:val="18"/>
                <w:lang w:eastAsia="zh-CN"/>
              </w:rPr>
              <w:t xml:space="preserve"> &amp; </w:t>
            </w:r>
            <w:r w:rsidRPr="00881A69">
              <w:rPr>
                <w:rFonts w:ascii="Monaco" w:eastAsia="SimSun" w:hAnsi="Monaco" w:cs="Monaco"/>
                <w:color w:val="333333"/>
                <w:sz w:val="18"/>
                <w:szCs w:val="18"/>
                <w:lang w:eastAsia="zh-CN"/>
              </w:rPr>
              <w:t>DQ_topologicalConsistency</w:t>
            </w:r>
            <w:r w:rsidRPr="00881A69">
              <w:rPr>
                <w:rFonts w:ascii="Monaco" w:eastAsia="SimSun" w:hAnsi="Monaco" w:cs="Monaco"/>
                <w:color w:val="0000CC"/>
                <w:sz w:val="18"/>
                <w:szCs w:val="18"/>
                <w:lang w:eastAsia="zh-CN"/>
              </w:rPr>
              <w:t xml:space="preserve"> &lt; </w:t>
            </w:r>
            <w:r w:rsidRPr="00881A69">
              <w:rPr>
                <w:rFonts w:ascii="Monaco" w:eastAsia="SimSun" w:hAnsi="Monaco" w:cs="Monaco"/>
                <w:color w:val="333333"/>
                <w:sz w:val="18"/>
                <w:szCs w:val="18"/>
                <w:lang w:eastAsia="zh-CN"/>
              </w:rPr>
              <w:t>p</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below</w:t>
            </w:r>
            <w:r w:rsidRPr="00881A69">
              <w:rPr>
                <w:rFonts w:ascii="Monaco" w:eastAsia="SimSun" w:hAnsi="Monaco" w:cs="Monaco"/>
                <w:color w:val="0000CC"/>
                <w:sz w:val="18"/>
                <w:szCs w:val="18"/>
                <w:lang w:eastAsia="zh-CN"/>
              </w:rPr>
              <w:t>) swapToLoS(</w:t>
            </w:r>
            <w:r w:rsidRPr="00881A69">
              <w:rPr>
                <w:rFonts w:ascii="Monaco" w:eastAsia="SimSun" w:hAnsi="Monaco" w:cs="Monaco"/>
                <w:color w:val="333333"/>
                <w:sz w:val="18"/>
                <w:szCs w:val="18"/>
                <w:lang w:eastAsia="zh-CN"/>
              </w:rPr>
              <w:t>position</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LoSpoint</w:t>
            </w:r>
            <w:r w:rsidRPr="00881A69">
              <w:rPr>
                <w:rFonts w:ascii="Monaco" w:eastAsia="SimSun" w:hAnsi="Monaco" w:cs="Monaco"/>
                <w:color w:val="0000CC"/>
                <w:sz w:val="18"/>
                <w:szCs w:val="18"/>
                <w:lang w:eastAsia="zh-CN"/>
              </w:rPr>
              <w:t>)</w:t>
            </w:r>
          </w:p>
          <w:p w14:paraId="51C7B2E0"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update(</w:t>
            </w:r>
            <w:r w:rsidRPr="00881A69">
              <w:rPr>
                <w:rFonts w:ascii="Monaco" w:eastAsia="SimSun" w:hAnsi="Monaco" w:cs="Monaco"/>
                <w:color w:val="333333"/>
                <w:sz w:val="18"/>
                <w:szCs w:val="18"/>
                <w:lang w:eastAsia="zh-CN"/>
              </w:rPr>
              <w:t>DQ_TopologicalConsistency</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DQ_Usablility</w:t>
            </w:r>
            <w:r w:rsidRPr="00881A69">
              <w:rPr>
                <w:rFonts w:ascii="Monaco" w:eastAsia="SimSun" w:hAnsi="Monaco" w:cs="Monaco"/>
                <w:color w:val="0000CC"/>
                <w:sz w:val="18"/>
                <w:szCs w:val="18"/>
                <w:lang w:eastAsia="zh-CN"/>
              </w:rPr>
              <w:t>)</w:t>
            </w:r>
          </w:p>
          <w:p w14:paraId="75260A0C" w14:textId="77777777" w:rsidR="00A27861" w:rsidRPr="00881A69" w:rsidRDefault="00A27861" w:rsidP="00A27861">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jc w:val="left"/>
              <w:rPr>
                <w:rFonts w:ascii="Monaco" w:eastAsia="SimSun" w:hAnsi="Monaco" w:cs="Monaco"/>
                <w:color w:val="0000CC"/>
                <w:sz w:val="18"/>
                <w:szCs w:val="18"/>
                <w:lang w:val="fr-FR"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0000CC"/>
                <w:sz w:val="18"/>
                <w:szCs w:val="18"/>
                <w:lang w:val="fr-FR" w:eastAsia="zh-CN"/>
              </w:rPr>
              <w:t>update(</w:t>
            </w:r>
            <w:r w:rsidRPr="00881A69">
              <w:rPr>
                <w:rFonts w:ascii="Monaco" w:eastAsia="SimSun" w:hAnsi="Monaco" w:cs="Monaco"/>
                <w:color w:val="333333"/>
                <w:sz w:val="18"/>
                <w:szCs w:val="18"/>
                <w:lang w:val="fr-FR" w:eastAsia="zh-CN"/>
              </w:rPr>
              <w:t>DQ_AbsoluteExternalPositionalAccuracy</w:t>
            </w:r>
            <w:r w:rsidRPr="00881A69">
              <w:rPr>
                <w:rFonts w:ascii="Monaco" w:eastAsia="SimSun" w:hAnsi="Monaco" w:cs="Monaco"/>
                <w:color w:val="0000CC"/>
                <w:sz w:val="18"/>
                <w:szCs w:val="18"/>
                <w:lang w:val="fr-FR" w:eastAsia="zh-CN"/>
              </w:rPr>
              <w:t xml:space="preserve">)  </w:t>
            </w:r>
          </w:p>
          <w:p w14:paraId="65C71427" w14:textId="4F5C63EC" w:rsidR="00CB06EC" w:rsidRPr="00881A69" w:rsidRDefault="00A27861" w:rsidP="00A27861">
            <w:pPr>
              <w:spacing w:line="220" w:lineRule="exact"/>
              <w:jc w:val="left"/>
              <w:rPr>
                <w:rFonts w:ascii="Monaco" w:hAnsi="Monaco" w:cs="Arial"/>
                <w:sz w:val="18"/>
                <w:szCs w:val="18"/>
              </w:rPr>
            </w:pPr>
            <w:r w:rsidRPr="00881A69">
              <w:rPr>
                <w:rFonts w:ascii="Monaco" w:eastAsia="SimSun" w:hAnsi="Monaco" w:cs="Monaco"/>
                <w:color w:val="8000FF"/>
                <w:sz w:val="18"/>
                <w:szCs w:val="18"/>
                <w:lang w:val="fr-FR" w:eastAsia="zh-CN"/>
              </w:rPr>
              <w:t>#end</w:t>
            </w:r>
          </w:p>
        </w:tc>
      </w:tr>
      <w:tr w:rsidR="00CB06EC" w:rsidRPr="00881A69" w14:paraId="495BB71C" w14:textId="77777777" w:rsidTr="00CB06EC">
        <w:trPr>
          <w:trHeight w:val="720"/>
          <w:jc w:val="right"/>
        </w:trPr>
        <w:tc>
          <w:tcPr>
            <w:tcW w:w="4104" w:type="dxa"/>
            <w:gridSpan w:val="2"/>
            <w:shd w:val="clear" w:color="auto" w:fill="auto"/>
          </w:tcPr>
          <w:p w14:paraId="06DD9653"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Compute the line of sight, aiming point and distance to it. Swap to LoS point under certain conditions</w:t>
            </w:r>
          </w:p>
          <w:p w14:paraId="7DDC9F4D" w14:textId="77777777" w:rsidR="00CB06EC" w:rsidRPr="00881A69" w:rsidRDefault="00CB06EC" w:rsidP="00CB06EC">
            <w:pPr>
              <w:spacing w:line="220" w:lineRule="exact"/>
              <w:rPr>
                <w:rFonts w:ascii="Monaco" w:hAnsi="Monaco" w:cs="Arial"/>
                <w:sz w:val="18"/>
                <w:szCs w:val="18"/>
              </w:rPr>
            </w:pPr>
          </w:p>
          <w:p w14:paraId="13D8532C"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DEM</w:t>
            </w:r>
          </w:p>
          <w:p w14:paraId="6CFB7EBF"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ThresholdDistance</w:t>
            </w:r>
          </w:p>
          <w:p w14:paraId="073A5555"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p-below</w:t>
            </w:r>
          </w:p>
          <w:p w14:paraId="63E85FBD"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 xml:space="preserve">OptionSwap </w:t>
            </w:r>
          </w:p>
        </w:tc>
        <w:tc>
          <w:tcPr>
            <w:tcW w:w="4878" w:type="dxa"/>
            <w:shd w:val="clear" w:color="auto" w:fill="auto"/>
          </w:tcPr>
          <w:p w14:paraId="64ADC8E6"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7A01075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DQ_TopologicalConsistency</w:t>
            </w:r>
          </w:p>
          <w:p w14:paraId="14831150" w14:textId="77777777" w:rsidR="00CB06EC" w:rsidRPr="00881A69" w:rsidRDefault="00CB06EC" w:rsidP="00CB06EC">
            <w:pPr>
              <w:spacing w:line="220" w:lineRule="exact"/>
              <w:rPr>
                <w:rFonts w:ascii="Monaco" w:hAnsi="Monaco" w:cs="Arial"/>
                <w:sz w:val="18"/>
                <w:szCs w:val="18"/>
              </w:rPr>
            </w:pPr>
          </w:p>
          <w:p w14:paraId="033BDDD8"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-LoS.point / DQ_AbsoluteExternalPositionalAccuracy</w:t>
            </w:r>
          </w:p>
          <w:p w14:paraId="2ABA484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 xml:space="preserve">with scope defined as “LoS” . </w:t>
            </w:r>
          </w:p>
          <w:p w14:paraId="477407CA" w14:textId="77777777" w:rsidR="00CB06EC" w:rsidRPr="00881A69" w:rsidRDefault="00CB06EC" w:rsidP="00CB06EC">
            <w:pPr>
              <w:spacing w:line="220" w:lineRule="exact"/>
              <w:rPr>
                <w:rFonts w:ascii="Monaco" w:hAnsi="Monaco" w:cs="Arial"/>
                <w:sz w:val="18"/>
                <w:szCs w:val="18"/>
              </w:rPr>
            </w:pPr>
          </w:p>
        </w:tc>
      </w:tr>
      <w:tr w:rsidR="00CB06EC" w:rsidRPr="00881A69" w14:paraId="504F6DD2" w14:textId="77777777" w:rsidTr="00CB06EC">
        <w:trPr>
          <w:trHeight w:val="362"/>
          <w:jc w:val="right"/>
        </w:trPr>
        <w:tc>
          <w:tcPr>
            <w:tcW w:w="8982" w:type="dxa"/>
            <w:gridSpan w:val="3"/>
            <w:shd w:val="clear" w:color="auto" w:fill="D9D9D9"/>
            <w:hideMark/>
          </w:tcPr>
          <w:p w14:paraId="5E8C8822"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pillar2.Cleaning.LocationQuality</w:t>
            </w:r>
          </w:p>
        </w:tc>
      </w:tr>
      <w:tr w:rsidR="00CB06EC" w:rsidRPr="00881A69" w14:paraId="2338BB29" w14:textId="77777777" w:rsidTr="00CB06EC">
        <w:trPr>
          <w:trHeight w:val="510"/>
          <w:jc w:val="right"/>
        </w:trPr>
        <w:tc>
          <w:tcPr>
            <w:tcW w:w="8982" w:type="dxa"/>
            <w:gridSpan w:val="3"/>
            <w:shd w:val="clear" w:color="auto" w:fill="auto"/>
            <w:hideMark/>
          </w:tcPr>
          <w:p w14:paraId="1234F998"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1557E9B4"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b/>
                <w:color w:val="800000"/>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 xml:space="preserve">"input citizen position, </w:t>
            </w:r>
            <w:r w:rsidRPr="00881A69">
              <w:rPr>
                <w:rFonts w:ascii="Monaco" w:eastAsia="SimSun" w:hAnsi="Monaco" w:cs="Monaco"/>
                <w:b/>
                <w:color w:val="800000"/>
                <w:sz w:val="18"/>
                <w:szCs w:val="18"/>
                <w:lang w:eastAsia="zh-CN"/>
              </w:rPr>
              <w:t>DQlevelThreshold, PosUnThreshold, methods</w:t>
            </w:r>
            <w:r w:rsidRPr="00881A69">
              <w:rPr>
                <w:rFonts w:ascii="Monaco" w:eastAsia="SimSun" w:hAnsi="Monaco" w:cs="Monaco"/>
                <w:color w:val="800000"/>
                <w:sz w:val="18"/>
                <w:szCs w:val="18"/>
                <w:lang w:eastAsia="zh-CN"/>
              </w:rPr>
              <w:t>"</w:t>
            </w:r>
            <w:r w:rsidRPr="00881A69">
              <w:rPr>
                <w:rFonts w:ascii="Monaco" w:eastAsia="SimSun" w:hAnsi="Monaco" w:cs="Monaco"/>
                <w:color w:val="0000CC"/>
                <w:sz w:val="18"/>
                <w:szCs w:val="18"/>
                <w:lang w:eastAsia="zh-CN"/>
              </w:rPr>
              <w:t>)</w:t>
            </w:r>
          </w:p>
          <w:p w14:paraId="68AD5BAE"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eastAsia="zh-CN"/>
              </w:rPr>
              <w:t>for each observation {</w:t>
            </w:r>
          </w:p>
          <w:p w14:paraId="5DA31261"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408000"/>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eastAsia="zh-CN"/>
              </w:rPr>
              <w:t>for each method in methods {</w:t>
            </w:r>
          </w:p>
          <w:p w14:paraId="5404E9DB"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DQ_usability</w:t>
            </w:r>
            <w:r w:rsidRPr="00881A69">
              <w:rPr>
                <w:rFonts w:ascii="Monaco" w:eastAsia="SimSun" w:hAnsi="Monaco" w:cs="Monaco"/>
                <w:color w:val="0000CC"/>
                <w:sz w:val="18"/>
                <w:szCs w:val="18"/>
                <w:lang w:eastAsia="zh-CN"/>
              </w:rPr>
              <w:t>=evaluateRule(</w:t>
            </w:r>
            <w:r w:rsidRPr="00881A69">
              <w:rPr>
                <w:rFonts w:ascii="Monaco" w:hAnsi="Monaco" w:cs="Arial"/>
                <w:sz w:val="18"/>
                <w:szCs w:val="18"/>
              </w:rPr>
              <w:t>DQ_AbsoluteExternalPositionalAccuracy</w:t>
            </w:r>
            <w:r w:rsidRPr="00881A69">
              <w:rPr>
                <w:rFonts w:ascii="Monaco" w:eastAsia="SimSun" w:hAnsi="Monaco" w:cs="Monaco"/>
                <w:color w:val="333333"/>
                <w:sz w:val="18"/>
                <w:szCs w:val="18"/>
                <w:lang w:eastAsia="zh-CN"/>
              </w:rPr>
              <w:t>,             DQ_usability, DQ_topologicalconsistency, DQ_conceptualconsistency</w:t>
            </w:r>
            <w:r w:rsidRPr="00881A69">
              <w:rPr>
                <w:rFonts w:ascii="Monaco" w:eastAsia="SimSun" w:hAnsi="Monaco" w:cs="Monaco"/>
                <w:color w:val="0000CC"/>
                <w:sz w:val="18"/>
                <w:szCs w:val="18"/>
                <w:lang w:eastAsia="zh-CN"/>
              </w:rPr>
              <w:t>)</w:t>
            </w:r>
          </w:p>
          <w:p w14:paraId="5B8C4F7F"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408000"/>
                <w:sz w:val="18"/>
                <w:szCs w:val="18"/>
                <w:lang w:eastAsia="zh-CN"/>
              </w:rPr>
              <w:t xml:space="preserve">      </w:t>
            </w:r>
            <w:r w:rsidRPr="00881A69">
              <w:rPr>
                <w:rFonts w:ascii="Monaco" w:eastAsia="SimSun" w:hAnsi="Monaco" w:cs="Monaco"/>
                <w:color w:val="408000"/>
                <w:sz w:val="18"/>
                <w:szCs w:val="18"/>
                <w:lang w:val="fr-FR" w:eastAsia="zh-CN"/>
              </w:rPr>
              <w:t>}</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val="fr-FR" w:eastAsia="zh-CN"/>
              </w:rPr>
              <w:t>}</w:t>
            </w:r>
          </w:p>
          <w:p w14:paraId="30D2AC48"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update(</w:t>
            </w:r>
            <w:r w:rsidRPr="00881A69">
              <w:rPr>
                <w:rFonts w:ascii="Monaco" w:eastAsia="SimSun" w:hAnsi="Monaco" w:cs="Monaco"/>
                <w:color w:val="333333"/>
                <w:sz w:val="18"/>
                <w:szCs w:val="18"/>
                <w:lang w:eastAsia="zh-CN"/>
              </w:rPr>
              <w:t>CSQs</w:t>
            </w:r>
            <w:r w:rsidRPr="00881A69">
              <w:rPr>
                <w:rFonts w:ascii="Monaco" w:eastAsia="SimSun" w:hAnsi="Monaco" w:cs="Monaco"/>
                <w:color w:val="0000CC"/>
                <w:sz w:val="18"/>
                <w:szCs w:val="18"/>
                <w:lang w:eastAsia="zh-CN"/>
              </w:rPr>
              <w:t xml:space="preserve">)  </w:t>
            </w:r>
          </w:p>
          <w:p w14:paraId="1D280446"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8000FF"/>
                <w:sz w:val="18"/>
                <w:szCs w:val="18"/>
                <w:lang w:eastAsia="zh-CN"/>
              </w:rPr>
              <w:t>#end</w:t>
            </w:r>
          </w:p>
        </w:tc>
      </w:tr>
      <w:tr w:rsidR="00CB06EC" w:rsidRPr="00881A69" w14:paraId="2747E655" w14:textId="77777777" w:rsidTr="00CB06EC">
        <w:trPr>
          <w:trHeight w:val="720"/>
          <w:jc w:val="right"/>
        </w:trPr>
        <w:tc>
          <w:tcPr>
            <w:tcW w:w="4104" w:type="dxa"/>
            <w:gridSpan w:val="2"/>
            <w:shd w:val="clear" w:color="auto" w:fill="auto"/>
          </w:tcPr>
          <w:p w14:paraId="5270E38B"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According to the study requirement check if position is correct and/or can be corrected</w:t>
            </w:r>
          </w:p>
          <w:p w14:paraId="4FD6288E" w14:textId="77777777" w:rsidR="00CB06EC" w:rsidRPr="00881A69" w:rsidRDefault="00CB06EC" w:rsidP="00CB06EC">
            <w:pPr>
              <w:spacing w:line="220" w:lineRule="exact"/>
              <w:rPr>
                <w:rFonts w:ascii="Monaco" w:hAnsi="Monaco" w:cs="Arial"/>
                <w:sz w:val="18"/>
                <w:szCs w:val="18"/>
              </w:rPr>
            </w:pPr>
            <w:r w:rsidRPr="00881A69">
              <w:rPr>
                <w:rFonts w:ascii="Monaco" w:hAnsi="Monaco" w:cs="Arial"/>
                <w:b/>
                <w:sz w:val="18"/>
                <w:szCs w:val="18"/>
              </w:rPr>
              <w:t>methods</w:t>
            </w:r>
            <w:r w:rsidRPr="00881A69">
              <w:rPr>
                <w:rFonts w:ascii="Monaco" w:hAnsi="Monaco" w:cs="Arial"/>
                <w:sz w:val="18"/>
                <w:szCs w:val="18"/>
              </w:rPr>
              <w:t xml:space="preserve">: </w:t>
            </w:r>
          </w:p>
          <w:p w14:paraId="65DEC05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“pillar1.WithinPoly”, ”pillar1.LineOFSight”, “pillar1,ContainsPoly”, “pillar1.GetSpatialAccuracy”,</w:t>
            </w:r>
          </w:p>
          <w:p w14:paraId="2D8624B2"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”pillar4.or pillar1.DistanceTo”</w:t>
            </w:r>
          </w:p>
          <w:p w14:paraId="0E3A9F01"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DQlevelThreshold</w:t>
            </w:r>
          </w:p>
          <w:p w14:paraId="79F290C6" w14:textId="77777777" w:rsidR="00CB06EC" w:rsidRPr="00881A69" w:rsidRDefault="00CB06EC" w:rsidP="00CB06EC">
            <w:pPr>
              <w:spacing w:line="220" w:lineRule="exact"/>
              <w:rPr>
                <w:rFonts w:ascii="Monaco" w:hAnsi="Monaco" w:cs="Arial"/>
                <w:sz w:val="18"/>
                <w:szCs w:val="18"/>
              </w:rPr>
            </w:pPr>
            <w:r w:rsidRPr="00881A69">
              <w:rPr>
                <w:rFonts w:ascii="Monaco" w:hAnsi="Monaco" w:cs="Arial"/>
                <w:b/>
                <w:sz w:val="18"/>
                <w:szCs w:val="18"/>
              </w:rPr>
              <w:t>PosUncertaintyThreshold</w:t>
            </w:r>
          </w:p>
          <w:p w14:paraId="69A8EA99" w14:textId="77777777" w:rsidR="00CB06EC" w:rsidRPr="00881A69" w:rsidRDefault="00CB06EC" w:rsidP="00CB06EC">
            <w:pPr>
              <w:spacing w:line="220" w:lineRule="exact"/>
              <w:rPr>
                <w:rFonts w:ascii="Monaco" w:hAnsi="Monaco" w:cs="Arial"/>
                <w:b/>
                <w:sz w:val="18"/>
                <w:szCs w:val="18"/>
              </w:rPr>
            </w:pPr>
          </w:p>
        </w:tc>
        <w:tc>
          <w:tcPr>
            <w:tcW w:w="4878" w:type="dxa"/>
            <w:shd w:val="clear" w:color="auto" w:fill="auto"/>
          </w:tcPr>
          <w:p w14:paraId="103CD45D"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08ABB307"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CSQ_Vagueness</w:t>
            </w:r>
          </w:p>
          <w:p w14:paraId="3DFFD2B5"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CSQ_Judgement</w:t>
            </w:r>
          </w:p>
          <w:p w14:paraId="1A43485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CSQ_Reliability</w:t>
            </w:r>
          </w:p>
          <w:p w14:paraId="223A07BF"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 xml:space="preserve">CSQ_Validity </w:t>
            </w:r>
          </w:p>
        </w:tc>
      </w:tr>
      <w:tr w:rsidR="00CB06EC" w:rsidRPr="00881A69" w14:paraId="4205A60A" w14:textId="77777777" w:rsidTr="00CB06EC">
        <w:trPr>
          <w:trHeight w:val="362"/>
          <w:jc w:val="right"/>
        </w:trPr>
        <w:tc>
          <w:tcPr>
            <w:tcW w:w="8982" w:type="dxa"/>
            <w:gridSpan w:val="3"/>
            <w:shd w:val="clear" w:color="auto" w:fill="D9D9D9"/>
            <w:hideMark/>
          </w:tcPr>
          <w:p w14:paraId="0C5C0A59"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pillar3.AutomaticValidation.PhotoQuality</w:t>
            </w:r>
          </w:p>
        </w:tc>
      </w:tr>
      <w:tr w:rsidR="00CB06EC" w:rsidRPr="00881A69" w14:paraId="3B39328B" w14:textId="77777777" w:rsidTr="00CB06EC">
        <w:trPr>
          <w:trHeight w:val="510"/>
          <w:jc w:val="right"/>
        </w:trPr>
        <w:tc>
          <w:tcPr>
            <w:tcW w:w="8982" w:type="dxa"/>
            <w:gridSpan w:val="3"/>
            <w:shd w:val="clear" w:color="auto" w:fill="auto"/>
            <w:hideMark/>
          </w:tcPr>
          <w:p w14:paraId="6DBF9FD4"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6B636BD1"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00"/>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 xml:space="preserve">"input citizen captured photo, </w:t>
            </w:r>
            <w:r w:rsidRPr="00881A69">
              <w:rPr>
                <w:rFonts w:ascii="Monaco" w:eastAsia="SimSun" w:hAnsi="Monaco" w:cs="Monaco"/>
                <w:b/>
                <w:color w:val="800000"/>
                <w:sz w:val="18"/>
                <w:szCs w:val="18"/>
                <w:lang w:eastAsia="zh-CN"/>
              </w:rPr>
              <w:t>blurThreshold,</w:t>
            </w:r>
            <w:r w:rsidRPr="00881A69">
              <w:rPr>
                <w:rFonts w:ascii="Monaco" w:eastAsia="SimSun" w:hAnsi="Monaco" w:cs="Monaco"/>
                <w:color w:val="800000"/>
                <w:sz w:val="18"/>
                <w:szCs w:val="18"/>
                <w:lang w:eastAsia="zh-CN"/>
              </w:rPr>
              <w:t>"</w:t>
            </w:r>
            <w:r w:rsidRPr="00881A69">
              <w:rPr>
                <w:rFonts w:ascii="Monaco" w:eastAsia="SimSun" w:hAnsi="Monaco" w:cs="Monaco"/>
                <w:color w:val="0000CC"/>
                <w:sz w:val="18"/>
                <w:szCs w:val="18"/>
                <w:lang w:eastAsia="zh-CN"/>
              </w:rPr>
              <w:t xml:space="preserve"> )</w:t>
            </w:r>
          </w:p>
          <w:p w14:paraId="602C2F07" w14:textId="77777777" w:rsidR="00CB06EC" w:rsidRPr="00881A69" w:rsidRDefault="00CB06EC" w:rsidP="00CB06EC">
            <w:pPr>
              <w:spacing w:line="220" w:lineRule="exact"/>
              <w:rPr>
                <w:rFonts w:ascii="Monaco" w:eastAsia="SimSun" w:hAnsi="Monaco" w:cs="Monaco"/>
                <w:color w:val="333333"/>
                <w:sz w:val="18"/>
                <w:szCs w:val="18"/>
                <w:lang w:eastAsia="zh-CN"/>
              </w:rPr>
            </w:pPr>
            <w:r w:rsidRPr="00881A69">
              <w:rPr>
                <w:rFonts w:ascii="Monaco" w:eastAsia="SimSun" w:hAnsi="Monaco" w:cs="Monaco"/>
                <w:color w:val="333333"/>
                <w:sz w:val="18"/>
                <w:szCs w:val="18"/>
                <w:lang w:eastAsia="zh-CN"/>
              </w:rPr>
              <w:t xml:space="preserve">         edgeImage=</w:t>
            </w:r>
            <w:r w:rsidRPr="00881A69">
              <w:rPr>
                <w:rFonts w:ascii="Monaco" w:eastAsia="SimSun" w:hAnsi="Monaco" w:cs="Monaco"/>
                <w:color w:val="0000CC"/>
                <w:sz w:val="18"/>
                <w:szCs w:val="18"/>
                <w:lang w:eastAsia="zh-CN"/>
              </w:rPr>
              <w:t>LaplaceTrasnform(</w:t>
            </w:r>
            <w:r w:rsidRPr="00881A69">
              <w:rPr>
                <w:rFonts w:ascii="Monaco" w:eastAsia="SimSun" w:hAnsi="Monaco" w:cs="Monaco"/>
                <w:color w:val="333333"/>
                <w:sz w:val="18"/>
                <w:szCs w:val="18"/>
                <w:lang w:eastAsia="zh-CN"/>
              </w:rPr>
              <w:t>photo</w:t>
            </w:r>
            <w:r w:rsidRPr="00881A69">
              <w:rPr>
                <w:rFonts w:ascii="Monaco" w:eastAsia="SimSun" w:hAnsi="Monaco" w:cs="Monaco"/>
                <w:color w:val="0000CC"/>
                <w:sz w:val="18"/>
                <w:szCs w:val="18"/>
                <w:lang w:eastAsia="zh-CN"/>
              </w:rPr>
              <w:t>)</w:t>
            </w:r>
          </w:p>
          <w:p w14:paraId="1A15145C"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usable=</w:t>
            </w:r>
            <w:r w:rsidRPr="00881A69">
              <w:rPr>
                <w:rFonts w:ascii="Monaco" w:eastAsia="SimSun" w:hAnsi="Monaco" w:cs="Monaco"/>
                <w:color w:val="0000CC"/>
                <w:sz w:val="18"/>
                <w:szCs w:val="18"/>
                <w:lang w:eastAsia="zh-CN"/>
              </w:rPr>
              <w:t>evaluateRule(</w:t>
            </w:r>
            <w:r w:rsidRPr="00881A69">
              <w:rPr>
                <w:rFonts w:ascii="Monaco" w:eastAsia="SimSun" w:hAnsi="Monaco" w:cs="Monaco"/>
                <w:color w:val="333333"/>
                <w:sz w:val="18"/>
                <w:szCs w:val="18"/>
                <w:lang w:eastAsia="zh-CN"/>
              </w:rPr>
              <w:t xml:space="preserve">edgeImage, </w:t>
            </w:r>
            <w:r w:rsidRPr="00881A69">
              <w:rPr>
                <w:rFonts w:ascii="Monaco" w:eastAsia="SimSun" w:hAnsi="Monaco" w:cs="Monaco"/>
                <w:b/>
                <w:color w:val="800000"/>
                <w:sz w:val="18"/>
                <w:szCs w:val="18"/>
                <w:lang w:eastAsia="zh-CN"/>
              </w:rPr>
              <w:t>blurThreshold</w:t>
            </w:r>
            <w:r w:rsidRPr="00881A69">
              <w:rPr>
                <w:rFonts w:ascii="Monaco" w:eastAsia="SimSun" w:hAnsi="Monaco" w:cs="Monaco"/>
                <w:color w:val="0000CC"/>
                <w:sz w:val="18"/>
                <w:szCs w:val="18"/>
                <w:lang w:eastAsia="zh-CN"/>
              </w:rPr>
              <w:t>)</w:t>
            </w:r>
            <w:r w:rsidRPr="00881A69">
              <w:rPr>
                <w:rFonts w:ascii="Monaco" w:eastAsia="SimSun" w:hAnsi="Monaco" w:cs="Monaco"/>
                <w:color w:val="408000"/>
                <w:sz w:val="18"/>
                <w:szCs w:val="18"/>
                <w:lang w:eastAsia="zh-CN"/>
              </w:rPr>
              <w:t xml:space="preserve">     </w:t>
            </w:r>
          </w:p>
          <w:p w14:paraId="35BAC7B8" w14:textId="77777777" w:rsidR="00CB06EC" w:rsidRPr="00881A69" w:rsidRDefault="00CB06EC" w:rsidP="00CB06EC">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update(</w:t>
            </w:r>
            <w:r w:rsidRPr="00881A69">
              <w:rPr>
                <w:rFonts w:ascii="Monaco" w:eastAsia="SimSun" w:hAnsi="Monaco" w:cs="Monaco"/>
                <w:color w:val="333333"/>
                <w:sz w:val="18"/>
                <w:szCs w:val="18"/>
                <w:lang w:eastAsia="zh-CN"/>
              </w:rPr>
              <w:t xml:space="preserve">DQ_usability, </w:t>
            </w:r>
            <w:r w:rsidRPr="00881A69">
              <w:rPr>
                <w:rFonts w:ascii="Monaco" w:hAnsi="Monaco" w:cs="Arial"/>
                <w:sz w:val="18"/>
                <w:szCs w:val="18"/>
              </w:rPr>
              <w:t xml:space="preserve">DQ_DomainConsistency, </w:t>
            </w:r>
            <w:r w:rsidRPr="00881A69">
              <w:rPr>
                <w:rFonts w:ascii="Monaco" w:eastAsia="SimSun" w:hAnsi="Monaco" w:cs="Monaco"/>
                <w:color w:val="333333"/>
                <w:sz w:val="18"/>
                <w:szCs w:val="18"/>
                <w:lang w:eastAsia="zh-CN"/>
              </w:rPr>
              <w:t>CSQ_judgement, CSQ_trust</w:t>
            </w:r>
            <w:r w:rsidRPr="00881A69">
              <w:rPr>
                <w:rFonts w:ascii="Monaco" w:eastAsia="SimSun" w:hAnsi="Monaco" w:cs="Monaco"/>
                <w:color w:val="0000CC"/>
                <w:sz w:val="18"/>
                <w:szCs w:val="18"/>
                <w:lang w:eastAsia="zh-CN"/>
              </w:rPr>
              <w:t xml:space="preserve">) </w:t>
            </w:r>
          </w:p>
          <w:p w14:paraId="598C9D75"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0000CC"/>
                <w:sz w:val="18"/>
                <w:szCs w:val="18"/>
                <w:lang w:eastAsia="zh-CN"/>
              </w:rPr>
              <w:t xml:space="preserve"> message(</w:t>
            </w:r>
            <w:r w:rsidRPr="00881A69">
              <w:rPr>
                <w:rFonts w:ascii="Monaco" w:eastAsia="SimSun" w:hAnsi="Monaco" w:cs="Monaco"/>
                <w:color w:val="333333"/>
                <w:sz w:val="18"/>
                <w:szCs w:val="18"/>
                <w:lang w:eastAsia="zh-CN"/>
              </w:rPr>
              <w:t>usable</w:t>
            </w:r>
            <w:r w:rsidRPr="00881A69">
              <w:rPr>
                <w:rFonts w:ascii="Monaco" w:eastAsia="SimSun" w:hAnsi="Monaco" w:cs="Monaco"/>
                <w:color w:val="0000CC"/>
                <w:sz w:val="18"/>
                <w:szCs w:val="18"/>
                <w:lang w:eastAsia="zh-CN"/>
              </w:rPr>
              <w:t xml:space="preserve">) </w:t>
            </w:r>
          </w:p>
          <w:p w14:paraId="02817384"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8000FF"/>
                <w:sz w:val="18"/>
                <w:szCs w:val="18"/>
                <w:lang w:eastAsia="zh-CN"/>
              </w:rPr>
              <w:lastRenderedPageBreak/>
              <w:t>#end</w:t>
            </w:r>
          </w:p>
        </w:tc>
      </w:tr>
      <w:tr w:rsidR="00CB06EC" w:rsidRPr="00881A69" w14:paraId="1E430305" w14:textId="77777777" w:rsidTr="00CB06EC">
        <w:trPr>
          <w:trHeight w:val="720"/>
          <w:jc w:val="right"/>
        </w:trPr>
        <w:tc>
          <w:tcPr>
            <w:tcW w:w="4104" w:type="dxa"/>
            <w:gridSpan w:val="2"/>
            <w:shd w:val="clear" w:color="auto" w:fill="auto"/>
          </w:tcPr>
          <w:p w14:paraId="1C54E30E"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lastRenderedPageBreak/>
              <w:t xml:space="preserve">Test on sharpness of the image using the method of edge detection from Laplace transform. </w:t>
            </w:r>
          </w:p>
          <w:p w14:paraId="7F97516B" w14:textId="77777777" w:rsidR="00CB06EC" w:rsidRPr="00881A69" w:rsidRDefault="00CB06EC" w:rsidP="00CB06EC">
            <w:pPr>
              <w:spacing w:line="220" w:lineRule="exact"/>
              <w:rPr>
                <w:rFonts w:ascii="Monaco" w:hAnsi="Monaco" w:cs="Arial"/>
                <w:sz w:val="18"/>
                <w:szCs w:val="18"/>
              </w:rPr>
            </w:pPr>
          </w:p>
          <w:p w14:paraId="6B1B850F"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BlurThreshold</w:t>
            </w:r>
            <w:r w:rsidRPr="00881A69">
              <w:rPr>
                <w:rFonts w:ascii="Monaco" w:hAnsi="Monaco" w:cs="Arial"/>
                <w:sz w:val="18"/>
                <w:szCs w:val="18"/>
              </w:rPr>
              <w:t xml:space="preserve"> </w:t>
            </w:r>
          </w:p>
        </w:tc>
        <w:tc>
          <w:tcPr>
            <w:tcW w:w="4878" w:type="dxa"/>
            <w:shd w:val="clear" w:color="auto" w:fill="auto"/>
          </w:tcPr>
          <w:p w14:paraId="19CC6EC9"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52C2E2DF"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DQ_DomainConsistency</w:t>
            </w:r>
          </w:p>
          <w:p w14:paraId="1986544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CSQ_Reliability</w:t>
            </w:r>
          </w:p>
          <w:p w14:paraId="515C551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CSQ_Trust</w:t>
            </w:r>
          </w:p>
          <w:p w14:paraId="5E39A57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 xml:space="preserve">-dynamic: </w:t>
            </w:r>
          </w:p>
          <w:p w14:paraId="648D394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&lt;message&gt; “Can you take another picture?”</w:t>
            </w:r>
          </w:p>
          <w:p w14:paraId="18DAD5A6" w14:textId="77777777" w:rsidR="00CB06EC" w:rsidRPr="00881A69" w:rsidRDefault="00CB06EC" w:rsidP="00CB06EC">
            <w:pPr>
              <w:spacing w:line="220" w:lineRule="exact"/>
              <w:rPr>
                <w:rFonts w:ascii="Monaco" w:hAnsi="Monaco" w:cs="Arial"/>
                <w:sz w:val="18"/>
                <w:szCs w:val="18"/>
              </w:rPr>
            </w:pPr>
          </w:p>
        </w:tc>
      </w:tr>
      <w:tr w:rsidR="00CB06EC" w:rsidRPr="00881A69" w14:paraId="6898FD21" w14:textId="77777777" w:rsidTr="00CB06EC">
        <w:trPr>
          <w:trHeight w:val="362"/>
          <w:jc w:val="right"/>
        </w:trPr>
        <w:tc>
          <w:tcPr>
            <w:tcW w:w="8982" w:type="dxa"/>
            <w:gridSpan w:val="3"/>
            <w:shd w:val="clear" w:color="auto" w:fill="D9D9D9"/>
            <w:hideMark/>
          </w:tcPr>
          <w:p w14:paraId="0BD795C2"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pillar5.Model-basedValidation.</w:t>
            </w:r>
            <w:r w:rsidRPr="00881A69">
              <w:rPr>
                <w:i/>
                <w:sz w:val="18"/>
                <w:szCs w:val="18"/>
                <w:lang w:eastAsia="zh-CN"/>
              </w:rPr>
              <w:t xml:space="preserve"> </w:t>
            </w:r>
            <w:r w:rsidRPr="00881A69">
              <w:rPr>
                <w:rFonts w:ascii="Monaco" w:hAnsi="Monaco" w:cs="Arial"/>
                <w:b/>
                <w:bCs/>
                <w:sz w:val="18"/>
                <w:szCs w:val="18"/>
              </w:rPr>
              <w:t>ProximitySuitabilityScore</w:t>
            </w:r>
          </w:p>
        </w:tc>
      </w:tr>
      <w:tr w:rsidR="00CB06EC" w:rsidRPr="00881A69" w14:paraId="6429A66B" w14:textId="77777777" w:rsidTr="00CB06EC">
        <w:trPr>
          <w:trHeight w:val="510"/>
          <w:jc w:val="right"/>
        </w:trPr>
        <w:tc>
          <w:tcPr>
            <w:tcW w:w="8982" w:type="dxa"/>
            <w:gridSpan w:val="3"/>
            <w:shd w:val="clear" w:color="auto" w:fill="auto"/>
            <w:hideMark/>
          </w:tcPr>
          <w:p w14:paraId="5033CA08"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6DDA7616"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b/>
                <w:color w:val="800000"/>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 xml:space="preserve">"input citizen position, </w:t>
            </w:r>
            <w:r w:rsidRPr="00881A69">
              <w:rPr>
                <w:rFonts w:ascii="Monaco" w:eastAsia="SimSun" w:hAnsi="Monaco" w:cs="Monaco"/>
                <w:b/>
                <w:color w:val="800000"/>
                <w:sz w:val="18"/>
                <w:szCs w:val="18"/>
                <w:lang w:eastAsia="zh-CN"/>
              </w:rPr>
              <w:t>buffersize, attribute</w:t>
            </w:r>
            <w:r w:rsidRPr="00881A69">
              <w:rPr>
                <w:rFonts w:ascii="Monaco" w:eastAsia="SimSun" w:hAnsi="Monaco" w:cs="Monaco"/>
                <w:color w:val="800000"/>
                <w:sz w:val="18"/>
                <w:szCs w:val="18"/>
                <w:lang w:eastAsia="zh-CN"/>
              </w:rPr>
              <w:t>"</w:t>
            </w:r>
            <w:r w:rsidRPr="00881A69">
              <w:rPr>
                <w:rFonts w:ascii="Monaco" w:eastAsia="SimSun" w:hAnsi="Monaco" w:cs="Monaco"/>
                <w:color w:val="0000CC"/>
                <w:sz w:val="18"/>
                <w:szCs w:val="18"/>
                <w:lang w:eastAsia="zh-CN"/>
              </w:rPr>
              <w:t>)</w:t>
            </w:r>
          </w:p>
          <w:p w14:paraId="70F11A62"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ProximPol=</w:t>
            </w:r>
            <w:r w:rsidRPr="00881A69">
              <w:rPr>
                <w:rFonts w:ascii="Monaco" w:eastAsia="SimSun" w:hAnsi="Monaco" w:cs="Monaco"/>
                <w:color w:val="0000CC"/>
                <w:sz w:val="18"/>
                <w:szCs w:val="18"/>
                <w:lang w:eastAsia="zh-CN"/>
              </w:rPr>
              <w:t>findNearby(</w:t>
            </w:r>
            <w:r w:rsidRPr="00881A69">
              <w:rPr>
                <w:rFonts w:ascii="Monaco" w:eastAsia="SimSun" w:hAnsi="Monaco" w:cs="Monaco"/>
                <w:b/>
                <w:color w:val="800000"/>
                <w:sz w:val="18"/>
                <w:szCs w:val="18"/>
                <w:lang w:eastAsia="zh-CN"/>
              </w:rPr>
              <w:t>buffersize</w:t>
            </w:r>
            <w:r w:rsidRPr="00881A69">
              <w:rPr>
                <w:rFonts w:ascii="Monaco" w:eastAsia="SimSun" w:hAnsi="Monaco" w:cs="Monaco"/>
                <w:color w:val="0000CC"/>
                <w:sz w:val="18"/>
                <w:szCs w:val="18"/>
                <w:lang w:eastAsia="zh-CN"/>
              </w:rPr>
              <w:t>)</w:t>
            </w:r>
          </w:p>
          <w:p w14:paraId="6C8E0D1F"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408000"/>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score</w:t>
            </w:r>
            <w:r w:rsidRPr="00881A69">
              <w:rPr>
                <w:rFonts w:ascii="Monaco" w:eastAsia="SimSun" w:hAnsi="Monaco" w:cs="Monaco"/>
                <w:color w:val="0000CC"/>
                <w:sz w:val="18"/>
                <w:szCs w:val="18"/>
                <w:lang w:eastAsia="zh-CN"/>
              </w:rPr>
              <w:t>=summaryMeasure(calculweightDistance(ProximPol),values(ProximPol, attribute))</w:t>
            </w:r>
          </w:p>
          <w:p w14:paraId="209A5147"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updateRules(</w:t>
            </w:r>
            <w:r w:rsidRPr="00881A69">
              <w:rPr>
                <w:rFonts w:ascii="Monaco" w:eastAsia="SimSun" w:hAnsi="Monaco" w:cs="Monaco"/>
                <w:color w:val="333333"/>
                <w:sz w:val="18"/>
                <w:szCs w:val="18"/>
                <w:lang w:eastAsia="zh-CN"/>
              </w:rPr>
              <w:t>DQs</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CSQs,GVQs, score</w:t>
            </w:r>
            <w:r w:rsidRPr="00881A69">
              <w:rPr>
                <w:rFonts w:ascii="Monaco" w:eastAsia="SimSun" w:hAnsi="Monaco" w:cs="Monaco"/>
                <w:color w:val="0000CC"/>
                <w:sz w:val="18"/>
                <w:szCs w:val="18"/>
                <w:lang w:eastAsia="zh-CN"/>
              </w:rPr>
              <w:t xml:space="preserve">)  </w:t>
            </w:r>
          </w:p>
          <w:p w14:paraId="5B2CE3BD"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8000FF"/>
                <w:sz w:val="18"/>
                <w:szCs w:val="18"/>
                <w:lang w:eastAsia="zh-CN"/>
              </w:rPr>
              <w:t>#end</w:t>
            </w:r>
          </w:p>
        </w:tc>
      </w:tr>
      <w:tr w:rsidR="00CB06EC" w:rsidRPr="00881A69" w14:paraId="4D8E4B88" w14:textId="77777777" w:rsidTr="00CB06EC">
        <w:trPr>
          <w:trHeight w:val="720"/>
          <w:jc w:val="right"/>
        </w:trPr>
        <w:tc>
          <w:tcPr>
            <w:tcW w:w="4104" w:type="dxa"/>
            <w:gridSpan w:val="2"/>
            <w:shd w:val="clear" w:color="auto" w:fill="auto"/>
          </w:tcPr>
          <w:p w14:paraId="2CE2522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Deriving the likelihood of the observed occurrence (citizen captured data) from polygon proximity to a model-estimate one (e.g. suitability likelihood)</w:t>
            </w:r>
          </w:p>
          <w:p w14:paraId="01758E1D" w14:textId="77777777" w:rsidR="00CB06EC" w:rsidRPr="00881A69" w:rsidRDefault="00CB06EC" w:rsidP="00CB06EC">
            <w:pPr>
              <w:spacing w:line="220" w:lineRule="exact"/>
              <w:rPr>
                <w:rFonts w:ascii="Monaco" w:hAnsi="Monaco" w:cs="Arial"/>
                <w:b/>
                <w:sz w:val="18"/>
                <w:szCs w:val="18"/>
              </w:rPr>
            </w:pPr>
          </w:p>
          <w:p w14:paraId="15D9A503"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modelled data</w:t>
            </w:r>
          </w:p>
          <w:p w14:paraId="599C1997"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attribute</w:t>
            </w:r>
          </w:p>
          <w:p w14:paraId="548E8F5B"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buffersize</w:t>
            </w:r>
          </w:p>
          <w:p w14:paraId="7C1E81F4" w14:textId="77777777" w:rsidR="00CB06EC" w:rsidRPr="00881A69" w:rsidRDefault="00CB06EC" w:rsidP="00CB06EC">
            <w:pPr>
              <w:spacing w:line="220" w:lineRule="exact"/>
              <w:rPr>
                <w:rFonts w:ascii="Monaco" w:hAnsi="Monaco" w:cs="Arial"/>
                <w:b/>
                <w:sz w:val="18"/>
                <w:szCs w:val="18"/>
              </w:rPr>
            </w:pPr>
          </w:p>
        </w:tc>
        <w:tc>
          <w:tcPr>
            <w:tcW w:w="4878" w:type="dxa"/>
            <w:shd w:val="clear" w:color="auto" w:fill="auto"/>
          </w:tcPr>
          <w:p w14:paraId="396C5D0F"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0D3AE630"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DQ_ThematicClassificationCorrectness</w:t>
            </w:r>
          </w:p>
          <w:p w14:paraId="279D7BD5"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DQ_AbsoluteExternalPositionalAccuracy</w:t>
            </w:r>
          </w:p>
          <w:p w14:paraId="5FA45D4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DQ_RelativeInternalPositionalAccuracy</w:t>
            </w:r>
          </w:p>
          <w:p w14:paraId="3F9BC197"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GVQ_PositiveFeedback</w:t>
            </w:r>
          </w:p>
          <w:p w14:paraId="555E924C"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GVQ_NegativeFeedback</w:t>
            </w:r>
          </w:p>
          <w:p w14:paraId="281F62A6"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CSQ_Judgement</w:t>
            </w:r>
          </w:p>
          <w:p w14:paraId="5718498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CSQ_Reliability</w:t>
            </w:r>
          </w:p>
          <w:p w14:paraId="59C8B37A"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CSQ_Validity</w:t>
            </w:r>
          </w:p>
          <w:p w14:paraId="039A327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CSQ_Trust</w:t>
            </w:r>
          </w:p>
        </w:tc>
      </w:tr>
      <w:tr w:rsidR="00CB06EC" w:rsidRPr="00881A69" w14:paraId="4A19EA8B" w14:textId="77777777" w:rsidTr="00CB06EC">
        <w:trPr>
          <w:trHeight w:val="362"/>
          <w:jc w:val="right"/>
        </w:trPr>
        <w:tc>
          <w:tcPr>
            <w:tcW w:w="8982" w:type="dxa"/>
            <w:gridSpan w:val="3"/>
            <w:shd w:val="clear" w:color="auto" w:fill="D9D9D9"/>
            <w:hideMark/>
          </w:tcPr>
          <w:p w14:paraId="66F46D81"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pillar4.AuthoritativeDataComparison.ProximitySuitabilityScore</w:t>
            </w:r>
          </w:p>
        </w:tc>
      </w:tr>
      <w:tr w:rsidR="00CB06EC" w:rsidRPr="00881A69" w14:paraId="6827346A" w14:textId="77777777" w:rsidTr="00CB06EC">
        <w:trPr>
          <w:trHeight w:val="510"/>
          <w:jc w:val="right"/>
        </w:trPr>
        <w:tc>
          <w:tcPr>
            <w:tcW w:w="8982" w:type="dxa"/>
            <w:gridSpan w:val="3"/>
            <w:shd w:val="clear" w:color="auto" w:fill="auto"/>
            <w:hideMark/>
          </w:tcPr>
          <w:p w14:paraId="5F47B9ED"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5DB4945C"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b/>
                <w:color w:val="800000"/>
                <w:sz w:val="18"/>
                <w:szCs w:val="18"/>
                <w:lang w:eastAsia="zh-CN"/>
              </w:rPr>
            </w:pPr>
            <w:r w:rsidRPr="00881A69">
              <w:rPr>
                <w:rFonts w:ascii="Monaco" w:eastAsia="SimSun" w:hAnsi="Monaco" w:cs="Monaco"/>
                <w:color w:val="0000CC"/>
                <w:sz w:val="18"/>
                <w:szCs w:val="18"/>
                <w:lang w:eastAsia="zh-CN"/>
              </w:rPr>
              <w:t>input(</w:t>
            </w:r>
            <w:r w:rsidRPr="00881A69">
              <w:rPr>
                <w:rFonts w:ascii="Monaco" w:eastAsia="SimSun" w:hAnsi="Monaco" w:cs="Monaco"/>
                <w:color w:val="800000"/>
                <w:sz w:val="18"/>
                <w:szCs w:val="18"/>
                <w:lang w:eastAsia="zh-CN"/>
              </w:rPr>
              <w:t xml:space="preserve">"input citizen position, </w:t>
            </w:r>
            <w:r w:rsidRPr="00881A69">
              <w:rPr>
                <w:rFonts w:ascii="Monaco" w:eastAsia="SimSun" w:hAnsi="Monaco" w:cs="Monaco"/>
                <w:b/>
                <w:color w:val="800000"/>
                <w:sz w:val="18"/>
                <w:szCs w:val="18"/>
                <w:lang w:eastAsia="zh-CN"/>
              </w:rPr>
              <w:t>buffersize, attribute</w:t>
            </w:r>
            <w:r w:rsidRPr="00881A69">
              <w:rPr>
                <w:rFonts w:ascii="Monaco" w:eastAsia="SimSun" w:hAnsi="Monaco" w:cs="Monaco"/>
                <w:color w:val="800000"/>
                <w:sz w:val="18"/>
                <w:szCs w:val="18"/>
                <w:lang w:eastAsia="zh-CN"/>
              </w:rPr>
              <w:t>"</w:t>
            </w:r>
            <w:r w:rsidRPr="00881A69">
              <w:rPr>
                <w:rFonts w:ascii="Monaco" w:eastAsia="SimSun" w:hAnsi="Monaco" w:cs="Monaco"/>
                <w:color w:val="0000CC"/>
                <w:sz w:val="18"/>
                <w:szCs w:val="18"/>
                <w:lang w:eastAsia="zh-CN"/>
              </w:rPr>
              <w:t>)</w:t>
            </w:r>
          </w:p>
          <w:p w14:paraId="73AC7066"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ProximPol=</w:t>
            </w:r>
            <w:r w:rsidRPr="00881A69">
              <w:rPr>
                <w:rFonts w:ascii="Monaco" w:eastAsia="SimSun" w:hAnsi="Monaco" w:cs="Monaco"/>
                <w:color w:val="0000CC"/>
                <w:sz w:val="18"/>
                <w:szCs w:val="18"/>
                <w:lang w:eastAsia="zh-CN"/>
              </w:rPr>
              <w:t>findNearby(</w:t>
            </w:r>
            <w:r w:rsidRPr="00881A69">
              <w:rPr>
                <w:rFonts w:ascii="Monaco" w:eastAsia="SimSun" w:hAnsi="Monaco" w:cs="Monaco"/>
                <w:b/>
                <w:color w:val="800000"/>
                <w:sz w:val="18"/>
                <w:szCs w:val="18"/>
                <w:lang w:eastAsia="zh-CN"/>
              </w:rPr>
              <w:t>buffersize</w:t>
            </w:r>
            <w:r w:rsidRPr="00881A69">
              <w:rPr>
                <w:rFonts w:ascii="Monaco" w:eastAsia="SimSun" w:hAnsi="Monaco" w:cs="Monaco"/>
                <w:color w:val="0000CC"/>
                <w:sz w:val="18"/>
                <w:szCs w:val="18"/>
                <w:lang w:eastAsia="zh-CN"/>
              </w:rPr>
              <w:t>)</w:t>
            </w:r>
          </w:p>
          <w:p w14:paraId="3960F73C"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408000"/>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score</w:t>
            </w:r>
            <w:r w:rsidRPr="00881A69">
              <w:rPr>
                <w:rFonts w:ascii="Monaco" w:eastAsia="SimSun" w:hAnsi="Monaco" w:cs="Monaco"/>
                <w:color w:val="0000CC"/>
                <w:sz w:val="18"/>
                <w:szCs w:val="18"/>
                <w:lang w:eastAsia="zh-CN"/>
              </w:rPr>
              <w:t>=summaryMeasure(calculweightDistance(ProximPol)</w:t>
            </w:r>
          </w:p>
          <w:p w14:paraId="57F98E24" w14:textId="77777777" w:rsidR="00CB06EC" w:rsidRPr="00881A69" w:rsidRDefault="00CB06EC" w:rsidP="00CB06EC">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updateRules(</w:t>
            </w:r>
            <w:r w:rsidRPr="00881A69">
              <w:rPr>
                <w:rFonts w:ascii="Monaco" w:eastAsia="SimSun" w:hAnsi="Monaco" w:cs="Monaco"/>
                <w:color w:val="333333"/>
                <w:sz w:val="18"/>
                <w:szCs w:val="18"/>
                <w:lang w:eastAsia="zh-CN"/>
              </w:rPr>
              <w:t>DQs</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CSQs,GVQs, score</w:t>
            </w:r>
            <w:r w:rsidRPr="00881A69">
              <w:rPr>
                <w:rFonts w:ascii="Monaco" w:eastAsia="SimSun" w:hAnsi="Monaco" w:cs="Monaco"/>
                <w:color w:val="0000CC"/>
                <w:sz w:val="18"/>
                <w:szCs w:val="18"/>
                <w:lang w:eastAsia="zh-CN"/>
              </w:rPr>
              <w:t xml:space="preserve">)  </w:t>
            </w:r>
          </w:p>
          <w:p w14:paraId="1BCED0A6" w14:textId="77777777" w:rsidR="00CB06EC" w:rsidRPr="00881A69" w:rsidRDefault="00CB06EC" w:rsidP="00CB06EC">
            <w:pPr>
              <w:spacing w:line="220" w:lineRule="exact"/>
              <w:rPr>
                <w:rFonts w:ascii="Monaco" w:hAnsi="Monaco" w:cs="Arial"/>
                <w:sz w:val="18"/>
                <w:szCs w:val="18"/>
              </w:rPr>
            </w:pPr>
            <w:r w:rsidRPr="00881A69">
              <w:rPr>
                <w:rFonts w:ascii="Monaco" w:eastAsia="SimSun" w:hAnsi="Monaco" w:cs="Monaco"/>
                <w:color w:val="8000FF"/>
                <w:sz w:val="18"/>
                <w:szCs w:val="18"/>
                <w:lang w:eastAsia="zh-CN"/>
              </w:rPr>
              <w:t>#end</w:t>
            </w:r>
          </w:p>
        </w:tc>
      </w:tr>
      <w:tr w:rsidR="00CB06EC" w:rsidRPr="00881A69" w14:paraId="5AC79509" w14:textId="77777777" w:rsidTr="00CB06EC">
        <w:trPr>
          <w:trHeight w:val="720"/>
          <w:jc w:val="right"/>
        </w:trPr>
        <w:tc>
          <w:tcPr>
            <w:tcW w:w="4104" w:type="dxa"/>
            <w:gridSpan w:val="2"/>
            <w:shd w:val="clear" w:color="auto" w:fill="auto"/>
          </w:tcPr>
          <w:p w14:paraId="4312A49E"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Deriving the likelihood of the observed occurrence (citizen captured data) from polygon proximity to a given authoritative data (e.g. existing observed occurrences)</w:t>
            </w:r>
          </w:p>
          <w:p w14:paraId="3D4220A2" w14:textId="77777777" w:rsidR="00CB06EC" w:rsidRPr="00881A69" w:rsidRDefault="00CB06EC" w:rsidP="00CB06EC">
            <w:pPr>
              <w:spacing w:line="220" w:lineRule="exact"/>
              <w:rPr>
                <w:rFonts w:ascii="Monaco" w:hAnsi="Monaco" w:cs="Arial"/>
                <w:b/>
                <w:sz w:val="18"/>
                <w:szCs w:val="18"/>
              </w:rPr>
            </w:pPr>
          </w:p>
          <w:p w14:paraId="2CEABB86"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Authoritative data</w:t>
            </w:r>
          </w:p>
          <w:p w14:paraId="4428C0E5"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Buffersize</w:t>
            </w:r>
          </w:p>
          <w:p w14:paraId="6A7CFA63"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Note: comparing to pillar5 attribute value is 1 as authoritative data.</w:t>
            </w:r>
          </w:p>
          <w:p w14:paraId="579EA911" w14:textId="77777777" w:rsidR="00CB06EC" w:rsidRPr="00881A69" w:rsidRDefault="00CB06EC" w:rsidP="00CB06EC">
            <w:pPr>
              <w:spacing w:line="220" w:lineRule="exact"/>
              <w:rPr>
                <w:rFonts w:ascii="Monaco" w:hAnsi="Monaco" w:cs="Arial"/>
                <w:b/>
                <w:sz w:val="18"/>
                <w:szCs w:val="18"/>
              </w:rPr>
            </w:pPr>
          </w:p>
        </w:tc>
        <w:tc>
          <w:tcPr>
            <w:tcW w:w="4878" w:type="dxa"/>
            <w:shd w:val="clear" w:color="auto" w:fill="auto"/>
          </w:tcPr>
          <w:p w14:paraId="7CC8C9BD"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3DF04C53"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DQ_DomainConsistency</w:t>
            </w:r>
          </w:p>
          <w:p w14:paraId="46ACDEF3"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DQ_ThematicClassificationCorrectness</w:t>
            </w:r>
          </w:p>
          <w:p w14:paraId="70F1DF19"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DQ_NonQuantitativeAttributeCorrectness</w:t>
            </w:r>
          </w:p>
          <w:p w14:paraId="0A08C596"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DQ_AbsoluteExternalPositionalAccuracy</w:t>
            </w:r>
          </w:p>
          <w:p w14:paraId="0D90B69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DQ_RelativeInternalPositionalAccuracy</w:t>
            </w:r>
          </w:p>
          <w:p w14:paraId="03B9104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GVQ_PositiveFeedback</w:t>
            </w:r>
          </w:p>
          <w:p w14:paraId="6DB141D6"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GVQ_NegativeFeedback</w:t>
            </w:r>
          </w:p>
          <w:p w14:paraId="44379FBC"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CSQ_Judgement</w:t>
            </w:r>
          </w:p>
          <w:p w14:paraId="24F7C5D7"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CSQ_Reliability</w:t>
            </w:r>
          </w:p>
          <w:p w14:paraId="506D9B14"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CSQ_Validity</w:t>
            </w:r>
          </w:p>
          <w:p w14:paraId="17E31D2B"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CSQ_Trust</w:t>
            </w:r>
          </w:p>
          <w:p w14:paraId="7EE2B85C" w14:textId="77777777" w:rsidR="00CB06EC" w:rsidRPr="00881A69" w:rsidRDefault="00CB06EC" w:rsidP="00CB06EC">
            <w:pPr>
              <w:spacing w:line="220" w:lineRule="exact"/>
              <w:rPr>
                <w:rFonts w:ascii="Monaco" w:hAnsi="Monaco" w:cs="Arial"/>
                <w:sz w:val="18"/>
                <w:szCs w:val="18"/>
              </w:rPr>
            </w:pPr>
          </w:p>
        </w:tc>
      </w:tr>
      <w:tr w:rsidR="00CB06EC" w:rsidRPr="00881A69" w14:paraId="5712F5BD" w14:textId="77777777" w:rsidTr="00CB06EC">
        <w:trPr>
          <w:trHeight w:val="362"/>
          <w:jc w:val="right"/>
        </w:trPr>
        <w:tc>
          <w:tcPr>
            <w:tcW w:w="8982" w:type="dxa"/>
            <w:gridSpan w:val="3"/>
            <w:shd w:val="clear" w:color="auto" w:fill="D9D9D9"/>
            <w:hideMark/>
          </w:tcPr>
          <w:p w14:paraId="35AD5E99" w14:textId="77777777" w:rsidR="00CB06EC" w:rsidRPr="00881A69" w:rsidRDefault="00CB06EC" w:rsidP="00CB06EC">
            <w:pPr>
              <w:spacing w:line="220" w:lineRule="exact"/>
              <w:rPr>
                <w:rFonts w:ascii="Monaco" w:hAnsi="Monaco" w:cs="Arial"/>
                <w:b/>
                <w:bCs/>
                <w:sz w:val="18"/>
                <w:szCs w:val="18"/>
              </w:rPr>
            </w:pPr>
            <w:r w:rsidRPr="00881A69">
              <w:rPr>
                <w:rFonts w:ascii="Monaco" w:hAnsi="Monaco" w:cs="Arial"/>
                <w:b/>
                <w:bCs/>
                <w:sz w:val="18"/>
                <w:szCs w:val="18"/>
              </w:rPr>
              <w:t>pillar4.AuthoritativeDataComparison.PointInPolygon</w:t>
            </w:r>
          </w:p>
        </w:tc>
      </w:tr>
      <w:tr w:rsidR="00CB06EC" w:rsidRPr="00881A69" w14:paraId="7241FC3B" w14:textId="77777777" w:rsidTr="00CB06EC">
        <w:trPr>
          <w:trHeight w:val="510"/>
          <w:jc w:val="right"/>
        </w:trPr>
        <w:tc>
          <w:tcPr>
            <w:tcW w:w="8982" w:type="dxa"/>
            <w:gridSpan w:val="3"/>
            <w:shd w:val="clear" w:color="auto" w:fill="auto"/>
            <w:hideMark/>
          </w:tcPr>
          <w:p w14:paraId="7C2EE2B2" w14:textId="77777777" w:rsidR="003A3CA2" w:rsidRPr="00881A69" w:rsidRDefault="003A3CA2" w:rsidP="003A3CA2">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8000FF"/>
                <w:sz w:val="18"/>
                <w:szCs w:val="18"/>
                <w:lang w:eastAsia="zh-CN"/>
              </w:rPr>
            </w:pPr>
            <w:r w:rsidRPr="00881A69">
              <w:rPr>
                <w:rFonts w:ascii="Monaco" w:eastAsia="SimSun" w:hAnsi="Monaco" w:cs="Monaco"/>
                <w:color w:val="8000FF"/>
                <w:sz w:val="18"/>
                <w:szCs w:val="18"/>
                <w:lang w:eastAsia="zh-CN"/>
              </w:rPr>
              <w:t>#start</w:t>
            </w:r>
          </w:p>
          <w:p w14:paraId="2DBBBB54" w14:textId="77777777" w:rsidR="003A3CA2" w:rsidRPr="009E5E6A" w:rsidRDefault="003A3CA2" w:rsidP="003A3CA2">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input(</w:t>
            </w:r>
            <w:r>
              <w:rPr>
                <w:rFonts w:ascii="Monaco" w:eastAsia="SimSun" w:hAnsi="Monaco" w:cs="Monaco"/>
                <w:color w:val="800000"/>
                <w:sz w:val="18"/>
                <w:szCs w:val="18"/>
                <w:lang w:eastAsia="zh-CN"/>
              </w:rPr>
              <w:t>"</w:t>
            </w:r>
            <w:r w:rsidRPr="00881A69">
              <w:rPr>
                <w:rFonts w:ascii="Monaco" w:eastAsia="SimSun" w:hAnsi="Monaco" w:cs="Monaco"/>
                <w:color w:val="800000"/>
                <w:sz w:val="18"/>
                <w:szCs w:val="18"/>
                <w:lang w:eastAsia="zh-CN"/>
              </w:rPr>
              <w:t xml:space="preserve">citizen </w:t>
            </w:r>
            <w:r>
              <w:rPr>
                <w:rFonts w:ascii="Monaco" w:eastAsia="SimSun" w:hAnsi="Monaco" w:cs="Monaco"/>
                <w:color w:val="800000"/>
                <w:sz w:val="18"/>
                <w:szCs w:val="18"/>
                <w:lang w:eastAsia="zh-CN"/>
              </w:rPr>
              <w:t>observation,</w:t>
            </w:r>
            <w:r w:rsidRPr="00881A69">
              <w:rPr>
                <w:rFonts w:ascii="Monaco" w:eastAsia="SimSun" w:hAnsi="Monaco" w:cs="Monaco"/>
                <w:color w:val="800000"/>
                <w:sz w:val="18"/>
                <w:szCs w:val="18"/>
                <w:lang w:eastAsia="zh-CN"/>
              </w:rPr>
              <w:t xml:space="preserve"> thematicAgreement</w:t>
            </w:r>
            <w:r>
              <w:rPr>
                <w:rFonts w:ascii="Monaco" w:eastAsia="SimSun" w:hAnsi="Monaco" w:cs="Monaco"/>
                <w:color w:val="800000"/>
                <w:sz w:val="18"/>
                <w:szCs w:val="18"/>
                <w:lang w:eastAsia="zh-CN"/>
              </w:rPr>
              <w:t>, AuthData, Buffersize</w:t>
            </w:r>
            <w:r w:rsidRPr="00881A69">
              <w:rPr>
                <w:rFonts w:ascii="Monaco" w:eastAsia="SimSun" w:hAnsi="Monaco" w:cs="Monaco"/>
                <w:color w:val="800000"/>
                <w:sz w:val="18"/>
                <w:szCs w:val="18"/>
                <w:lang w:eastAsia="zh-CN"/>
              </w:rPr>
              <w:t>"</w:t>
            </w:r>
            <w:r w:rsidRPr="00881A69">
              <w:rPr>
                <w:rFonts w:ascii="Monaco" w:eastAsia="SimSun" w:hAnsi="Monaco" w:cs="Monaco"/>
                <w:color w:val="0000CC"/>
                <w:sz w:val="18"/>
                <w:szCs w:val="18"/>
                <w:lang w:eastAsia="zh-CN"/>
              </w:rPr>
              <w:t>)</w:t>
            </w:r>
          </w:p>
          <w:p w14:paraId="160E5850"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InPol=</w:t>
            </w:r>
            <w:r w:rsidRPr="00881A69">
              <w:rPr>
                <w:rFonts w:ascii="Monaco" w:eastAsia="SimSun" w:hAnsi="Monaco" w:cs="Monaco"/>
                <w:color w:val="0000CC"/>
                <w:sz w:val="18"/>
                <w:szCs w:val="18"/>
                <w:lang w:eastAsia="zh-CN"/>
              </w:rPr>
              <w:t>evaluateIn(</w:t>
            </w:r>
            <w:r>
              <w:rPr>
                <w:rFonts w:ascii="Monaco" w:eastAsia="SimSun" w:hAnsi="Monaco" w:cs="Monaco"/>
                <w:color w:val="333333"/>
                <w:sz w:val="18"/>
                <w:szCs w:val="18"/>
                <w:lang w:eastAsia="zh-CN"/>
              </w:rPr>
              <w:t>observation</w:t>
            </w:r>
            <w:r w:rsidRPr="00881A69">
              <w:rPr>
                <w:rFonts w:ascii="Monaco" w:eastAsia="SimSun" w:hAnsi="Monaco" w:cs="Monaco"/>
                <w:color w:val="0000CC"/>
                <w:sz w:val="18"/>
                <w:szCs w:val="18"/>
                <w:lang w:eastAsia="zh-CN"/>
              </w:rPr>
              <w:t>.</w:t>
            </w:r>
            <w:r w:rsidRPr="00881A69">
              <w:rPr>
                <w:rFonts w:ascii="Monaco" w:hAnsi="Monaco"/>
                <w:sz w:val="18"/>
                <w:szCs w:val="18"/>
              </w:rPr>
              <w:t xml:space="preserve">DQ_AbsolutePositionInternalPositionalAccuracy, </w:t>
            </w:r>
            <w:r w:rsidRPr="00881A69">
              <w:rPr>
                <w:rFonts w:ascii="Monaco" w:eastAsia="SimSun" w:hAnsi="Monaco" w:cs="Monaco"/>
                <w:color w:val="333333"/>
                <w:sz w:val="18"/>
                <w:szCs w:val="18"/>
                <w:lang w:eastAsia="zh-CN"/>
              </w:rPr>
              <w:t>Auth</w:t>
            </w:r>
            <w:r>
              <w:rPr>
                <w:rFonts w:ascii="Monaco" w:eastAsia="SimSun" w:hAnsi="Monaco" w:cs="Monaco"/>
                <w:color w:val="333333"/>
                <w:sz w:val="18"/>
                <w:szCs w:val="18"/>
                <w:lang w:eastAsia="zh-CN"/>
              </w:rPr>
              <w:t>Data</w:t>
            </w:r>
            <w:r w:rsidRPr="00881A69">
              <w:rPr>
                <w:rFonts w:ascii="Monaco" w:eastAsia="SimSun" w:hAnsi="Monaco" w:cs="Monaco"/>
                <w:color w:val="0000CC"/>
                <w:sz w:val="18"/>
                <w:szCs w:val="18"/>
                <w:lang w:eastAsia="zh-CN"/>
              </w:rPr>
              <w:t>.</w:t>
            </w:r>
            <w:r w:rsidRPr="00881A69">
              <w:rPr>
                <w:rFonts w:ascii="Monaco" w:hAnsi="Monaco"/>
                <w:sz w:val="18"/>
                <w:szCs w:val="18"/>
              </w:rPr>
              <w:t>DQ_AbsolutePositionInternalPositionalAccuracy</w:t>
            </w:r>
            <w:r>
              <w:rPr>
                <w:rFonts w:ascii="Monaco" w:hAnsi="Monaco"/>
                <w:sz w:val="18"/>
                <w:szCs w:val="18"/>
              </w:rPr>
              <w:t>, AuthData, Buffersize</w:t>
            </w:r>
            <w:r w:rsidRPr="00881A69">
              <w:rPr>
                <w:rFonts w:ascii="Monaco" w:eastAsia="SimSun" w:hAnsi="Monaco" w:cs="Monaco"/>
                <w:color w:val="0000CC"/>
                <w:sz w:val="18"/>
                <w:szCs w:val="18"/>
                <w:lang w:eastAsia="zh-CN"/>
              </w:rPr>
              <w:t>)</w:t>
            </w:r>
          </w:p>
          <w:p w14:paraId="3F5EC3E3"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hAnsi="Monaco"/>
                <w:sz w:val="18"/>
                <w:szCs w:val="18"/>
              </w:rPr>
              <w:t>IniScore</w:t>
            </w:r>
            <w:r w:rsidRPr="00881A69">
              <w:rPr>
                <w:rFonts w:ascii="Monaco" w:eastAsia="SimSun" w:hAnsi="Monaco" w:cs="Monaco"/>
                <w:color w:val="0000CC"/>
                <w:sz w:val="18"/>
                <w:szCs w:val="18"/>
                <w:lang w:eastAsia="zh-CN"/>
              </w:rPr>
              <w:t>=EvaluateOverlapAreas(</w:t>
            </w:r>
            <w:r>
              <w:rPr>
                <w:rFonts w:ascii="Monaco" w:eastAsia="SimSun" w:hAnsi="Monaco" w:cs="Monaco"/>
                <w:color w:val="333333"/>
                <w:sz w:val="18"/>
                <w:szCs w:val="18"/>
                <w:lang w:eastAsia="zh-CN"/>
              </w:rPr>
              <w:t>InPol, o</w:t>
            </w:r>
            <w:r w:rsidRPr="00881A69">
              <w:rPr>
                <w:rFonts w:ascii="Monaco" w:eastAsia="SimSun" w:hAnsi="Monaco" w:cs="Monaco"/>
                <w:color w:val="333333"/>
                <w:sz w:val="18"/>
                <w:szCs w:val="18"/>
                <w:lang w:eastAsia="zh-CN"/>
              </w:rPr>
              <w:t>bs</w:t>
            </w:r>
            <w:r>
              <w:rPr>
                <w:rFonts w:ascii="Monaco" w:eastAsia="SimSun" w:hAnsi="Monaco" w:cs="Monaco"/>
                <w:color w:val="333333"/>
                <w:sz w:val="18"/>
                <w:szCs w:val="18"/>
                <w:lang w:eastAsia="zh-CN"/>
              </w:rPr>
              <w:t>ervation</w:t>
            </w:r>
            <w:r w:rsidRPr="00881A69">
              <w:rPr>
                <w:rFonts w:ascii="Monaco" w:eastAsia="SimSun" w:hAnsi="Monaco" w:cs="Monaco"/>
                <w:color w:val="333333"/>
                <w:sz w:val="18"/>
                <w:szCs w:val="18"/>
                <w:lang w:eastAsia="zh-CN"/>
              </w:rPr>
              <w:t>, uncertainties</w:t>
            </w:r>
            <w:r w:rsidRPr="00881A69">
              <w:rPr>
                <w:rFonts w:ascii="Monaco" w:eastAsia="SimSun" w:hAnsi="Monaco" w:cs="Monaco"/>
                <w:color w:val="0000CC"/>
                <w:sz w:val="18"/>
                <w:szCs w:val="18"/>
                <w:lang w:eastAsia="zh-CN"/>
              </w:rPr>
              <w:t xml:space="preserve">)  </w:t>
            </w:r>
          </w:p>
          <w:p w14:paraId="318DB89A" w14:textId="77777777" w:rsidR="003A3CA2" w:rsidRPr="00881A69" w:rsidRDefault="003A3CA2" w:rsidP="003A3CA2">
            <w:pPr>
              <w:widowControl w:val="0"/>
              <w:tabs>
                <w:tab w:val="left" w:pos="777"/>
                <w:tab w:val="left" w:pos="1554"/>
                <w:tab w:val="left" w:pos="2331"/>
                <w:tab w:val="left" w:pos="3108"/>
                <w:tab w:val="left" w:pos="3885"/>
                <w:tab w:val="left" w:pos="4663"/>
                <w:tab w:val="left" w:pos="5440"/>
                <w:tab w:val="left" w:pos="6217"/>
                <w:tab w:val="left" w:pos="6994"/>
                <w:tab w:val="left" w:pos="7771"/>
                <w:tab w:val="left" w:pos="8549"/>
                <w:tab w:val="left" w:pos="9326"/>
                <w:tab w:val="left" w:pos="10103"/>
                <w:tab w:val="left" w:pos="10880"/>
                <w:tab w:val="left" w:pos="11657"/>
                <w:tab w:val="left" w:pos="12435"/>
                <w:tab w:val="left" w:pos="13212"/>
                <w:tab w:val="left" w:pos="13989"/>
                <w:tab w:val="left" w:pos="14766"/>
                <w:tab w:val="left" w:pos="15543"/>
                <w:tab w:val="left" w:pos="16320"/>
                <w:tab w:val="left" w:pos="17098"/>
                <w:tab w:val="left" w:pos="17875"/>
                <w:tab w:val="left" w:pos="18652"/>
                <w:tab w:val="left" w:pos="19429"/>
                <w:tab w:val="left" w:pos="20206"/>
                <w:tab w:val="left" w:pos="20984"/>
                <w:tab w:val="left" w:pos="21761"/>
                <w:tab w:val="left" w:pos="22538"/>
                <w:tab w:val="left" w:pos="23315"/>
                <w:tab w:val="left" w:pos="24092"/>
                <w:tab w:val="left" w:pos="24870"/>
                <w:tab w:val="left" w:pos="25647"/>
                <w:tab w:val="left" w:pos="26424"/>
                <w:tab w:val="left" w:pos="27201"/>
                <w:tab w:val="left" w:pos="27978"/>
                <w:tab w:val="left" w:pos="28755"/>
                <w:tab w:val="left" w:pos="29533"/>
                <w:tab w:val="left" w:pos="30310"/>
                <w:tab w:val="left" w:pos="31087"/>
              </w:tabs>
              <w:autoSpaceDE w:val="0"/>
              <w:autoSpaceDN w:val="0"/>
              <w:adjustRightInd w:val="0"/>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updateRules(</w:t>
            </w:r>
            <w:r w:rsidRPr="00881A69">
              <w:rPr>
                <w:rFonts w:ascii="Monaco" w:eastAsia="SimSun" w:hAnsi="Monaco" w:cs="Monaco"/>
                <w:color w:val="333333"/>
                <w:sz w:val="18"/>
                <w:szCs w:val="18"/>
                <w:lang w:eastAsia="zh-CN"/>
              </w:rPr>
              <w:t>DQs</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 xml:space="preserve">CSQs,GVQs, </w:t>
            </w:r>
            <w:r w:rsidRPr="00881A69">
              <w:rPr>
                <w:rFonts w:ascii="Monaco" w:hAnsi="Monaco"/>
                <w:sz w:val="18"/>
                <w:szCs w:val="18"/>
              </w:rPr>
              <w:t>IniScore</w:t>
            </w:r>
            <w:r w:rsidRPr="00881A69">
              <w:rPr>
                <w:rFonts w:ascii="Monaco" w:eastAsia="SimSun" w:hAnsi="Monaco" w:cs="Monaco"/>
                <w:color w:val="0000CC"/>
                <w:sz w:val="18"/>
                <w:szCs w:val="18"/>
                <w:lang w:eastAsia="zh-CN"/>
              </w:rPr>
              <w:t xml:space="preserve">)  </w:t>
            </w:r>
          </w:p>
          <w:p w14:paraId="24EFBD52"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eastAsia="zh-CN"/>
              </w:rPr>
              <w:t>if</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no</w:t>
            </w:r>
            <w:r>
              <w:rPr>
                <w:rFonts w:ascii="Monaco" w:eastAsia="SimSun" w:hAnsi="Monaco" w:cs="Monaco"/>
                <w:color w:val="333333"/>
                <w:sz w:val="18"/>
                <w:szCs w:val="18"/>
                <w:lang w:eastAsia="zh-CN"/>
              </w:rPr>
              <w:t>t</w:t>
            </w:r>
            <w:r w:rsidRPr="00881A69">
              <w:rPr>
                <w:rFonts w:ascii="Monaco" w:eastAsia="SimSun" w:hAnsi="Monaco" w:cs="Monaco"/>
                <w:color w:val="333333"/>
                <w:sz w:val="18"/>
                <w:szCs w:val="18"/>
                <w:lang w:eastAsia="zh-CN"/>
              </w:rPr>
              <w:t xml:space="preserve"> InPol</w:t>
            </w:r>
            <w:r w:rsidRPr="00881A69">
              <w:rPr>
                <w:rFonts w:ascii="Monaco" w:eastAsia="SimSun" w:hAnsi="Monaco" w:cs="Monaco"/>
                <w:color w:val="0000CC"/>
                <w:sz w:val="18"/>
                <w:szCs w:val="18"/>
                <w:lang w:eastAsia="zh-CN"/>
              </w:rPr>
              <w:t xml:space="preserve">) </w:t>
            </w:r>
            <w:r w:rsidRPr="00881A69">
              <w:rPr>
                <w:rFonts w:ascii="Monaco" w:eastAsia="SimSun" w:hAnsi="Monaco" w:cs="Monaco"/>
                <w:color w:val="408000"/>
                <w:sz w:val="18"/>
                <w:szCs w:val="18"/>
                <w:lang w:eastAsia="zh-CN"/>
              </w:rPr>
              <w:t>{</w:t>
            </w:r>
          </w:p>
          <w:p w14:paraId="1C3EB04F"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eastAsia="SimSun" w:hAnsi="Monaco" w:cs="Monaco"/>
                <w:color w:val="333333"/>
                <w:sz w:val="18"/>
                <w:szCs w:val="18"/>
                <w:lang w:eastAsia="zh-CN"/>
              </w:rPr>
              <w:t>ProxPol=</w:t>
            </w:r>
            <w:r w:rsidRPr="00881A69">
              <w:rPr>
                <w:rFonts w:ascii="Monaco" w:eastAsia="SimSun" w:hAnsi="Monaco" w:cs="Monaco"/>
                <w:color w:val="0000CC"/>
                <w:sz w:val="18"/>
                <w:szCs w:val="18"/>
                <w:lang w:eastAsia="zh-CN"/>
              </w:rPr>
              <w:t>evaluateNear(</w:t>
            </w:r>
            <w:r w:rsidRPr="00881A69">
              <w:rPr>
                <w:rFonts w:ascii="Monaco" w:eastAsia="SimSun" w:hAnsi="Monaco" w:cs="Monaco"/>
                <w:color w:val="333333"/>
                <w:sz w:val="18"/>
                <w:szCs w:val="18"/>
                <w:lang w:eastAsia="zh-CN"/>
              </w:rPr>
              <w:t>Obs</w:t>
            </w:r>
            <w:r w:rsidRPr="00881A69">
              <w:rPr>
                <w:rFonts w:ascii="Monaco" w:eastAsia="SimSun" w:hAnsi="Monaco" w:cs="Monaco"/>
                <w:color w:val="0000CC"/>
                <w:sz w:val="18"/>
                <w:szCs w:val="18"/>
                <w:lang w:eastAsia="zh-CN"/>
              </w:rPr>
              <w:t>.</w:t>
            </w:r>
            <w:r w:rsidRPr="00881A69">
              <w:rPr>
                <w:rFonts w:ascii="Monaco" w:hAnsi="Monaco"/>
                <w:sz w:val="18"/>
                <w:szCs w:val="18"/>
              </w:rPr>
              <w:t xml:space="preserve">DQ_AbsolutePositionInternalPositionalAccuracy,   </w:t>
            </w:r>
            <w:r w:rsidRPr="00881A69">
              <w:rPr>
                <w:rFonts w:ascii="Monaco" w:eastAsia="SimSun" w:hAnsi="Monaco" w:cs="Monaco"/>
                <w:color w:val="333333"/>
                <w:sz w:val="18"/>
                <w:szCs w:val="18"/>
                <w:lang w:eastAsia="zh-CN"/>
              </w:rPr>
              <w:t>Auth</w:t>
            </w:r>
            <w:r w:rsidRPr="00881A69">
              <w:rPr>
                <w:rFonts w:ascii="Monaco" w:eastAsia="SimSun" w:hAnsi="Monaco" w:cs="Monaco"/>
                <w:color w:val="0000CC"/>
                <w:sz w:val="18"/>
                <w:szCs w:val="18"/>
                <w:lang w:eastAsia="zh-CN"/>
              </w:rPr>
              <w:t>.</w:t>
            </w:r>
            <w:r w:rsidRPr="00881A69">
              <w:rPr>
                <w:rFonts w:ascii="Monaco" w:hAnsi="Monaco"/>
                <w:sz w:val="18"/>
                <w:szCs w:val="18"/>
              </w:rPr>
              <w:t>DQ_AbsolutePositionInternalPositionalAccuracy</w:t>
            </w:r>
            <w:r w:rsidRPr="00881A69">
              <w:rPr>
                <w:rFonts w:ascii="Monaco" w:eastAsia="SimSun" w:hAnsi="Monaco" w:cs="Monaco"/>
                <w:color w:val="0000CC"/>
                <w:sz w:val="18"/>
                <w:szCs w:val="18"/>
                <w:lang w:eastAsia="zh-CN"/>
              </w:rPr>
              <w:t>)</w:t>
            </w:r>
          </w:p>
          <w:p w14:paraId="2BFE7F0C"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w:t>
            </w:r>
            <w:r w:rsidRPr="00881A69">
              <w:rPr>
                <w:rFonts w:ascii="Monaco" w:hAnsi="Monaco"/>
                <w:sz w:val="18"/>
                <w:szCs w:val="18"/>
              </w:rPr>
              <w:t>ProxScore</w:t>
            </w:r>
            <w:r w:rsidRPr="00881A69">
              <w:rPr>
                <w:rFonts w:ascii="Monaco" w:eastAsia="SimSun" w:hAnsi="Monaco" w:cs="Monaco"/>
                <w:color w:val="0000CC"/>
                <w:sz w:val="18"/>
                <w:szCs w:val="18"/>
                <w:lang w:eastAsia="zh-CN"/>
              </w:rPr>
              <w:t>=Evaluate(</w:t>
            </w:r>
            <w:r w:rsidRPr="00881A69">
              <w:rPr>
                <w:rFonts w:ascii="Monaco" w:eastAsia="SimSun" w:hAnsi="Monaco" w:cs="Monaco"/>
                <w:color w:val="333333"/>
                <w:sz w:val="18"/>
                <w:szCs w:val="18"/>
                <w:lang w:eastAsia="zh-CN"/>
              </w:rPr>
              <w:t>ProxPol, Obs, uncertainties</w:t>
            </w:r>
            <w:r w:rsidRPr="00881A69">
              <w:rPr>
                <w:rFonts w:ascii="Monaco" w:eastAsia="SimSun" w:hAnsi="Monaco" w:cs="Monaco"/>
                <w:color w:val="0000CC"/>
                <w:sz w:val="18"/>
                <w:szCs w:val="18"/>
                <w:lang w:eastAsia="zh-CN"/>
              </w:rPr>
              <w:t xml:space="preserve">)  </w:t>
            </w:r>
          </w:p>
          <w:p w14:paraId="5D5CB99D" w14:textId="77777777" w:rsidR="003A3CA2" w:rsidRPr="00881A69" w:rsidRDefault="003A3CA2" w:rsidP="003A3CA2">
            <w:pPr>
              <w:spacing w:line="220" w:lineRule="exact"/>
              <w:rPr>
                <w:rFonts w:ascii="Monaco" w:eastAsia="SimSun" w:hAnsi="Monaco" w:cs="Monaco"/>
                <w:color w:val="0000CC"/>
                <w:sz w:val="18"/>
                <w:szCs w:val="18"/>
                <w:lang w:eastAsia="zh-CN"/>
              </w:rPr>
            </w:pPr>
            <w:r w:rsidRPr="00881A69">
              <w:rPr>
                <w:rFonts w:ascii="Monaco" w:eastAsia="SimSun" w:hAnsi="Monaco" w:cs="Monaco"/>
                <w:color w:val="0000CC"/>
                <w:sz w:val="18"/>
                <w:szCs w:val="18"/>
                <w:lang w:eastAsia="zh-CN"/>
              </w:rPr>
              <w:t xml:space="preserve">           updateRules(</w:t>
            </w:r>
            <w:r w:rsidRPr="00881A69">
              <w:rPr>
                <w:rFonts w:ascii="Monaco" w:eastAsia="SimSun" w:hAnsi="Monaco" w:cs="Monaco"/>
                <w:color w:val="333333"/>
                <w:sz w:val="18"/>
                <w:szCs w:val="18"/>
                <w:lang w:eastAsia="zh-CN"/>
              </w:rPr>
              <w:t>DQs</w:t>
            </w:r>
            <w:r w:rsidRPr="00881A69">
              <w:rPr>
                <w:rFonts w:ascii="Monaco" w:eastAsia="SimSun" w:hAnsi="Monaco" w:cs="Monaco"/>
                <w:color w:val="0000CC"/>
                <w:sz w:val="18"/>
                <w:szCs w:val="18"/>
                <w:lang w:eastAsia="zh-CN"/>
              </w:rPr>
              <w:t>,</w:t>
            </w:r>
            <w:r w:rsidRPr="00881A69">
              <w:rPr>
                <w:rFonts w:ascii="Monaco" w:eastAsia="SimSun" w:hAnsi="Monaco" w:cs="Monaco"/>
                <w:color w:val="333333"/>
                <w:sz w:val="18"/>
                <w:szCs w:val="18"/>
                <w:lang w:eastAsia="zh-CN"/>
              </w:rPr>
              <w:t xml:space="preserve">CSQs,GVQs, </w:t>
            </w:r>
            <w:r w:rsidRPr="00881A69">
              <w:rPr>
                <w:rFonts w:ascii="Monaco" w:hAnsi="Monaco"/>
                <w:sz w:val="18"/>
                <w:szCs w:val="18"/>
              </w:rPr>
              <w:t>ProxScore</w:t>
            </w:r>
            <w:r w:rsidRPr="00881A69">
              <w:rPr>
                <w:rFonts w:ascii="Monaco" w:eastAsia="SimSun" w:hAnsi="Monaco" w:cs="Monaco"/>
                <w:color w:val="0000CC"/>
                <w:sz w:val="18"/>
                <w:szCs w:val="18"/>
                <w:lang w:eastAsia="zh-CN"/>
              </w:rPr>
              <w:t xml:space="preserve">)  </w:t>
            </w:r>
          </w:p>
          <w:p w14:paraId="49499619" w14:textId="77777777" w:rsidR="003A3CA2" w:rsidRPr="00881A69" w:rsidRDefault="003A3CA2" w:rsidP="003A3CA2">
            <w:pPr>
              <w:spacing w:line="220" w:lineRule="exact"/>
              <w:rPr>
                <w:rFonts w:ascii="Monaco" w:eastAsia="SimSun" w:hAnsi="Monaco" w:cs="Monaco"/>
                <w:color w:val="408000"/>
                <w:sz w:val="18"/>
                <w:szCs w:val="18"/>
                <w:lang w:eastAsia="zh-CN"/>
              </w:rPr>
            </w:pPr>
            <w:r w:rsidRPr="00881A69">
              <w:rPr>
                <w:rFonts w:ascii="Monaco" w:eastAsia="SimSun" w:hAnsi="Monaco" w:cs="Monaco"/>
                <w:color w:val="408000"/>
                <w:sz w:val="18"/>
                <w:szCs w:val="18"/>
                <w:lang w:eastAsia="zh-CN"/>
              </w:rPr>
              <w:t xml:space="preserve">          }</w:t>
            </w:r>
            <w:r w:rsidRPr="00881A69">
              <w:rPr>
                <w:rFonts w:ascii="Monaco" w:eastAsia="SimSun" w:hAnsi="Monaco" w:cs="Monaco"/>
                <w:color w:val="0000CC"/>
                <w:sz w:val="18"/>
                <w:szCs w:val="18"/>
                <w:lang w:eastAsia="zh-CN"/>
              </w:rPr>
              <w:t xml:space="preserve"> </w:t>
            </w:r>
          </w:p>
          <w:p w14:paraId="744766DC" w14:textId="271023A9" w:rsidR="00CB06EC" w:rsidRPr="00881A69" w:rsidRDefault="003A3CA2" w:rsidP="003A3CA2">
            <w:pPr>
              <w:spacing w:line="220" w:lineRule="exact"/>
              <w:rPr>
                <w:rFonts w:ascii="Monaco" w:hAnsi="Monaco" w:cs="Arial"/>
                <w:sz w:val="18"/>
                <w:szCs w:val="18"/>
              </w:rPr>
            </w:pPr>
            <w:r w:rsidRPr="00881A69">
              <w:rPr>
                <w:rFonts w:ascii="Monaco" w:eastAsia="SimSun" w:hAnsi="Monaco" w:cs="Monaco"/>
                <w:color w:val="8000FF"/>
                <w:sz w:val="18"/>
                <w:szCs w:val="18"/>
                <w:lang w:eastAsia="zh-CN"/>
              </w:rPr>
              <w:t>#end</w:t>
            </w:r>
          </w:p>
        </w:tc>
      </w:tr>
      <w:tr w:rsidR="00CB06EC" w:rsidRPr="00881A69" w14:paraId="2A6A933C" w14:textId="77777777" w:rsidTr="00CB06EC">
        <w:trPr>
          <w:trHeight w:val="720"/>
          <w:jc w:val="right"/>
        </w:trPr>
        <w:tc>
          <w:tcPr>
            <w:tcW w:w="4104" w:type="dxa"/>
            <w:gridSpan w:val="2"/>
            <w:shd w:val="clear" w:color="auto" w:fill="auto"/>
          </w:tcPr>
          <w:p w14:paraId="68765C7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lastRenderedPageBreak/>
              <w:t>given the position and its uncertainty checking if a point belongs to a polygon then concluding on relative position accuracy and 'relative' semantic therefore usability and attribute accuracies</w:t>
            </w:r>
          </w:p>
          <w:p w14:paraId="1FC54261" w14:textId="77777777" w:rsidR="00CB06EC" w:rsidRPr="00881A69" w:rsidRDefault="00CB06EC" w:rsidP="00CB06EC">
            <w:pPr>
              <w:spacing w:line="220" w:lineRule="exact"/>
              <w:rPr>
                <w:rFonts w:ascii="Monaco" w:hAnsi="Monaco" w:cs="Arial"/>
                <w:sz w:val="18"/>
                <w:szCs w:val="18"/>
              </w:rPr>
            </w:pPr>
          </w:p>
          <w:p w14:paraId="6D904938" w14:textId="77777777" w:rsidR="00CB06EC" w:rsidRPr="00881A69" w:rsidRDefault="00CB06EC" w:rsidP="00CB06EC">
            <w:pPr>
              <w:spacing w:line="220" w:lineRule="exact"/>
              <w:rPr>
                <w:rFonts w:ascii="Monaco" w:hAnsi="Monaco" w:cs="Arial"/>
                <w:b/>
                <w:sz w:val="18"/>
                <w:szCs w:val="18"/>
              </w:rPr>
            </w:pPr>
            <w:r w:rsidRPr="00881A69">
              <w:rPr>
                <w:rFonts w:ascii="Monaco" w:hAnsi="Monaco" w:cs="Arial"/>
                <w:b/>
                <w:sz w:val="18"/>
                <w:szCs w:val="18"/>
              </w:rPr>
              <w:t>Authoritative data</w:t>
            </w:r>
          </w:p>
          <w:p w14:paraId="5355DC35" w14:textId="77777777" w:rsidR="00CB06EC" w:rsidRPr="00881A69" w:rsidRDefault="00CB06EC" w:rsidP="00CB06EC">
            <w:pPr>
              <w:spacing w:line="220" w:lineRule="exact"/>
              <w:rPr>
                <w:rFonts w:ascii="Monaco" w:hAnsi="Monaco" w:cs="Arial"/>
                <w:b/>
                <w:sz w:val="18"/>
                <w:szCs w:val="18"/>
              </w:rPr>
            </w:pPr>
            <w:r w:rsidRPr="00881A69">
              <w:rPr>
                <w:rFonts w:ascii="Monaco" w:eastAsia="SimSun" w:hAnsi="Monaco" w:cs="Monaco"/>
                <w:color w:val="333333"/>
                <w:sz w:val="18"/>
                <w:szCs w:val="18"/>
                <w:lang w:val="fr-FR" w:eastAsia="zh-CN"/>
              </w:rPr>
              <w:t>ThematicAgreement</w:t>
            </w:r>
          </w:p>
        </w:tc>
        <w:tc>
          <w:tcPr>
            <w:tcW w:w="4878" w:type="dxa"/>
            <w:shd w:val="clear" w:color="auto" w:fill="auto"/>
          </w:tcPr>
          <w:p w14:paraId="1FEDC8A1"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DQ_UsabilityElement</w:t>
            </w:r>
          </w:p>
          <w:p w14:paraId="00368722"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DQ_ThematicClassificationCorrectness</w:t>
            </w:r>
          </w:p>
          <w:p w14:paraId="46EAD122"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DQ_NonQuantitativeAttributeCorrectness</w:t>
            </w:r>
          </w:p>
          <w:p w14:paraId="3965DE85"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DQ_QuantitativeAttributeAccuracy</w:t>
            </w:r>
          </w:p>
          <w:p w14:paraId="14165C07"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DQ_AbsoluteExternalPositionalAccuracy</w:t>
            </w:r>
          </w:p>
          <w:p w14:paraId="38D52580"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DQ_GriddedDataPositionalAccuracy</w:t>
            </w:r>
          </w:p>
          <w:p w14:paraId="640C78BD"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DQ_RelativeInternalPositionalAccuracy</w:t>
            </w:r>
          </w:p>
          <w:p w14:paraId="4D80D150"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GVQ_PositiveFeedback</w:t>
            </w:r>
          </w:p>
          <w:p w14:paraId="61EABE0E"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GVQ_NegativeFeedback</w:t>
            </w:r>
          </w:p>
          <w:p w14:paraId="058A10AE"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CSQ_Judgement</w:t>
            </w:r>
          </w:p>
          <w:p w14:paraId="1CAEA4C7"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CSQ_Reliability</w:t>
            </w:r>
          </w:p>
          <w:p w14:paraId="72F4174B"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CSQ_Validity</w:t>
            </w:r>
          </w:p>
          <w:p w14:paraId="192E9082" w14:textId="77777777" w:rsidR="00CB06EC" w:rsidRPr="00881A69" w:rsidRDefault="00CB06EC" w:rsidP="00CB06EC">
            <w:pPr>
              <w:spacing w:line="220" w:lineRule="exact"/>
              <w:rPr>
                <w:rFonts w:ascii="Monaco" w:hAnsi="Monaco" w:cs="Arial"/>
                <w:sz w:val="18"/>
                <w:szCs w:val="18"/>
              </w:rPr>
            </w:pPr>
            <w:r w:rsidRPr="00881A69">
              <w:rPr>
                <w:rFonts w:ascii="Monaco" w:hAnsi="Monaco" w:cs="Arial"/>
                <w:sz w:val="18"/>
                <w:szCs w:val="18"/>
              </w:rPr>
              <w:t>CSQ_Trust</w:t>
            </w:r>
          </w:p>
        </w:tc>
      </w:tr>
    </w:tbl>
    <w:p w14:paraId="559F2DA0" w14:textId="77777777" w:rsidR="00CB06EC" w:rsidRDefault="00CB06EC" w:rsidP="00CB06EC">
      <w:pPr>
        <w:widowControl w:val="0"/>
        <w:autoSpaceDE w:val="0"/>
        <w:autoSpaceDN w:val="0"/>
        <w:adjustRightInd w:val="0"/>
        <w:spacing w:line="220" w:lineRule="exact"/>
        <w:rPr>
          <w:rFonts w:ascii="Times" w:eastAsia="SimSun" w:hAnsi="Times" w:cs="Times"/>
          <w:lang w:eastAsia="zh-CN"/>
        </w:rPr>
      </w:pPr>
    </w:p>
    <w:p w14:paraId="0463D98F" w14:textId="30858C6E" w:rsidR="00000BC1" w:rsidRPr="00C22CAD" w:rsidRDefault="00000BC1" w:rsidP="00000BC1">
      <w:pPr>
        <w:widowControl w:val="0"/>
        <w:autoSpaceDE w:val="0"/>
        <w:autoSpaceDN w:val="0"/>
        <w:adjustRightInd w:val="0"/>
        <w:rPr>
          <w:rFonts w:ascii="Palatino Linotype" w:eastAsia="SimSun" w:hAnsi="Palatino Linotype" w:cs="Palatino Linotype"/>
          <w:sz w:val="20"/>
          <w:lang w:eastAsia="zh-CN"/>
        </w:rPr>
      </w:pPr>
      <w:r w:rsidRPr="00C22CAD">
        <w:rPr>
          <w:rFonts w:ascii="Palatino Linotype" w:eastAsia="SimSun" w:hAnsi="Palatino Linotype" w:cs="Palatino Linotype"/>
          <w:b/>
          <w:sz w:val="20"/>
          <w:lang w:eastAsia="zh-CN"/>
        </w:rPr>
        <w:t>A.</w:t>
      </w:r>
      <w:r>
        <w:rPr>
          <w:rFonts w:ascii="Palatino Linotype" w:eastAsia="SimSun" w:hAnsi="Palatino Linotype" w:cs="Palatino Linotype"/>
          <w:b/>
          <w:sz w:val="20"/>
          <w:lang w:eastAsia="zh-CN"/>
        </w:rPr>
        <w:t>3</w:t>
      </w:r>
      <w:r w:rsidRPr="00C22CAD">
        <w:rPr>
          <w:rFonts w:ascii="Palatino Linotype" w:eastAsia="SimSun" w:hAnsi="Palatino Linotype" w:cs="Palatino Linotype"/>
          <w:sz w:val="20"/>
          <w:lang w:eastAsia="zh-CN"/>
        </w:rPr>
        <w:t xml:space="preserve"> </w:t>
      </w:r>
      <w:r w:rsidRPr="00C22CAD">
        <w:rPr>
          <w:rFonts w:ascii="Palatino Linotype" w:eastAsia="SimSun" w:hAnsi="Palatino Linotype" w:cs="Palatino Linotype"/>
          <w:b/>
          <w:snapToGrid w:val="0"/>
          <w:sz w:val="20"/>
          <w:lang w:val="en-US" w:eastAsia="zh-CN" w:bidi="en-US"/>
        </w:rPr>
        <w:t>Comparison</w:t>
      </w:r>
      <w:r w:rsidRPr="00C22CAD">
        <w:rPr>
          <w:rFonts w:ascii="Palatino Linotype" w:hAnsi="Palatino Linotype"/>
          <w:sz w:val="20"/>
        </w:rPr>
        <w:t xml:space="preserve"> </w:t>
      </w:r>
      <w:r w:rsidRPr="00C22CAD">
        <w:rPr>
          <w:rFonts w:ascii="Palatino Linotype" w:eastAsia="SimSun" w:hAnsi="Palatino Linotype" w:cs="Palatino Linotype"/>
          <w:sz w:val="20"/>
          <w:lang w:eastAsia="zh-CN"/>
        </w:rPr>
        <w:t>of the citizen’s declared versus estimated from LoS distances (for 38 pts) of the citizen to declared invasive species.</w:t>
      </w:r>
    </w:p>
    <w:tbl>
      <w:tblPr>
        <w:tblW w:w="5000" w:type="pct"/>
        <w:tblLook w:val="0600" w:firstRow="0" w:lastRow="0" w:firstColumn="0" w:lastColumn="0" w:noHBand="1" w:noVBand="1"/>
      </w:tblPr>
      <w:tblGrid>
        <w:gridCol w:w="2084"/>
        <w:gridCol w:w="1664"/>
        <w:gridCol w:w="5096"/>
      </w:tblGrid>
      <w:tr w:rsidR="00000BC1" w:rsidRPr="00C22CAD" w14:paraId="420C0662" w14:textId="77777777" w:rsidTr="00311B5E">
        <w:trPr>
          <w:trHeight w:val="347"/>
        </w:trPr>
        <w:tc>
          <w:tcPr>
            <w:tcW w:w="1178" w:type="pct"/>
            <w:tcBorders>
              <w:top w:val="single" w:sz="4" w:space="0" w:color="auto"/>
              <w:bottom w:val="single" w:sz="4" w:space="0" w:color="auto"/>
            </w:tcBorders>
            <w:shd w:val="clear" w:color="auto" w:fill="auto"/>
          </w:tcPr>
          <w:p w14:paraId="059DFD52" w14:textId="77777777" w:rsidR="00000BC1" w:rsidRPr="00C22CAD" w:rsidRDefault="00000BC1" w:rsidP="00311B5E">
            <w:pPr>
              <w:pStyle w:val="JOSISnormal"/>
              <w:spacing w:after="0"/>
              <w:rPr>
                <w:rFonts w:ascii="Palatino Linotype" w:hAnsi="Palatino Linotype"/>
                <w:b/>
                <w:sz w:val="20"/>
                <w:szCs w:val="20"/>
              </w:rPr>
            </w:pPr>
            <w:r w:rsidRPr="00C22CAD">
              <w:rPr>
                <w:rFonts w:ascii="Palatino Linotype" w:hAnsi="Palatino Linotype"/>
                <w:b/>
                <w:bCs/>
                <w:sz w:val="20"/>
                <w:szCs w:val="20"/>
              </w:rPr>
              <w:t>Declared distance</w:t>
            </w:r>
          </w:p>
        </w:tc>
        <w:tc>
          <w:tcPr>
            <w:tcW w:w="941" w:type="pct"/>
            <w:tcBorders>
              <w:top w:val="single" w:sz="4" w:space="0" w:color="auto"/>
              <w:bottom w:val="single" w:sz="4" w:space="0" w:color="auto"/>
            </w:tcBorders>
            <w:shd w:val="clear" w:color="auto" w:fill="auto"/>
          </w:tcPr>
          <w:p w14:paraId="190BF960" w14:textId="77777777" w:rsidR="00000BC1" w:rsidRPr="00C22CAD" w:rsidRDefault="00000BC1" w:rsidP="00311B5E">
            <w:pPr>
              <w:pStyle w:val="JOSISnormal"/>
              <w:spacing w:after="0"/>
              <w:rPr>
                <w:rFonts w:ascii="Palatino Linotype" w:hAnsi="Palatino Linotype"/>
                <w:b/>
                <w:bCs/>
                <w:sz w:val="20"/>
                <w:szCs w:val="20"/>
              </w:rPr>
            </w:pPr>
            <w:r w:rsidRPr="00C22CAD">
              <w:rPr>
                <w:rFonts w:ascii="Palatino Linotype" w:hAnsi="Palatino Linotype"/>
                <w:b/>
                <w:bCs/>
                <w:sz w:val="20"/>
                <w:szCs w:val="20"/>
              </w:rPr>
              <w:t>N (total 177)</w:t>
            </w:r>
          </w:p>
        </w:tc>
        <w:tc>
          <w:tcPr>
            <w:tcW w:w="2881" w:type="pct"/>
            <w:tcBorders>
              <w:top w:val="single" w:sz="4" w:space="0" w:color="auto"/>
              <w:bottom w:val="single" w:sz="4" w:space="0" w:color="auto"/>
            </w:tcBorders>
            <w:shd w:val="clear" w:color="auto" w:fill="auto"/>
          </w:tcPr>
          <w:p w14:paraId="7B6A8F65" w14:textId="77777777" w:rsidR="00000BC1" w:rsidRPr="00C22CAD" w:rsidRDefault="00000BC1" w:rsidP="00311B5E">
            <w:pPr>
              <w:pStyle w:val="JOSISnormal"/>
              <w:spacing w:after="0"/>
              <w:rPr>
                <w:rFonts w:ascii="Palatino Linotype" w:hAnsi="Palatino Linotype"/>
                <w:b/>
                <w:sz w:val="20"/>
                <w:szCs w:val="20"/>
              </w:rPr>
            </w:pPr>
            <w:r w:rsidRPr="00C22CAD">
              <w:rPr>
                <w:rFonts w:ascii="Palatino Linotype" w:hAnsi="Palatino Linotype"/>
                <w:b/>
                <w:bCs/>
                <w:sz w:val="20"/>
                <w:szCs w:val="20"/>
              </w:rPr>
              <w:t>LoS distance (38/177)</w:t>
            </w:r>
          </w:p>
        </w:tc>
      </w:tr>
      <w:tr w:rsidR="00000BC1" w:rsidRPr="00C22CAD" w14:paraId="46FCDBA3" w14:textId="77777777" w:rsidTr="00311B5E">
        <w:trPr>
          <w:trHeight w:val="334"/>
        </w:trPr>
        <w:tc>
          <w:tcPr>
            <w:tcW w:w="1178" w:type="pct"/>
            <w:tcBorders>
              <w:top w:val="single" w:sz="4" w:space="0" w:color="auto"/>
              <w:bottom w:val="nil"/>
            </w:tcBorders>
            <w:shd w:val="clear" w:color="auto" w:fill="auto"/>
          </w:tcPr>
          <w:p w14:paraId="625DBEA2" w14:textId="77777777" w:rsidR="00000BC1" w:rsidRPr="00C22CAD" w:rsidRDefault="00000BC1" w:rsidP="00311B5E">
            <w:pPr>
              <w:pStyle w:val="JOSISnormal"/>
              <w:spacing w:after="0"/>
              <w:rPr>
                <w:rFonts w:ascii="Palatino Linotype" w:hAnsi="Palatino Linotype"/>
                <w:sz w:val="20"/>
                <w:szCs w:val="20"/>
              </w:rPr>
            </w:pPr>
            <w:r w:rsidRPr="00C22CAD">
              <w:rPr>
                <w:rFonts w:ascii="Palatino Linotype" w:hAnsi="Palatino Linotype"/>
                <w:bCs/>
                <w:sz w:val="20"/>
                <w:szCs w:val="20"/>
              </w:rPr>
              <w:t xml:space="preserve">Close (&lt;1 m) </w:t>
            </w:r>
          </w:p>
        </w:tc>
        <w:tc>
          <w:tcPr>
            <w:tcW w:w="941" w:type="pct"/>
            <w:tcBorders>
              <w:top w:val="single" w:sz="4" w:space="0" w:color="auto"/>
              <w:bottom w:val="nil"/>
            </w:tcBorders>
            <w:shd w:val="clear" w:color="auto" w:fill="auto"/>
          </w:tcPr>
          <w:p w14:paraId="41672F4F" w14:textId="77777777" w:rsidR="00000BC1" w:rsidRPr="00C22CAD" w:rsidRDefault="00000BC1" w:rsidP="00311B5E">
            <w:pPr>
              <w:pStyle w:val="JOSISnormal"/>
              <w:spacing w:after="0"/>
              <w:rPr>
                <w:rFonts w:ascii="Palatino Linotype" w:hAnsi="Palatino Linotype"/>
                <w:sz w:val="20"/>
                <w:szCs w:val="20"/>
              </w:rPr>
            </w:pPr>
            <w:r w:rsidRPr="00C22CAD">
              <w:rPr>
                <w:rFonts w:ascii="Palatino Linotype" w:hAnsi="Palatino Linotype"/>
                <w:sz w:val="20"/>
                <w:szCs w:val="20"/>
              </w:rPr>
              <w:t>73</w:t>
            </w:r>
          </w:p>
        </w:tc>
        <w:tc>
          <w:tcPr>
            <w:tcW w:w="2881" w:type="pct"/>
            <w:tcBorders>
              <w:top w:val="single" w:sz="4" w:space="0" w:color="auto"/>
              <w:bottom w:val="nil"/>
            </w:tcBorders>
            <w:shd w:val="clear" w:color="auto" w:fill="auto"/>
          </w:tcPr>
          <w:p w14:paraId="2E8EB71A" w14:textId="77777777" w:rsidR="00000BC1" w:rsidRPr="00C22CAD" w:rsidRDefault="00000BC1" w:rsidP="00311B5E">
            <w:pPr>
              <w:pStyle w:val="JOSISnormal"/>
              <w:spacing w:after="0"/>
              <w:jc w:val="center"/>
              <w:rPr>
                <w:rFonts w:ascii="Palatino Linotype" w:hAnsi="Palatino Linotype"/>
                <w:sz w:val="20"/>
                <w:szCs w:val="20"/>
              </w:rPr>
            </w:pPr>
            <w:r w:rsidRPr="00C22CAD">
              <w:rPr>
                <w:rFonts w:ascii="Palatino Linotype" w:hAnsi="Palatino Linotype"/>
                <w:sz w:val="20"/>
                <w:szCs w:val="20"/>
              </w:rPr>
              <w:t>N=10 out of* 73,</w:t>
            </w:r>
          </w:p>
          <w:p w14:paraId="34132C46" w14:textId="77777777" w:rsidR="00000BC1" w:rsidRPr="00C22CAD" w:rsidRDefault="00000BC1" w:rsidP="00311B5E">
            <w:pPr>
              <w:pStyle w:val="JOSISnormal"/>
              <w:spacing w:after="0"/>
              <w:rPr>
                <w:rFonts w:ascii="Palatino Linotype" w:hAnsi="Palatino Linotype"/>
                <w:sz w:val="20"/>
                <w:szCs w:val="20"/>
              </w:rPr>
            </w:pPr>
            <w:r w:rsidRPr="00C22CAD">
              <w:rPr>
                <w:rFonts w:ascii="Palatino Linotype" w:hAnsi="Palatino Linotype"/>
                <w:sz w:val="20"/>
                <w:szCs w:val="20"/>
              </w:rPr>
              <w:t>Min. 1st Qu.  Median    Mean 3rd Qu.  Max.</w:t>
            </w:r>
          </w:p>
          <w:p w14:paraId="5E964C60" w14:textId="77777777" w:rsidR="00000BC1" w:rsidRPr="00C22CAD" w:rsidRDefault="00000BC1" w:rsidP="00311B5E">
            <w:pPr>
              <w:pStyle w:val="JOSISnormal"/>
              <w:spacing w:after="0"/>
              <w:rPr>
                <w:rFonts w:ascii="Palatino Linotype" w:hAnsi="Palatino Linotype"/>
                <w:sz w:val="20"/>
                <w:szCs w:val="20"/>
              </w:rPr>
            </w:pPr>
            <w:r w:rsidRPr="00C22CAD">
              <w:rPr>
                <w:rFonts w:ascii="Palatino Linotype" w:hAnsi="Palatino Linotype"/>
                <w:sz w:val="20"/>
                <w:szCs w:val="20"/>
              </w:rPr>
              <w:t xml:space="preserve"> 1.5     3.1     6.5    12.7    15.0    59.3</w:t>
            </w:r>
          </w:p>
        </w:tc>
      </w:tr>
      <w:tr w:rsidR="00000BC1" w:rsidRPr="00C22CAD" w14:paraId="09F5CF52" w14:textId="77777777" w:rsidTr="00311B5E">
        <w:trPr>
          <w:trHeight w:val="292"/>
        </w:trPr>
        <w:tc>
          <w:tcPr>
            <w:tcW w:w="1178" w:type="pct"/>
            <w:tcBorders>
              <w:top w:val="nil"/>
              <w:bottom w:val="nil"/>
            </w:tcBorders>
            <w:shd w:val="clear" w:color="auto" w:fill="auto"/>
          </w:tcPr>
          <w:p w14:paraId="6D82D11B" w14:textId="77777777" w:rsidR="00000BC1" w:rsidRPr="00C22CAD" w:rsidRDefault="00000BC1" w:rsidP="00311B5E">
            <w:pPr>
              <w:pStyle w:val="JOSISnormal"/>
              <w:spacing w:after="0"/>
              <w:rPr>
                <w:rFonts w:ascii="Palatino Linotype" w:hAnsi="Palatino Linotype"/>
                <w:bCs/>
                <w:sz w:val="20"/>
                <w:szCs w:val="18"/>
              </w:rPr>
            </w:pPr>
            <w:r w:rsidRPr="00C22CAD">
              <w:rPr>
                <w:rFonts w:ascii="Palatino Linotype" w:hAnsi="Palatino Linotype"/>
                <w:bCs/>
                <w:sz w:val="20"/>
                <w:szCs w:val="18"/>
              </w:rPr>
              <w:t>Nearby (1 m – 3 m)</w:t>
            </w:r>
          </w:p>
          <w:p w14:paraId="4E9CF14B" w14:textId="77777777" w:rsidR="00000BC1" w:rsidRPr="00C22CAD" w:rsidRDefault="00000BC1" w:rsidP="00311B5E">
            <w:pPr>
              <w:pStyle w:val="JOSISnormal"/>
              <w:spacing w:after="0"/>
              <w:rPr>
                <w:rFonts w:ascii="Palatino Linotype" w:hAnsi="Palatino Linotype"/>
                <w:bCs/>
                <w:sz w:val="20"/>
                <w:szCs w:val="18"/>
              </w:rPr>
            </w:pPr>
          </w:p>
          <w:p w14:paraId="75E1A714" w14:textId="77777777" w:rsidR="00000BC1" w:rsidRPr="00C22CAD" w:rsidRDefault="00000BC1" w:rsidP="00311B5E">
            <w:pPr>
              <w:pStyle w:val="JOSISnormal"/>
              <w:spacing w:after="0"/>
              <w:rPr>
                <w:rFonts w:ascii="Palatino Linotype" w:hAnsi="Palatino Linotype"/>
                <w:sz w:val="20"/>
                <w:szCs w:val="18"/>
              </w:rPr>
            </w:pPr>
          </w:p>
        </w:tc>
        <w:tc>
          <w:tcPr>
            <w:tcW w:w="941" w:type="pct"/>
            <w:tcBorders>
              <w:top w:val="nil"/>
              <w:bottom w:val="nil"/>
            </w:tcBorders>
            <w:shd w:val="clear" w:color="auto" w:fill="auto"/>
          </w:tcPr>
          <w:p w14:paraId="6CD3AC7D"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30</w:t>
            </w:r>
          </w:p>
          <w:p w14:paraId="0F8D2BED" w14:textId="77777777" w:rsidR="00000BC1" w:rsidRPr="00C22CAD" w:rsidRDefault="00000BC1" w:rsidP="00311B5E">
            <w:pPr>
              <w:pStyle w:val="JOSISnormal"/>
              <w:spacing w:after="0"/>
              <w:rPr>
                <w:rFonts w:ascii="Palatino Linotype" w:hAnsi="Palatino Linotype"/>
                <w:sz w:val="20"/>
                <w:szCs w:val="18"/>
              </w:rPr>
            </w:pPr>
          </w:p>
          <w:p w14:paraId="35DAE7F5" w14:textId="77777777" w:rsidR="00000BC1" w:rsidRPr="00C22CAD" w:rsidRDefault="00000BC1" w:rsidP="00311B5E">
            <w:pPr>
              <w:pStyle w:val="JOSISnormal"/>
              <w:spacing w:after="0"/>
              <w:rPr>
                <w:rFonts w:ascii="Palatino Linotype" w:hAnsi="Palatino Linotype"/>
                <w:sz w:val="20"/>
                <w:szCs w:val="18"/>
              </w:rPr>
            </w:pPr>
          </w:p>
        </w:tc>
        <w:tc>
          <w:tcPr>
            <w:tcW w:w="2881" w:type="pct"/>
            <w:tcBorders>
              <w:top w:val="nil"/>
              <w:bottom w:val="nil"/>
            </w:tcBorders>
            <w:shd w:val="clear" w:color="auto" w:fill="auto"/>
          </w:tcPr>
          <w:p w14:paraId="2A017912" w14:textId="77777777" w:rsidR="00000BC1" w:rsidRPr="00C22CAD" w:rsidRDefault="00000BC1" w:rsidP="00311B5E">
            <w:pPr>
              <w:pStyle w:val="JOSISnormal"/>
              <w:spacing w:after="0"/>
              <w:jc w:val="center"/>
              <w:rPr>
                <w:rFonts w:ascii="Palatino Linotype" w:hAnsi="Palatino Linotype"/>
                <w:sz w:val="20"/>
                <w:szCs w:val="18"/>
              </w:rPr>
            </w:pPr>
            <w:r w:rsidRPr="00C22CAD">
              <w:rPr>
                <w:rFonts w:ascii="Palatino Linotype" w:hAnsi="Palatino Linotype"/>
                <w:sz w:val="20"/>
                <w:szCs w:val="18"/>
              </w:rPr>
              <w:t>N=9 out of* 30,</w:t>
            </w:r>
          </w:p>
          <w:p w14:paraId="158E83EE"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Min. 1st Qu.  Median    Mean 3rd Qu.  Max. </w:t>
            </w:r>
          </w:p>
          <w:p w14:paraId="1767F384"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    3.5     5.8    14.8   213.5   516.9   687.8</w:t>
            </w:r>
          </w:p>
        </w:tc>
      </w:tr>
      <w:tr w:rsidR="00000BC1" w:rsidRPr="00C22CAD" w14:paraId="2FE37FB5" w14:textId="77777777" w:rsidTr="00311B5E">
        <w:trPr>
          <w:trHeight w:val="331"/>
        </w:trPr>
        <w:tc>
          <w:tcPr>
            <w:tcW w:w="1178" w:type="pct"/>
            <w:tcBorders>
              <w:top w:val="nil"/>
              <w:bottom w:val="nil"/>
            </w:tcBorders>
            <w:shd w:val="clear" w:color="auto" w:fill="auto"/>
          </w:tcPr>
          <w:p w14:paraId="361F3164"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bCs/>
                <w:sz w:val="20"/>
                <w:szCs w:val="18"/>
              </w:rPr>
              <w:t>Far (3 m-10 m)</w:t>
            </w:r>
          </w:p>
        </w:tc>
        <w:tc>
          <w:tcPr>
            <w:tcW w:w="941" w:type="pct"/>
            <w:tcBorders>
              <w:top w:val="nil"/>
              <w:bottom w:val="nil"/>
            </w:tcBorders>
            <w:shd w:val="clear" w:color="auto" w:fill="auto"/>
          </w:tcPr>
          <w:p w14:paraId="65B6906F"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39</w:t>
            </w:r>
          </w:p>
        </w:tc>
        <w:tc>
          <w:tcPr>
            <w:tcW w:w="2881" w:type="pct"/>
            <w:tcBorders>
              <w:top w:val="nil"/>
              <w:bottom w:val="nil"/>
            </w:tcBorders>
            <w:shd w:val="clear" w:color="auto" w:fill="auto"/>
          </w:tcPr>
          <w:p w14:paraId="27CFDAA0" w14:textId="77777777" w:rsidR="00000BC1" w:rsidRPr="00C22CAD" w:rsidRDefault="00000BC1" w:rsidP="00311B5E">
            <w:pPr>
              <w:pStyle w:val="JOSISnormal"/>
              <w:spacing w:after="0"/>
              <w:jc w:val="center"/>
              <w:rPr>
                <w:rFonts w:ascii="Palatino Linotype" w:hAnsi="Palatino Linotype"/>
                <w:sz w:val="20"/>
                <w:szCs w:val="18"/>
              </w:rPr>
            </w:pPr>
            <w:r w:rsidRPr="00C22CAD">
              <w:rPr>
                <w:rFonts w:ascii="Palatino Linotype" w:hAnsi="Palatino Linotype"/>
                <w:sz w:val="20"/>
                <w:szCs w:val="18"/>
              </w:rPr>
              <w:t>N=13 out of* 39,</w:t>
            </w:r>
          </w:p>
          <w:p w14:paraId="6C02FFF8"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Min. 1st Qu.  Median    Mean 3rd Qu.  Max. </w:t>
            </w:r>
          </w:p>
          <w:p w14:paraId="4A22B0C0"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    1.5     2.0    16.5   125.0   175.7   642.3</w:t>
            </w:r>
          </w:p>
        </w:tc>
      </w:tr>
      <w:tr w:rsidR="00000BC1" w:rsidRPr="00C22CAD" w14:paraId="3DFA9D3F" w14:textId="77777777" w:rsidTr="00311B5E">
        <w:trPr>
          <w:trHeight w:val="292"/>
        </w:trPr>
        <w:tc>
          <w:tcPr>
            <w:tcW w:w="1178" w:type="pct"/>
            <w:tcBorders>
              <w:top w:val="nil"/>
            </w:tcBorders>
            <w:shd w:val="clear" w:color="auto" w:fill="auto"/>
          </w:tcPr>
          <w:p w14:paraId="45A700F2"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bCs/>
                <w:sz w:val="20"/>
                <w:szCs w:val="18"/>
              </w:rPr>
              <w:t>Very far (&gt;10 m)</w:t>
            </w:r>
          </w:p>
        </w:tc>
        <w:tc>
          <w:tcPr>
            <w:tcW w:w="941" w:type="pct"/>
            <w:tcBorders>
              <w:top w:val="nil"/>
            </w:tcBorders>
            <w:shd w:val="clear" w:color="auto" w:fill="auto"/>
          </w:tcPr>
          <w:p w14:paraId="32DC149D"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34</w:t>
            </w:r>
          </w:p>
        </w:tc>
        <w:tc>
          <w:tcPr>
            <w:tcW w:w="2881" w:type="pct"/>
            <w:tcBorders>
              <w:top w:val="nil"/>
            </w:tcBorders>
            <w:shd w:val="clear" w:color="auto" w:fill="auto"/>
          </w:tcPr>
          <w:p w14:paraId="400F9690" w14:textId="77777777" w:rsidR="00000BC1" w:rsidRPr="00C22CAD" w:rsidRDefault="00000BC1" w:rsidP="00311B5E">
            <w:pPr>
              <w:pStyle w:val="JOSISnormal"/>
              <w:spacing w:after="0"/>
              <w:jc w:val="center"/>
              <w:rPr>
                <w:rFonts w:ascii="Palatino Linotype" w:hAnsi="Palatino Linotype"/>
                <w:sz w:val="20"/>
                <w:szCs w:val="18"/>
              </w:rPr>
            </w:pPr>
            <w:r w:rsidRPr="00C22CAD">
              <w:rPr>
                <w:rFonts w:ascii="Palatino Linotype" w:hAnsi="Palatino Linotype"/>
                <w:sz w:val="20"/>
                <w:szCs w:val="18"/>
              </w:rPr>
              <w:t>N=6 out of* 34,</w:t>
            </w:r>
          </w:p>
          <w:p w14:paraId="310FEFC0"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Min. 1st Qu.  Median    Mean 3rd Qu.  Max. </w:t>
            </w:r>
          </w:p>
          <w:p w14:paraId="4B6D5FA2"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 xml:space="preserve">    1.5     2.4     5.0    11.3     6.9    47.1</w:t>
            </w:r>
          </w:p>
        </w:tc>
      </w:tr>
      <w:tr w:rsidR="00000BC1" w:rsidRPr="00C22CAD" w14:paraId="3E67CF78" w14:textId="77777777" w:rsidTr="00311B5E">
        <w:trPr>
          <w:trHeight w:val="292"/>
        </w:trPr>
        <w:tc>
          <w:tcPr>
            <w:tcW w:w="1178" w:type="pct"/>
            <w:tcBorders>
              <w:top w:val="nil"/>
              <w:bottom w:val="single" w:sz="4" w:space="0" w:color="auto"/>
            </w:tcBorders>
            <w:shd w:val="clear" w:color="auto" w:fill="auto"/>
          </w:tcPr>
          <w:p w14:paraId="526F5A18"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bCs/>
                <w:sz w:val="20"/>
                <w:szCs w:val="18"/>
              </w:rPr>
              <w:t>missing</w:t>
            </w:r>
          </w:p>
        </w:tc>
        <w:tc>
          <w:tcPr>
            <w:tcW w:w="941" w:type="pct"/>
            <w:tcBorders>
              <w:top w:val="nil"/>
              <w:bottom w:val="single" w:sz="4" w:space="0" w:color="auto"/>
            </w:tcBorders>
            <w:shd w:val="clear" w:color="auto" w:fill="auto"/>
          </w:tcPr>
          <w:p w14:paraId="14E02D41"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1</w:t>
            </w:r>
          </w:p>
        </w:tc>
        <w:tc>
          <w:tcPr>
            <w:tcW w:w="2881" w:type="pct"/>
            <w:tcBorders>
              <w:top w:val="nil"/>
              <w:bottom w:val="single" w:sz="4" w:space="0" w:color="auto"/>
            </w:tcBorders>
            <w:shd w:val="clear" w:color="auto" w:fill="auto"/>
          </w:tcPr>
          <w:p w14:paraId="7734C49E" w14:textId="77777777" w:rsidR="00000BC1" w:rsidRPr="00C22CAD" w:rsidRDefault="00000BC1" w:rsidP="00311B5E">
            <w:pPr>
              <w:pStyle w:val="JOSISnormal"/>
              <w:spacing w:after="0"/>
              <w:rPr>
                <w:rFonts w:ascii="Palatino Linotype" w:hAnsi="Palatino Linotype"/>
                <w:sz w:val="20"/>
                <w:szCs w:val="18"/>
              </w:rPr>
            </w:pPr>
            <w:r w:rsidRPr="00C22CAD">
              <w:rPr>
                <w:rFonts w:ascii="Palatino Linotype" w:hAnsi="Palatino Linotype"/>
                <w:sz w:val="20"/>
                <w:szCs w:val="18"/>
              </w:rPr>
              <w:t>-</w:t>
            </w:r>
          </w:p>
        </w:tc>
      </w:tr>
    </w:tbl>
    <w:p w14:paraId="2F8F01FE" w14:textId="77777777" w:rsidR="00000BC1" w:rsidRPr="00C22CAD" w:rsidRDefault="00000BC1" w:rsidP="00000BC1">
      <w:pPr>
        <w:pStyle w:val="JOSISnormal"/>
        <w:rPr>
          <w:rFonts w:ascii="Palatino Linotype" w:hAnsi="Palatino Linotype"/>
          <w:sz w:val="18"/>
          <w:szCs w:val="18"/>
        </w:rPr>
      </w:pPr>
      <w:r w:rsidRPr="00C22CAD">
        <w:rPr>
          <w:rFonts w:ascii="Palatino Linotype" w:hAnsi="Palatino Linotype"/>
          <w:sz w:val="18"/>
          <w:szCs w:val="18"/>
        </w:rPr>
        <w:t>* not all estimations gave a result (see section 4.3)</w:t>
      </w:r>
    </w:p>
    <w:p w14:paraId="789EEFD6" w14:textId="77777777" w:rsidR="00000BC1" w:rsidRPr="00881A69" w:rsidRDefault="00000BC1" w:rsidP="00CB06EC">
      <w:pPr>
        <w:widowControl w:val="0"/>
        <w:autoSpaceDE w:val="0"/>
        <w:autoSpaceDN w:val="0"/>
        <w:adjustRightInd w:val="0"/>
        <w:spacing w:line="220" w:lineRule="exact"/>
        <w:rPr>
          <w:rFonts w:ascii="Times" w:eastAsia="SimSun" w:hAnsi="Times" w:cs="Times"/>
          <w:lang w:eastAsia="zh-CN"/>
        </w:rPr>
      </w:pPr>
    </w:p>
    <w:p w14:paraId="481EE12B" w14:textId="77777777" w:rsidR="00CB06EC" w:rsidRPr="00C22CAD" w:rsidRDefault="00CB06EC" w:rsidP="00C22CAD">
      <w:pPr>
        <w:keepNext/>
        <w:widowControl w:val="0"/>
        <w:autoSpaceDE w:val="0"/>
        <w:autoSpaceDN w:val="0"/>
        <w:adjustRightInd w:val="0"/>
        <w:spacing w:line="240" w:lineRule="auto"/>
        <w:rPr>
          <w:rFonts w:ascii="Palatino Linotype" w:eastAsia="SimSun" w:hAnsi="Palatino Linotype" w:cs="Palatino Linotype"/>
          <w:b/>
          <w:sz w:val="20"/>
          <w:lang w:eastAsia="zh-CN"/>
        </w:rPr>
      </w:pPr>
      <w:r w:rsidRPr="00C22CAD">
        <w:rPr>
          <w:rFonts w:ascii="Palatino Linotype" w:eastAsia="SimSun" w:hAnsi="Palatino Linotype" w:cs="Palatino Linotype"/>
          <w:b/>
          <w:sz w:val="20"/>
          <w:lang w:eastAsia="zh-CN"/>
        </w:rPr>
        <w:t>A.4 The three quality models used in QAwAT</w:t>
      </w:r>
    </w:p>
    <w:p w14:paraId="63B10503" w14:textId="77777777" w:rsidR="00CB06EC" w:rsidRPr="00C22CAD" w:rsidRDefault="00CB06EC" w:rsidP="00C22CAD">
      <w:pPr>
        <w:pStyle w:val="ListParagraph"/>
        <w:keepNext/>
        <w:numPr>
          <w:ilvl w:val="0"/>
          <w:numId w:val="45"/>
        </w:numPr>
        <w:spacing w:line="240" w:lineRule="auto"/>
        <w:ind w:left="1848" w:firstLineChars="0" w:hanging="357"/>
        <w:rPr>
          <w:rFonts w:ascii="Palatino Linotype" w:hAnsi="Palatino Linotype" w:cs="Arial"/>
          <w:sz w:val="20"/>
        </w:rPr>
      </w:pPr>
      <w:r w:rsidRPr="00C22CAD">
        <w:rPr>
          <w:rFonts w:ascii="Palatino Linotype" w:hAnsi="Palatino Linotype" w:cs="Arial"/>
          <w:b/>
          <w:sz w:val="20"/>
        </w:rPr>
        <w:t>Producer Quality Model</w:t>
      </w:r>
      <w:r w:rsidRPr="00C22CAD">
        <w:rPr>
          <w:rFonts w:ascii="Palatino Linotype" w:hAnsi="Palatino Linotype" w:cs="Arial"/>
          <w:sz w:val="20"/>
        </w:rPr>
        <w:t xml:space="preserve"> (</w:t>
      </w:r>
      <w:r w:rsidRPr="00C22CAD">
        <w:rPr>
          <w:rFonts w:ascii="Palatino Linotype" w:eastAsia="SimSun" w:hAnsi="Palatino Linotype" w:cs="Palatino Linotype"/>
          <w:sz w:val="20"/>
          <w:lang w:val="en-AU" w:eastAsia="zh-CN"/>
        </w:rPr>
        <w:t>ISO19157); all the elements of the standard can potentially be used, even though they were initially designed for authoritative data.</w:t>
      </w:r>
    </w:p>
    <w:tbl>
      <w:tblPr>
        <w:tblStyle w:val="TableauGrille6Couleur1"/>
        <w:tblW w:w="8789" w:type="dxa"/>
        <w:jc w:val="right"/>
        <w:tblLayout w:type="fixed"/>
        <w:tblLook w:val="04A0" w:firstRow="1" w:lastRow="0" w:firstColumn="1" w:lastColumn="0" w:noHBand="0" w:noVBand="1"/>
      </w:tblPr>
      <w:tblGrid>
        <w:gridCol w:w="568"/>
        <w:gridCol w:w="3718"/>
        <w:gridCol w:w="4503"/>
      </w:tblGrid>
      <w:tr w:rsidR="00CB06EC" w:rsidRPr="00C22CAD" w14:paraId="671CFE0F" w14:textId="77777777" w:rsidTr="009374A0">
        <w:trPr>
          <w:cnfStyle w:val="100000000000" w:firstRow="1" w:lastRow="0" w:firstColumn="0" w:lastColumn="0" w:oddVBand="0" w:evenVBand="0" w:oddHBand="0" w:evenHBand="0" w:firstRowFirstColumn="0" w:firstRowLastColumn="0" w:lastRowFirstColumn="0" w:lastRowLastColumn="0"/>
          <w:trHeight w:val="433"/>
          <w:jc w:val="right"/>
        </w:trPr>
        <w:tc>
          <w:tcPr>
            <w:cnfStyle w:val="001000000000" w:firstRow="0" w:lastRow="0" w:firstColumn="1" w:lastColumn="0" w:oddVBand="0" w:evenVBand="0" w:oddHBand="0" w:evenHBand="0" w:firstRowFirstColumn="0" w:firstRowLastColumn="0" w:lastRowFirstColumn="0" w:lastRowLastColumn="0"/>
            <w:tcW w:w="568" w:type="dxa"/>
            <w:tcBorders>
              <w:left w:val="nil"/>
              <w:bottom w:val="single" w:sz="4" w:space="0" w:color="666666" w:themeColor="text1" w:themeTint="99"/>
              <w:right w:val="nil"/>
            </w:tcBorders>
            <w:shd w:val="clear" w:color="auto" w:fill="auto"/>
          </w:tcPr>
          <w:p w14:paraId="191A2E7E" w14:textId="3D0C3B8B" w:rsidR="00CB06EC" w:rsidRPr="00C22CAD" w:rsidRDefault="00CB06EC" w:rsidP="006802D9">
            <w:pPr>
              <w:keepNext/>
              <w:keepLines/>
              <w:tabs>
                <w:tab w:val="left" w:pos="1134"/>
                <w:tab w:val="center" w:pos="4536"/>
                <w:tab w:val="right" w:pos="9072"/>
              </w:tabs>
              <w:suppressAutoHyphens/>
              <w:spacing w:line="240" w:lineRule="auto"/>
              <w:jc w:val="left"/>
              <w:outlineLvl w:val="5"/>
              <w:rPr>
                <w:rFonts w:ascii="Palatino Linotype" w:hAnsi="Palatino Linotype" w:cs="Arial"/>
                <w:bCs w:val="0"/>
                <w:sz w:val="20"/>
                <w:szCs w:val="20"/>
              </w:rPr>
            </w:pPr>
            <w:r w:rsidRPr="00C22CAD">
              <w:rPr>
                <w:rFonts w:ascii="Palatino Linotype" w:hAnsi="Palatino Linotype" w:cs="Arial"/>
                <w:bCs w:val="0"/>
                <w:sz w:val="20"/>
                <w:szCs w:val="20"/>
              </w:rPr>
              <w:t>DQ</w:t>
            </w:r>
          </w:p>
        </w:tc>
        <w:tc>
          <w:tcPr>
            <w:tcW w:w="3718" w:type="dxa"/>
            <w:tcBorders>
              <w:left w:val="nil"/>
              <w:bottom w:val="single" w:sz="4" w:space="0" w:color="666666" w:themeColor="text1" w:themeTint="99"/>
              <w:right w:val="nil"/>
            </w:tcBorders>
            <w:shd w:val="clear" w:color="auto" w:fill="auto"/>
          </w:tcPr>
          <w:p w14:paraId="1C76488E" w14:textId="77777777" w:rsidR="00CB06EC" w:rsidRPr="00C22CAD" w:rsidRDefault="00CB06EC" w:rsidP="006802D9">
            <w:pPr>
              <w:keepNext/>
              <w:keepLines/>
              <w:tabs>
                <w:tab w:val="left" w:pos="1134"/>
                <w:tab w:val="center" w:pos="4536"/>
                <w:tab w:val="right" w:pos="9072"/>
              </w:tabs>
              <w:suppressAutoHyphens/>
              <w:spacing w:line="240" w:lineRule="auto"/>
              <w:jc w:val="left"/>
              <w:outlineLvl w:val="5"/>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sz w:val="20"/>
                <w:szCs w:val="20"/>
              </w:rPr>
              <w:t>Quality element</w:t>
            </w:r>
            <w:r w:rsidRPr="00C22CAD">
              <w:rPr>
                <w:rFonts w:ascii="Palatino Linotype" w:hAnsi="Palatino Linotype" w:cs="Arial"/>
                <w:bCs w:val="0"/>
                <w:sz w:val="20"/>
                <w:szCs w:val="20"/>
              </w:rPr>
              <w:t xml:space="preserve"> DQ_</w:t>
            </w:r>
          </w:p>
        </w:tc>
        <w:tc>
          <w:tcPr>
            <w:tcW w:w="4503" w:type="dxa"/>
            <w:tcBorders>
              <w:left w:val="nil"/>
              <w:bottom w:val="single" w:sz="4" w:space="0" w:color="666666" w:themeColor="text1" w:themeTint="99"/>
              <w:right w:val="nil"/>
            </w:tcBorders>
            <w:shd w:val="clear" w:color="auto" w:fill="auto"/>
          </w:tcPr>
          <w:p w14:paraId="00CA2C95" w14:textId="77777777" w:rsidR="00CB06EC" w:rsidRPr="00C22CAD" w:rsidRDefault="00CB06EC" w:rsidP="006802D9">
            <w:pPr>
              <w:keepNext/>
              <w:keepLines/>
              <w:tabs>
                <w:tab w:val="left" w:pos="1134"/>
                <w:tab w:val="center" w:pos="4536"/>
                <w:tab w:val="right" w:pos="9072"/>
              </w:tabs>
              <w:suppressAutoHyphens/>
              <w:spacing w:line="240" w:lineRule="auto"/>
              <w:jc w:val="left"/>
              <w:outlineLvl w:val="5"/>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sz w:val="20"/>
                <w:szCs w:val="20"/>
              </w:rPr>
              <w:t>Definition extracted from the ISO19157</w:t>
            </w:r>
          </w:p>
        </w:tc>
      </w:tr>
      <w:tr w:rsidR="00CB06EC" w:rsidRPr="00C22CAD" w14:paraId="41EEA535" w14:textId="77777777" w:rsidTr="009374A0">
        <w:trPr>
          <w:cnfStyle w:val="000000100000" w:firstRow="0" w:lastRow="0" w:firstColumn="0" w:lastColumn="0" w:oddVBand="0" w:evenVBand="0" w:oddHBand="1" w:evenHBand="0" w:firstRowFirstColumn="0" w:firstRowLastColumn="0" w:lastRowFirstColumn="0" w:lastRowLastColumn="0"/>
          <w:trHeight w:val="558"/>
          <w:jc w:val="right"/>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666666" w:themeColor="text1" w:themeTint="99"/>
              <w:left w:val="nil"/>
              <w:bottom w:val="nil"/>
              <w:right w:val="nil"/>
            </w:tcBorders>
            <w:shd w:val="clear" w:color="auto" w:fill="auto"/>
          </w:tcPr>
          <w:p w14:paraId="5E4B6C8D" w14:textId="77777777" w:rsidR="00CB06EC" w:rsidRPr="00C22CAD"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C22CAD">
              <w:rPr>
                <w:rFonts w:ascii="Palatino Linotype" w:hAnsi="Palatino Linotype" w:cs="Arial"/>
                <w:bCs w:val="0"/>
                <w:sz w:val="20"/>
                <w:szCs w:val="20"/>
              </w:rPr>
              <w:t>01</w:t>
            </w:r>
          </w:p>
        </w:tc>
        <w:tc>
          <w:tcPr>
            <w:tcW w:w="3718" w:type="dxa"/>
            <w:tcBorders>
              <w:top w:val="single" w:sz="4" w:space="0" w:color="666666" w:themeColor="text1" w:themeTint="99"/>
              <w:left w:val="nil"/>
              <w:bottom w:val="nil"/>
              <w:right w:val="nil"/>
            </w:tcBorders>
            <w:shd w:val="clear" w:color="auto" w:fill="auto"/>
          </w:tcPr>
          <w:p w14:paraId="0E904022" w14:textId="77777777" w:rsidR="00CB06EC" w:rsidRPr="00C22CAD"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C22CAD">
              <w:rPr>
                <w:rFonts w:ascii="Palatino Linotype" w:hAnsi="Palatino Linotype" w:cs="Arial"/>
                <w:bCs/>
                <w:sz w:val="20"/>
                <w:szCs w:val="20"/>
              </w:rPr>
              <w:t>UsabilityElement</w:t>
            </w:r>
          </w:p>
        </w:tc>
        <w:tc>
          <w:tcPr>
            <w:tcW w:w="4503" w:type="dxa"/>
            <w:tcBorders>
              <w:top w:val="single" w:sz="4" w:space="0" w:color="666666" w:themeColor="text1" w:themeTint="99"/>
              <w:left w:val="nil"/>
              <w:bottom w:val="nil"/>
              <w:right w:val="nil"/>
            </w:tcBorders>
            <w:shd w:val="clear" w:color="auto" w:fill="auto"/>
          </w:tcPr>
          <w:p w14:paraId="4EF902D6" w14:textId="77777777" w:rsidR="00CB06EC" w:rsidRPr="00C22CAD"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bCs/>
                <w:sz w:val="20"/>
                <w:szCs w:val="20"/>
              </w:rPr>
              <w:t>Degree of adherence to as specific set of data quality requirements.</w:t>
            </w:r>
          </w:p>
        </w:tc>
      </w:tr>
      <w:tr w:rsidR="00CB06EC" w:rsidRPr="00C22CAD" w14:paraId="4CC43B7F" w14:textId="77777777" w:rsidTr="009374A0">
        <w:trPr>
          <w:trHeight w:val="223"/>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7B44B772" w14:textId="77777777" w:rsidR="00CB06EC" w:rsidRPr="00C22CAD"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C22CAD">
              <w:rPr>
                <w:rFonts w:ascii="Palatino Linotype" w:hAnsi="Palatino Linotype" w:cs="Arial"/>
                <w:bCs w:val="0"/>
                <w:sz w:val="20"/>
                <w:szCs w:val="20"/>
              </w:rPr>
              <w:t>02</w:t>
            </w:r>
          </w:p>
        </w:tc>
        <w:tc>
          <w:tcPr>
            <w:tcW w:w="3718" w:type="dxa"/>
            <w:tcBorders>
              <w:top w:val="nil"/>
              <w:left w:val="nil"/>
              <w:bottom w:val="nil"/>
              <w:right w:val="nil"/>
            </w:tcBorders>
            <w:shd w:val="clear" w:color="auto" w:fill="auto"/>
          </w:tcPr>
          <w:p w14:paraId="163E7E69" w14:textId="77777777" w:rsidR="00CB06EC" w:rsidRPr="00C22CAD"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C22CAD">
              <w:rPr>
                <w:rFonts w:ascii="Palatino Linotype" w:hAnsi="Palatino Linotype" w:cs="Arial"/>
                <w:bCs/>
                <w:sz w:val="20"/>
                <w:szCs w:val="20"/>
              </w:rPr>
              <w:t>CompletenessCommission</w:t>
            </w:r>
          </w:p>
        </w:tc>
        <w:tc>
          <w:tcPr>
            <w:tcW w:w="4503" w:type="dxa"/>
            <w:tcBorders>
              <w:top w:val="nil"/>
              <w:left w:val="nil"/>
              <w:bottom w:val="nil"/>
              <w:right w:val="nil"/>
            </w:tcBorders>
            <w:shd w:val="clear" w:color="auto" w:fill="auto"/>
          </w:tcPr>
          <w:p w14:paraId="76844E7E" w14:textId="77777777" w:rsidR="00CB06EC" w:rsidRPr="00C22CAD"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bCs/>
                <w:sz w:val="20"/>
                <w:szCs w:val="20"/>
              </w:rPr>
              <w:t>Excess data present in a dataset.</w:t>
            </w:r>
          </w:p>
        </w:tc>
      </w:tr>
      <w:tr w:rsidR="00CB06EC" w:rsidRPr="00C22CAD" w14:paraId="696BC28C" w14:textId="77777777" w:rsidTr="009374A0">
        <w:trPr>
          <w:cnfStyle w:val="000000100000" w:firstRow="0" w:lastRow="0" w:firstColumn="0" w:lastColumn="0" w:oddVBand="0" w:evenVBand="0" w:oddHBand="1" w:evenHBand="0" w:firstRowFirstColumn="0" w:firstRowLastColumn="0" w:lastRowFirstColumn="0" w:lastRowLastColumn="0"/>
          <w:trHeight w:val="244"/>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1F2B5D91" w14:textId="77777777" w:rsidR="00CB06EC" w:rsidRPr="00C22CAD"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C22CAD">
              <w:rPr>
                <w:rFonts w:ascii="Palatino Linotype" w:hAnsi="Palatino Linotype" w:cs="Arial"/>
                <w:bCs w:val="0"/>
                <w:sz w:val="20"/>
                <w:szCs w:val="20"/>
              </w:rPr>
              <w:t>03</w:t>
            </w:r>
          </w:p>
        </w:tc>
        <w:tc>
          <w:tcPr>
            <w:tcW w:w="3718" w:type="dxa"/>
            <w:tcBorders>
              <w:top w:val="nil"/>
              <w:left w:val="nil"/>
              <w:bottom w:val="nil"/>
              <w:right w:val="nil"/>
            </w:tcBorders>
            <w:shd w:val="clear" w:color="auto" w:fill="auto"/>
          </w:tcPr>
          <w:p w14:paraId="5DB142C4" w14:textId="77777777" w:rsidR="00CB06EC" w:rsidRPr="00C22CAD"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C22CAD">
              <w:rPr>
                <w:rFonts w:ascii="Palatino Linotype" w:hAnsi="Palatino Linotype" w:cs="Arial"/>
                <w:bCs/>
                <w:sz w:val="20"/>
                <w:szCs w:val="20"/>
              </w:rPr>
              <w:t>CompletenessOmission</w:t>
            </w:r>
          </w:p>
        </w:tc>
        <w:tc>
          <w:tcPr>
            <w:tcW w:w="4503" w:type="dxa"/>
            <w:tcBorders>
              <w:top w:val="nil"/>
              <w:left w:val="nil"/>
              <w:bottom w:val="nil"/>
              <w:right w:val="nil"/>
            </w:tcBorders>
            <w:shd w:val="clear" w:color="auto" w:fill="auto"/>
          </w:tcPr>
          <w:p w14:paraId="745B30CB" w14:textId="77777777" w:rsidR="00CB06EC" w:rsidRPr="00C22CAD"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bCs/>
                <w:sz w:val="20"/>
                <w:szCs w:val="20"/>
              </w:rPr>
              <w:t>Absence of data in a dataset.</w:t>
            </w:r>
          </w:p>
        </w:tc>
      </w:tr>
      <w:tr w:rsidR="00CB06EC" w:rsidRPr="00C22CAD" w14:paraId="0FC47300" w14:textId="77777777" w:rsidTr="009374A0">
        <w:trPr>
          <w:trHeight w:val="692"/>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661356CA" w14:textId="77777777" w:rsidR="00CB06EC" w:rsidRPr="00C22CAD"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C22CAD">
              <w:rPr>
                <w:rFonts w:ascii="Palatino Linotype" w:hAnsi="Palatino Linotype" w:cs="Arial"/>
                <w:bCs w:val="0"/>
                <w:sz w:val="20"/>
                <w:szCs w:val="20"/>
              </w:rPr>
              <w:t>04</w:t>
            </w:r>
          </w:p>
        </w:tc>
        <w:tc>
          <w:tcPr>
            <w:tcW w:w="3718" w:type="dxa"/>
            <w:tcBorders>
              <w:top w:val="nil"/>
              <w:left w:val="nil"/>
              <w:bottom w:val="nil"/>
              <w:right w:val="nil"/>
            </w:tcBorders>
            <w:shd w:val="clear" w:color="auto" w:fill="auto"/>
          </w:tcPr>
          <w:p w14:paraId="0EF56CBC" w14:textId="77777777" w:rsidR="00CB06EC" w:rsidRPr="00C22CAD"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C22CAD">
              <w:rPr>
                <w:rFonts w:ascii="Palatino Linotype" w:hAnsi="Palatino Linotype" w:cs="Arial"/>
                <w:bCs/>
                <w:sz w:val="20"/>
                <w:szCs w:val="20"/>
              </w:rPr>
              <w:t>ThematicClassificationCorrectness</w:t>
            </w:r>
          </w:p>
        </w:tc>
        <w:tc>
          <w:tcPr>
            <w:tcW w:w="4503" w:type="dxa"/>
            <w:tcBorders>
              <w:top w:val="nil"/>
              <w:left w:val="nil"/>
              <w:bottom w:val="nil"/>
              <w:right w:val="nil"/>
            </w:tcBorders>
            <w:shd w:val="clear" w:color="auto" w:fill="auto"/>
          </w:tcPr>
          <w:p w14:paraId="78592A9B" w14:textId="77777777" w:rsidR="00CB06EC" w:rsidRPr="00C22CAD"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22CAD">
              <w:rPr>
                <w:rFonts w:ascii="Palatino Linotype" w:hAnsi="Palatino Linotype" w:cs="Arial"/>
                <w:bCs/>
                <w:sz w:val="20"/>
                <w:szCs w:val="20"/>
              </w:rPr>
              <w:t>Comparison of the classes assigned to features or their attributes to a universe of discourse (e.g. ground truth or reference data).</w:t>
            </w:r>
          </w:p>
        </w:tc>
      </w:tr>
      <w:tr w:rsidR="00CB06EC" w:rsidRPr="00791E9F" w14:paraId="5DF19286" w14:textId="77777777" w:rsidTr="009374A0">
        <w:trPr>
          <w:cnfStyle w:val="000000100000" w:firstRow="0" w:lastRow="0" w:firstColumn="0" w:lastColumn="0" w:oddVBand="0" w:evenVBand="0" w:oddHBand="1" w:evenHBand="0" w:firstRowFirstColumn="0" w:firstRowLastColumn="0" w:lastRowFirstColumn="0" w:lastRowLastColumn="0"/>
          <w:trHeight w:val="483"/>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7E7C6FAF"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05</w:t>
            </w:r>
          </w:p>
        </w:tc>
        <w:tc>
          <w:tcPr>
            <w:tcW w:w="3718" w:type="dxa"/>
            <w:tcBorders>
              <w:top w:val="nil"/>
              <w:left w:val="nil"/>
              <w:bottom w:val="nil"/>
              <w:right w:val="nil"/>
            </w:tcBorders>
            <w:shd w:val="clear" w:color="auto" w:fill="auto"/>
          </w:tcPr>
          <w:p w14:paraId="06D57E9E"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NonQuantitativeAttributeCorrectness</w:t>
            </w:r>
          </w:p>
        </w:tc>
        <w:tc>
          <w:tcPr>
            <w:tcW w:w="4503" w:type="dxa"/>
            <w:tcBorders>
              <w:top w:val="nil"/>
              <w:left w:val="nil"/>
              <w:bottom w:val="nil"/>
              <w:right w:val="nil"/>
            </w:tcBorders>
            <w:shd w:val="clear" w:color="auto" w:fill="auto"/>
          </w:tcPr>
          <w:p w14:paraId="4767388F"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Whether a non-quantitative attribute is correct or incorrect.</w:t>
            </w:r>
          </w:p>
        </w:tc>
      </w:tr>
      <w:tr w:rsidR="00CB06EC" w:rsidRPr="00791E9F" w14:paraId="42ED204D" w14:textId="77777777" w:rsidTr="009374A0">
        <w:trPr>
          <w:trHeight w:val="457"/>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178F10F3"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lastRenderedPageBreak/>
              <w:t>06</w:t>
            </w:r>
          </w:p>
        </w:tc>
        <w:tc>
          <w:tcPr>
            <w:tcW w:w="3718" w:type="dxa"/>
            <w:tcBorders>
              <w:top w:val="nil"/>
              <w:left w:val="nil"/>
              <w:bottom w:val="nil"/>
              <w:right w:val="nil"/>
            </w:tcBorders>
            <w:shd w:val="clear" w:color="auto" w:fill="auto"/>
          </w:tcPr>
          <w:p w14:paraId="6689EDD3"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QuantitativeAttributeAccuracy</w:t>
            </w:r>
          </w:p>
        </w:tc>
        <w:tc>
          <w:tcPr>
            <w:tcW w:w="4503" w:type="dxa"/>
            <w:tcBorders>
              <w:top w:val="nil"/>
              <w:left w:val="nil"/>
              <w:bottom w:val="nil"/>
              <w:right w:val="nil"/>
            </w:tcBorders>
            <w:shd w:val="clear" w:color="auto" w:fill="auto"/>
          </w:tcPr>
          <w:p w14:paraId="5475B6A8"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Closeness of the value of a quantitative attribute to a value accepted as or known to be true.</w:t>
            </w:r>
          </w:p>
        </w:tc>
      </w:tr>
      <w:tr w:rsidR="00CB06EC" w:rsidRPr="00791E9F" w14:paraId="0CD1D040" w14:textId="77777777" w:rsidTr="009374A0">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1DFCF893"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07</w:t>
            </w:r>
          </w:p>
        </w:tc>
        <w:tc>
          <w:tcPr>
            <w:tcW w:w="3718" w:type="dxa"/>
            <w:tcBorders>
              <w:top w:val="nil"/>
              <w:left w:val="nil"/>
              <w:bottom w:val="nil"/>
              <w:right w:val="nil"/>
            </w:tcBorders>
            <w:shd w:val="clear" w:color="auto" w:fill="auto"/>
          </w:tcPr>
          <w:p w14:paraId="0CD8E7A3"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ConceptualConsistency</w:t>
            </w:r>
          </w:p>
        </w:tc>
        <w:tc>
          <w:tcPr>
            <w:tcW w:w="4503" w:type="dxa"/>
            <w:tcBorders>
              <w:top w:val="nil"/>
              <w:left w:val="nil"/>
              <w:bottom w:val="nil"/>
              <w:right w:val="nil"/>
            </w:tcBorders>
            <w:shd w:val="clear" w:color="auto" w:fill="auto"/>
          </w:tcPr>
          <w:p w14:paraId="783B0F95"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Adherence to rules of the conceptual schema.</w:t>
            </w:r>
          </w:p>
        </w:tc>
      </w:tr>
      <w:tr w:rsidR="00CB06EC" w:rsidRPr="00791E9F" w14:paraId="2747FB7C" w14:textId="77777777" w:rsidTr="009374A0">
        <w:trPr>
          <w:trHeight w:val="235"/>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682EEA4F"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08</w:t>
            </w:r>
          </w:p>
        </w:tc>
        <w:tc>
          <w:tcPr>
            <w:tcW w:w="3718" w:type="dxa"/>
            <w:tcBorders>
              <w:top w:val="nil"/>
              <w:left w:val="nil"/>
              <w:bottom w:val="nil"/>
              <w:right w:val="nil"/>
            </w:tcBorders>
            <w:shd w:val="clear" w:color="auto" w:fill="auto"/>
          </w:tcPr>
          <w:p w14:paraId="6ADFC857"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DomainConsistency</w:t>
            </w:r>
          </w:p>
        </w:tc>
        <w:tc>
          <w:tcPr>
            <w:tcW w:w="4503" w:type="dxa"/>
            <w:tcBorders>
              <w:top w:val="nil"/>
              <w:left w:val="nil"/>
              <w:bottom w:val="nil"/>
              <w:right w:val="nil"/>
            </w:tcBorders>
            <w:shd w:val="clear" w:color="auto" w:fill="auto"/>
          </w:tcPr>
          <w:p w14:paraId="2615A42C"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Adherence of values to the value domains.</w:t>
            </w:r>
          </w:p>
        </w:tc>
      </w:tr>
      <w:tr w:rsidR="00CB06EC" w:rsidRPr="00791E9F" w14:paraId="05A4DC0B" w14:textId="77777777" w:rsidTr="009374A0">
        <w:trPr>
          <w:cnfStyle w:val="000000100000" w:firstRow="0" w:lastRow="0" w:firstColumn="0" w:lastColumn="0" w:oddVBand="0" w:evenVBand="0" w:oddHBand="1" w:evenHBand="0" w:firstRowFirstColumn="0" w:firstRowLastColumn="0" w:lastRowFirstColumn="0" w:lastRowLastColumn="0"/>
          <w:trHeight w:val="497"/>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0F87932D"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09</w:t>
            </w:r>
          </w:p>
        </w:tc>
        <w:tc>
          <w:tcPr>
            <w:tcW w:w="3718" w:type="dxa"/>
            <w:tcBorders>
              <w:top w:val="nil"/>
              <w:left w:val="nil"/>
              <w:bottom w:val="nil"/>
              <w:right w:val="nil"/>
            </w:tcBorders>
            <w:shd w:val="clear" w:color="auto" w:fill="auto"/>
          </w:tcPr>
          <w:p w14:paraId="5F25D1A1"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FormatConsistency</w:t>
            </w:r>
          </w:p>
        </w:tc>
        <w:tc>
          <w:tcPr>
            <w:tcW w:w="4503" w:type="dxa"/>
            <w:tcBorders>
              <w:top w:val="nil"/>
              <w:left w:val="nil"/>
              <w:bottom w:val="nil"/>
              <w:right w:val="nil"/>
            </w:tcBorders>
            <w:shd w:val="clear" w:color="auto" w:fill="auto"/>
          </w:tcPr>
          <w:p w14:paraId="48E7F4BD" w14:textId="77777777" w:rsidR="00CB06EC" w:rsidRPr="00791E9F" w:rsidRDefault="00CB06EC" w:rsidP="006802D9">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sz w:val="20"/>
                <w:szCs w:val="20"/>
              </w:rPr>
              <w:t>Degree to which data is stored in accordance with the physical structure of the dataset.</w:t>
            </w:r>
          </w:p>
        </w:tc>
      </w:tr>
      <w:tr w:rsidR="00CB06EC" w:rsidRPr="00791E9F" w14:paraId="58879606" w14:textId="77777777" w:rsidTr="009374A0">
        <w:trPr>
          <w:trHeight w:val="457"/>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209A3C42"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10</w:t>
            </w:r>
          </w:p>
        </w:tc>
        <w:tc>
          <w:tcPr>
            <w:tcW w:w="3718" w:type="dxa"/>
            <w:tcBorders>
              <w:top w:val="nil"/>
              <w:left w:val="nil"/>
              <w:bottom w:val="nil"/>
              <w:right w:val="nil"/>
            </w:tcBorders>
            <w:shd w:val="clear" w:color="auto" w:fill="auto"/>
          </w:tcPr>
          <w:p w14:paraId="58067489"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TopologicalConsistency</w:t>
            </w:r>
          </w:p>
        </w:tc>
        <w:tc>
          <w:tcPr>
            <w:tcW w:w="4503" w:type="dxa"/>
            <w:tcBorders>
              <w:top w:val="nil"/>
              <w:left w:val="nil"/>
              <w:bottom w:val="nil"/>
              <w:right w:val="nil"/>
            </w:tcBorders>
            <w:shd w:val="clear" w:color="auto" w:fill="auto"/>
          </w:tcPr>
          <w:p w14:paraId="0AB18D54"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Correctness of the explicitly encoded topological characteristics of a database.</w:t>
            </w:r>
          </w:p>
        </w:tc>
      </w:tr>
      <w:tr w:rsidR="00CB06EC" w:rsidRPr="00791E9F" w14:paraId="2F0021F1" w14:textId="77777777" w:rsidTr="009374A0">
        <w:trPr>
          <w:cnfStyle w:val="000000100000" w:firstRow="0" w:lastRow="0" w:firstColumn="0" w:lastColumn="0" w:oddVBand="0" w:evenVBand="0" w:oddHBand="1" w:evenHBand="0" w:firstRowFirstColumn="0" w:firstRowLastColumn="0" w:lastRowFirstColumn="0" w:lastRowLastColumn="0"/>
          <w:trHeight w:val="457"/>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64933B18"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11</w:t>
            </w:r>
          </w:p>
        </w:tc>
        <w:tc>
          <w:tcPr>
            <w:tcW w:w="3718" w:type="dxa"/>
            <w:tcBorders>
              <w:top w:val="nil"/>
              <w:left w:val="nil"/>
              <w:bottom w:val="nil"/>
              <w:right w:val="nil"/>
            </w:tcBorders>
            <w:shd w:val="clear" w:color="auto" w:fill="auto"/>
          </w:tcPr>
          <w:p w14:paraId="7F4EFC87"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AccuracyOfATimeMeasurement</w:t>
            </w:r>
          </w:p>
        </w:tc>
        <w:tc>
          <w:tcPr>
            <w:tcW w:w="4503" w:type="dxa"/>
            <w:tcBorders>
              <w:top w:val="nil"/>
              <w:left w:val="nil"/>
              <w:bottom w:val="nil"/>
              <w:right w:val="nil"/>
            </w:tcBorders>
            <w:shd w:val="clear" w:color="auto" w:fill="auto"/>
          </w:tcPr>
          <w:p w14:paraId="143ACE11" w14:textId="77777777" w:rsidR="00CB06EC" w:rsidRPr="00791E9F" w:rsidRDefault="00CB06EC" w:rsidP="006802D9">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sz w:val="20"/>
                <w:szCs w:val="20"/>
              </w:rPr>
              <w:t>Closeness of reported time measurements to values accepted as or known to be true.</w:t>
            </w:r>
          </w:p>
        </w:tc>
      </w:tr>
      <w:tr w:rsidR="00CB06EC" w:rsidRPr="00791E9F" w14:paraId="7786258D" w14:textId="77777777" w:rsidTr="009374A0">
        <w:trPr>
          <w:trHeight w:val="235"/>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3322E422"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12</w:t>
            </w:r>
          </w:p>
        </w:tc>
        <w:tc>
          <w:tcPr>
            <w:tcW w:w="3718" w:type="dxa"/>
            <w:tcBorders>
              <w:top w:val="nil"/>
              <w:left w:val="nil"/>
              <w:bottom w:val="nil"/>
              <w:right w:val="nil"/>
            </w:tcBorders>
            <w:shd w:val="clear" w:color="auto" w:fill="auto"/>
          </w:tcPr>
          <w:p w14:paraId="5C96AE10"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TemporalConsistency</w:t>
            </w:r>
          </w:p>
        </w:tc>
        <w:tc>
          <w:tcPr>
            <w:tcW w:w="4503" w:type="dxa"/>
            <w:tcBorders>
              <w:top w:val="nil"/>
              <w:left w:val="nil"/>
              <w:bottom w:val="nil"/>
              <w:right w:val="nil"/>
            </w:tcBorders>
            <w:shd w:val="clear" w:color="auto" w:fill="auto"/>
          </w:tcPr>
          <w:p w14:paraId="1BA0811E"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Correctness of the order of events.</w:t>
            </w:r>
          </w:p>
        </w:tc>
      </w:tr>
      <w:tr w:rsidR="00CB06EC" w:rsidRPr="00791E9F" w14:paraId="477F34F3" w14:textId="77777777" w:rsidTr="009374A0">
        <w:trPr>
          <w:cnfStyle w:val="000000100000" w:firstRow="0" w:lastRow="0" w:firstColumn="0" w:lastColumn="0" w:oddVBand="0" w:evenVBand="0" w:oddHBand="1" w:evenHBand="0" w:firstRowFirstColumn="0" w:firstRowLastColumn="0" w:lastRowFirstColumn="0" w:lastRowLastColumn="0"/>
          <w:trHeight w:val="223"/>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705B8144"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13</w:t>
            </w:r>
          </w:p>
        </w:tc>
        <w:tc>
          <w:tcPr>
            <w:tcW w:w="3718" w:type="dxa"/>
            <w:tcBorders>
              <w:top w:val="nil"/>
              <w:left w:val="nil"/>
              <w:bottom w:val="nil"/>
              <w:right w:val="nil"/>
            </w:tcBorders>
            <w:shd w:val="clear" w:color="auto" w:fill="auto"/>
          </w:tcPr>
          <w:p w14:paraId="017AEF0A"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TemporalValidity</w:t>
            </w:r>
          </w:p>
        </w:tc>
        <w:tc>
          <w:tcPr>
            <w:tcW w:w="4503" w:type="dxa"/>
            <w:tcBorders>
              <w:top w:val="nil"/>
              <w:left w:val="nil"/>
              <w:bottom w:val="nil"/>
              <w:right w:val="nil"/>
            </w:tcBorders>
            <w:shd w:val="clear" w:color="auto" w:fill="auto"/>
          </w:tcPr>
          <w:p w14:paraId="6431044F"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sz w:val="20"/>
                <w:szCs w:val="20"/>
              </w:rPr>
              <w:t>Validity of data with respect to time.</w:t>
            </w:r>
          </w:p>
        </w:tc>
      </w:tr>
      <w:tr w:rsidR="00CB06EC" w:rsidRPr="00791E9F" w14:paraId="114BB612" w14:textId="77777777" w:rsidTr="009374A0">
        <w:trPr>
          <w:trHeight w:val="457"/>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761F22F1"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14</w:t>
            </w:r>
          </w:p>
        </w:tc>
        <w:tc>
          <w:tcPr>
            <w:tcW w:w="3718" w:type="dxa"/>
            <w:tcBorders>
              <w:top w:val="nil"/>
              <w:left w:val="nil"/>
              <w:bottom w:val="nil"/>
              <w:right w:val="nil"/>
            </w:tcBorders>
            <w:shd w:val="clear" w:color="auto" w:fill="auto"/>
          </w:tcPr>
          <w:p w14:paraId="238C817F"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AbsoluteExternalPositionalAccuracy</w:t>
            </w:r>
          </w:p>
        </w:tc>
        <w:tc>
          <w:tcPr>
            <w:tcW w:w="4503" w:type="dxa"/>
            <w:tcBorders>
              <w:top w:val="nil"/>
              <w:left w:val="nil"/>
              <w:bottom w:val="nil"/>
              <w:right w:val="nil"/>
            </w:tcBorders>
            <w:shd w:val="clear" w:color="auto" w:fill="auto"/>
          </w:tcPr>
          <w:p w14:paraId="6050A80C" w14:textId="77777777" w:rsidR="00CB06EC" w:rsidRPr="00791E9F" w:rsidRDefault="00CB06EC" w:rsidP="006802D9">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sz w:val="20"/>
                <w:szCs w:val="20"/>
              </w:rPr>
              <w:t>Closeness of reported coordinate values to values accepted as or being true.</w:t>
            </w:r>
          </w:p>
        </w:tc>
      </w:tr>
      <w:tr w:rsidR="00CB06EC" w:rsidRPr="00791E9F" w14:paraId="120C6128" w14:textId="77777777" w:rsidTr="009374A0">
        <w:trPr>
          <w:cnfStyle w:val="000000100000" w:firstRow="0" w:lastRow="0" w:firstColumn="0" w:lastColumn="0" w:oddVBand="0" w:evenVBand="0" w:oddHBand="1" w:evenHBand="0" w:firstRowFirstColumn="0" w:firstRowLastColumn="0" w:lastRowFirstColumn="0" w:lastRowLastColumn="0"/>
          <w:trHeight w:val="470"/>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nil"/>
              <w:right w:val="nil"/>
            </w:tcBorders>
            <w:shd w:val="clear" w:color="auto" w:fill="auto"/>
          </w:tcPr>
          <w:p w14:paraId="20947E9F"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15</w:t>
            </w:r>
          </w:p>
        </w:tc>
        <w:tc>
          <w:tcPr>
            <w:tcW w:w="3718" w:type="dxa"/>
            <w:tcBorders>
              <w:top w:val="nil"/>
              <w:left w:val="nil"/>
              <w:bottom w:val="nil"/>
              <w:right w:val="nil"/>
            </w:tcBorders>
            <w:shd w:val="clear" w:color="auto" w:fill="auto"/>
          </w:tcPr>
          <w:p w14:paraId="7BCA686F"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GriddedDataPositionalAccuracy</w:t>
            </w:r>
          </w:p>
        </w:tc>
        <w:tc>
          <w:tcPr>
            <w:tcW w:w="4503" w:type="dxa"/>
            <w:tcBorders>
              <w:top w:val="nil"/>
              <w:left w:val="nil"/>
              <w:bottom w:val="nil"/>
              <w:right w:val="nil"/>
            </w:tcBorders>
            <w:shd w:val="clear" w:color="auto" w:fill="auto"/>
          </w:tcPr>
          <w:p w14:paraId="1F155FE4" w14:textId="77777777" w:rsidR="00CB06EC" w:rsidRPr="00791E9F" w:rsidRDefault="00CB06EC" w:rsidP="006802D9">
            <w:pPr>
              <w:tabs>
                <w:tab w:val="left" w:pos="1134"/>
                <w:tab w:val="center" w:pos="4536"/>
                <w:tab w:val="right" w:pos="9072"/>
              </w:tabs>
              <w:suppressAutoHyphens/>
              <w:spacing w:line="240" w:lineRule="auto"/>
              <w:jc w:val="left"/>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791E9F">
              <w:rPr>
                <w:rFonts w:ascii="Palatino Linotype" w:hAnsi="Palatino Linotype" w:cs="Arial"/>
                <w:bCs/>
                <w:color w:val="auto"/>
                <w:sz w:val="20"/>
                <w:szCs w:val="20"/>
              </w:rPr>
              <w:t>Closeness of gridded data spatial position values to values accepted as or being true.</w:t>
            </w:r>
          </w:p>
        </w:tc>
      </w:tr>
      <w:tr w:rsidR="00CB06EC" w:rsidRPr="00791E9F" w14:paraId="6B175282" w14:textId="77777777" w:rsidTr="009374A0">
        <w:trPr>
          <w:trHeight w:val="692"/>
          <w:jc w:val="right"/>
        </w:trPr>
        <w:tc>
          <w:tcPr>
            <w:cnfStyle w:val="001000000000" w:firstRow="0" w:lastRow="0" w:firstColumn="1" w:lastColumn="0" w:oddVBand="0" w:evenVBand="0" w:oddHBand="0" w:evenHBand="0" w:firstRowFirstColumn="0" w:firstRowLastColumn="0" w:lastRowFirstColumn="0" w:lastRowLastColumn="0"/>
            <w:tcW w:w="568" w:type="dxa"/>
            <w:tcBorders>
              <w:top w:val="nil"/>
              <w:left w:val="nil"/>
              <w:bottom w:val="single" w:sz="4" w:space="0" w:color="auto"/>
              <w:right w:val="nil"/>
            </w:tcBorders>
            <w:shd w:val="clear" w:color="auto" w:fill="auto"/>
          </w:tcPr>
          <w:p w14:paraId="7FF7FF43" w14:textId="77777777" w:rsidR="00CB06EC" w:rsidRPr="00791E9F" w:rsidRDefault="00CB06EC" w:rsidP="006802D9">
            <w:pPr>
              <w:tabs>
                <w:tab w:val="left" w:pos="1134"/>
                <w:tab w:val="center" w:pos="4536"/>
                <w:tab w:val="right" w:pos="9072"/>
              </w:tabs>
              <w:suppressAutoHyphens/>
              <w:spacing w:line="240" w:lineRule="auto"/>
              <w:jc w:val="left"/>
              <w:rPr>
                <w:rFonts w:ascii="Palatino Linotype" w:hAnsi="Palatino Linotype" w:cs="Arial"/>
                <w:bCs w:val="0"/>
                <w:sz w:val="20"/>
                <w:szCs w:val="20"/>
              </w:rPr>
            </w:pPr>
            <w:r w:rsidRPr="00791E9F">
              <w:rPr>
                <w:rFonts w:ascii="Palatino Linotype" w:hAnsi="Palatino Linotype" w:cs="Arial"/>
                <w:bCs w:val="0"/>
                <w:sz w:val="20"/>
                <w:szCs w:val="20"/>
              </w:rPr>
              <w:t>16</w:t>
            </w:r>
          </w:p>
        </w:tc>
        <w:tc>
          <w:tcPr>
            <w:tcW w:w="3718" w:type="dxa"/>
            <w:tcBorders>
              <w:top w:val="nil"/>
              <w:left w:val="nil"/>
              <w:bottom w:val="single" w:sz="4" w:space="0" w:color="auto"/>
              <w:right w:val="nil"/>
            </w:tcBorders>
            <w:shd w:val="clear" w:color="auto" w:fill="auto"/>
          </w:tcPr>
          <w:p w14:paraId="6808B555"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RelativeInternalPositionalAccuracy</w:t>
            </w:r>
          </w:p>
        </w:tc>
        <w:tc>
          <w:tcPr>
            <w:tcW w:w="4503" w:type="dxa"/>
            <w:tcBorders>
              <w:top w:val="nil"/>
              <w:left w:val="nil"/>
              <w:bottom w:val="single" w:sz="4" w:space="0" w:color="auto"/>
              <w:right w:val="nil"/>
            </w:tcBorders>
            <w:shd w:val="clear" w:color="auto" w:fill="auto"/>
          </w:tcPr>
          <w:p w14:paraId="312171CB" w14:textId="77777777" w:rsidR="00CB06EC" w:rsidRPr="00791E9F" w:rsidRDefault="00CB06EC" w:rsidP="006802D9">
            <w:pPr>
              <w:tabs>
                <w:tab w:val="left" w:pos="1134"/>
                <w:tab w:val="center" w:pos="4536"/>
                <w:tab w:val="right" w:pos="9072"/>
              </w:tabs>
              <w:suppressAutoHyphens/>
              <w:spacing w:line="240" w:lineRule="auto"/>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cs="Arial"/>
                <w:bCs/>
                <w:sz w:val="20"/>
                <w:szCs w:val="20"/>
              </w:rPr>
            </w:pPr>
            <w:r w:rsidRPr="00791E9F">
              <w:rPr>
                <w:rFonts w:ascii="Palatino Linotype" w:hAnsi="Palatino Linotype" w:cs="Arial"/>
                <w:bCs/>
                <w:sz w:val="20"/>
                <w:szCs w:val="20"/>
              </w:rPr>
              <w:t>Closeness of the relative positions of features in a dataset to their respective relative positions accepted as or being true.</w:t>
            </w:r>
          </w:p>
        </w:tc>
      </w:tr>
    </w:tbl>
    <w:p w14:paraId="40C0B8D5" w14:textId="77777777" w:rsidR="00CB06EC" w:rsidRPr="00C22CAD" w:rsidRDefault="00CB06EC" w:rsidP="00791E9F">
      <w:pPr>
        <w:spacing w:line="240" w:lineRule="auto"/>
        <w:rPr>
          <w:rFonts w:ascii="Palatino Linotype" w:hAnsi="Palatino Linotype" w:cs="Arial"/>
          <w:sz w:val="20"/>
        </w:rPr>
      </w:pPr>
    </w:p>
    <w:p w14:paraId="3C7F9846" w14:textId="77777777" w:rsidR="00CB06EC" w:rsidRPr="00C22CAD" w:rsidRDefault="00CB06EC" w:rsidP="00791E9F">
      <w:pPr>
        <w:pStyle w:val="ListParagraph"/>
        <w:numPr>
          <w:ilvl w:val="0"/>
          <w:numId w:val="45"/>
        </w:numPr>
        <w:spacing w:line="240" w:lineRule="auto"/>
        <w:ind w:left="1848" w:firstLineChars="0" w:hanging="357"/>
        <w:rPr>
          <w:rFonts w:ascii="Palatino Linotype" w:hAnsi="Palatino Linotype" w:cs="Arial"/>
          <w:sz w:val="20"/>
        </w:rPr>
      </w:pPr>
      <w:r w:rsidRPr="00C22CAD">
        <w:rPr>
          <w:rFonts w:ascii="Palatino Linotype" w:hAnsi="Palatino Linotype" w:cs="Arial"/>
          <w:b/>
          <w:sz w:val="20"/>
        </w:rPr>
        <w:t>Simplified Consumer Quality Model</w:t>
      </w:r>
      <w:r w:rsidRPr="00C22CAD">
        <w:rPr>
          <w:rFonts w:ascii="Palatino Linotype" w:hAnsi="Palatino Linotype" w:cs="Arial"/>
          <w:sz w:val="20"/>
        </w:rPr>
        <w:t xml:space="preserve"> (</w:t>
      </w:r>
      <w:r w:rsidRPr="00C22CAD">
        <w:rPr>
          <w:rFonts w:ascii="Palatino Linotype" w:eastAsia="SimSun" w:hAnsi="Palatino Linotype" w:cs="Palatino Linotype"/>
          <w:sz w:val="20"/>
          <w:lang w:val="en-AU" w:eastAsia="zh-CN"/>
        </w:rPr>
        <w:t>GeoViQUA</w:t>
      </w:r>
      <w:r w:rsidRPr="00C22CAD">
        <w:rPr>
          <w:rFonts w:ascii="Palatino Linotype" w:eastAsia="SimSun" w:hAnsi="Palatino Linotype" w:cs="Palatino Linotype"/>
          <w:sz w:val="20"/>
          <w:vertAlign w:val="superscript"/>
          <w:lang w:val="en-AU" w:eastAsia="zh-CN"/>
        </w:rPr>
        <w:footnoteReference w:id="1"/>
      </w:r>
      <w:r w:rsidRPr="00C22CAD">
        <w:rPr>
          <w:rFonts w:ascii="Palatino Linotype" w:eastAsia="SimSun" w:hAnsi="Palatino Linotype" w:cs="Palatino Linotype"/>
          <w:sz w:val="20"/>
          <w:lang w:val="en-AU" w:eastAsia="zh-CN"/>
        </w:rPr>
        <w:t>): for COBWEB the simple concept of positive and negative feedback is kept but as automatically generated by the QCs.</w:t>
      </w:r>
    </w:p>
    <w:tbl>
      <w:tblPr>
        <w:tblW w:w="8653" w:type="dxa"/>
        <w:jc w:val="right"/>
        <w:tblBorders>
          <w:top w:val="single" w:sz="4" w:space="0" w:color="auto"/>
          <w:bottom w:val="single" w:sz="4" w:space="0" w:color="auto"/>
        </w:tblBorders>
        <w:tblLayout w:type="fixed"/>
        <w:tblLook w:val="04A0" w:firstRow="1" w:lastRow="0" w:firstColumn="1" w:lastColumn="0" w:noHBand="0" w:noVBand="1"/>
      </w:tblPr>
      <w:tblGrid>
        <w:gridCol w:w="711"/>
        <w:gridCol w:w="2268"/>
        <w:gridCol w:w="5674"/>
      </w:tblGrid>
      <w:tr w:rsidR="00E37A80" w:rsidRPr="00791E9F" w14:paraId="2A4DAB11" w14:textId="77777777" w:rsidTr="00E37A80">
        <w:trPr>
          <w:trHeight w:val="453"/>
          <w:jc w:val="right"/>
        </w:trPr>
        <w:tc>
          <w:tcPr>
            <w:tcW w:w="711" w:type="dxa"/>
            <w:tcBorders>
              <w:top w:val="single" w:sz="4" w:space="0" w:color="auto"/>
              <w:bottom w:val="single" w:sz="4" w:space="0" w:color="auto"/>
            </w:tcBorders>
            <w:shd w:val="clear" w:color="auto" w:fill="auto"/>
          </w:tcPr>
          <w:p w14:paraId="0601878E" w14:textId="77777777" w:rsidR="00CB06EC" w:rsidRPr="00791E9F" w:rsidRDefault="00CB06EC" w:rsidP="00791E9F">
            <w:pPr>
              <w:keepNext/>
              <w:keepLines/>
              <w:tabs>
                <w:tab w:val="left" w:pos="1134"/>
                <w:tab w:val="center" w:pos="4536"/>
                <w:tab w:val="right" w:pos="9072"/>
              </w:tabs>
              <w:suppressAutoHyphens/>
              <w:spacing w:line="240" w:lineRule="auto"/>
              <w:outlineLvl w:val="5"/>
              <w:rPr>
                <w:rFonts w:ascii="Palatino Linotype" w:hAnsi="Palatino Linotype" w:cs="Arial"/>
                <w:b/>
                <w:bCs/>
                <w:sz w:val="20"/>
              </w:rPr>
            </w:pPr>
            <w:r w:rsidRPr="00791E9F">
              <w:rPr>
                <w:rFonts w:ascii="Palatino Linotype" w:hAnsi="Palatino Linotype" w:cs="Arial"/>
                <w:b/>
                <w:bCs/>
                <w:sz w:val="20"/>
              </w:rPr>
              <w:t>GVQ_</w:t>
            </w:r>
          </w:p>
        </w:tc>
        <w:tc>
          <w:tcPr>
            <w:tcW w:w="2268" w:type="dxa"/>
            <w:tcBorders>
              <w:top w:val="single" w:sz="4" w:space="0" w:color="auto"/>
              <w:bottom w:val="single" w:sz="4" w:space="0" w:color="auto"/>
            </w:tcBorders>
            <w:shd w:val="clear" w:color="auto" w:fill="auto"/>
          </w:tcPr>
          <w:p w14:paraId="03BA0910" w14:textId="77777777" w:rsidR="00CB06EC" w:rsidRPr="00791E9F" w:rsidRDefault="00CB06EC" w:rsidP="00E37A80">
            <w:pPr>
              <w:keepNext/>
              <w:keepLines/>
              <w:tabs>
                <w:tab w:val="left" w:pos="1134"/>
                <w:tab w:val="center" w:pos="4536"/>
                <w:tab w:val="right" w:pos="9072"/>
              </w:tabs>
              <w:suppressAutoHyphens/>
              <w:spacing w:line="240" w:lineRule="auto"/>
              <w:jc w:val="left"/>
              <w:outlineLvl w:val="5"/>
              <w:rPr>
                <w:rFonts w:ascii="Palatino Linotype" w:hAnsi="Palatino Linotype" w:cs="Arial"/>
                <w:b/>
                <w:bCs/>
                <w:sz w:val="20"/>
              </w:rPr>
            </w:pPr>
            <w:r w:rsidRPr="00791E9F">
              <w:rPr>
                <w:rFonts w:ascii="Palatino Linotype" w:hAnsi="Palatino Linotype" w:cs="Arial"/>
                <w:b/>
                <w:bCs/>
                <w:sz w:val="20"/>
              </w:rPr>
              <w:t>Quality element GVQ_</w:t>
            </w:r>
          </w:p>
        </w:tc>
        <w:tc>
          <w:tcPr>
            <w:tcW w:w="5674" w:type="dxa"/>
            <w:tcBorders>
              <w:top w:val="single" w:sz="4" w:space="0" w:color="auto"/>
              <w:bottom w:val="single" w:sz="4" w:space="0" w:color="auto"/>
            </w:tcBorders>
            <w:shd w:val="clear" w:color="auto" w:fill="auto"/>
          </w:tcPr>
          <w:p w14:paraId="12FA6050" w14:textId="77777777" w:rsidR="00CB06EC" w:rsidRPr="00791E9F" w:rsidRDefault="00CB06EC" w:rsidP="00791E9F">
            <w:pPr>
              <w:keepNext/>
              <w:keepLines/>
              <w:tabs>
                <w:tab w:val="left" w:pos="1134"/>
                <w:tab w:val="center" w:pos="4536"/>
                <w:tab w:val="right" w:pos="9072"/>
              </w:tabs>
              <w:suppressAutoHyphens/>
              <w:spacing w:line="240" w:lineRule="auto"/>
              <w:outlineLvl w:val="5"/>
              <w:rPr>
                <w:rFonts w:ascii="Palatino Linotype" w:hAnsi="Palatino Linotype" w:cs="Arial"/>
                <w:b/>
                <w:bCs/>
                <w:sz w:val="20"/>
              </w:rPr>
            </w:pPr>
            <w:r w:rsidRPr="00791E9F">
              <w:rPr>
                <w:rFonts w:ascii="Palatino Linotype" w:hAnsi="Palatino Linotype" w:cs="Arial"/>
                <w:b/>
                <w:bCs/>
                <w:sz w:val="20"/>
              </w:rPr>
              <w:t>Definition</w:t>
            </w:r>
          </w:p>
        </w:tc>
      </w:tr>
      <w:tr w:rsidR="00E37A80" w:rsidRPr="00791E9F" w14:paraId="4F78B173" w14:textId="77777777" w:rsidTr="00E37A80">
        <w:trPr>
          <w:trHeight w:val="524"/>
          <w:jc w:val="right"/>
        </w:trPr>
        <w:tc>
          <w:tcPr>
            <w:tcW w:w="711" w:type="dxa"/>
            <w:tcBorders>
              <w:top w:val="single" w:sz="4" w:space="0" w:color="auto"/>
            </w:tcBorders>
            <w:shd w:val="clear" w:color="auto" w:fill="auto"/>
          </w:tcPr>
          <w:p w14:paraId="00A86207"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01</w:t>
            </w:r>
          </w:p>
        </w:tc>
        <w:tc>
          <w:tcPr>
            <w:tcW w:w="2268" w:type="dxa"/>
            <w:tcBorders>
              <w:top w:val="single" w:sz="4" w:space="0" w:color="auto"/>
            </w:tcBorders>
            <w:shd w:val="clear" w:color="auto" w:fill="auto"/>
          </w:tcPr>
          <w:p w14:paraId="56C55885"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 xml:space="preserve">PositiveFeedback </w:t>
            </w:r>
          </w:p>
        </w:tc>
        <w:tc>
          <w:tcPr>
            <w:tcW w:w="5674" w:type="dxa"/>
            <w:tcBorders>
              <w:top w:val="single" w:sz="4" w:space="0" w:color="auto"/>
            </w:tcBorders>
            <w:shd w:val="clear" w:color="auto" w:fill="auto"/>
          </w:tcPr>
          <w:p w14:paraId="6BE1C613" w14:textId="6228F233" w:rsidR="00CB06EC" w:rsidRPr="00791E9F" w:rsidRDefault="00CB06EC" w:rsidP="00E37A80">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 xml:space="preserve">Number of positive feedbacks to the used data </w:t>
            </w:r>
          </w:p>
        </w:tc>
      </w:tr>
      <w:tr w:rsidR="00E37A80" w:rsidRPr="00791E9F" w14:paraId="1DF03795" w14:textId="77777777" w:rsidTr="00E37A80">
        <w:trPr>
          <w:jc w:val="right"/>
        </w:trPr>
        <w:tc>
          <w:tcPr>
            <w:tcW w:w="711" w:type="dxa"/>
            <w:shd w:val="clear" w:color="auto" w:fill="auto"/>
          </w:tcPr>
          <w:p w14:paraId="643C6E01"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02</w:t>
            </w:r>
          </w:p>
        </w:tc>
        <w:tc>
          <w:tcPr>
            <w:tcW w:w="2268" w:type="dxa"/>
            <w:shd w:val="clear" w:color="auto" w:fill="auto"/>
          </w:tcPr>
          <w:p w14:paraId="7D550569"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NegativeFeedback</w:t>
            </w:r>
          </w:p>
        </w:tc>
        <w:tc>
          <w:tcPr>
            <w:tcW w:w="5674" w:type="dxa"/>
            <w:shd w:val="clear" w:color="auto" w:fill="auto"/>
          </w:tcPr>
          <w:p w14:paraId="41BD804F" w14:textId="57E07D58" w:rsidR="00CB06EC" w:rsidRPr="00791E9F" w:rsidRDefault="00CB06EC" w:rsidP="00E37A80">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 xml:space="preserve">Number of negative feedbacks to the used data </w:t>
            </w:r>
          </w:p>
        </w:tc>
      </w:tr>
    </w:tbl>
    <w:p w14:paraId="239123A6" w14:textId="77777777" w:rsidR="00CB06EC" w:rsidRPr="00791E9F" w:rsidRDefault="00CB06EC" w:rsidP="00791E9F">
      <w:pPr>
        <w:widowControl w:val="0"/>
        <w:autoSpaceDE w:val="0"/>
        <w:autoSpaceDN w:val="0"/>
        <w:adjustRightInd w:val="0"/>
        <w:spacing w:line="240" w:lineRule="auto"/>
        <w:rPr>
          <w:rFonts w:ascii="Palatino Linotype" w:eastAsia="SimSun" w:hAnsi="Palatino Linotype" w:cs="Times"/>
          <w:lang w:eastAsia="zh-CN"/>
        </w:rPr>
      </w:pPr>
    </w:p>
    <w:p w14:paraId="12116CF3" w14:textId="77777777" w:rsidR="00CB06EC" w:rsidRPr="00791E9F" w:rsidRDefault="00CB06EC" w:rsidP="00791E9F">
      <w:pPr>
        <w:pStyle w:val="ListParagraph"/>
        <w:numPr>
          <w:ilvl w:val="0"/>
          <w:numId w:val="45"/>
        </w:numPr>
        <w:spacing w:line="240" w:lineRule="auto"/>
        <w:ind w:left="1848" w:firstLineChars="0" w:hanging="357"/>
        <w:rPr>
          <w:rFonts w:ascii="Palatino Linotype" w:eastAsia="SimSun" w:hAnsi="Palatino Linotype" w:cs="Palatino Linotype"/>
          <w:sz w:val="20"/>
          <w:szCs w:val="24"/>
          <w:lang w:val="en-AU" w:eastAsia="zh-CN"/>
        </w:rPr>
      </w:pPr>
      <w:r w:rsidRPr="00791E9F">
        <w:rPr>
          <w:rFonts w:ascii="Palatino Linotype" w:hAnsi="Palatino Linotype" w:cs="Arial"/>
          <w:b/>
          <w:sz w:val="21"/>
        </w:rPr>
        <w:t>Stakeholder Quality Model (</w:t>
      </w:r>
      <w:r w:rsidRPr="00791E9F">
        <w:rPr>
          <w:rFonts w:ascii="Palatino Linotype" w:eastAsia="SimSun" w:hAnsi="Palatino Linotype" w:cs="Palatino Linotype"/>
          <w:sz w:val="20"/>
          <w:szCs w:val="24"/>
          <w:lang w:val="en-AU" w:eastAsia="zh-CN"/>
        </w:rPr>
        <w:t>COBWEB): qualifies the citizen volunteer in order to influence further confidence in a particular citizen’s observations when deriving the producer quality model values.</w:t>
      </w:r>
    </w:p>
    <w:tbl>
      <w:tblPr>
        <w:tblW w:w="8653" w:type="dxa"/>
        <w:jc w:val="righ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7"/>
        <w:gridCol w:w="2443"/>
        <w:gridCol w:w="5353"/>
      </w:tblGrid>
      <w:tr w:rsidR="00CB06EC" w:rsidRPr="00791E9F" w14:paraId="2108743E" w14:textId="77777777" w:rsidTr="005E50EC">
        <w:trPr>
          <w:jc w:val="right"/>
        </w:trPr>
        <w:tc>
          <w:tcPr>
            <w:tcW w:w="857" w:type="dxa"/>
            <w:tcBorders>
              <w:top w:val="single" w:sz="4" w:space="0" w:color="auto"/>
              <w:left w:val="nil"/>
              <w:bottom w:val="single" w:sz="4" w:space="0" w:color="auto"/>
            </w:tcBorders>
            <w:shd w:val="clear" w:color="auto" w:fill="auto"/>
          </w:tcPr>
          <w:p w14:paraId="418D715B" w14:textId="77777777" w:rsidR="00CB06EC" w:rsidRPr="00791E9F" w:rsidRDefault="00CB06EC" w:rsidP="00791E9F">
            <w:pPr>
              <w:keepNext/>
              <w:keepLines/>
              <w:tabs>
                <w:tab w:val="left" w:pos="1134"/>
                <w:tab w:val="center" w:pos="4536"/>
                <w:tab w:val="right" w:pos="9072"/>
              </w:tabs>
              <w:suppressAutoHyphens/>
              <w:spacing w:line="240" w:lineRule="auto"/>
              <w:outlineLvl w:val="5"/>
              <w:rPr>
                <w:rFonts w:ascii="Palatino Linotype" w:hAnsi="Palatino Linotype" w:cs="Arial"/>
                <w:b/>
                <w:bCs/>
                <w:sz w:val="20"/>
              </w:rPr>
            </w:pPr>
            <w:r w:rsidRPr="00791E9F">
              <w:rPr>
                <w:rFonts w:ascii="Palatino Linotype" w:hAnsi="Palatino Linotype" w:cs="Arial"/>
                <w:b/>
                <w:bCs/>
                <w:sz w:val="20"/>
              </w:rPr>
              <w:t>CSQ_</w:t>
            </w:r>
          </w:p>
        </w:tc>
        <w:tc>
          <w:tcPr>
            <w:tcW w:w="2443" w:type="dxa"/>
            <w:tcBorders>
              <w:top w:val="single" w:sz="4" w:space="0" w:color="auto"/>
              <w:bottom w:val="single" w:sz="4" w:space="0" w:color="auto"/>
            </w:tcBorders>
            <w:shd w:val="clear" w:color="auto" w:fill="auto"/>
          </w:tcPr>
          <w:p w14:paraId="6A428A0C" w14:textId="77777777" w:rsidR="00CB06EC" w:rsidRPr="00791E9F" w:rsidRDefault="00CB06EC" w:rsidP="00791E9F">
            <w:pPr>
              <w:keepNext/>
              <w:keepLines/>
              <w:tabs>
                <w:tab w:val="left" w:pos="1134"/>
                <w:tab w:val="center" w:pos="4536"/>
                <w:tab w:val="right" w:pos="9072"/>
              </w:tabs>
              <w:suppressAutoHyphens/>
              <w:spacing w:line="240" w:lineRule="auto"/>
              <w:outlineLvl w:val="5"/>
              <w:rPr>
                <w:rFonts w:ascii="Palatino Linotype" w:hAnsi="Palatino Linotype" w:cs="Arial"/>
                <w:b/>
                <w:bCs/>
                <w:sz w:val="20"/>
              </w:rPr>
            </w:pPr>
            <w:r w:rsidRPr="00791E9F">
              <w:rPr>
                <w:rFonts w:ascii="Palatino Linotype" w:hAnsi="Palatino Linotype" w:cs="Arial"/>
                <w:b/>
                <w:bCs/>
                <w:sz w:val="20"/>
              </w:rPr>
              <w:t>Quality element CSQ_</w:t>
            </w:r>
          </w:p>
        </w:tc>
        <w:tc>
          <w:tcPr>
            <w:tcW w:w="5353" w:type="dxa"/>
            <w:tcBorders>
              <w:top w:val="single" w:sz="4" w:space="0" w:color="auto"/>
              <w:bottom w:val="single" w:sz="4" w:space="0" w:color="auto"/>
              <w:right w:val="nil"/>
            </w:tcBorders>
            <w:shd w:val="clear" w:color="auto" w:fill="auto"/>
          </w:tcPr>
          <w:p w14:paraId="15B6CDF9" w14:textId="77777777" w:rsidR="00CB06EC" w:rsidRPr="00791E9F" w:rsidRDefault="00CB06EC" w:rsidP="00791E9F">
            <w:pPr>
              <w:keepNext/>
              <w:keepLines/>
              <w:tabs>
                <w:tab w:val="left" w:pos="1134"/>
                <w:tab w:val="center" w:pos="4536"/>
                <w:tab w:val="right" w:pos="9072"/>
              </w:tabs>
              <w:suppressAutoHyphens/>
              <w:spacing w:line="240" w:lineRule="auto"/>
              <w:outlineLvl w:val="5"/>
              <w:rPr>
                <w:rFonts w:ascii="Palatino Linotype" w:hAnsi="Palatino Linotype" w:cs="Arial"/>
                <w:b/>
                <w:bCs/>
                <w:sz w:val="20"/>
              </w:rPr>
            </w:pPr>
            <w:r w:rsidRPr="00791E9F">
              <w:rPr>
                <w:rFonts w:ascii="Palatino Linotype" w:hAnsi="Palatino Linotype" w:cs="Arial"/>
                <w:b/>
                <w:bCs/>
                <w:sz w:val="20"/>
              </w:rPr>
              <w:t>Definition</w:t>
            </w:r>
          </w:p>
        </w:tc>
      </w:tr>
      <w:tr w:rsidR="00CB06EC" w:rsidRPr="00791E9F" w14:paraId="7F04E003" w14:textId="77777777" w:rsidTr="005E50EC">
        <w:trPr>
          <w:jc w:val="right"/>
        </w:trPr>
        <w:tc>
          <w:tcPr>
            <w:tcW w:w="857" w:type="dxa"/>
            <w:tcBorders>
              <w:top w:val="single" w:sz="4" w:space="0" w:color="auto"/>
              <w:left w:val="nil"/>
            </w:tcBorders>
            <w:shd w:val="clear" w:color="auto" w:fill="auto"/>
          </w:tcPr>
          <w:p w14:paraId="5C603D7F"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01</w:t>
            </w:r>
          </w:p>
        </w:tc>
        <w:tc>
          <w:tcPr>
            <w:tcW w:w="2443" w:type="dxa"/>
            <w:tcBorders>
              <w:top w:val="single" w:sz="4" w:space="0" w:color="auto"/>
            </w:tcBorders>
            <w:shd w:val="clear" w:color="auto" w:fill="auto"/>
          </w:tcPr>
          <w:p w14:paraId="73241C35"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 xml:space="preserve">Vagueness </w:t>
            </w:r>
          </w:p>
        </w:tc>
        <w:tc>
          <w:tcPr>
            <w:tcW w:w="5353" w:type="dxa"/>
            <w:tcBorders>
              <w:top w:val="single" w:sz="4" w:space="0" w:color="auto"/>
              <w:right w:val="nil"/>
            </w:tcBorders>
            <w:shd w:val="clear" w:color="auto" w:fill="auto"/>
          </w:tcPr>
          <w:p w14:paraId="4B5B0CBF"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Inability to make a clear-cut choice (</w:t>
            </w:r>
            <w:r w:rsidRPr="00791E9F">
              <w:rPr>
                <w:rFonts w:ascii="Palatino Linotype" w:hAnsi="Palatino Linotype" w:cs="Arial"/>
                <w:bCs/>
                <w:i/>
                <w:sz w:val="20"/>
              </w:rPr>
              <w:t>i.e.,</w:t>
            </w:r>
            <w:r w:rsidRPr="00791E9F">
              <w:rPr>
                <w:rFonts w:ascii="Palatino Linotype" w:hAnsi="Palatino Linotype" w:cs="Arial"/>
                <w:bCs/>
                <w:sz w:val="20"/>
              </w:rPr>
              <w:t xml:space="preserve"> lack of classifying capability).</w:t>
            </w:r>
          </w:p>
        </w:tc>
      </w:tr>
      <w:tr w:rsidR="00CB06EC" w:rsidRPr="00791E9F" w14:paraId="105991D7" w14:textId="77777777" w:rsidTr="005E50EC">
        <w:trPr>
          <w:jc w:val="right"/>
        </w:trPr>
        <w:tc>
          <w:tcPr>
            <w:tcW w:w="857" w:type="dxa"/>
            <w:tcBorders>
              <w:left w:val="nil"/>
            </w:tcBorders>
            <w:shd w:val="clear" w:color="auto" w:fill="auto"/>
          </w:tcPr>
          <w:p w14:paraId="7912D11E"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02</w:t>
            </w:r>
          </w:p>
        </w:tc>
        <w:tc>
          <w:tcPr>
            <w:tcW w:w="2443" w:type="dxa"/>
            <w:shd w:val="clear" w:color="auto" w:fill="auto"/>
          </w:tcPr>
          <w:p w14:paraId="61ED59D1"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Ambiguity</w:t>
            </w:r>
          </w:p>
        </w:tc>
        <w:tc>
          <w:tcPr>
            <w:tcW w:w="5353" w:type="dxa"/>
            <w:tcBorders>
              <w:right w:val="nil"/>
            </w:tcBorders>
            <w:shd w:val="clear" w:color="auto" w:fill="auto"/>
          </w:tcPr>
          <w:p w14:paraId="699B92BF"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Incompatibility of the choices or descriptions made (</w:t>
            </w:r>
            <w:r w:rsidRPr="00791E9F">
              <w:rPr>
                <w:rFonts w:ascii="Palatino Linotype" w:hAnsi="Palatino Linotype" w:cs="Arial"/>
                <w:bCs/>
                <w:i/>
                <w:sz w:val="20"/>
              </w:rPr>
              <w:t>i.e.,</w:t>
            </w:r>
            <w:r w:rsidRPr="00791E9F">
              <w:rPr>
                <w:rFonts w:ascii="Palatino Linotype" w:hAnsi="Palatino Linotype" w:cs="Arial"/>
                <w:bCs/>
                <w:sz w:val="20"/>
              </w:rPr>
              <w:t xml:space="preserve"> lack of understanding, of clarity).</w:t>
            </w:r>
          </w:p>
        </w:tc>
      </w:tr>
      <w:tr w:rsidR="00CB06EC" w:rsidRPr="00791E9F" w14:paraId="7DF8D400" w14:textId="77777777" w:rsidTr="005E50EC">
        <w:trPr>
          <w:jc w:val="right"/>
        </w:trPr>
        <w:tc>
          <w:tcPr>
            <w:tcW w:w="857" w:type="dxa"/>
            <w:tcBorders>
              <w:left w:val="nil"/>
            </w:tcBorders>
            <w:shd w:val="clear" w:color="auto" w:fill="auto"/>
          </w:tcPr>
          <w:p w14:paraId="573CA086"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03</w:t>
            </w:r>
          </w:p>
        </w:tc>
        <w:tc>
          <w:tcPr>
            <w:tcW w:w="2443" w:type="dxa"/>
            <w:shd w:val="clear" w:color="auto" w:fill="auto"/>
          </w:tcPr>
          <w:p w14:paraId="4BE71018"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Judgement</w:t>
            </w:r>
          </w:p>
        </w:tc>
        <w:tc>
          <w:tcPr>
            <w:tcW w:w="5353" w:type="dxa"/>
            <w:tcBorders>
              <w:right w:val="nil"/>
            </w:tcBorders>
            <w:shd w:val="clear" w:color="auto" w:fill="auto"/>
          </w:tcPr>
          <w:p w14:paraId="7A613345"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Accuracy of choice or decision in a relation to something known to be true (i.</w:t>
            </w:r>
            <w:r w:rsidRPr="00791E9F">
              <w:rPr>
                <w:rFonts w:ascii="Palatino Linotype" w:hAnsi="Palatino Linotype" w:cs="Arial"/>
                <w:bCs/>
                <w:i/>
                <w:sz w:val="20"/>
              </w:rPr>
              <w:t>e.,</w:t>
            </w:r>
            <w:r w:rsidRPr="00791E9F">
              <w:rPr>
                <w:rFonts w:ascii="Palatino Linotype" w:hAnsi="Palatino Linotype" w:cs="Arial"/>
                <w:bCs/>
                <w:sz w:val="20"/>
              </w:rPr>
              <w:t xml:space="preserve"> perception capability and interpretation).</w:t>
            </w:r>
          </w:p>
        </w:tc>
      </w:tr>
      <w:tr w:rsidR="00CB06EC" w:rsidRPr="00791E9F" w14:paraId="65DB50C6" w14:textId="77777777" w:rsidTr="005E50EC">
        <w:trPr>
          <w:jc w:val="right"/>
        </w:trPr>
        <w:tc>
          <w:tcPr>
            <w:tcW w:w="857" w:type="dxa"/>
            <w:tcBorders>
              <w:left w:val="nil"/>
            </w:tcBorders>
            <w:shd w:val="clear" w:color="auto" w:fill="auto"/>
          </w:tcPr>
          <w:p w14:paraId="4DEA009B"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lastRenderedPageBreak/>
              <w:t>04</w:t>
            </w:r>
          </w:p>
        </w:tc>
        <w:tc>
          <w:tcPr>
            <w:tcW w:w="2443" w:type="dxa"/>
            <w:shd w:val="clear" w:color="auto" w:fill="auto"/>
          </w:tcPr>
          <w:p w14:paraId="252616D9"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 xml:space="preserve">Reliability </w:t>
            </w:r>
          </w:p>
        </w:tc>
        <w:tc>
          <w:tcPr>
            <w:tcW w:w="5353" w:type="dxa"/>
            <w:tcBorders>
              <w:right w:val="nil"/>
            </w:tcBorders>
            <w:shd w:val="clear" w:color="auto" w:fill="auto"/>
          </w:tcPr>
          <w:p w14:paraId="414742D2"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Consistency in choices / decisions (</w:t>
            </w:r>
            <w:r w:rsidRPr="00791E9F">
              <w:rPr>
                <w:rFonts w:ascii="Palatino Linotype" w:hAnsi="Palatino Linotype" w:cs="Arial"/>
                <w:bCs/>
                <w:i/>
                <w:sz w:val="20"/>
              </w:rPr>
              <w:t>i.e.,</w:t>
            </w:r>
            <w:r w:rsidRPr="00791E9F">
              <w:rPr>
                <w:rFonts w:ascii="Palatino Linotype" w:hAnsi="Palatino Linotype" w:cs="Arial"/>
                <w:bCs/>
                <w:sz w:val="20"/>
              </w:rPr>
              <w:t xml:space="preserve"> testing against itself).</w:t>
            </w:r>
          </w:p>
        </w:tc>
      </w:tr>
      <w:tr w:rsidR="00CB06EC" w:rsidRPr="00791E9F" w14:paraId="4B92E584" w14:textId="77777777" w:rsidTr="005E50EC">
        <w:trPr>
          <w:jc w:val="right"/>
        </w:trPr>
        <w:tc>
          <w:tcPr>
            <w:tcW w:w="857" w:type="dxa"/>
            <w:tcBorders>
              <w:left w:val="nil"/>
            </w:tcBorders>
            <w:shd w:val="clear" w:color="auto" w:fill="auto"/>
          </w:tcPr>
          <w:p w14:paraId="29B697A5"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05</w:t>
            </w:r>
          </w:p>
        </w:tc>
        <w:tc>
          <w:tcPr>
            <w:tcW w:w="2443" w:type="dxa"/>
            <w:shd w:val="clear" w:color="auto" w:fill="auto"/>
          </w:tcPr>
          <w:p w14:paraId="5CE45501"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Validity</w:t>
            </w:r>
          </w:p>
        </w:tc>
        <w:tc>
          <w:tcPr>
            <w:tcW w:w="5353" w:type="dxa"/>
            <w:tcBorders>
              <w:right w:val="nil"/>
            </w:tcBorders>
            <w:shd w:val="clear" w:color="auto" w:fill="auto"/>
          </w:tcPr>
          <w:p w14:paraId="3E9DECD1"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bCs/>
                <w:sz w:val="20"/>
              </w:rPr>
              <w:t>Coherence with other people’s choices (</w:t>
            </w:r>
            <w:r w:rsidRPr="00791E9F">
              <w:rPr>
                <w:rFonts w:ascii="Palatino Linotype" w:hAnsi="Palatino Linotype" w:cs="Arial"/>
                <w:bCs/>
                <w:i/>
                <w:sz w:val="20"/>
              </w:rPr>
              <w:t>i.e.</w:t>
            </w:r>
            <w:r w:rsidRPr="00791E9F">
              <w:rPr>
                <w:rFonts w:ascii="Palatino Linotype" w:hAnsi="Palatino Linotype" w:cs="Arial"/>
                <w:bCs/>
                <w:sz w:val="20"/>
              </w:rPr>
              <w:t>, against other knowledge).</w:t>
            </w:r>
          </w:p>
        </w:tc>
      </w:tr>
      <w:tr w:rsidR="00CB06EC" w:rsidRPr="00791E9F" w14:paraId="622A24CB" w14:textId="77777777" w:rsidTr="005E50EC">
        <w:trPr>
          <w:jc w:val="right"/>
        </w:trPr>
        <w:tc>
          <w:tcPr>
            <w:tcW w:w="857" w:type="dxa"/>
            <w:tcBorders>
              <w:left w:val="nil"/>
            </w:tcBorders>
            <w:shd w:val="clear" w:color="auto" w:fill="auto"/>
          </w:tcPr>
          <w:p w14:paraId="5D7BDFC1"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06</w:t>
            </w:r>
          </w:p>
        </w:tc>
        <w:tc>
          <w:tcPr>
            <w:tcW w:w="2443" w:type="dxa"/>
            <w:shd w:val="clear" w:color="auto" w:fill="auto"/>
          </w:tcPr>
          <w:p w14:paraId="7443D10B"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 xml:space="preserve">Trust </w:t>
            </w:r>
          </w:p>
        </w:tc>
        <w:tc>
          <w:tcPr>
            <w:tcW w:w="5353" w:type="dxa"/>
            <w:tcBorders>
              <w:right w:val="nil"/>
            </w:tcBorders>
            <w:shd w:val="clear" w:color="auto" w:fill="auto"/>
          </w:tcPr>
          <w:p w14:paraId="68B77C58"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Confidence accumulated over other criterion concerning data captured previously (linked to reliability, validity and reputability).</w:t>
            </w:r>
          </w:p>
        </w:tc>
      </w:tr>
      <w:tr w:rsidR="00CB06EC" w:rsidRPr="00791E9F" w14:paraId="6A7EA77E" w14:textId="77777777" w:rsidTr="005E50EC">
        <w:trPr>
          <w:jc w:val="right"/>
        </w:trPr>
        <w:tc>
          <w:tcPr>
            <w:tcW w:w="857" w:type="dxa"/>
            <w:tcBorders>
              <w:left w:val="nil"/>
              <w:bottom w:val="single" w:sz="4" w:space="0" w:color="auto"/>
            </w:tcBorders>
            <w:shd w:val="clear" w:color="auto" w:fill="auto"/>
          </w:tcPr>
          <w:p w14:paraId="05D25E02"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
                <w:bCs/>
                <w:sz w:val="20"/>
              </w:rPr>
              <w:t>07</w:t>
            </w:r>
          </w:p>
        </w:tc>
        <w:tc>
          <w:tcPr>
            <w:tcW w:w="2443" w:type="dxa"/>
            <w:tcBorders>
              <w:bottom w:val="single" w:sz="4" w:space="0" w:color="auto"/>
            </w:tcBorders>
            <w:shd w:val="clear" w:color="auto" w:fill="auto"/>
          </w:tcPr>
          <w:p w14:paraId="726D3988"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bCs/>
                <w:sz w:val="20"/>
              </w:rPr>
            </w:pPr>
            <w:r w:rsidRPr="00791E9F">
              <w:rPr>
                <w:rFonts w:ascii="Palatino Linotype" w:hAnsi="Palatino Linotype" w:cs="Arial"/>
                <w:bCs/>
                <w:sz w:val="20"/>
              </w:rPr>
              <w:t>NbControls</w:t>
            </w:r>
          </w:p>
        </w:tc>
        <w:tc>
          <w:tcPr>
            <w:tcW w:w="5353" w:type="dxa"/>
            <w:tcBorders>
              <w:bottom w:val="single" w:sz="4" w:space="0" w:color="auto"/>
              <w:right w:val="nil"/>
            </w:tcBorders>
            <w:shd w:val="clear" w:color="auto" w:fill="auto"/>
          </w:tcPr>
          <w:p w14:paraId="63450932" w14:textId="77777777" w:rsidR="00CB06EC" w:rsidRPr="00791E9F" w:rsidRDefault="00CB06EC" w:rsidP="00791E9F">
            <w:pPr>
              <w:tabs>
                <w:tab w:val="left" w:pos="1134"/>
                <w:tab w:val="center" w:pos="4536"/>
                <w:tab w:val="right" w:pos="9072"/>
              </w:tabs>
              <w:suppressAutoHyphens/>
              <w:spacing w:line="240" w:lineRule="auto"/>
              <w:rPr>
                <w:rFonts w:ascii="Palatino Linotype" w:hAnsi="Palatino Linotype" w:cs="Arial"/>
                <w:sz w:val="20"/>
              </w:rPr>
            </w:pPr>
            <w:r w:rsidRPr="00791E9F">
              <w:rPr>
                <w:rFonts w:ascii="Palatino Linotype" w:hAnsi="Palatino Linotype" w:cs="Arial"/>
                <w:sz w:val="20"/>
              </w:rPr>
              <w:t>Total number of controls over all contributions of this volunteer.</w:t>
            </w:r>
          </w:p>
        </w:tc>
      </w:tr>
    </w:tbl>
    <w:p w14:paraId="2ABF4215" w14:textId="51BC2CB4" w:rsidR="00EA6423" w:rsidRPr="00791E9F" w:rsidRDefault="00EA6423" w:rsidP="006802D9">
      <w:pPr>
        <w:pStyle w:val="MDPI31text"/>
        <w:spacing w:line="240" w:lineRule="auto"/>
        <w:ind w:firstLine="0"/>
      </w:pPr>
    </w:p>
    <w:p w14:paraId="2CC28D7D" w14:textId="77777777" w:rsidR="00EA6423" w:rsidRPr="00BB17A8" w:rsidRDefault="00EA6423" w:rsidP="00F00D5A">
      <w:pPr>
        <w:pStyle w:val="MDPI21heading1"/>
        <w:keepNext/>
      </w:pPr>
      <w:r w:rsidRPr="00BB17A8">
        <w:t>References</w:t>
      </w:r>
    </w:p>
    <w:p w14:paraId="3EBAB599" w14:textId="77777777" w:rsidR="005D6AA6" w:rsidRPr="00BB17A8" w:rsidRDefault="005D6AA6" w:rsidP="00F00D5A">
      <w:pPr>
        <w:pStyle w:val="MDPI71References"/>
        <w:keepNext/>
      </w:pPr>
      <w:r w:rsidRPr="00BB17A8">
        <w:t>DEFRA. UK Biodiversity Indicators in Your Pocket. Defra 2015. Available online: http://jncc.defra.gov.uk/page-4229#download (accessed on 30/07/2016)</w:t>
      </w:r>
    </w:p>
    <w:p w14:paraId="1BD58979" w14:textId="401CD748" w:rsidR="005D6AA6" w:rsidRPr="00BB17A8" w:rsidRDefault="005D6AA6" w:rsidP="005D6AA6">
      <w:pPr>
        <w:pStyle w:val="MDPI71References"/>
      </w:pPr>
      <w:r w:rsidRPr="00BB17A8">
        <w:t>WILLIAMS, F., ESCHEN, R., HARRIS, A., DJEDDOUR, D., PRATT, C., SHAW, R.S., VARIA, S., LAMONTAGNE-GODWIN, J., THOMAS, S.E., MURPHY, S.T. The economic cost of invasive non-native species on Great Britain. CABI report, (2010), 198 pp.</w:t>
      </w:r>
    </w:p>
    <w:p w14:paraId="6A07A718" w14:textId="2D7BC42B" w:rsidR="005D6AA6" w:rsidRPr="00BB17A8" w:rsidRDefault="005D6AA6" w:rsidP="005D6AA6">
      <w:pPr>
        <w:pStyle w:val="MDPI71References"/>
      </w:pPr>
      <w:r w:rsidRPr="00BB17A8">
        <w:t>SILVERTOWN, J. A. new dawn for citizen science. Trends in Ecology and Evolution, 24(9), (2009), 467 - 471.</w:t>
      </w:r>
    </w:p>
    <w:p w14:paraId="42A23024" w14:textId="00216564" w:rsidR="005D6AA6" w:rsidRPr="00BB17A8" w:rsidRDefault="005D6AA6" w:rsidP="005D6AA6">
      <w:pPr>
        <w:pStyle w:val="MDPI71References"/>
      </w:pPr>
      <w:r w:rsidRPr="00BB17A8">
        <w:t>BUTCHER, G.S. Audubon Christmas Bird Counts. Biol. Rep. (1990), U. S. Fish. Wildl. Serv. 90</w:t>
      </w:r>
    </w:p>
    <w:p w14:paraId="631DA88C" w14:textId="1C3B508C" w:rsidR="005D6AA6" w:rsidRPr="00BB17A8" w:rsidRDefault="005D6AA6" w:rsidP="005D6AA6">
      <w:pPr>
        <w:pStyle w:val="MDPI71References"/>
      </w:pPr>
      <w:r w:rsidRPr="00BB17A8">
        <w:t>BONNEY, R., COOPER, C.B., DICKINSON, J., KELLING, S., PHILLIPS, T., ROSENBERG, K.V., SHIRK, J. Citizen Science: A Developing Tool for Expanding Science Knowledge and Scientific Literacy. BioScience 2009, 59 (11), 977-984.</w:t>
      </w:r>
    </w:p>
    <w:p w14:paraId="03D7EA0A" w14:textId="2A8DCC93" w:rsidR="005D6AA6" w:rsidRPr="00BB17A8" w:rsidRDefault="005D6AA6" w:rsidP="005D6AA6">
      <w:pPr>
        <w:pStyle w:val="MDPI71References"/>
      </w:pPr>
      <w:r w:rsidRPr="00BB17A8">
        <w:t>HaKLAY, M. Citizen Science and Volunteered Geographic Information – overview and typology of participation. In Crowdsourcing Geographic Knowledge: Volunteered Geographic Information (VGI) in Theory and Practice, 1st ed., Sui, D.Z., Elwood, S., Goodchild, M.F., Eds., Berlin: Springer, (2013), 105-122. DOI: 10.1007/978-94-007-4587-2_7</w:t>
      </w:r>
    </w:p>
    <w:p w14:paraId="0D3A39AF" w14:textId="1CEDF0BB" w:rsidR="005D6AA6" w:rsidRPr="00BB17A8" w:rsidRDefault="005D6AA6" w:rsidP="005D6AA6">
      <w:pPr>
        <w:pStyle w:val="MDPI71References"/>
      </w:pPr>
      <w:r w:rsidRPr="00BB17A8">
        <w:t>GOODCHILD, M.F. Citizens as sensors: the world of volunteered geography. GeoJournal, 69(4), (2007), 211-221</w:t>
      </w:r>
    </w:p>
    <w:p w14:paraId="0DC39CF5" w14:textId="4FFD4C19" w:rsidR="005D6AA6" w:rsidRPr="00BB17A8" w:rsidRDefault="005D6AA6" w:rsidP="005D6AA6">
      <w:pPr>
        <w:pStyle w:val="MDPI71References"/>
      </w:pPr>
      <w:r w:rsidRPr="00BB17A8">
        <w:t>FONTE, C.C., BASTIN, L., SEE, L., FOODY, G., LUPIA, F. Usability of VGI for validation of land cover maps. International Journal of Geographical Information Science, 29:7, (2015), 1269-1291, DOI: 10.1080/13658816.2015.1018266</w:t>
      </w:r>
    </w:p>
    <w:p w14:paraId="24692731" w14:textId="435D4182" w:rsidR="005D6AA6" w:rsidRPr="00BB17A8" w:rsidRDefault="005D6AA6" w:rsidP="005D6AA6">
      <w:pPr>
        <w:pStyle w:val="MDPI71References"/>
      </w:pPr>
      <w:r w:rsidRPr="00BB17A8">
        <w:t>FRANZONI, C., SAUERMANN, H. Crowd science: The organisation of scientific research in open collaborative projects. Research Policy, 43, (2014), 1-20.</w:t>
      </w:r>
    </w:p>
    <w:p w14:paraId="71114183" w14:textId="6BA6FDAD" w:rsidR="005D6AA6" w:rsidRPr="00BB17A8" w:rsidRDefault="005D6AA6" w:rsidP="005D6AA6">
      <w:pPr>
        <w:pStyle w:val="MDPI71References"/>
      </w:pPr>
      <w:r w:rsidRPr="00BB17A8">
        <w:t>ROY, H.E., POCOCK, M.J.O., PRESTON, C.D., ROY, D.B., SAVAGE, J., TWEDDLE, J.C., ROBINSON, L.D. Understanding Citizen Science &amp; Environmental Monitoring. Final Report on behalf of UK-EOF. 2012, NERC Centre for Ecology &amp; Hydrology and Natural History Museum.</w:t>
      </w:r>
    </w:p>
    <w:p w14:paraId="3E0B4011" w14:textId="005ED3CE" w:rsidR="005D6AA6" w:rsidRPr="00BB17A8" w:rsidRDefault="005D6AA6" w:rsidP="005D6AA6">
      <w:pPr>
        <w:pStyle w:val="MDPI71References"/>
      </w:pPr>
      <w:r w:rsidRPr="00BB17A8">
        <w:t>[ADRIAENS, T., SUTTON-CROFT, M., OWEN, K., BROSENS, D., VAN VALKENBURG, J., KILBEY, D., GROOM, Q., EHMIG, C., THURKOW, F., VAN HENDE, P., SCHNEIDER, K. Trying to engage the crowd in recording invasive alien species in Europe: experienced from two smartphone applications in northwest Europe. Manag Biol Invasions, 6(2), (2015), 215-25.</w:t>
      </w:r>
    </w:p>
    <w:p w14:paraId="50A5A138" w14:textId="2CC7AD3C" w:rsidR="005D6AA6" w:rsidRPr="00BB17A8" w:rsidRDefault="005D6AA6" w:rsidP="005D6AA6">
      <w:pPr>
        <w:pStyle w:val="MDPI71References"/>
      </w:pPr>
      <w:r w:rsidRPr="00BB17A8">
        <w:t>HIGGINS, C. I., WILLIAMS, J., LEIBOVICI, D.G., SIMONIS, I., DAVIS, M.J., MULDOON, C., VAN GNEUCHTEN, P. AND O’HARE, G. Citizen OBservatory WEB (COBWEB): A Generic Infrastructure Platform to Facilitate the Collection of Citizen Science data for Environmental Monitoring. International Journal of Spatial Data Infrastructures Research, Vol.11, (2016), 20-48, DOI: 10.2902/1725-0463.2016.11.art3</w:t>
      </w:r>
    </w:p>
    <w:p w14:paraId="7D26C166" w14:textId="034DA40D" w:rsidR="005D6AA6" w:rsidRPr="00BB17A8" w:rsidRDefault="005D6AA6" w:rsidP="005D6AA6">
      <w:pPr>
        <w:pStyle w:val="MDPI71References"/>
      </w:pPr>
      <w:r w:rsidRPr="00BB17A8">
        <w:t>KOTOVIRTA, V., TOIVANEN, T., TERGUJEFF, R., HÄME, T., MOLINIER, M. Citizen Science for Earth Observation: Applications in Environmental Monitoring and Disaster Response. The International Archives of Photogrammetry, Remote Sensing and Spatial Information Sciences, 40(7), (2015),1221.</w:t>
      </w:r>
    </w:p>
    <w:p w14:paraId="52D66103" w14:textId="549B449D" w:rsidR="005D6AA6" w:rsidRPr="00BB17A8" w:rsidRDefault="005D6AA6" w:rsidP="005D6AA6">
      <w:pPr>
        <w:pStyle w:val="MDPI71References"/>
      </w:pPr>
      <w:r w:rsidRPr="00BB17A8">
        <w:t>SEE, L., STURN, T., PERGER, C., FRITZ, S., MCCALLUM, I AND SALK, C. Cropland Capture: A Gaming Approach to Improve Global Land Cover. In Proceedings of the AGILE 2014 International Conference on Geographic Information Science, Castellon, Spain, June 3-6, 2014</w:t>
      </w:r>
    </w:p>
    <w:p w14:paraId="05548CC8" w14:textId="63A41639" w:rsidR="005D6AA6" w:rsidRPr="00BB17A8" w:rsidRDefault="005D6AA6" w:rsidP="005D6AA6">
      <w:pPr>
        <w:pStyle w:val="MDPI71References"/>
      </w:pPr>
      <w:r w:rsidRPr="00BB17A8">
        <w:lastRenderedPageBreak/>
        <w:t>STURN, T., PANGERL, D., SEE, L., FRITZ, S., WIMMER, M. Landspotting: A serious iPad game for improving global land cover. GI-Forum 2013, Salzburg, Austria, 2nd of July 2013</w:t>
      </w:r>
    </w:p>
    <w:p w14:paraId="17A97C39" w14:textId="28F57BB9" w:rsidR="005D6AA6" w:rsidRPr="00BB17A8" w:rsidRDefault="005D6AA6" w:rsidP="005D6AA6">
      <w:pPr>
        <w:pStyle w:val="MDPI71References"/>
      </w:pPr>
      <w:r w:rsidRPr="00BB17A8">
        <w:t xml:space="preserve">SPARKS, K. , KLIPPEL, A. , WALLGRÜN, J. O. , MARK, D. Citizen science land cover classification based on ground and aerial imagery. InInternational. In Spatial Information Theory, Lecture Notes in Computer ScienceFabrikant, S.I., Raubal, M., Bertolotto, M., Davies, C., Freundschuh, Z., Bell, S., Eds., Springer International, (2015), 289–305. </w:t>
      </w:r>
    </w:p>
    <w:p w14:paraId="5C0F4696" w14:textId="6C983B13" w:rsidR="005D6AA6" w:rsidRPr="00BB17A8" w:rsidRDefault="005D6AA6" w:rsidP="005D6AA6">
      <w:pPr>
        <w:pStyle w:val="MDPI71References"/>
      </w:pPr>
      <w:r w:rsidRPr="00BB17A8">
        <w:t>KINLEY, L.R., Exploring the use of Crowd Generated Geospatial Content in Improving the Quality of Ecological Feature Mapping. Degree Master of Philosophy, the University of Nottingham, October 2015.</w:t>
      </w:r>
    </w:p>
    <w:p w14:paraId="5113C4F4" w14:textId="35EDA2D9" w:rsidR="005D6AA6" w:rsidRPr="00BB17A8" w:rsidRDefault="005D6AA6" w:rsidP="005D6AA6">
      <w:pPr>
        <w:pStyle w:val="MDPI71References"/>
      </w:pPr>
      <w:r w:rsidRPr="00BB17A8">
        <w:t xml:space="preserve">ROSSITER, D.G., LIU, J., CARLISLE, S. AND ZHU, A. Can citizen science assist digital soil mapping? Geoderma, 259-260, (2015), 71-80. </w:t>
      </w:r>
    </w:p>
    <w:p w14:paraId="7E77A405" w14:textId="77777777" w:rsidR="005D6AA6" w:rsidRPr="00BB17A8" w:rsidRDefault="005D6AA6" w:rsidP="005D6AA6">
      <w:pPr>
        <w:pStyle w:val="MDPI71References"/>
      </w:pPr>
      <w:r w:rsidRPr="00BB17A8">
        <w:t>[19]</w:t>
      </w:r>
      <w:r w:rsidRPr="00BB17A8">
        <w:tab/>
        <w:t>WALKER, D., FORSYTHE, N., PARKIN, G., GOWING, J. Filling the observational void: Scientific value and a quantitative validation of hydrometeorological data from a community-based monitoring programme. Journal of Hydrology, 538, (2016), 713-725.</w:t>
      </w:r>
    </w:p>
    <w:p w14:paraId="4EDC5CC9" w14:textId="788D3B11" w:rsidR="005D6AA6" w:rsidRPr="00BB17A8" w:rsidRDefault="005D6AA6" w:rsidP="005D6AA6">
      <w:pPr>
        <w:pStyle w:val="MDPI71References"/>
      </w:pPr>
      <w:r w:rsidRPr="00BB17A8">
        <w:t>FRITZ, S., MCCALLUM, I., SCHILL, C., PERGER, C., GRILLMAYER, R., ACHARD, F., KRAXNER, F., OBERSTEINER, M. Geo-Wiki.Org: The Use of Crowdsourcing to Improve Global Land Cover. Remote Sensing, 1, (2009), 345-354</w:t>
      </w:r>
    </w:p>
    <w:p w14:paraId="76E0665B" w14:textId="5D1FEC04" w:rsidR="005D6AA6" w:rsidRPr="00BB17A8" w:rsidRDefault="005D6AA6" w:rsidP="005D6AA6">
      <w:pPr>
        <w:pStyle w:val="MDPI71References"/>
      </w:pPr>
      <w:r w:rsidRPr="00BB17A8">
        <w:t>FLANAGIN, A.J., METZGER, M.J. The credibility of volunteered geographic information. GeoJournal, 72 (3-4), (2008), 137–148</w:t>
      </w:r>
    </w:p>
    <w:p w14:paraId="19C39B03" w14:textId="199486B6" w:rsidR="005D6AA6" w:rsidRPr="00BB17A8" w:rsidRDefault="005D6AA6" w:rsidP="005D6AA6">
      <w:pPr>
        <w:pStyle w:val="MDPI71References"/>
      </w:pPr>
      <w:r w:rsidRPr="00BB17A8">
        <w:t>GOODCHILD, M. F., LI, L. Assuring the Quality of Volunteered Geographic Information Spatial Statistics, 1, (2012), 110–120</w:t>
      </w:r>
    </w:p>
    <w:p w14:paraId="001E6F93" w14:textId="7200B9A6" w:rsidR="005D6AA6" w:rsidRPr="00BB17A8" w:rsidRDefault="005D6AA6" w:rsidP="005D6AA6">
      <w:pPr>
        <w:pStyle w:val="MDPI71References"/>
      </w:pPr>
      <w:r w:rsidRPr="00BB17A8">
        <w:t>FOWLER, A., WHYATT, J.D., DAVIES, G., ELLIS, R. How Reliable Are Citizen-derived Scientific Data? Assessing the Quality of Contrail Observations Made by the General Public. Transactions in GIS, 17 (4), (2013), 488–506.</w:t>
      </w:r>
    </w:p>
    <w:p w14:paraId="2AAB17B2" w14:textId="20DF04BA" w:rsidR="005D6AA6" w:rsidRPr="00BB17A8" w:rsidRDefault="005D6AA6" w:rsidP="005D6AA6">
      <w:pPr>
        <w:pStyle w:val="MDPI71References"/>
      </w:pPr>
      <w:r w:rsidRPr="00BB17A8">
        <w:t>FOODY, G.M., SEE, L, FRITZ, S., VAN DER VELDE, M., PERGER, C., SCHILL, C., BOYD, D.S., COMBER, A. Accurate Attribute Mapping from Volunteered Geographic Information: Issues of Volunteer Quantity and Quality. The Cartographic Journal, (2014), 1743277413Y-0000000070.</w:t>
      </w:r>
    </w:p>
    <w:p w14:paraId="00B8D179" w14:textId="26C50AF2" w:rsidR="005D6AA6" w:rsidRPr="00BB17A8" w:rsidRDefault="005D6AA6" w:rsidP="005D6AA6">
      <w:pPr>
        <w:pStyle w:val="MDPI71References"/>
      </w:pPr>
      <w:r w:rsidRPr="00BB17A8">
        <w:t xml:space="preserve">COMBER, A., SEE, L., FRITZ, S., VAN DER VELDE, M., PERGER, C., FOODY, G.M. Using control data to determine the reliability of volunteered geographic information about land cover. International Journal of Applied Earth Observation and Geoinformation., 23, (2013), 37–48. </w:t>
      </w:r>
    </w:p>
    <w:p w14:paraId="4D48CD99" w14:textId="7041A24E" w:rsidR="005D6AA6" w:rsidRPr="00BB17A8" w:rsidRDefault="005D6AA6" w:rsidP="005D6AA6">
      <w:pPr>
        <w:pStyle w:val="MDPI71References"/>
      </w:pPr>
      <w:r w:rsidRPr="00BB17A8">
        <w:t>LEIBOVICI, D.G., EVANS, B., HODGES, C., WIEMANN, S,. MEEK, S,. ROSSER, J., JACKSON, M. On Data Quality Assurance and Conflation Entanglement in Crowdsourcing for Environmental Studies.  ISPRS International Journal of Geo-Information 6 (3), (2017), 78, doi:10.3390/ijgi6030078</w:t>
      </w:r>
    </w:p>
    <w:p w14:paraId="7D043AB9" w14:textId="20FC739D" w:rsidR="005D6AA6" w:rsidRPr="00BB17A8" w:rsidRDefault="005D6AA6" w:rsidP="005D6AA6">
      <w:pPr>
        <w:pStyle w:val="MDPI71References"/>
      </w:pPr>
      <w:r w:rsidRPr="00BB17A8">
        <w:t>HUNTER, J., ALABRI, A., VAN INGEN, C. Assessing the quality and trustworthiness of citizen science data. Concurrency and Computation: Practice and Experience, 25(4), (2013), 454–466</w:t>
      </w:r>
    </w:p>
    <w:p w14:paraId="264DD633" w14:textId="6D33828D" w:rsidR="005D6AA6" w:rsidRPr="00BB17A8" w:rsidRDefault="005D6AA6" w:rsidP="005D6AA6">
      <w:pPr>
        <w:pStyle w:val="MDPI71References"/>
      </w:pPr>
      <w:r w:rsidRPr="00BB17A8">
        <w:t>CRAGLIA, M., SHANLEY, L. Data democracy – increased supply of geospatial information and expanded participatory processes in the production of data. International Journal of Digital Earth, 0 (0), (2015), 1–15</w:t>
      </w:r>
    </w:p>
    <w:p w14:paraId="131F3A45" w14:textId="6C244C23" w:rsidR="005D6AA6" w:rsidRPr="00BB17A8" w:rsidRDefault="005D6AA6" w:rsidP="005D6AA6">
      <w:pPr>
        <w:pStyle w:val="MDPI71References"/>
      </w:pPr>
      <w:r w:rsidRPr="00BB17A8">
        <w:t>APLIN, P. Remote sensing: ecology. Progress in Physical Geography, 29(1), (2005), 104-113.</w:t>
      </w:r>
    </w:p>
    <w:p w14:paraId="300B3771" w14:textId="0D194CB6" w:rsidR="005D6AA6" w:rsidRPr="00BB17A8" w:rsidRDefault="005D6AA6" w:rsidP="005D6AA6">
      <w:pPr>
        <w:pStyle w:val="MDPI71References"/>
      </w:pPr>
      <w:r w:rsidRPr="00BB17A8">
        <w:t>ZLINSKY, A., HEILMEIER, H., BALTZTER, H., CZUCZ, B., PFEIFER, N. Remote Sensing and GIS for Habitat Quality Monitoring: New Approaches and Future Research. Remote Sensing, 7, (2015), 7987-7994, doi: 10.3390/rs70607987</w:t>
      </w:r>
    </w:p>
    <w:p w14:paraId="395AC3BE" w14:textId="1EA08D21" w:rsidR="005D6AA6" w:rsidRPr="00BB17A8" w:rsidRDefault="005D6AA6" w:rsidP="005D6AA6">
      <w:pPr>
        <w:pStyle w:val="MDPI71References"/>
      </w:pPr>
      <w:r w:rsidRPr="00BB17A8">
        <w:t xml:space="preserve">JONES, D., PIKE, S., THOMAS, M., MURPHY, D. Object-Based Image Analysis for Detection of Japanese </w:t>
      </w:r>
      <w:r w:rsidR="00600E0A" w:rsidRPr="00BB17A8">
        <w:t>k</w:t>
      </w:r>
      <w:r w:rsidRPr="00BB17A8">
        <w:t>notweed s.l. taxa (Polygonaceae) in Wales (UK). Remote Sensing, 3, (2011), 319-342</w:t>
      </w:r>
    </w:p>
    <w:p w14:paraId="6A1413C2" w14:textId="1052E882" w:rsidR="005D6AA6" w:rsidRPr="00BB17A8" w:rsidRDefault="005D6AA6" w:rsidP="005D6AA6">
      <w:pPr>
        <w:pStyle w:val="MDPI71References"/>
      </w:pPr>
      <w:r w:rsidRPr="00BB17A8">
        <w:t>VIANA, H., ARANHA, J.T.M. Mapping invasive species (Acacia dealbata Link) using ASTER/TERRA and LANDSAT 7 ETM+ imagery. In Proceedings of the conference of IUFRO Landscape Ecology Working Group, Bragança, Portugal, October, 2010</w:t>
      </w:r>
    </w:p>
    <w:p w14:paraId="1F46DB1C" w14:textId="57AE7B92" w:rsidR="005D6AA6" w:rsidRPr="00BB17A8" w:rsidRDefault="005D6AA6" w:rsidP="005D6AA6">
      <w:pPr>
        <w:pStyle w:val="MDPI71References"/>
      </w:pPr>
      <w:r w:rsidRPr="00BB17A8">
        <w:t>TULLOCH, A.I.T., POSSINGHAM, H.P., JOSEPH, L.N., SZABO, J. AND MARTIN, T.G. Realising the full potential of citizen science monitoring programs. Biological Conservation, 165, (2013), 128-138.</w:t>
      </w:r>
    </w:p>
    <w:p w14:paraId="7C508EA5" w14:textId="5BC780A8" w:rsidR="005D6AA6" w:rsidRPr="00BB17A8" w:rsidRDefault="005D6AA6" w:rsidP="005D6AA6">
      <w:pPr>
        <w:pStyle w:val="MDPI71References"/>
      </w:pPr>
      <w:r w:rsidRPr="00BB17A8">
        <w:t>ALABRI, A., HUNTER, J,. Enhancing the Quality and Trust of Citizen Science Data. In: 2010 IEEE Sixth International Conference on e-Science (e-Science). 81–88.</w:t>
      </w:r>
    </w:p>
    <w:p w14:paraId="397D491A" w14:textId="0F9F8719" w:rsidR="005D6AA6" w:rsidRPr="00BB17A8" w:rsidRDefault="005D6AA6" w:rsidP="005D6AA6">
      <w:pPr>
        <w:pStyle w:val="MDPI71References"/>
      </w:pPr>
      <w:r w:rsidRPr="00BB17A8">
        <w:t>BORDOGNA, G., CARRARA, P., CRISCUOLO, L., PEPE, M., RAMPINI, A. A Linguistic Decision Making Approach to Assess the Quality of Volunteer Geographic Information for Citizen Science. Information Sciences, 258 (February), (2014), 312–27. doi:10.1016/j.ins.2013.07.013.</w:t>
      </w:r>
    </w:p>
    <w:p w14:paraId="166A3959" w14:textId="760E8A4B" w:rsidR="005D6AA6" w:rsidRPr="00BB17A8" w:rsidRDefault="005D6AA6" w:rsidP="005D6AA6">
      <w:pPr>
        <w:pStyle w:val="MDPI71References"/>
      </w:pPr>
      <w:r w:rsidRPr="00BB17A8">
        <w:lastRenderedPageBreak/>
        <w:t>MEEK, S., JACKSON, M., LEIBOVICI, D.G. A flexible framework for assessing the quality of crowdsourced data. In 17th AGILE conference, Castellon, Spain, 3-6 June 2014, https://agile-online.org/index.php/conference/proceedings/proceedings-2014</w:t>
      </w:r>
    </w:p>
    <w:p w14:paraId="0426C914" w14:textId="26DC52A3" w:rsidR="005D6AA6" w:rsidRPr="00BB17A8" w:rsidRDefault="005D6AA6" w:rsidP="005D6AA6">
      <w:pPr>
        <w:pStyle w:val="MDPI71References"/>
      </w:pPr>
      <w:r w:rsidRPr="00BB17A8">
        <w:t>MEEK, S., JACKSON, M., LEIBOVICI, D.G. A BPMN solution for chaining OGC services to quality assure location-based crowdsourced data. Computers &amp; Geosciences, 87, (2016), 76–83. doi:10.1016/j.cageo.2015.12.003</w:t>
      </w:r>
    </w:p>
    <w:p w14:paraId="5EFCAB27" w14:textId="6D5B0690" w:rsidR="005D6AA6" w:rsidRPr="00BB17A8" w:rsidRDefault="005D6AA6" w:rsidP="005D6AA6">
      <w:pPr>
        <w:pStyle w:val="MDPI71References"/>
      </w:pPr>
      <w:r w:rsidRPr="00BB17A8">
        <w:t>ROSSER, J., POURABDOLLLAH, A., BRACKIN, R., JACKSON, M.J., LEIBOVICI, D.G. Full Meta Objects for Flexible Geoprocessing Workflows: profiling WPS or BPMN? In 19th AGILE Conference, Helsinki, Finland, 14-17 June 2016, https://agile-online.org/index.php/conference/proceedings/proceedings-2016</w:t>
      </w:r>
    </w:p>
    <w:p w14:paraId="1E3EDB6D" w14:textId="7163000A" w:rsidR="005D6AA6" w:rsidRPr="00BB17A8" w:rsidRDefault="005D6AA6" w:rsidP="005D6AA6">
      <w:pPr>
        <w:pStyle w:val="MDPI71References"/>
      </w:pPr>
      <w:r w:rsidRPr="00BB17A8">
        <w:t>MEEK, S., GOULDING, J..AND PRIESTNALL, G. The Influence of Digital Surface Model Choice on Visibility-Based Mobile Geospatial Applications’. Transactions in GIS, 17 (4), (2013),</w:t>
      </w:r>
      <w:r w:rsidR="00A81FDC">
        <w:t xml:space="preserve"> </w:t>
      </w:r>
      <w:r w:rsidRPr="00BB17A8">
        <w:t>526–4.</w:t>
      </w:r>
    </w:p>
    <w:p w14:paraId="6C74996B" w14:textId="1EDC5E53" w:rsidR="005D6AA6" w:rsidRPr="00BB17A8" w:rsidRDefault="005D6AA6" w:rsidP="005D6AA6">
      <w:pPr>
        <w:pStyle w:val="MDPI71References"/>
      </w:pPr>
      <w:r w:rsidRPr="00BB17A8">
        <w:t>KIMOTHI, M.M. AND DASARI, A. Methodology to map the spread of an invasive plant (Lantana camara L.) in forest ecosystems using Indian remote sensing satellite data. INTERNATIONAL Journal of Remote Sensing, 31 (12), (2010), 3273-3289.</w:t>
      </w:r>
    </w:p>
    <w:p w14:paraId="502EA03F" w14:textId="071B643B" w:rsidR="005D6AA6" w:rsidRPr="00BB17A8" w:rsidRDefault="005D6AA6" w:rsidP="005D6AA6">
      <w:pPr>
        <w:pStyle w:val="MDPI71References"/>
      </w:pPr>
      <w:r w:rsidRPr="00BB17A8">
        <w:t>GROOM, Q.J., DESMET, P., VANDERHOEVEN, S. AND ADRIAENS, T. The importance of open data for invasive alien species research, policy and management. Management of Biological Invasions, 6 (2), (2015), 119–125</w:t>
      </w:r>
    </w:p>
    <w:p w14:paraId="1DC8AE37" w14:textId="2FA4F8ED" w:rsidR="00A81FDC" w:rsidRDefault="00A81FDC" w:rsidP="00A81FDC">
      <w:pPr>
        <w:pStyle w:val="MDPI71References"/>
        <w:rPr>
          <w:rStyle w:val="Hyperlink"/>
          <w:color w:val="000000"/>
          <w:u w:val="none"/>
        </w:rPr>
      </w:pPr>
      <w:r>
        <w:t>DODD</w:t>
      </w:r>
      <w:r w:rsidR="005D6AA6" w:rsidRPr="00BB17A8">
        <w:t xml:space="preserve">, M. iSPot data quality, metadata and visualisation. In 1st European Citizen Science Association conference, Berlin, Germany, 19-21 May 2016, </w:t>
      </w:r>
      <w:hyperlink r:id="rId18" w:history="1">
        <w:r w:rsidR="00B23E10" w:rsidRPr="00BB17A8">
          <w:rPr>
            <w:rStyle w:val="Hyperlink"/>
          </w:rPr>
          <w:t>http://www.ecsa2016.eu/</w:t>
        </w:r>
      </w:hyperlink>
    </w:p>
    <w:p w14:paraId="5081242D" w14:textId="718EF3EB" w:rsidR="00A81FDC" w:rsidRPr="00516244" w:rsidRDefault="00A81FDC" w:rsidP="00A81FDC">
      <w:pPr>
        <w:pStyle w:val="MDPI71References"/>
        <w:rPr>
          <w:rFonts w:eastAsia="SimSun" w:cs="Arial"/>
          <w:sz w:val="20"/>
          <w:lang w:eastAsia="en-GB"/>
        </w:rPr>
      </w:pPr>
      <w:r w:rsidRPr="00516244">
        <w:rPr>
          <w:rStyle w:val="s1"/>
          <w:bCs/>
          <w:iCs/>
        </w:rPr>
        <w:t>GRAINGER, A. Citizen Observatories and the New Earth Observation Science. Remote Sensing. 9 (2), (2017), 153.</w:t>
      </w:r>
    </w:p>
    <w:p w14:paraId="0249AFA0" w14:textId="77777777" w:rsidR="00B23E10" w:rsidRPr="00BB17A8" w:rsidRDefault="00B23E10" w:rsidP="00672E39">
      <w:pPr>
        <w:pStyle w:val="MDPI71References"/>
        <w:numPr>
          <w:ilvl w:val="0"/>
          <w:numId w:val="0"/>
        </w:numPr>
      </w:pPr>
      <w:bookmarkStart w:id="0" w:name="_GoBack"/>
      <w:bookmarkEnd w:id="0"/>
    </w:p>
    <w:p w14:paraId="5FE33FDA" w14:textId="77777777" w:rsidR="00242D61" w:rsidRPr="00BB17A8" w:rsidRDefault="00242D61" w:rsidP="00242D61">
      <w:pPr>
        <w:adjustRightInd w:val="0"/>
        <w:snapToGrid w:val="0"/>
        <w:spacing w:before="240" w:line="260" w:lineRule="atLeast"/>
        <w:rPr>
          <w:rFonts w:ascii="Palatino Linotype" w:eastAsiaTheme="minorEastAsia" w:hAnsi="Palatino Linotype"/>
          <w:sz w:val="18"/>
          <w:szCs w:val="18"/>
          <w:lang w:val="en-US"/>
        </w:rPr>
      </w:pPr>
      <w:bookmarkStart w:id="1" w:name="OLE_LINK3"/>
      <w:r w:rsidRPr="00BB17A8">
        <w:rPr>
          <w:rFonts w:ascii="Palatino Linotype" w:hAnsi="Palatino Linotype"/>
          <w:noProof/>
          <w:snapToGrid w:val="0"/>
          <w:sz w:val="18"/>
          <w:szCs w:val="18"/>
          <w:lang w:eastAsia="en-GB"/>
        </w:rPr>
        <w:drawing>
          <wp:anchor distT="0" distB="0" distL="114300" distR="114300" simplePos="0" relativeHeight="251659264" behindDoc="1" locked="0" layoutInCell="1" allowOverlap="1" wp14:anchorId="080111E0" wp14:editId="2C178063">
            <wp:simplePos x="0" y="0"/>
            <wp:positionH relativeFrom="margin">
              <wp:posOffset>1600</wp:posOffset>
            </wp:positionH>
            <wp:positionV relativeFrom="paragraph">
              <wp:posOffset>71516</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BB17A8">
        <w:rPr>
          <w:rFonts w:ascii="Palatino Linotype" w:hAnsi="Palatino Linotype"/>
          <w:snapToGrid w:val="0"/>
          <w:sz w:val="18"/>
          <w:szCs w:val="18"/>
          <w:lang w:val="en-US" w:bidi="en-US"/>
        </w:rPr>
        <w:t xml:space="preserve">© 2017 by the authors. Submitted for possible open access publication under the </w:t>
      </w:r>
      <w:r w:rsidRPr="00BB17A8">
        <w:rPr>
          <w:rFonts w:ascii="Palatino Linotype" w:hAnsi="Palatino Linotype"/>
          <w:snapToGrid w:val="0"/>
          <w:sz w:val="18"/>
          <w:szCs w:val="18"/>
          <w:lang w:val="en-US" w:bidi="en-US"/>
        </w:rPr>
        <w:br/>
        <w:t>terms and conditions of the Creative Commons Attribution (CC BY) license (http://creativecommons.org/licenses/by/4.0/).</w:t>
      </w:r>
      <w:bookmarkEnd w:id="1"/>
    </w:p>
    <w:p w14:paraId="2C1566EA" w14:textId="77777777" w:rsidR="00A01504" w:rsidRPr="00BB17A8" w:rsidRDefault="00A01504" w:rsidP="00242D61">
      <w:pPr>
        <w:adjustRightInd w:val="0"/>
        <w:snapToGrid w:val="0"/>
        <w:spacing w:before="240" w:line="260" w:lineRule="atLeast"/>
        <w:rPr>
          <w:rFonts w:eastAsiaTheme="minorEastAsia"/>
          <w:lang w:val="en-US"/>
        </w:rPr>
      </w:pPr>
    </w:p>
    <w:sectPr w:rsidR="00A01504" w:rsidRPr="00BB17A8" w:rsidSect="00EE50A7">
      <w:headerReference w:type="even" r:id="rId20"/>
      <w:headerReference w:type="default" r:id="rId21"/>
      <w:headerReference w:type="first" r:id="rId22"/>
      <w:footerReference w:type="first" r:id="rId23"/>
      <w:type w:val="continuous"/>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E6431" w14:textId="77777777" w:rsidR="0096585C" w:rsidRDefault="0096585C" w:rsidP="00C1340D">
      <w:r>
        <w:separator/>
      </w:r>
    </w:p>
  </w:endnote>
  <w:endnote w:type="continuationSeparator" w:id="0">
    <w:p w14:paraId="663B03E6" w14:textId="77777777" w:rsidR="0096585C" w:rsidRDefault="0096585C"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717389558"/>
      <w:docPartObj>
        <w:docPartGallery w:val="Page Numbers (Top of Page)"/>
        <w:docPartUnique/>
      </w:docPartObj>
    </w:sdtPr>
    <w:sdtEndPr>
      <w:rPr>
        <w:i w:val="0"/>
      </w:rPr>
    </w:sdtEndPr>
    <w:sdtContent>
      <w:p w14:paraId="6AB8F174" w14:textId="77777777" w:rsidR="00311B5E" w:rsidRPr="00B644F9" w:rsidRDefault="00311B5E" w:rsidP="00CD1173">
        <w:pPr>
          <w:pStyle w:val="MDPIfooterfirstpage"/>
          <w:rPr>
            <w:lang w:val="en-GB"/>
          </w:rPr>
        </w:pPr>
        <w:r>
          <w:rPr>
            <w:i/>
          </w:rPr>
          <w:t>Data</w:t>
        </w:r>
        <w:r>
          <w:t xml:space="preserve"> </w:t>
        </w:r>
        <w:r>
          <w:rPr>
            <w:b/>
          </w:rPr>
          <w:t>201</w:t>
        </w:r>
        <w:r>
          <w:rPr>
            <w:rFonts w:eastAsia="SimSun"/>
            <w:b/>
            <w:lang w:eastAsia="zh-CN"/>
          </w:rPr>
          <w:t>7</w:t>
        </w:r>
        <w:r w:rsidRPr="00B615DC">
          <w:t>,</w:t>
        </w:r>
        <w:r>
          <w:t xml:space="preserve"> </w:t>
        </w:r>
        <w:r>
          <w:rPr>
            <w:rFonts w:eastAsia="SimSun"/>
            <w:i/>
            <w:lang w:eastAsia="zh-CN"/>
          </w:rPr>
          <w:t>2</w:t>
        </w:r>
        <w:r w:rsidRPr="004127E0">
          <w:rPr>
            <w:rFonts w:eastAsia="SimSun"/>
            <w:lang w:eastAsia="zh-CN"/>
          </w:rPr>
          <w:t>,</w:t>
        </w:r>
        <w:r w:rsidRPr="00B644F9">
          <w:rPr>
            <w:lang w:val="en-GB"/>
          </w:rPr>
          <w:t xml:space="preserve"> x; doi:</w:t>
        </w:r>
        <w:r w:rsidRPr="002634DD">
          <w:t xml:space="preserve"> </w:t>
        </w:r>
        <w:r w:rsidRPr="00B644F9">
          <w:rPr>
            <w:lang w:val="en-GB"/>
          </w:rPr>
          <w:t xml:space="preserve">FOR PEER REVIEW </w:t>
        </w:r>
        <w:r w:rsidRPr="00B644F9">
          <w:rPr>
            <w:lang w:val="en-GB"/>
          </w:rPr>
          <w:tab/>
          <w:t>www.mdpi.com/journal/data</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FE47B" w14:textId="77777777" w:rsidR="0096585C" w:rsidRDefault="0096585C" w:rsidP="00C1340D">
      <w:r>
        <w:separator/>
      </w:r>
    </w:p>
  </w:footnote>
  <w:footnote w:type="continuationSeparator" w:id="0">
    <w:p w14:paraId="316007D6" w14:textId="77777777" w:rsidR="0096585C" w:rsidRDefault="0096585C" w:rsidP="00C1340D">
      <w:r>
        <w:continuationSeparator/>
      </w:r>
    </w:p>
  </w:footnote>
  <w:footnote w:id="1">
    <w:p w14:paraId="5B73AB2C" w14:textId="77777777" w:rsidR="00311B5E" w:rsidRPr="00DB6011" w:rsidRDefault="00311B5E" w:rsidP="00CB06EC">
      <w:pPr>
        <w:pStyle w:val="FootnoteText"/>
        <w:rPr>
          <w:rFonts w:ascii="Palatino Linotype" w:hAnsi="Palatino Linotype"/>
          <w:sz w:val="18"/>
          <w:lang w:val="fr-FR"/>
        </w:rPr>
      </w:pPr>
      <w:r w:rsidRPr="00DB6011">
        <w:rPr>
          <w:rStyle w:val="FootnoteReference"/>
          <w:rFonts w:ascii="Palatino Linotype" w:hAnsi="Palatino Linotype"/>
          <w:sz w:val="18"/>
        </w:rPr>
        <w:footnoteRef/>
      </w:r>
      <w:r w:rsidRPr="00DB6011">
        <w:rPr>
          <w:rFonts w:ascii="Palatino Linotype" w:hAnsi="Palatino Linotype"/>
          <w:sz w:val="18"/>
        </w:rPr>
        <w:t xml:space="preserve"> </w:t>
      </w:r>
      <w:hyperlink r:id="rId1" w:history="1">
        <w:r w:rsidRPr="00DB6011">
          <w:rPr>
            <w:rStyle w:val="Hyperlink"/>
            <w:rFonts w:ascii="Palatino Linotype" w:hAnsi="Palatino Linotype"/>
            <w:sz w:val="18"/>
            <w:lang w:val="fr-FR"/>
          </w:rPr>
          <w:t>www.geoviqua.org</w:t>
        </w:r>
      </w:hyperlink>
      <w:r w:rsidRPr="00DB6011">
        <w:rPr>
          <w:rFonts w:ascii="Palatino Linotype" w:hAnsi="Palatino Linotype"/>
          <w:sz w:val="18"/>
          <w:lang w:val="fr-FR"/>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EA953" w14:textId="77777777" w:rsidR="00311B5E" w:rsidRDefault="00311B5E" w:rsidP="00225F3F">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45E4D" w14:textId="77777777" w:rsidR="00311B5E" w:rsidRPr="00CA6E36" w:rsidRDefault="00311B5E" w:rsidP="00CD1173">
    <w:pPr>
      <w:adjustRightInd w:val="0"/>
      <w:snapToGrid w:val="0"/>
      <w:spacing w:after="240" w:line="240" w:lineRule="auto"/>
      <w:rPr>
        <w:rFonts w:ascii="Palatino Linotype" w:hAnsi="Palatino Linotype"/>
        <w:sz w:val="16"/>
      </w:rPr>
    </w:pPr>
    <w:r>
      <w:rPr>
        <w:rFonts w:ascii="Palatino Linotype" w:hAnsi="Palatino Linotype"/>
        <w:i/>
        <w:sz w:val="16"/>
      </w:rPr>
      <w:t xml:space="preserve">Data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2</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672E39">
      <w:rPr>
        <w:rFonts w:ascii="Palatino Linotype" w:hAnsi="Palatino Linotype"/>
        <w:noProof/>
        <w:sz w:val="16"/>
      </w:rPr>
      <w:t>22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672E39">
      <w:rPr>
        <w:rFonts w:ascii="Palatino Linotype" w:hAnsi="Palatino Linotype"/>
        <w:noProof/>
        <w:sz w:val="16"/>
      </w:rPr>
      <w:t>22</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667FF" w14:textId="77777777" w:rsidR="00311B5E" w:rsidRDefault="00311B5E" w:rsidP="00EA6423">
    <w:pPr>
      <w:pStyle w:val="MDPIheaderjournallogo"/>
    </w:pPr>
    <w:r w:rsidRPr="00D5387F">
      <w:rPr>
        <w:i w:val="0"/>
        <w:noProof/>
        <w:szCs w:val="16"/>
        <w:lang w:val="en-GB" w:eastAsia="en-GB"/>
      </w:rPr>
      <mc:AlternateContent>
        <mc:Choice Requires="wps">
          <w:drawing>
            <wp:anchor distT="45720" distB="45720" distL="114300" distR="114300" simplePos="0" relativeHeight="251659264" behindDoc="1" locked="0" layoutInCell="1" allowOverlap="1" wp14:anchorId="4CA05075" wp14:editId="3D3B6DEC">
              <wp:simplePos x="0" y="0"/>
              <wp:positionH relativeFrom="rightMargin">
                <wp:posOffset>-558165</wp:posOffset>
              </wp:positionH>
              <wp:positionV relativeFrom="paragraph">
                <wp:posOffset>0</wp:posOffset>
              </wp:positionV>
              <wp:extent cx="549275" cy="708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708660"/>
                      </a:xfrm>
                      <a:prstGeom prst="rect">
                        <a:avLst/>
                      </a:prstGeom>
                      <a:solidFill>
                        <a:srgbClr val="FFFFFF"/>
                      </a:solidFill>
                      <a:ln w="9525">
                        <a:noFill/>
                        <a:miter lim="800000"/>
                        <a:headEnd/>
                        <a:tailEnd/>
                      </a:ln>
                    </wps:spPr>
                    <wps:txbx>
                      <w:txbxContent>
                        <w:p w14:paraId="041371AF" w14:textId="77777777" w:rsidR="00311B5E" w:rsidRDefault="00311B5E" w:rsidP="00CB06EC">
                          <w:pPr>
                            <w:pStyle w:val="MDPIheaderjournallogo"/>
                            <w:jc w:val="center"/>
                            <w:rPr>
                              <w:i w:val="0"/>
                              <w:szCs w:val="16"/>
                            </w:rPr>
                          </w:pPr>
                          <w:r>
                            <w:rPr>
                              <w:noProof/>
                              <w:lang w:val="en-GB" w:eastAsia="en-GB"/>
                            </w:rPr>
                            <w:drawing>
                              <wp:inline distT="0" distB="0" distL="0" distR="0" wp14:anchorId="599370DD" wp14:editId="085DB4A4">
                                <wp:extent cx="540000" cy="352800"/>
                                <wp:effectExtent l="0" t="0" r="0" b="9525"/>
                                <wp:docPr id="10" name="Picture 10" descr="H:\documents\layout\new template June 2014\figures\MDPI logo black c2.wmf">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8" name="Picture 8" descr="H:\documents\layout\new template June 2014\figures\MDPI logo black c2.wmf"/>
                                        <pic:cNvPicPr/>
                                      </pic:nvPicPr>
                                      <pic:blipFill rotWithShape="1">
                                        <a:blip r:embed="rId2">
                                          <a:extLst>
                                            <a:ext uri="{28A0092B-C50C-407E-A947-70E740481C1C}">
                                              <a14:useLocalDpi xmlns:a14="http://schemas.microsoft.com/office/drawing/2010/main" val="0"/>
                                            </a:ext>
                                          </a:extLst>
                                        </a:blip>
                                        <a:srcRect l="1" r="5451"/>
                                        <a:stretch/>
                                      </pic:blipFill>
                                      <pic:spPr bwMode="auto">
                                        <a:xfrm>
                                          <a:off x="0" y="0"/>
                                          <a:ext cx="5400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05075" id="_x0000_t202" coordsize="21600,21600" o:spt="202" path="m0,0l0,21600,21600,21600,21600,0xe">
              <v:stroke joinstyle="miter"/>
              <v:path gradientshapeok="t" o:connecttype="rect"/>
            </v:shapetype>
            <v:shape id="Text Box 2" o:spid="_x0000_s1026" type="#_x0000_t202" style="position:absolute;margin-left:-43.95pt;margin-top:0;width:43.25pt;height:55.8pt;z-index:-251657216;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Hy1RUCAAAKBAAADgAAAGRycy9lMm9Eb2MueG1srFNRb9sgEH6ftP+AeF/sWEvSWiFVly7TpK6b&#10;1O4HYIxjNOAQ0NjZr9+Bk7Tq3qbxgA64+7j77rv1zWg0OUgfFFhG57OSEmkFtMruGf35tPtwRUmI&#10;3LZcg5WMHmWgN5v379aDq2UFPehWeoIgNtSDY7SP0dVFEUQvDQ8zcNLiYwfe8IhHvy9azwdEN7qo&#10;ynJZDOBb50HIEPD2bnqkm4zfdVLE710XZCSaUcwt5t3nvUl7sVnzeu+565U4pcH/IQvDlcVPL1B3&#10;PHLy7NVfUEYJDwG6OBNgCug6JWSuAauZl2+qeey5k7kWJCe4C03h/8GKh8MPT1TLaDVfUWK5wSY9&#10;yTGSTzCSKvEzuFCj26NDxzjiNfY51xrcPYhfgVjY9tzu5a33MPSSt5jfPEUWr0InnJBAmuEbtPgN&#10;f46QgcbOm0Qe0kEQHft0vPQmpSLwcvHxulotKBH4tCqvlsvcu4LX52DnQ/wiwZBkMOqx9RmcH+5D&#10;TMnw+uyS/gqgVbtTWueD3zdb7cmBo0x2eeX837hpSwZGrxfVIiNbSPFZQUZFlLFWhtGrMq1JWImM&#10;z7bNLpErPdmYibYndhIhEzVxbEZ0TJQ10B6RJw+TXHG80OjB/6ZkQKkyanGWKNFfLTKdVH02/Nlo&#10;zga3AgMZjZRM5jZm9aeqLdxiBzqV2Xn595QZCi6TdhqOpOjX5+z1MsKbPwAAAP//AwBQSwMEFAAG&#10;AAgAAAAhABW6n9/cAAAABwEAAA8AAABkcnMvZG93bnJldi54bWxMj8tOwzAQRfdI/IM1SOxSJ4i2&#10;IcSpUCUeYteSD3DjaRLhR2o7D/6eYUWXo3t075lytxjNJvShd1ZAtkqBoW2c6m0roP56TXJgIUqr&#10;pHYWBfxggF11e1PKQrnZHnA6xpZRiQ2FFNDFOBSch6ZDI8PKDWgpOztvZKTTt1x5OVO50fwhTTfc&#10;yN7SQicH3HfYfB9HI2AM51kf8ukT64/9un67bNfvFy/E/d3y8gws4hL/YfjTJ3WoyOnkRqsC0wKS&#10;fPtEqAD6iOIkewR2IizLNsCrkl/7V78AAAD//wMAUEsBAi0AFAAGAAgAAAAhAOSZw8D7AAAA4QEA&#10;ABMAAAAAAAAAAAAAAAAAAAAAAFtDb250ZW50X1R5cGVzXS54bWxQSwECLQAUAAYACAAAACEAI7Jq&#10;4dcAAACUAQAACwAAAAAAAAAAAAAAAAAsAQAAX3JlbHMvLnJlbHNQSwECLQAUAAYACAAAACEAuzHy&#10;1RUCAAAKBAAADgAAAAAAAAAAAAAAAAAsAgAAZHJzL2Uyb0RvYy54bWxQSwECLQAUAAYACAAAACEA&#10;Fbqf39wAAAAHAQAADwAAAAAAAAAAAAAAAABtBAAAZHJzL2Rvd25yZXYueG1sUEsFBgAAAAAEAAQA&#10;8wAAAHYFAAAAAA==&#10;" stroked="f">
              <v:textbox inset="0,0,0,0">
                <w:txbxContent>
                  <w:p w14:paraId="041371AF" w14:textId="77777777" w:rsidR="00311B5E" w:rsidRDefault="00311B5E" w:rsidP="00CB06EC">
                    <w:pPr>
                      <w:pStyle w:val="MDPIheaderjournallogo"/>
                      <w:jc w:val="center"/>
                      <w:rPr>
                        <w:i w:val="0"/>
                        <w:szCs w:val="16"/>
                      </w:rPr>
                    </w:pPr>
                    <w:r>
                      <w:rPr>
                        <w:noProof/>
                        <w:lang w:val="en-GB" w:eastAsia="en-GB"/>
                      </w:rPr>
                      <w:drawing>
                        <wp:inline distT="0" distB="0" distL="0" distR="0" wp14:anchorId="599370DD" wp14:editId="085DB4A4">
                          <wp:extent cx="540000" cy="352800"/>
                          <wp:effectExtent l="0" t="0" r="0" b="9525"/>
                          <wp:docPr id="10" name="Picture 10" descr="H:\documents\layout\new template June 2014\figures\MDPI logo black c2.wmf">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8" name="Picture 8" descr="H:\documents\layout\new template June 2014\figures\MDPI logo black c2.wmf"/>
                                  <pic:cNvPicPr/>
                                </pic:nvPicPr>
                                <pic:blipFill rotWithShape="1">
                                  <a:blip r:embed="rId2">
                                    <a:extLst>
                                      <a:ext uri="{28A0092B-C50C-407E-A947-70E740481C1C}">
                                        <a14:useLocalDpi xmlns:a14="http://schemas.microsoft.com/office/drawing/2010/main" val="0"/>
                                      </a:ext>
                                    </a:extLst>
                                  </a:blip>
                                  <a:srcRect l="1" r="5451"/>
                                  <a:stretch/>
                                </pic:blipFill>
                                <pic:spPr bwMode="auto">
                                  <a:xfrm>
                                    <a:off x="0" y="0"/>
                                    <a:ext cx="5400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i w:val="0"/>
        <w:noProof/>
        <w:lang w:val="en-GB" w:eastAsia="en-GB"/>
      </w:rPr>
      <w:drawing>
        <wp:inline distT="0" distB="0" distL="0" distR="0" wp14:anchorId="2BF4D346" wp14:editId="6A59E46B">
          <wp:extent cx="1062355" cy="433705"/>
          <wp:effectExtent l="0" t="0" r="4445" b="4445"/>
          <wp:docPr id="3" name="Picture 3" descr="C:\Users\home\AppData\Local\Temp\HZ$D.082.3289\dat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HZ$D.082.3289\date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2355" cy="43370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0A245F"/>
    <w:multiLevelType w:val="hybridMultilevel"/>
    <w:tmpl w:val="CDDE7DA0"/>
    <w:lvl w:ilvl="0" w:tplc="CCFA1270">
      <w:start w:val="1"/>
      <w:numFmt w:val="decimal"/>
      <w:pStyle w:val="MDPI71References"/>
      <w:lvlText w:val="%1."/>
      <w:lvlJc w:val="left"/>
      <w:pPr>
        <w:ind w:left="780" w:hanging="420"/>
      </w:pPr>
      <w:rPr>
        <w:rFonts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327441F7"/>
    <w:multiLevelType w:val="hybridMultilevel"/>
    <w:tmpl w:val="6DFCEE46"/>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nsid w:val="361033A0"/>
    <w:multiLevelType w:val="multilevel"/>
    <w:tmpl w:val="15BAC7E6"/>
    <w:lvl w:ilvl="0">
      <w:start w:val="1"/>
      <w:numFmt w:val="decimal"/>
      <w:lvlText w:val="%1."/>
      <w:lvlJc w:val="left"/>
      <w:pPr>
        <w:ind w:left="473" w:hanging="360"/>
      </w:pPr>
    </w:lvl>
    <w:lvl w:ilvl="1">
      <w:start w:val="1"/>
      <w:numFmt w:val="decimal"/>
      <w:isLgl/>
      <w:lvlText w:val="%1.%2"/>
      <w:lvlJc w:val="left"/>
      <w:pPr>
        <w:ind w:left="473"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833" w:hanging="72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193" w:hanging="108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7">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9">
    <w:nsid w:val="3C606740"/>
    <w:multiLevelType w:val="hybridMultilevel"/>
    <w:tmpl w:val="738AE92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nsid w:val="430B505B"/>
    <w:multiLevelType w:val="hybridMultilevel"/>
    <w:tmpl w:val="198A2508"/>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3DB6361"/>
    <w:multiLevelType w:val="hybridMultilevel"/>
    <w:tmpl w:val="503ED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754CE3"/>
    <w:multiLevelType w:val="multilevel"/>
    <w:tmpl w:val="CE9AA99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55C22993"/>
    <w:multiLevelType w:val="hybridMultilevel"/>
    <w:tmpl w:val="0304F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73C370A"/>
    <w:multiLevelType w:val="hybridMultilevel"/>
    <w:tmpl w:val="C73CBCF4"/>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7">
    <w:nsid w:val="6DB20A64"/>
    <w:multiLevelType w:val="hybridMultilevel"/>
    <w:tmpl w:val="8A4C0F88"/>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8">
    <w:nsid w:val="7DC13557"/>
    <w:multiLevelType w:val="hybridMultilevel"/>
    <w:tmpl w:val="CA0A8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0"/>
  </w:num>
  <w:num w:numId="5">
    <w:abstractNumId w:val="8"/>
  </w:num>
  <w:num w:numId="6">
    <w:abstractNumId w:val="17"/>
  </w:num>
  <w:num w:numId="7">
    <w:abstractNumId w:val="5"/>
  </w:num>
  <w:num w:numId="8">
    <w:abstractNumId w:val="1"/>
  </w:num>
  <w:num w:numId="9">
    <w:abstractNumId w:val="2"/>
  </w:num>
  <w:num w:numId="10">
    <w:abstractNumId w:val="13"/>
  </w:num>
  <w:num w:numId="11">
    <w:abstractNumId w:val="15"/>
  </w:num>
  <w:num w:numId="12">
    <w:abstractNumId w:val="16"/>
  </w:num>
  <w:num w:numId="13">
    <w:abstractNumId w:val="4"/>
  </w:num>
  <w:num w:numId="14">
    <w:abstractNumId w:val="7"/>
  </w:num>
  <w:num w:numId="15">
    <w:abstractNumId w:val="3"/>
  </w:num>
  <w:num w:numId="16">
    <w:abstractNumId w:val="3"/>
  </w:num>
  <w:num w:numId="17">
    <w:abstractNumId w:val="10"/>
  </w:num>
  <w:num w:numId="18">
    <w:abstractNumId w:val="10"/>
  </w:num>
  <w:num w:numId="19">
    <w:abstractNumId w:val="16"/>
  </w:num>
  <w:num w:numId="20">
    <w:abstractNumId w:val="17"/>
  </w:num>
  <w:num w:numId="21">
    <w:abstractNumId w:val="4"/>
  </w:num>
  <w:num w:numId="22">
    <w:abstractNumId w:val="7"/>
  </w:num>
  <w:num w:numId="23">
    <w:abstractNumId w:val="3"/>
  </w:num>
  <w:num w:numId="24">
    <w:abstractNumId w:val="3"/>
  </w:num>
  <w:num w:numId="25">
    <w:abstractNumId w:val="4"/>
  </w:num>
  <w:num w:numId="26">
    <w:abstractNumId w:val="7"/>
  </w:num>
  <w:num w:numId="27">
    <w:abstractNumId w:val="3"/>
  </w:num>
  <w:num w:numId="28">
    <w:abstractNumId w:val="4"/>
  </w:num>
  <w:num w:numId="29">
    <w:abstractNumId w:val="7"/>
  </w:num>
  <w:num w:numId="30">
    <w:abstractNumId w:val="4"/>
  </w:num>
  <w:num w:numId="31">
    <w:abstractNumId w:val="7"/>
  </w:num>
  <w:num w:numId="32">
    <w:abstractNumId w:val="3"/>
  </w:num>
  <w:num w:numId="33">
    <w:abstractNumId w:val="3"/>
  </w:num>
  <w:num w:numId="34">
    <w:abstractNumId w:val="16"/>
  </w:num>
  <w:num w:numId="35">
    <w:abstractNumId w:val="17"/>
  </w:num>
  <w:num w:numId="36">
    <w:abstractNumId w:val="10"/>
  </w:num>
  <w:num w:numId="37">
    <w:abstractNumId w:val="16"/>
  </w:num>
  <w:num w:numId="38">
    <w:abstractNumId w:val="17"/>
  </w:num>
  <w:num w:numId="39">
    <w:abstractNumId w:val="10"/>
  </w:num>
  <w:num w:numId="40">
    <w:abstractNumId w:val="6"/>
  </w:num>
  <w:num w:numId="41">
    <w:abstractNumId w:val="11"/>
  </w:num>
  <w:num w:numId="42">
    <w:abstractNumId w:val="18"/>
  </w:num>
  <w:num w:numId="43">
    <w:abstractNumId w:val="12"/>
  </w:num>
  <w:num w:numId="44">
    <w:abstractNumId w:val="1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8"/>
  <w:bordersDoNotSurroundHeader/>
  <w:bordersDoNotSurroundFooter/>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C4"/>
    <w:rsid w:val="00000637"/>
    <w:rsid w:val="000006F8"/>
    <w:rsid w:val="00000BC1"/>
    <w:rsid w:val="000046B6"/>
    <w:rsid w:val="00004BA7"/>
    <w:rsid w:val="00005FC2"/>
    <w:rsid w:val="00011BC3"/>
    <w:rsid w:val="0001283B"/>
    <w:rsid w:val="00020203"/>
    <w:rsid w:val="0002090C"/>
    <w:rsid w:val="000210E3"/>
    <w:rsid w:val="00024621"/>
    <w:rsid w:val="0002467B"/>
    <w:rsid w:val="00025C56"/>
    <w:rsid w:val="00027EEE"/>
    <w:rsid w:val="000319B8"/>
    <w:rsid w:val="00031D77"/>
    <w:rsid w:val="0003351A"/>
    <w:rsid w:val="00034840"/>
    <w:rsid w:val="00034BF8"/>
    <w:rsid w:val="000361F7"/>
    <w:rsid w:val="00037F00"/>
    <w:rsid w:val="00041A10"/>
    <w:rsid w:val="0004245C"/>
    <w:rsid w:val="00042C12"/>
    <w:rsid w:val="000439F3"/>
    <w:rsid w:val="00043F91"/>
    <w:rsid w:val="00044417"/>
    <w:rsid w:val="0004473F"/>
    <w:rsid w:val="00045898"/>
    <w:rsid w:val="00046936"/>
    <w:rsid w:val="00050716"/>
    <w:rsid w:val="00050C65"/>
    <w:rsid w:val="00051967"/>
    <w:rsid w:val="000520E3"/>
    <w:rsid w:val="000551E0"/>
    <w:rsid w:val="000562B9"/>
    <w:rsid w:val="00056DBB"/>
    <w:rsid w:val="000578BD"/>
    <w:rsid w:val="00057C0A"/>
    <w:rsid w:val="000602E4"/>
    <w:rsid w:val="000605CD"/>
    <w:rsid w:val="00062F7F"/>
    <w:rsid w:val="0006467F"/>
    <w:rsid w:val="00070DCD"/>
    <w:rsid w:val="00071B2C"/>
    <w:rsid w:val="00071D03"/>
    <w:rsid w:val="00073BD9"/>
    <w:rsid w:val="00077A9D"/>
    <w:rsid w:val="00082D78"/>
    <w:rsid w:val="000833FA"/>
    <w:rsid w:val="000848F9"/>
    <w:rsid w:val="00086A75"/>
    <w:rsid w:val="00094176"/>
    <w:rsid w:val="000968C2"/>
    <w:rsid w:val="000A0E49"/>
    <w:rsid w:val="000A0F29"/>
    <w:rsid w:val="000A154A"/>
    <w:rsid w:val="000A3155"/>
    <w:rsid w:val="000A3E9E"/>
    <w:rsid w:val="000A411D"/>
    <w:rsid w:val="000A45A9"/>
    <w:rsid w:val="000A5FAE"/>
    <w:rsid w:val="000A78A9"/>
    <w:rsid w:val="000B05D0"/>
    <w:rsid w:val="000B38AC"/>
    <w:rsid w:val="000B529D"/>
    <w:rsid w:val="000B5482"/>
    <w:rsid w:val="000B7EF6"/>
    <w:rsid w:val="000C18A3"/>
    <w:rsid w:val="000C299D"/>
    <w:rsid w:val="000C49C3"/>
    <w:rsid w:val="000C4A82"/>
    <w:rsid w:val="000C4B5D"/>
    <w:rsid w:val="000C4FB6"/>
    <w:rsid w:val="000D0874"/>
    <w:rsid w:val="000D093A"/>
    <w:rsid w:val="000D1367"/>
    <w:rsid w:val="000D166F"/>
    <w:rsid w:val="000D2842"/>
    <w:rsid w:val="000D2F06"/>
    <w:rsid w:val="000D3CFF"/>
    <w:rsid w:val="000D5554"/>
    <w:rsid w:val="000D5F49"/>
    <w:rsid w:val="000E08FD"/>
    <w:rsid w:val="000E260F"/>
    <w:rsid w:val="000E35FE"/>
    <w:rsid w:val="000E37D1"/>
    <w:rsid w:val="000E7A5D"/>
    <w:rsid w:val="000F0E85"/>
    <w:rsid w:val="000F0F9F"/>
    <w:rsid w:val="000F4E0E"/>
    <w:rsid w:val="00100FE2"/>
    <w:rsid w:val="00102D38"/>
    <w:rsid w:val="00103634"/>
    <w:rsid w:val="001128F6"/>
    <w:rsid w:val="001170CF"/>
    <w:rsid w:val="0011779E"/>
    <w:rsid w:val="0012125D"/>
    <w:rsid w:val="00124285"/>
    <w:rsid w:val="0012462F"/>
    <w:rsid w:val="001268A0"/>
    <w:rsid w:val="00127B58"/>
    <w:rsid w:val="00130F88"/>
    <w:rsid w:val="00131F3D"/>
    <w:rsid w:val="00134780"/>
    <w:rsid w:val="001352B6"/>
    <w:rsid w:val="001355A6"/>
    <w:rsid w:val="00135C14"/>
    <w:rsid w:val="00140A39"/>
    <w:rsid w:val="0014158B"/>
    <w:rsid w:val="00143181"/>
    <w:rsid w:val="00144660"/>
    <w:rsid w:val="00144DC5"/>
    <w:rsid w:val="00144E54"/>
    <w:rsid w:val="00145F5A"/>
    <w:rsid w:val="00146489"/>
    <w:rsid w:val="0014657D"/>
    <w:rsid w:val="00150342"/>
    <w:rsid w:val="00151E48"/>
    <w:rsid w:val="00152F85"/>
    <w:rsid w:val="00155401"/>
    <w:rsid w:val="00156006"/>
    <w:rsid w:val="00160C50"/>
    <w:rsid w:val="00160DAA"/>
    <w:rsid w:val="0016263E"/>
    <w:rsid w:val="00162990"/>
    <w:rsid w:val="001632F9"/>
    <w:rsid w:val="00163372"/>
    <w:rsid w:val="00165A01"/>
    <w:rsid w:val="001665A2"/>
    <w:rsid w:val="0016702F"/>
    <w:rsid w:val="00171BF8"/>
    <w:rsid w:val="001732EE"/>
    <w:rsid w:val="001739FB"/>
    <w:rsid w:val="00173FC0"/>
    <w:rsid w:val="001763AE"/>
    <w:rsid w:val="00176BBA"/>
    <w:rsid w:val="00176DC5"/>
    <w:rsid w:val="00176E73"/>
    <w:rsid w:val="0017709E"/>
    <w:rsid w:val="001812DE"/>
    <w:rsid w:val="001821D2"/>
    <w:rsid w:val="00184B65"/>
    <w:rsid w:val="00184ECF"/>
    <w:rsid w:val="001854A7"/>
    <w:rsid w:val="00192141"/>
    <w:rsid w:val="00192514"/>
    <w:rsid w:val="001929BE"/>
    <w:rsid w:val="00193130"/>
    <w:rsid w:val="00193255"/>
    <w:rsid w:val="00193EBD"/>
    <w:rsid w:val="00194DCB"/>
    <w:rsid w:val="001A0D5B"/>
    <w:rsid w:val="001A103B"/>
    <w:rsid w:val="001A1C56"/>
    <w:rsid w:val="001A3926"/>
    <w:rsid w:val="001A3D1C"/>
    <w:rsid w:val="001A405A"/>
    <w:rsid w:val="001A4A0E"/>
    <w:rsid w:val="001A7D08"/>
    <w:rsid w:val="001B09F9"/>
    <w:rsid w:val="001B22D3"/>
    <w:rsid w:val="001B2E32"/>
    <w:rsid w:val="001B396D"/>
    <w:rsid w:val="001B3A0F"/>
    <w:rsid w:val="001B446E"/>
    <w:rsid w:val="001C0136"/>
    <w:rsid w:val="001C066E"/>
    <w:rsid w:val="001C2A2E"/>
    <w:rsid w:val="001C3B86"/>
    <w:rsid w:val="001C6374"/>
    <w:rsid w:val="001C784C"/>
    <w:rsid w:val="001D0A2E"/>
    <w:rsid w:val="001D0BD8"/>
    <w:rsid w:val="001D3DFF"/>
    <w:rsid w:val="001D4C88"/>
    <w:rsid w:val="001D4CBF"/>
    <w:rsid w:val="001D5C83"/>
    <w:rsid w:val="001D5CB0"/>
    <w:rsid w:val="001D65FD"/>
    <w:rsid w:val="001D7118"/>
    <w:rsid w:val="001D7351"/>
    <w:rsid w:val="001E0492"/>
    <w:rsid w:val="001E0BFA"/>
    <w:rsid w:val="001E26BA"/>
    <w:rsid w:val="001E2B19"/>
    <w:rsid w:val="001E3DBC"/>
    <w:rsid w:val="001E6A56"/>
    <w:rsid w:val="001F2913"/>
    <w:rsid w:val="001F45A9"/>
    <w:rsid w:val="001F48B5"/>
    <w:rsid w:val="001F55DC"/>
    <w:rsid w:val="001F5610"/>
    <w:rsid w:val="001F5A4A"/>
    <w:rsid w:val="00200C01"/>
    <w:rsid w:val="0020147D"/>
    <w:rsid w:val="002021CF"/>
    <w:rsid w:val="002026F5"/>
    <w:rsid w:val="00202719"/>
    <w:rsid w:val="00202FF9"/>
    <w:rsid w:val="00206B4D"/>
    <w:rsid w:val="0021202D"/>
    <w:rsid w:val="00214190"/>
    <w:rsid w:val="00216FA9"/>
    <w:rsid w:val="00220209"/>
    <w:rsid w:val="002215CA"/>
    <w:rsid w:val="002220D5"/>
    <w:rsid w:val="00223A64"/>
    <w:rsid w:val="00225217"/>
    <w:rsid w:val="002253CE"/>
    <w:rsid w:val="00225C9E"/>
    <w:rsid w:val="00225F3F"/>
    <w:rsid w:val="00226AB1"/>
    <w:rsid w:val="0023270E"/>
    <w:rsid w:val="00232EFD"/>
    <w:rsid w:val="00233618"/>
    <w:rsid w:val="00234505"/>
    <w:rsid w:val="00235077"/>
    <w:rsid w:val="00235973"/>
    <w:rsid w:val="002366B9"/>
    <w:rsid w:val="00236969"/>
    <w:rsid w:val="00236C0D"/>
    <w:rsid w:val="00236D35"/>
    <w:rsid w:val="00236F94"/>
    <w:rsid w:val="00237EDD"/>
    <w:rsid w:val="0024084D"/>
    <w:rsid w:val="00240C8C"/>
    <w:rsid w:val="00241C14"/>
    <w:rsid w:val="00242D61"/>
    <w:rsid w:val="002434C9"/>
    <w:rsid w:val="00246CE0"/>
    <w:rsid w:val="00246E79"/>
    <w:rsid w:val="00250791"/>
    <w:rsid w:val="0025127B"/>
    <w:rsid w:val="00251811"/>
    <w:rsid w:val="00251B24"/>
    <w:rsid w:val="0025232D"/>
    <w:rsid w:val="00252515"/>
    <w:rsid w:val="0025259B"/>
    <w:rsid w:val="00252BD9"/>
    <w:rsid w:val="00253193"/>
    <w:rsid w:val="00255B5C"/>
    <w:rsid w:val="00257403"/>
    <w:rsid w:val="0025777F"/>
    <w:rsid w:val="00257E96"/>
    <w:rsid w:val="00261B77"/>
    <w:rsid w:val="00262690"/>
    <w:rsid w:val="00263890"/>
    <w:rsid w:val="0026479E"/>
    <w:rsid w:val="002665A2"/>
    <w:rsid w:val="00271978"/>
    <w:rsid w:val="00271F67"/>
    <w:rsid w:val="00272574"/>
    <w:rsid w:val="00273440"/>
    <w:rsid w:val="00274905"/>
    <w:rsid w:val="0027513B"/>
    <w:rsid w:val="0027593D"/>
    <w:rsid w:val="00275F7E"/>
    <w:rsid w:val="00276B71"/>
    <w:rsid w:val="00276E47"/>
    <w:rsid w:val="0027713B"/>
    <w:rsid w:val="002813F6"/>
    <w:rsid w:val="002816A3"/>
    <w:rsid w:val="002858AB"/>
    <w:rsid w:val="00285954"/>
    <w:rsid w:val="0028727D"/>
    <w:rsid w:val="00290625"/>
    <w:rsid w:val="00290682"/>
    <w:rsid w:val="002915B6"/>
    <w:rsid w:val="0029287A"/>
    <w:rsid w:val="00294C2F"/>
    <w:rsid w:val="0029628E"/>
    <w:rsid w:val="00296EB7"/>
    <w:rsid w:val="002A31E4"/>
    <w:rsid w:val="002A66E9"/>
    <w:rsid w:val="002B0BCA"/>
    <w:rsid w:val="002B37F5"/>
    <w:rsid w:val="002B4981"/>
    <w:rsid w:val="002B5FB9"/>
    <w:rsid w:val="002B75A2"/>
    <w:rsid w:val="002B7893"/>
    <w:rsid w:val="002B7F24"/>
    <w:rsid w:val="002C09C3"/>
    <w:rsid w:val="002C0E6A"/>
    <w:rsid w:val="002C1757"/>
    <w:rsid w:val="002C28DD"/>
    <w:rsid w:val="002C300A"/>
    <w:rsid w:val="002C5045"/>
    <w:rsid w:val="002C6C5F"/>
    <w:rsid w:val="002C7423"/>
    <w:rsid w:val="002C7CEB"/>
    <w:rsid w:val="002D0834"/>
    <w:rsid w:val="002D2055"/>
    <w:rsid w:val="002D443C"/>
    <w:rsid w:val="002D476D"/>
    <w:rsid w:val="002D4F9D"/>
    <w:rsid w:val="002D7EB2"/>
    <w:rsid w:val="002E0B8D"/>
    <w:rsid w:val="002E11AF"/>
    <w:rsid w:val="002E136F"/>
    <w:rsid w:val="002E1F9C"/>
    <w:rsid w:val="002E2696"/>
    <w:rsid w:val="002E4290"/>
    <w:rsid w:val="002E45FF"/>
    <w:rsid w:val="002E4AE9"/>
    <w:rsid w:val="002E59FA"/>
    <w:rsid w:val="002E699F"/>
    <w:rsid w:val="002E7E6C"/>
    <w:rsid w:val="002F0022"/>
    <w:rsid w:val="002F1F90"/>
    <w:rsid w:val="002F30E0"/>
    <w:rsid w:val="002F3A40"/>
    <w:rsid w:val="002F526A"/>
    <w:rsid w:val="002F6006"/>
    <w:rsid w:val="002F667B"/>
    <w:rsid w:val="002F6728"/>
    <w:rsid w:val="002F6FC8"/>
    <w:rsid w:val="00300F39"/>
    <w:rsid w:val="003010F2"/>
    <w:rsid w:val="0030282D"/>
    <w:rsid w:val="0030286C"/>
    <w:rsid w:val="0030313C"/>
    <w:rsid w:val="0030379B"/>
    <w:rsid w:val="0030389A"/>
    <w:rsid w:val="00303A36"/>
    <w:rsid w:val="003053D7"/>
    <w:rsid w:val="00305668"/>
    <w:rsid w:val="003066AC"/>
    <w:rsid w:val="00306771"/>
    <w:rsid w:val="0030792C"/>
    <w:rsid w:val="00307DAD"/>
    <w:rsid w:val="00311B5E"/>
    <w:rsid w:val="00312F5B"/>
    <w:rsid w:val="0031308C"/>
    <w:rsid w:val="0031392A"/>
    <w:rsid w:val="00313E66"/>
    <w:rsid w:val="003144C4"/>
    <w:rsid w:val="003163CE"/>
    <w:rsid w:val="003167AC"/>
    <w:rsid w:val="0032250E"/>
    <w:rsid w:val="00322580"/>
    <w:rsid w:val="003229FD"/>
    <w:rsid w:val="00322CC0"/>
    <w:rsid w:val="003246E2"/>
    <w:rsid w:val="003248A3"/>
    <w:rsid w:val="0032589B"/>
    <w:rsid w:val="003260DD"/>
    <w:rsid w:val="00326D44"/>
    <w:rsid w:val="00330E51"/>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2CC"/>
    <w:rsid w:val="0035469E"/>
    <w:rsid w:val="0035521D"/>
    <w:rsid w:val="00357207"/>
    <w:rsid w:val="00361EAC"/>
    <w:rsid w:val="00363D81"/>
    <w:rsid w:val="00367166"/>
    <w:rsid w:val="00367343"/>
    <w:rsid w:val="003675B2"/>
    <w:rsid w:val="00367C05"/>
    <w:rsid w:val="00370569"/>
    <w:rsid w:val="003709EC"/>
    <w:rsid w:val="0037344B"/>
    <w:rsid w:val="00373D16"/>
    <w:rsid w:val="00373F32"/>
    <w:rsid w:val="00374898"/>
    <w:rsid w:val="003762DB"/>
    <w:rsid w:val="00376FA1"/>
    <w:rsid w:val="00381C2D"/>
    <w:rsid w:val="00381D89"/>
    <w:rsid w:val="00381FC4"/>
    <w:rsid w:val="003835CE"/>
    <w:rsid w:val="003855CF"/>
    <w:rsid w:val="003902E6"/>
    <w:rsid w:val="00391035"/>
    <w:rsid w:val="003911F6"/>
    <w:rsid w:val="00391F71"/>
    <w:rsid w:val="0039280C"/>
    <w:rsid w:val="00393724"/>
    <w:rsid w:val="003938E0"/>
    <w:rsid w:val="00394742"/>
    <w:rsid w:val="003A0FDD"/>
    <w:rsid w:val="003A116E"/>
    <w:rsid w:val="003A1FCC"/>
    <w:rsid w:val="003A2168"/>
    <w:rsid w:val="003A3CA2"/>
    <w:rsid w:val="003A3F7E"/>
    <w:rsid w:val="003A445F"/>
    <w:rsid w:val="003A4FD3"/>
    <w:rsid w:val="003A61AA"/>
    <w:rsid w:val="003B2A22"/>
    <w:rsid w:val="003B3A7C"/>
    <w:rsid w:val="003B4E63"/>
    <w:rsid w:val="003B51BD"/>
    <w:rsid w:val="003B559A"/>
    <w:rsid w:val="003B65E3"/>
    <w:rsid w:val="003C014C"/>
    <w:rsid w:val="003C0A0C"/>
    <w:rsid w:val="003C179C"/>
    <w:rsid w:val="003C245C"/>
    <w:rsid w:val="003C2C26"/>
    <w:rsid w:val="003C4A20"/>
    <w:rsid w:val="003C4AAF"/>
    <w:rsid w:val="003C7C01"/>
    <w:rsid w:val="003D00C2"/>
    <w:rsid w:val="003D1BCF"/>
    <w:rsid w:val="003D2888"/>
    <w:rsid w:val="003D2BC8"/>
    <w:rsid w:val="003D6836"/>
    <w:rsid w:val="003D6DF8"/>
    <w:rsid w:val="003D740F"/>
    <w:rsid w:val="003E08EB"/>
    <w:rsid w:val="003E0C56"/>
    <w:rsid w:val="003E14E1"/>
    <w:rsid w:val="003E2B81"/>
    <w:rsid w:val="003E2E3F"/>
    <w:rsid w:val="003E3C5B"/>
    <w:rsid w:val="003E4A2F"/>
    <w:rsid w:val="003E4E9F"/>
    <w:rsid w:val="003E5F91"/>
    <w:rsid w:val="003E68A1"/>
    <w:rsid w:val="003F0471"/>
    <w:rsid w:val="003F21C8"/>
    <w:rsid w:val="003F2876"/>
    <w:rsid w:val="003F35A6"/>
    <w:rsid w:val="003F3680"/>
    <w:rsid w:val="003F368E"/>
    <w:rsid w:val="003F3A64"/>
    <w:rsid w:val="003F4AE6"/>
    <w:rsid w:val="003F6004"/>
    <w:rsid w:val="003F6831"/>
    <w:rsid w:val="003F693E"/>
    <w:rsid w:val="00401EA0"/>
    <w:rsid w:val="004023CF"/>
    <w:rsid w:val="004031F6"/>
    <w:rsid w:val="00406384"/>
    <w:rsid w:val="0040655F"/>
    <w:rsid w:val="004071E1"/>
    <w:rsid w:val="00407752"/>
    <w:rsid w:val="00407FC2"/>
    <w:rsid w:val="00411667"/>
    <w:rsid w:val="004123C0"/>
    <w:rsid w:val="00412F36"/>
    <w:rsid w:val="00412FD3"/>
    <w:rsid w:val="004137AF"/>
    <w:rsid w:val="00415FB0"/>
    <w:rsid w:val="00416645"/>
    <w:rsid w:val="00417A0D"/>
    <w:rsid w:val="00423429"/>
    <w:rsid w:val="00424882"/>
    <w:rsid w:val="00424B75"/>
    <w:rsid w:val="00425AEA"/>
    <w:rsid w:val="0042627E"/>
    <w:rsid w:val="004262FE"/>
    <w:rsid w:val="00427902"/>
    <w:rsid w:val="004279F2"/>
    <w:rsid w:val="0043115A"/>
    <w:rsid w:val="00432800"/>
    <w:rsid w:val="004336BE"/>
    <w:rsid w:val="00433837"/>
    <w:rsid w:val="00434423"/>
    <w:rsid w:val="0043577D"/>
    <w:rsid w:val="00436BA8"/>
    <w:rsid w:val="00436C59"/>
    <w:rsid w:val="0043748F"/>
    <w:rsid w:val="004378B1"/>
    <w:rsid w:val="0044006E"/>
    <w:rsid w:val="00441209"/>
    <w:rsid w:val="00441AF9"/>
    <w:rsid w:val="00441FA3"/>
    <w:rsid w:val="004427FD"/>
    <w:rsid w:val="00442CB5"/>
    <w:rsid w:val="00445A36"/>
    <w:rsid w:val="004466AA"/>
    <w:rsid w:val="00446CA3"/>
    <w:rsid w:val="0045011E"/>
    <w:rsid w:val="004501E1"/>
    <w:rsid w:val="0045101B"/>
    <w:rsid w:val="004514FA"/>
    <w:rsid w:val="004539D4"/>
    <w:rsid w:val="00453CFB"/>
    <w:rsid w:val="0045405C"/>
    <w:rsid w:val="00455021"/>
    <w:rsid w:val="004552F8"/>
    <w:rsid w:val="00456BA6"/>
    <w:rsid w:val="00461413"/>
    <w:rsid w:val="004614D9"/>
    <w:rsid w:val="00461DA2"/>
    <w:rsid w:val="00461EA9"/>
    <w:rsid w:val="00462789"/>
    <w:rsid w:val="00462B45"/>
    <w:rsid w:val="00462F89"/>
    <w:rsid w:val="00467F33"/>
    <w:rsid w:val="00471859"/>
    <w:rsid w:val="00475043"/>
    <w:rsid w:val="00475F95"/>
    <w:rsid w:val="00476172"/>
    <w:rsid w:val="004771C1"/>
    <w:rsid w:val="00477487"/>
    <w:rsid w:val="0048098C"/>
    <w:rsid w:val="00480BAE"/>
    <w:rsid w:val="00481ADA"/>
    <w:rsid w:val="00483436"/>
    <w:rsid w:val="00484615"/>
    <w:rsid w:val="004869B2"/>
    <w:rsid w:val="00492418"/>
    <w:rsid w:val="00492DD6"/>
    <w:rsid w:val="004938FB"/>
    <w:rsid w:val="00495D8B"/>
    <w:rsid w:val="004971EB"/>
    <w:rsid w:val="004975CF"/>
    <w:rsid w:val="004A3672"/>
    <w:rsid w:val="004A3D67"/>
    <w:rsid w:val="004A3EEB"/>
    <w:rsid w:val="004A44AE"/>
    <w:rsid w:val="004A485C"/>
    <w:rsid w:val="004A6E3D"/>
    <w:rsid w:val="004A7C02"/>
    <w:rsid w:val="004B1516"/>
    <w:rsid w:val="004B1A87"/>
    <w:rsid w:val="004B2827"/>
    <w:rsid w:val="004B5BA6"/>
    <w:rsid w:val="004B637A"/>
    <w:rsid w:val="004B664F"/>
    <w:rsid w:val="004C16C9"/>
    <w:rsid w:val="004C1961"/>
    <w:rsid w:val="004C1A82"/>
    <w:rsid w:val="004C1AB7"/>
    <w:rsid w:val="004C1B70"/>
    <w:rsid w:val="004C3D4B"/>
    <w:rsid w:val="004C3EBE"/>
    <w:rsid w:val="004C6EE2"/>
    <w:rsid w:val="004C71C5"/>
    <w:rsid w:val="004D0408"/>
    <w:rsid w:val="004D3D30"/>
    <w:rsid w:val="004D464D"/>
    <w:rsid w:val="004D50E0"/>
    <w:rsid w:val="004D6828"/>
    <w:rsid w:val="004D6AA3"/>
    <w:rsid w:val="004E16F5"/>
    <w:rsid w:val="004E6D88"/>
    <w:rsid w:val="004E70CE"/>
    <w:rsid w:val="004F1511"/>
    <w:rsid w:val="004F407E"/>
    <w:rsid w:val="004F41A3"/>
    <w:rsid w:val="004F5F93"/>
    <w:rsid w:val="004F7B5B"/>
    <w:rsid w:val="00501F57"/>
    <w:rsid w:val="005030B6"/>
    <w:rsid w:val="005030FB"/>
    <w:rsid w:val="005051AE"/>
    <w:rsid w:val="00505235"/>
    <w:rsid w:val="005052F4"/>
    <w:rsid w:val="005055B1"/>
    <w:rsid w:val="0050609E"/>
    <w:rsid w:val="00514D19"/>
    <w:rsid w:val="00516244"/>
    <w:rsid w:val="00516FD5"/>
    <w:rsid w:val="005173DA"/>
    <w:rsid w:val="00520C33"/>
    <w:rsid w:val="00520E5B"/>
    <w:rsid w:val="00523C06"/>
    <w:rsid w:val="00524F16"/>
    <w:rsid w:val="00525CC6"/>
    <w:rsid w:val="00525F3A"/>
    <w:rsid w:val="00527BF5"/>
    <w:rsid w:val="00532B9C"/>
    <w:rsid w:val="005332DD"/>
    <w:rsid w:val="00533883"/>
    <w:rsid w:val="00534135"/>
    <w:rsid w:val="00534E81"/>
    <w:rsid w:val="005400CD"/>
    <w:rsid w:val="00541DC6"/>
    <w:rsid w:val="00546A9B"/>
    <w:rsid w:val="005477D0"/>
    <w:rsid w:val="00547A73"/>
    <w:rsid w:val="00550577"/>
    <w:rsid w:val="00550622"/>
    <w:rsid w:val="005518BE"/>
    <w:rsid w:val="005519F1"/>
    <w:rsid w:val="00551DB6"/>
    <w:rsid w:val="00552FB1"/>
    <w:rsid w:val="00554334"/>
    <w:rsid w:val="00554D7C"/>
    <w:rsid w:val="005569C6"/>
    <w:rsid w:val="00556BA0"/>
    <w:rsid w:val="00556FA7"/>
    <w:rsid w:val="005574FA"/>
    <w:rsid w:val="005575EC"/>
    <w:rsid w:val="005579F5"/>
    <w:rsid w:val="0056451B"/>
    <w:rsid w:val="00565398"/>
    <w:rsid w:val="00565963"/>
    <w:rsid w:val="005665B7"/>
    <w:rsid w:val="0056676E"/>
    <w:rsid w:val="00566825"/>
    <w:rsid w:val="00566C4A"/>
    <w:rsid w:val="0056718A"/>
    <w:rsid w:val="00567455"/>
    <w:rsid w:val="005676C7"/>
    <w:rsid w:val="00570518"/>
    <w:rsid w:val="00571422"/>
    <w:rsid w:val="00574B63"/>
    <w:rsid w:val="005774B4"/>
    <w:rsid w:val="00580739"/>
    <w:rsid w:val="00586587"/>
    <w:rsid w:val="005866B2"/>
    <w:rsid w:val="005879FB"/>
    <w:rsid w:val="00591118"/>
    <w:rsid w:val="00592174"/>
    <w:rsid w:val="00595C8E"/>
    <w:rsid w:val="005961BB"/>
    <w:rsid w:val="005967E7"/>
    <w:rsid w:val="0059706B"/>
    <w:rsid w:val="0059738E"/>
    <w:rsid w:val="005A1A79"/>
    <w:rsid w:val="005A42BD"/>
    <w:rsid w:val="005A6846"/>
    <w:rsid w:val="005A791C"/>
    <w:rsid w:val="005B372B"/>
    <w:rsid w:val="005C001C"/>
    <w:rsid w:val="005C1093"/>
    <w:rsid w:val="005C1579"/>
    <w:rsid w:val="005C1C6F"/>
    <w:rsid w:val="005C2A6C"/>
    <w:rsid w:val="005C5730"/>
    <w:rsid w:val="005D196D"/>
    <w:rsid w:val="005D19D4"/>
    <w:rsid w:val="005D2650"/>
    <w:rsid w:val="005D35BB"/>
    <w:rsid w:val="005D48A2"/>
    <w:rsid w:val="005D50C6"/>
    <w:rsid w:val="005D6AA6"/>
    <w:rsid w:val="005E05C4"/>
    <w:rsid w:val="005E1274"/>
    <w:rsid w:val="005E13E0"/>
    <w:rsid w:val="005E36A0"/>
    <w:rsid w:val="005E4EC3"/>
    <w:rsid w:val="005E50EC"/>
    <w:rsid w:val="005E64B5"/>
    <w:rsid w:val="005E7457"/>
    <w:rsid w:val="005E74D7"/>
    <w:rsid w:val="005E790B"/>
    <w:rsid w:val="005F092A"/>
    <w:rsid w:val="005F1258"/>
    <w:rsid w:val="005F1C83"/>
    <w:rsid w:val="005F3117"/>
    <w:rsid w:val="005F69DB"/>
    <w:rsid w:val="00600E0A"/>
    <w:rsid w:val="00601126"/>
    <w:rsid w:val="0060191C"/>
    <w:rsid w:val="00603D46"/>
    <w:rsid w:val="00604B97"/>
    <w:rsid w:val="0060502A"/>
    <w:rsid w:val="006054D8"/>
    <w:rsid w:val="00607C65"/>
    <w:rsid w:val="00610143"/>
    <w:rsid w:val="006101B1"/>
    <w:rsid w:val="00610C2F"/>
    <w:rsid w:val="006117A6"/>
    <w:rsid w:val="006118C4"/>
    <w:rsid w:val="00611B18"/>
    <w:rsid w:val="00612526"/>
    <w:rsid w:val="00612FD7"/>
    <w:rsid w:val="00614AE8"/>
    <w:rsid w:val="00614F89"/>
    <w:rsid w:val="0061539D"/>
    <w:rsid w:val="0061583B"/>
    <w:rsid w:val="00615B18"/>
    <w:rsid w:val="00621703"/>
    <w:rsid w:val="00621836"/>
    <w:rsid w:val="00621F58"/>
    <w:rsid w:val="00622325"/>
    <w:rsid w:val="00622348"/>
    <w:rsid w:val="00625F2E"/>
    <w:rsid w:val="00626100"/>
    <w:rsid w:val="00626476"/>
    <w:rsid w:val="00627115"/>
    <w:rsid w:val="0063036E"/>
    <w:rsid w:val="0063057C"/>
    <w:rsid w:val="006310D8"/>
    <w:rsid w:val="00632FFF"/>
    <w:rsid w:val="006336F3"/>
    <w:rsid w:val="006349FA"/>
    <w:rsid w:val="006378A2"/>
    <w:rsid w:val="00637E6E"/>
    <w:rsid w:val="006402BD"/>
    <w:rsid w:val="006408F0"/>
    <w:rsid w:val="006410D6"/>
    <w:rsid w:val="006411A5"/>
    <w:rsid w:val="00641221"/>
    <w:rsid w:val="00642B45"/>
    <w:rsid w:val="0064371D"/>
    <w:rsid w:val="0064475D"/>
    <w:rsid w:val="00645862"/>
    <w:rsid w:val="006458D8"/>
    <w:rsid w:val="00650C15"/>
    <w:rsid w:val="0065221D"/>
    <w:rsid w:val="00652887"/>
    <w:rsid w:val="00653B88"/>
    <w:rsid w:val="00653D17"/>
    <w:rsid w:val="00654659"/>
    <w:rsid w:val="00655087"/>
    <w:rsid w:val="00655F4C"/>
    <w:rsid w:val="00655F97"/>
    <w:rsid w:val="0065777B"/>
    <w:rsid w:val="00661780"/>
    <w:rsid w:val="00663396"/>
    <w:rsid w:val="00663D7F"/>
    <w:rsid w:val="00663FED"/>
    <w:rsid w:val="00667EB9"/>
    <w:rsid w:val="00667F99"/>
    <w:rsid w:val="0067041F"/>
    <w:rsid w:val="00670EB6"/>
    <w:rsid w:val="006719DE"/>
    <w:rsid w:val="00672E39"/>
    <w:rsid w:val="00673C97"/>
    <w:rsid w:val="00674566"/>
    <w:rsid w:val="006746B1"/>
    <w:rsid w:val="0067541C"/>
    <w:rsid w:val="00676B0B"/>
    <w:rsid w:val="006802D9"/>
    <w:rsid w:val="006808E8"/>
    <w:rsid w:val="00682FE2"/>
    <w:rsid w:val="00684284"/>
    <w:rsid w:val="00684579"/>
    <w:rsid w:val="00686750"/>
    <w:rsid w:val="00686CBD"/>
    <w:rsid w:val="00686CC5"/>
    <w:rsid w:val="0068700B"/>
    <w:rsid w:val="00691ABE"/>
    <w:rsid w:val="00693356"/>
    <w:rsid w:val="0069559D"/>
    <w:rsid w:val="00695D67"/>
    <w:rsid w:val="00696F8C"/>
    <w:rsid w:val="0069700C"/>
    <w:rsid w:val="00697037"/>
    <w:rsid w:val="00697305"/>
    <w:rsid w:val="00697801"/>
    <w:rsid w:val="006A074F"/>
    <w:rsid w:val="006A54E3"/>
    <w:rsid w:val="006A55D7"/>
    <w:rsid w:val="006A7AD1"/>
    <w:rsid w:val="006B20CA"/>
    <w:rsid w:val="006B440B"/>
    <w:rsid w:val="006B5189"/>
    <w:rsid w:val="006C09DE"/>
    <w:rsid w:val="006C1055"/>
    <w:rsid w:val="006C3E9D"/>
    <w:rsid w:val="006C44B9"/>
    <w:rsid w:val="006C4FA4"/>
    <w:rsid w:val="006C5A88"/>
    <w:rsid w:val="006C6552"/>
    <w:rsid w:val="006C67DC"/>
    <w:rsid w:val="006C6E9E"/>
    <w:rsid w:val="006C7D91"/>
    <w:rsid w:val="006C7FED"/>
    <w:rsid w:val="006D0C85"/>
    <w:rsid w:val="006D2ED9"/>
    <w:rsid w:val="006D34A4"/>
    <w:rsid w:val="006D4052"/>
    <w:rsid w:val="006D425B"/>
    <w:rsid w:val="006D6F56"/>
    <w:rsid w:val="006D7D80"/>
    <w:rsid w:val="006E17AC"/>
    <w:rsid w:val="006E24C6"/>
    <w:rsid w:val="006E32F6"/>
    <w:rsid w:val="006E60D8"/>
    <w:rsid w:val="006E60E5"/>
    <w:rsid w:val="006F0B83"/>
    <w:rsid w:val="006F4DA5"/>
    <w:rsid w:val="006F4E35"/>
    <w:rsid w:val="00701836"/>
    <w:rsid w:val="00701F70"/>
    <w:rsid w:val="00702650"/>
    <w:rsid w:val="007029AA"/>
    <w:rsid w:val="007062E3"/>
    <w:rsid w:val="00706936"/>
    <w:rsid w:val="0070769C"/>
    <w:rsid w:val="00715914"/>
    <w:rsid w:val="00716CC2"/>
    <w:rsid w:val="0071759D"/>
    <w:rsid w:val="0072079B"/>
    <w:rsid w:val="00721B1E"/>
    <w:rsid w:val="00722184"/>
    <w:rsid w:val="0072250C"/>
    <w:rsid w:val="007229D7"/>
    <w:rsid w:val="0072401B"/>
    <w:rsid w:val="00724474"/>
    <w:rsid w:val="007269A0"/>
    <w:rsid w:val="00730EDD"/>
    <w:rsid w:val="00734C7C"/>
    <w:rsid w:val="00736FD6"/>
    <w:rsid w:val="0073714D"/>
    <w:rsid w:val="00737F17"/>
    <w:rsid w:val="007402C4"/>
    <w:rsid w:val="0074264B"/>
    <w:rsid w:val="0074415C"/>
    <w:rsid w:val="00746790"/>
    <w:rsid w:val="0074696F"/>
    <w:rsid w:val="00746DFC"/>
    <w:rsid w:val="00747BD5"/>
    <w:rsid w:val="007512D0"/>
    <w:rsid w:val="0075223F"/>
    <w:rsid w:val="00752DCE"/>
    <w:rsid w:val="00753727"/>
    <w:rsid w:val="00755404"/>
    <w:rsid w:val="00755676"/>
    <w:rsid w:val="0075670F"/>
    <w:rsid w:val="00760341"/>
    <w:rsid w:val="00760E65"/>
    <w:rsid w:val="00763B07"/>
    <w:rsid w:val="00763D41"/>
    <w:rsid w:val="00766CD4"/>
    <w:rsid w:val="0077147D"/>
    <w:rsid w:val="00773973"/>
    <w:rsid w:val="00773AEC"/>
    <w:rsid w:val="00777C2D"/>
    <w:rsid w:val="00777E11"/>
    <w:rsid w:val="007814A1"/>
    <w:rsid w:val="00781C20"/>
    <w:rsid w:val="00786C6C"/>
    <w:rsid w:val="00790072"/>
    <w:rsid w:val="00791E9F"/>
    <w:rsid w:val="00792569"/>
    <w:rsid w:val="007936E5"/>
    <w:rsid w:val="00793A96"/>
    <w:rsid w:val="00793F57"/>
    <w:rsid w:val="007A29C5"/>
    <w:rsid w:val="007A7C8A"/>
    <w:rsid w:val="007B0185"/>
    <w:rsid w:val="007B0A56"/>
    <w:rsid w:val="007B4B9B"/>
    <w:rsid w:val="007B7493"/>
    <w:rsid w:val="007C425D"/>
    <w:rsid w:val="007C431E"/>
    <w:rsid w:val="007C7E77"/>
    <w:rsid w:val="007D40E6"/>
    <w:rsid w:val="007D54E0"/>
    <w:rsid w:val="007D6401"/>
    <w:rsid w:val="007D76D3"/>
    <w:rsid w:val="007D7ECD"/>
    <w:rsid w:val="007E152F"/>
    <w:rsid w:val="007E1C66"/>
    <w:rsid w:val="007E250D"/>
    <w:rsid w:val="007E25C6"/>
    <w:rsid w:val="007E3C59"/>
    <w:rsid w:val="007E3F1E"/>
    <w:rsid w:val="007E52C3"/>
    <w:rsid w:val="007E70AC"/>
    <w:rsid w:val="007E735C"/>
    <w:rsid w:val="007E74F8"/>
    <w:rsid w:val="007E7A85"/>
    <w:rsid w:val="007F0197"/>
    <w:rsid w:val="007F0281"/>
    <w:rsid w:val="007F1923"/>
    <w:rsid w:val="007F1FB0"/>
    <w:rsid w:val="007F203C"/>
    <w:rsid w:val="007F263B"/>
    <w:rsid w:val="007F2DC8"/>
    <w:rsid w:val="007F43F7"/>
    <w:rsid w:val="007F5437"/>
    <w:rsid w:val="007F5BE2"/>
    <w:rsid w:val="007F7723"/>
    <w:rsid w:val="007F7FF0"/>
    <w:rsid w:val="0080057F"/>
    <w:rsid w:val="008005B3"/>
    <w:rsid w:val="0080262B"/>
    <w:rsid w:val="0080381D"/>
    <w:rsid w:val="00803BBF"/>
    <w:rsid w:val="008045A7"/>
    <w:rsid w:val="00804947"/>
    <w:rsid w:val="00804F2A"/>
    <w:rsid w:val="00806F80"/>
    <w:rsid w:val="0080794E"/>
    <w:rsid w:val="008111C0"/>
    <w:rsid w:val="00811217"/>
    <w:rsid w:val="008147C2"/>
    <w:rsid w:val="00814E34"/>
    <w:rsid w:val="008156EB"/>
    <w:rsid w:val="008158EE"/>
    <w:rsid w:val="00815985"/>
    <w:rsid w:val="0081603E"/>
    <w:rsid w:val="00816EB3"/>
    <w:rsid w:val="0082329D"/>
    <w:rsid w:val="00823677"/>
    <w:rsid w:val="008252B3"/>
    <w:rsid w:val="00826339"/>
    <w:rsid w:val="00826661"/>
    <w:rsid w:val="008277BB"/>
    <w:rsid w:val="00830001"/>
    <w:rsid w:val="00831D40"/>
    <w:rsid w:val="00832530"/>
    <w:rsid w:val="0083491C"/>
    <w:rsid w:val="00834DFD"/>
    <w:rsid w:val="00837B94"/>
    <w:rsid w:val="00837BC3"/>
    <w:rsid w:val="00840C66"/>
    <w:rsid w:val="00841436"/>
    <w:rsid w:val="008417F4"/>
    <w:rsid w:val="008418F1"/>
    <w:rsid w:val="008434A1"/>
    <w:rsid w:val="00844A58"/>
    <w:rsid w:val="00846776"/>
    <w:rsid w:val="008471DD"/>
    <w:rsid w:val="0084766E"/>
    <w:rsid w:val="00851EA5"/>
    <w:rsid w:val="008521D4"/>
    <w:rsid w:val="00852591"/>
    <w:rsid w:val="00854E41"/>
    <w:rsid w:val="00856761"/>
    <w:rsid w:val="00857347"/>
    <w:rsid w:val="008573D5"/>
    <w:rsid w:val="008625BD"/>
    <w:rsid w:val="00862967"/>
    <w:rsid w:val="00863AB1"/>
    <w:rsid w:val="008640E5"/>
    <w:rsid w:val="00865499"/>
    <w:rsid w:val="008670AA"/>
    <w:rsid w:val="0086721C"/>
    <w:rsid w:val="00870E00"/>
    <w:rsid w:val="0087107F"/>
    <w:rsid w:val="00875657"/>
    <w:rsid w:val="008777D3"/>
    <w:rsid w:val="00883B03"/>
    <w:rsid w:val="0088505F"/>
    <w:rsid w:val="0088519A"/>
    <w:rsid w:val="00890C8F"/>
    <w:rsid w:val="00890CBC"/>
    <w:rsid w:val="00891F22"/>
    <w:rsid w:val="00894D12"/>
    <w:rsid w:val="00894E26"/>
    <w:rsid w:val="00895D2A"/>
    <w:rsid w:val="00896C4C"/>
    <w:rsid w:val="00896DCC"/>
    <w:rsid w:val="00897654"/>
    <w:rsid w:val="008A1923"/>
    <w:rsid w:val="008A20CD"/>
    <w:rsid w:val="008A24F7"/>
    <w:rsid w:val="008A26D8"/>
    <w:rsid w:val="008A37CD"/>
    <w:rsid w:val="008A5B8F"/>
    <w:rsid w:val="008A5EC4"/>
    <w:rsid w:val="008A6BDF"/>
    <w:rsid w:val="008A716B"/>
    <w:rsid w:val="008A76FB"/>
    <w:rsid w:val="008B0251"/>
    <w:rsid w:val="008B1E8B"/>
    <w:rsid w:val="008B20D9"/>
    <w:rsid w:val="008B5B4F"/>
    <w:rsid w:val="008B6F38"/>
    <w:rsid w:val="008C0E13"/>
    <w:rsid w:val="008C2B07"/>
    <w:rsid w:val="008C2CAB"/>
    <w:rsid w:val="008C3A49"/>
    <w:rsid w:val="008C3CC7"/>
    <w:rsid w:val="008C5A60"/>
    <w:rsid w:val="008D2721"/>
    <w:rsid w:val="008D3D34"/>
    <w:rsid w:val="008D448D"/>
    <w:rsid w:val="008D48DD"/>
    <w:rsid w:val="008D5B12"/>
    <w:rsid w:val="008D5DAC"/>
    <w:rsid w:val="008D5E3B"/>
    <w:rsid w:val="008D7771"/>
    <w:rsid w:val="008E114F"/>
    <w:rsid w:val="008E698A"/>
    <w:rsid w:val="008E7A56"/>
    <w:rsid w:val="008E7C63"/>
    <w:rsid w:val="008F1A68"/>
    <w:rsid w:val="008F2DEE"/>
    <w:rsid w:val="008F2F6F"/>
    <w:rsid w:val="008F33FE"/>
    <w:rsid w:val="008F3A92"/>
    <w:rsid w:val="008F71EA"/>
    <w:rsid w:val="00900F5C"/>
    <w:rsid w:val="0090278A"/>
    <w:rsid w:val="009029A5"/>
    <w:rsid w:val="00905CED"/>
    <w:rsid w:val="0090799C"/>
    <w:rsid w:val="00910A12"/>
    <w:rsid w:val="009136F9"/>
    <w:rsid w:val="009158A6"/>
    <w:rsid w:val="00916274"/>
    <w:rsid w:val="00917AB1"/>
    <w:rsid w:val="0092016B"/>
    <w:rsid w:val="0092078E"/>
    <w:rsid w:val="00921161"/>
    <w:rsid w:val="009223BB"/>
    <w:rsid w:val="00922F79"/>
    <w:rsid w:val="00923D04"/>
    <w:rsid w:val="00924154"/>
    <w:rsid w:val="00924749"/>
    <w:rsid w:val="0092599A"/>
    <w:rsid w:val="00926435"/>
    <w:rsid w:val="0092659F"/>
    <w:rsid w:val="00927CBE"/>
    <w:rsid w:val="00930D40"/>
    <w:rsid w:val="009320BE"/>
    <w:rsid w:val="0093245D"/>
    <w:rsid w:val="00932DF7"/>
    <w:rsid w:val="00935FFF"/>
    <w:rsid w:val="00936873"/>
    <w:rsid w:val="009374A0"/>
    <w:rsid w:val="00937630"/>
    <w:rsid w:val="00941A38"/>
    <w:rsid w:val="00943DB0"/>
    <w:rsid w:val="009445C2"/>
    <w:rsid w:val="009447E7"/>
    <w:rsid w:val="00945ABF"/>
    <w:rsid w:val="00945AC3"/>
    <w:rsid w:val="009472C8"/>
    <w:rsid w:val="009479BC"/>
    <w:rsid w:val="009502B2"/>
    <w:rsid w:val="0095180D"/>
    <w:rsid w:val="00951840"/>
    <w:rsid w:val="00953BF5"/>
    <w:rsid w:val="0095432D"/>
    <w:rsid w:val="00954F6E"/>
    <w:rsid w:val="009564D7"/>
    <w:rsid w:val="0095730D"/>
    <w:rsid w:val="009573AE"/>
    <w:rsid w:val="00957A7B"/>
    <w:rsid w:val="00957C7E"/>
    <w:rsid w:val="00962400"/>
    <w:rsid w:val="009636E0"/>
    <w:rsid w:val="0096585C"/>
    <w:rsid w:val="00965D9A"/>
    <w:rsid w:val="00971857"/>
    <w:rsid w:val="0097717F"/>
    <w:rsid w:val="009801B6"/>
    <w:rsid w:val="0098119E"/>
    <w:rsid w:val="0098251B"/>
    <w:rsid w:val="00983F35"/>
    <w:rsid w:val="00986BB9"/>
    <w:rsid w:val="0098796E"/>
    <w:rsid w:val="0099115A"/>
    <w:rsid w:val="00992FA0"/>
    <w:rsid w:val="0099449B"/>
    <w:rsid w:val="009947DB"/>
    <w:rsid w:val="00994E48"/>
    <w:rsid w:val="00995CAF"/>
    <w:rsid w:val="0099601C"/>
    <w:rsid w:val="00996CE9"/>
    <w:rsid w:val="00997702"/>
    <w:rsid w:val="009A21C5"/>
    <w:rsid w:val="009A2D1C"/>
    <w:rsid w:val="009A428D"/>
    <w:rsid w:val="009A453D"/>
    <w:rsid w:val="009A637C"/>
    <w:rsid w:val="009A656B"/>
    <w:rsid w:val="009A73A9"/>
    <w:rsid w:val="009A7DE1"/>
    <w:rsid w:val="009B1383"/>
    <w:rsid w:val="009B7074"/>
    <w:rsid w:val="009B75D1"/>
    <w:rsid w:val="009B7CE7"/>
    <w:rsid w:val="009C1A44"/>
    <w:rsid w:val="009C1EA0"/>
    <w:rsid w:val="009C3A17"/>
    <w:rsid w:val="009C47DE"/>
    <w:rsid w:val="009C4D38"/>
    <w:rsid w:val="009C501E"/>
    <w:rsid w:val="009C50FC"/>
    <w:rsid w:val="009D0479"/>
    <w:rsid w:val="009D0924"/>
    <w:rsid w:val="009D34D2"/>
    <w:rsid w:val="009D3878"/>
    <w:rsid w:val="009D55DE"/>
    <w:rsid w:val="009D56B4"/>
    <w:rsid w:val="009E2755"/>
    <w:rsid w:val="009E43C3"/>
    <w:rsid w:val="009E50FD"/>
    <w:rsid w:val="009E5D13"/>
    <w:rsid w:val="009E5FB2"/>
    <w:rsid w:val="009E61C0"/>
    <w:rsid w:val="009E7648"/>
    <w:rsid w:val="009F017C"/>
    <w:rsid w:val="009F1081"/>
    <w:rsid w:val="009F1EE2"/>
    <w:rsid w:val="009F245B"/>
    <w:rsid w:val="009F252E"/>
    <w:rsid w:val="009F3C30"/>
    <w:rsid w:val="009F6F14"/>
    <w:rsid w:val="009F70DB"/>
    <w:rsid w:val="00A00529"/>
    <w:rsid w:val="00A01504"/>
    <w:rsid w:val="00A01773"/>
    <w:rsid w:val="00A01D74"/>
    <w:rsid w:val="00A03548"/>
    <w:rsid w:val="00A06558"/>
    <w:rsid w:val="00A06614"/>
    <w:rsid w:val="00A0689F"/>
    <w:rsid w:val="00A06E34"/>
    <w:rsid w:val="00A077D6"/>
    <w:rsid w:val="00A10B4B"/>
    <w:rsid w:val="00A11DE5"/>
    <w:rsid w:val="00A12039"/>
    <w:rsid w:val="00A12ED8"/>
    <w:rsid w:val="00A14C60"/>
    <w:rsid w:val="00A15977"/>
    <w:rsid w:val="00A15B50"/>
    <w:rsid w:val="00A160FB"/>
    <w:rsid w:val="00A16B99"/>
    <w:rsid w:val="00A202CE"/>
    <w:rsid w:val="00A2661C"/>
    <w:rsid w:val="00A27861"/>
    <w:rsid w:val="00A301C2"/>
    <w:rsid w:val="00A30E40"/>
    <w:rsid w:val="00A31AFC"/>
    <w:rsid w:val="00A32E38"/>
    <w:rsid w:val="00A34A3A"/>
    <w:rsid w:val="00A34AC3"/>
    <w:rsid w:val="00A37CE5"/>
    <w:rsid w:val="00A404B1"/>
    <w:rsid w:val="00A42E77"/>
    <w:rsid w:val="00A434D9"/>
    <w:rsid w:val="00A44129"/>
    <w:rsid w:val="00A44FB7"/>
    <w:rsid w:val="00A45490"/>
    <w:rsid w:val="00A46EC6"/>
    <w:rsid w:val="00A46FB9"/>
    <w:rsid w:val="00A47071"/>
    <w:rsid w:val="00A51E43"/>
    <w:rsid w:val="00A53E77"/>
    <w:rsid w:val="00A55A64"/>
    <w:rsid w:val="00A61DE2"/>
    <w:rsid w:val="00A65134"/>
    <w:rsid w:val="00A66A2F"/>
    <w:rsid w:val="00A67655"/>
    <w:rsid w:val="00A67762"/>
    <w:rsid w:val="00A7295D"/>
    <w:rsid w:val="00A753C9"/>
    <w:rsid w:val="00A80DC6"/>
    <w:rsid w:val="00A81FDC"/>
    <w:rsid w:val="00A82ADF"/>
    <w:rsid w:val="00A84740"/>
    <w:rsid w:val="00A84F67"/>
    <w:rsid w:val="00A8598D"/>
    <w:rsid w:val="00A861F6"/>
    <w:rsid w:val="00A902DE"/>
    <w:rsid w:val="00A9156B"/>
    <w:rsid w:val="00A91745"/>
    <w:rsid w:val="00A91FB2"/>
    <w:rsid w:val="00A94176"/>
    <w:rsid w:val="00A95012"/>
    <w:rsid w:val="00A95E52"/>
    <w:rsid w:val="00A96386"/>
    <w:rsid w:val="00A96AAA"/>
    <w:rsid w:val="00A96DC0"/>
    <w:rsid w:val="00AA4CDC"/>
    <w:rsid w:val="00AA534C"/>
    <w:rsid w:val="00AA6D33"/>
    <w:rsid w:val="00AA6D42"/>
    <w:rsid w:val="00AA7D47"/>
    <w:rsid w:val="00AB118B"/>
    <w:rsid w:val="00AB3B2F"/>
    <w:rsid w:val="00AB4374"/>
    <w:rsid w:val="00AB604B"/>
    <w:rsid w:val="00AB7823"/>
    <w:rsid w:val="00AC0F37"/>
    <w:rsid w:val="00AC1CB6"/>
    <w:rsid w:val="00AC2E74"/>
    <w:rsid w:val="00AC37B2"/>
    <w:rsid w:val="00AC45AA"/>
    <w:rsid w:val="00AC6B48"/>
    <w:rsid w:val="00AD1980"/>
    <w:rsid w:val="00AD323F"/>
    <w:rsid w:val="00AD3504"/>
    <w:rsid w:val="00AD414A"/>
    <w:rsid w:val="00AD419B"/>
    <w:rsid w:val="00AD452E"/>
    <w:rsid w:val="00AD595E"/>
    <w:rsid w:val="00AD5C8F"/>
    <w:rsid w:val="00AD5DDA"/>
    <w:rsid w:val="00AE1FC9"/>
    <w:rsid w:val="00AE26B0"/>
    <w:rsid w:val="00AE481D"/>
    <w:rsid w:val="00AE737B"/>
    <w:rsid w:val="00AF3647"/>
    <w:rsid w:val="00AF5BD0"/>
    <w:rsid w:val="00AF69A6"/>
    <w:rsid w:val="00AF6B00"/>
    <w:rsid w:val="00AF6F96"/>
    <w:rsid w:val="00AF75FB"/>
    <w:rsid w:val="00AF7D31"/>
    <w:rsid w:val="00B00435"/>
    <w:rsid w:val="00B00829"/>
    <w:rsid w:val="00B062AD"/>
    <w:rsid w:val="00B06A4B"/>
    <w:rsid w:val="00B06C8B"/>
    <w:rsid w:val="00B075B0"/>
    <w:rsid w:val="00B110B4"/>
    <w:rsid w:val="00B123B2"/>
    <w:rsid w:val="00B137C5"/>
    <w:rsid w:val="00B2055D"/>
    <w:rsid w:val="00B21A85"/>
    <w:rsid w:val="00B21C2D"/>
    <w:rsid w:val="00B225D6"/>
    <w:rsid w:val="00B23DA4"/>
    <w:rsid w:val="00B23E10"/>
    <w:rsid w:val="00B243FE"/>
    <w:rsid w:val="00B24904"/>
    <w:rsid w:val="00B24CBA"/>
    <w:rsid w:val="00B24D56"/>
    <w:rsid w:val="00B263F7"/>
    <w:rsid w:val="00B2666F"/>
    <w:rsid w:val="00B26F93"/>
    <w:rsid w:val="00B270B6"/>
    <w:rsid w:val="00B27580"/>
    <w:rsid w:val="00B27BFC"/>
    <w:rsid w:val="00B306A5"/>
    <w:rsid w:val="00B3096E"/>
    <w:rsid w:val="00B3205D"/>
    <w:rsid w:val="00B32A73"/>
    <w:rsid w:val="00B36FA1"/>
    <w:rsid w:val="00B37511"/>
    <w:rsid w:val="00B451AE"/>
    <w:rsid w:val="00B50645"/>
    <w:rsid w:val="00B52973"/>
    <w:rsid w:val="00B52EB1"/>
    <w:rsid w:val="00B5455D"/>
    <w:rsid w:val="00B559ED"/>
    <w:rsid w:val="00B559FE"/>
    <w:rsid w:val="00B568D1"/>
    <w:rsid w:val="00B56B51"/>
    <w:rsid w:val="00B6036C"/>
    <w:rsid w:val="00B60B62"/>
    <w:rsid w:val="00B6121E"/>
    <w:rsid w:val="00B61A5C"/>
    <w:rsid w:val="00B62B2E"/>
    <w:rsid w:val="00B637D3"/>
    <w:rsid w:val="00B644F9"/>
    <w:rsid w:val="00B65049"/>
    <w:rsid w:val="00B65A10"/>
    <w:rsid w:val="00B66F4D"/>
    <w:rsid w:val="00B74786"/>
    <w:rsid w:val="00B757FD"/>
    <w:rsid w:val="00B770CF"/>
    <w:rsid w:val="00B80F65"/>
    <w:rsid w:val="00B82878"/>
    <w:rsid w:val="00B832AE"/>
    <w:rsid w:val="00B83B50"/>
    <w:rsid w:val="00B85C83"/>
    <w:rsid w:val="00B85D10"/>
    <w:rsid w:val="00B85EA6"/>
    <w:rsid w:val="00B8797E"/>
    <w:rsid w:val="00B90965"/>
    <w:rsid w:val="00B91BB1"/>
    <w:rsid w:val="00B92E82"/>
    <w:rsid w:val="00B93F30"/>
    <w:rsid w:val="00B946EC"/>
    <w:rsid w:val="00B94B25"/>
    <w:rsid w:val="00B958A6"/>
    <w:rsid w:val="00B96FBF"/>
    <w:rsid w:val="00BA1537"/>
    <w:rsid w:val="00BA2636"/>
    <w:rsid w:val="00BA6478"/>
    <w:rsid w:val="00BA6755"/>
    <w:rsid w:val="00BA6D8F"/>
    <w:rsid w:val="00BB17A8"/>
    <w:rsid w:val="00BB349D"/>
    <w:rsid w:val="00BB5110"/>
    <w:rsid w:val="00BB514E"/>
    <w:rsid w:val="00BC0257"/>
    <w:rsid w:val="00BC0793"/>
    <w:rsid w:val="00BC092A"/>
    <w:rsid w:val="00BC2E11"/>
    <w:rsid w:val="00BC33F8"/>
    <w:rsid w:val="00BC61FC"/>
    <w:rsid w:val="00BD30B2"/>
    <w:rsid w:val="00BD3F58"/>
    <w:rsid w:val="00BD5220"/>
    <w:rsid w:val="00BD583E"/>
    <w:rsid w:val="00BE0ADB"/>
    <w:rsid w:val="00BE0EB9"/>
    <w:rsid w:val="00BE10C7"/>
    <w:rsid w:val="00BE6469"/>
    <w:rsid w:val="00BE6DB7"/>
    <w:rsid w:val="00BE7A85"/>
    <w:rsid w:val="00BE7D4C"/>
    <w:rsid w:val="00BF1568"/>
    <w:rsid w:val="00BF321E"/>
    <w:rsid w:val="00BF3A40"/>
    <w:rsid w:val="00BF4E44"/>
    <w:rsid w:val="00BF602D"/>
    <w:rsid w:val="00BF7B4F"/>
    <w:rsid w:val="00C00218"/>
    <w:rsid w:val="00C01305"/>
    <w:rsid w:val="00C01849"/>
    <w:rsid w:val="00C0532A"/>
    <w:rsid w:val="00C05F9F"/>
    <w:rsid w:val="00C067BF"/>
    <w:rsid w:val="00C06CF0"/>
    <w:rsid w:val="00C07D01"/>
    <w:rsid w:val="00C11FEA"/>
    <w:rsid w:val="00C124C6"/>
    <w:rsid w:val="00C1340D"/>
    <w:rsid w:val="00C138ED"/>
    <w:rsid w:val="00C14AF9"/>
    <w:rsid w:val="00C152AD"/>
    <w:rsid w:val="00C210BB"/>
    <w:rsid w:val="00C221B1"/>
    <w:rsid w:val="00C22CAD"/>
    <w:rsid w:val="00C232C0"/>
    <w:rsid w:val="00C236E0"/>
    <w:rsid w:val="00C23CA1"/>
    <w:rsid w:val="00C23F3D"/>
    <w:rsid w:val="00C24778"/>
    <w:rsid w:val="00C254E9"/>
    <w:rsid w:val="00C258E4"/>
    <w:rsid w:val="00C25FEE"/>
    <w:rsid w:val="00C26C23"/>
    <w:rsid w:val="00C31793"/>
    <w:rsid w:val="00C32AC9"/>
    <w:rsid w:val="00C365AF"/>
    <w:rsid w:val="00C373FE"/>
    <w:rsid w:val="00C37FDD"/>
    <w:rsid w:val="00C41640"/>
    <w:rsid w:val="00C45730"/>
    <w:rsid w:val="00C457C9"/>
    <w:rsid w:val="00C45A45"/>
    <w:rsid w:val="00C47CCD"/>
    <w:rsid w:val="00C50174"/>
    <w:rsid w:val="00C504B1"/>
    <w:rsid w:val="00C5213B"/>
    <w:rsid w:val="00C52AF1"/>
    <w:rsid w:val="00C53638"/>
    <w:rsid w:val="00C541C4"/>
    <w:rsid w:val="00C54255"/>
    <w:rsid w:val="00C55BA4"/>
    <w:rsid w:val="00C57E9A"/>
    <w:rsid w:val="00C62E0E"/>
    <w:rsid w:val="00C64ACC"/>
    <w:rsid w:val="00C6573A"/>
    <w:rsid w:val="00C66CC4"/>
    <w:rsid w:val="00C676C9"/>
    <w:rsid w:val="00C70D7F"/>
    <w:rsid w:val="00C715CB"/>
    <w:rsid w:val="00C7209A"/>
    <w:rsid w:val="00C721BC"/>
    <w:rsid w:val="00C740F1"/>
    <w:rsid w:val="00C77BDE"/>
    <w:rsid w:val="00C77C78"/>
    <w:rsid w:val="00C804DA"/>
    <w:rsid w:val="00C80D3B"/>
    <w:rsid w:val="00C80FCB"/>
    <w:rsid w:val="00C814C8"/>
    <w:rsid w:val="00C819D0"/>
    <w:rsid w:val="00C81B6C"/>
    <w:rsid w:val="00C8206B"/>
    <w:rsid w:val="00C854D1"/>
    <w:rsid w:val="00C86511"/>
    <w:rsid w:val="00C86B27"/>
    <w:rsid w:val="00C874D2"/>
    <w:rsid w:val="00C9168E"/>
    <w:rsid w:val="00C92B6D"/>
    <w:rsid w:val="00C937F4"/>
    <w:rsid w:val="00C93855"/>
    <w:rsid w:val="00C94ADE"/>
    <w:rsid w:val="00C96464"/>
    <w:rsid w:val="00CA2CC7"/>
    <w:rsid w:val="00CA3033"/>
    <w:rsid w:val="00CA464D"/>
    <w:rsid w:val="00CA514B"/>
    <w:rsid w:val="00CA538C"/>
    <w:rsid w:val="00CA54B4"/>
    <w:rsid w:val="00CA70EC"/>
    <w:rsid w:val="00CB06EC"/>
    <w:rsid w:val="00CB275A"/>
    <w:rsid w:val="00CB2FA0"/>
    <w:rsid w:val="00CB5825"/>
    <w:rsid w:val="00CB5C91"/>
    <w:rsid w:val="00CB6330"/>
    <w:rsid w:val="00CC0829"/>
    <w:rsid w:val="00CC1B4D"/>
    <w:rsid w:val="00CC2405"/>
    <w:rsid w:val="00CC28F1"/>
    <w:rsid w:val="00CC7174"/>
    <w:rsid w:val="00CC7B2B"/>
    <w:rsid w:val="00CD024A"/>
    <w:rsid w:val="00CD0F34"/>
    <w:rsid w:val="00CD0F83"/>
    <w:rsid w:val="00CD1173"/>
    <w:rsid w:val="00CD145E"/>
    <w:rsid w:val="00CD2D10"/>
    <w:rsid w:val="00CD2D9A"/>
    <w:rsid w:val="00CD37BC"/>
    <w:rsid w:val="00CD43A6"/>
    <w:rsid w:val="00CD4785"/>
    <w:rsid w:val="00CD60FF"/>
    <w:rsid w:val="00CE091A"/>
    <w:rsid w:val="00CE0E7A"/>
    <w:rsid w:val="00CE10A1"/>
    <w:rsid w:val="00CE19F7"/>
    <w:rsid w:val="00CE1AE4"/>
    <w:rsid w:val="00CE27B6"/>
    <w:rsid w:val="00CE2A1C"/>
    <w:rsid w:val="00CE4940"/>
    <w:rsid w:val="00CE675C"/>
    <w:rsid w:val="00CF0185"/>
    <w:rsid w:val="00CF01EB"/>
    <w:rsid w:val="00CF1A7E"/>
    <w:rsid w:val="00CF1BC0"/>
    <w:rsid w:val="00CF2792"/>
    <w:rsid w:val="00CF28B7"/>
    <w:rsid w:val="00CF390F"/>
    <w:rsid w:val="00CF39CC"/>
    <w:rsid w:val="00CF3B0F"/>
    <w:rsid w:val="00CF422F"/>
    <w:rsid w:val="00CF5340"/>
    <w:rsid w:val="00CF5D43"/>
    <w:rsid w:val="00CF64E5"/>
    <w:rsid w:val="00CF7633"/>
    <w:rsid w:val="00CF7FB7"/>
    <w:rsid w:val="00D02E83"/>
    <w:rsid w:val="00D03913"/>
    <w:rsid w:val="00D04532"/>
    <w:rsid w:val="00D055F1"/>
    <w:rsid w:val="00D0599E"/>
    <w:rsid w:val="00D05F55"/>
    <w:rsid w:val="00D062B4"/>
    <w:rsid w:val="00D0736F"/>
    <w:rsid w:val="00D10052"/>
    <w:rsid w:val="00D1289B"/>
    <w:rsid w:val="00D12CA8"/>
    <w:rsid w:val="00D13D95"/>
    <w:rsid w:val="00D1653A"/>
    <w:rsid w:val="00D17DF2"/>
    <w:rsid w:val="00D20AE0"/>
    <w:rsid w:val="00D21550"/>
    <w:rsid w:val="00D222AD"/>
    <w:rsid w:val="00D22B5B"/>
    <w:rsid w:val="00D22C3A"/>
    <w:rsid w:val="00D22E1E"/>
    <w:rsid w:val="00D24178"/>
    <w:rsid w:val="00D24A1C"/>
    <w:rsid w:val="00D2504A"/>
    <w:rsid w:val="00D250E6"/>
    <w:rsid w:val="00D31166"/>
    <w:rsid w:val="00D32ECC"/>
    <w:rsid w:val="00D34BB8"/>
    <w:rsid w:val="00D35CB3"/>
    <w:rsid w:val="00D4012B"/>
    <w:rsid w:val="00D4065E"/>
    <w:rsid w:val="00D41767"/>
    <w:rsid w:val="00D427F0"/>
    <w:rsid w:val="00D42DE3"/>
    <w:rsid w:val="00D43988"/>
    <w:rsid w:val="00D43C23"/>
    <w:rsid w:val="00D45AF8"/>
    <w:rsid w:val="00D4756A"/>
    <w:rsid w:val="00D50EBB"/>
    <w:rsid w:val="00D51D91"/>
    <w:rsid w:val="00D525A8"/>
    <w:rsid w:val="00D52ACF"/>
    <w:rsid w:val="00D53787"/>
    <w:rsid w:val="00D539AF"/>
    <w:rsid w:val="00D5468C"/>
    <w:rsid w:val="00D558C8"/>
    <w:rsid w:val="00D56DA9"/>
    <w:rsid w:val="00D624EC"/>
    <w:rsid w:val="00D625D4"/>
    <w:rsid w:val="00D62B3F"/>
    <w:rsid w:val="00D64261"/>
    <w:rsid w:val="00D64E39"/>
    <w:rsid w:val="00D6520A"/>
    <w:rsid w:val="00D66692"/>
    <w:rsid w:val="00D67E62"/>
    <w:rsid w:val="00D67EC7"/>
    <w:rsid w:val="00D70AE3"/>
    <w:rsid w:val="00D713E4"/>
    <w:rsid w:val="00D73B65"/>
    <w:rsid w:val="00D73B8E"/>
    <w:rsid w:val="00D73D41"/>
    <w:rsid w:val="00D751EB"/>
    <w:rsid w:val="00D75A89"/>
    <w:rsid w:val="00D77608"/>
    <w:rsid w:val="00D807CB"/>
    <w:rsid w:val="00D82A79"/>
    <w:rsid w:val="00D84033"/>
    <w:rsid w:val="00D8426C"/>
    <w:rsid w:val="00D85B6F"/>
    <w:rsid w:val="00D90392"/>
    <w:rsid w:val="00D914A3"/>
    <w:rsid w:val="00D922B9"/>
    <w:rsid w:val="00D92A92"/>
    <w:rsid w:val="00D946C1"/>
    <w:rsid w:val="00D9548A"/>
    <w:rsid w:val="00DA179D"/>
    <w:rsid w:val="00DA1E4B"/>
    <w:rsid w:val="00DA2D13"/>
    <w:rsid w:val="00DA4517"/>
    <w:rsid w:val="00DA514C"/>
    <w:rsid w:val="00DA52A7"/>
    <w:rsid w:val="00DA5ACD"/>
    <w:rsid w:val="00DA6CE0"/>
    <w:rsid w:val="00DA6E1F"/>
    <w:rsid w:val="00DA7759"/>
    <w:rsid w:val="00DA7F13"/>
    <w:rsid w:val="00DB0C8B"/>
    <w:rsid w:val="00DB0ED0"/>
    <w:rsid w:val="00DB1636"/>
    <w:rsid w:val="00DB18AE"/>
    <w:rsid w:val="00DB21ED"/>
    <w:rsid w:val="00DB3F61"/>
    <w:rsid w:val="00DB4349"/>
    <w:rsid w:val="00DB5058"/>
    <w:rsid w:val="00DB6011"/>
    <w:rsid w:val="00DB6C33"/>
    <w:rsid w:val="00DB75FF"/>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4A4A"/>
    <w:rsid w:val="00DE5A20"/>
    <w:rsid w:val="00DE691C"/>
    <w:rsid w:val="00DE7639"/>
    <w:rsid w:val="00DE7989"/>
    <w:rsid w:val="00DF0811"/>
    <w:rsid w:val="00DF0A08"/>
    <w:rsid w:val="00DF0FE2"/>
    <w:rsid w:val="00DF20B4"/>
    <w:rsid w:val="00DF51EC"/>
    <w:rsid w:val="00DF6E6A"/>
    <w:rsid w:val="00DF732F"/>
    <w:rsid w:val="00DF7BE7"/>
    <w:rsid w:val="00E00EE7"/>
    <w:rsid w:val="00E01097"/>
    <w:rsid w:val="00E014CB"/>
    <w:rsid w:val="00E06F23"/>
    <w:rsid w:val="00E1004D"/>
    <w:rsid w:val="00E104D3"/>
    <w:rsid w:val="00E125E4"/>
    <w:rsid w:val="00E12963"/>
    <w:rsid w:val="00E13FF8"/>
    <w:rsid w:val="00E1428A"/>
    <w:rsid w:val="00E145C4"/>
    <w:rsid w:val="00E14BB3"/>
    <w:rsid w:val="00E15040"/>
    <w:rsid w:val="00E169AA"/>
    <w:rsid w:val="00E16D8E"/>
    <w:rsid w:val="00E20C0F"/>
    <w:rsid w:val="00E2458B"/>
    <w:rsid w:val="00E2468A"/>
    <w:rsid w:val="00E24973"/>
    <w:rsid w:val="00E32DAA"/>
    <w:rsid w:val="00E36E4C"/>
    <w:rsid w:val="00E3769D"/>
    <w:rsid w:val="00E37A80"/>
    <w:rsid w:val="00E4022E"/>
    <w:rsid w:val="00E4165C"/>
    <w:rsid w:val="00E4488A"/>
    <w:rsid w:val="00E54EAF"/>
    <w:rsid w:val="00E558E4"/>
    <w:rsid w:val="00E563E8"/>
    <w:rsid w:val="00E56549"/>
    <w:rsid w:val="00E56680"/>
    <w:rsid w:val="00E576D2"/>
    <w:rsid w:val="00E576D8"/>
    <w:rsid w:val="00E6022B"/>
    <w:rsid w:val="00E60504"/>
    <w:rsid w:val="00E6129B"/>
    <w:rsid w:val="00E62DEE"/>
    <w:rsid w:val="00E62F39"/>
    <w:rsid w:val="00E63751"/>
    <w:rsid w:val="00E647C0"/>
    <w:rsid w:val="00E648C4"/>
    <w:rsid w:val="00E6548B"/>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2B74"/>
    <w:rsid w:val="00E943BD"/>
    <w:rsid w:val="00E96CC3"/>
    <w:rsid w:val="00EA15F3"/>
    <w:rsid w:val="00EA186E"/>
    <w:rsid w:val="00EA42D3"/>
    <w:rsid w:val="00EA5F8F"/>
    <w:rsid w:val="00EA6423"/>
    <w:rsid w:val="00EB2045"/>
    <w:rsid w:val="00EB214B"/>
    <w:rsid w:val="00EB2CE2"/>
    <w:rsid w:val="00EB30B4"/>
    <w:rsid w:val="00EB5689"/>
    <w:rsid w:val="00EB5DCD"/>
    <w:rsid w:val="00EB6AC4"/>
    <w:rsid w:val="00EB7428"/>
    <w:rsid w:val="00EC0025"/>
    <w:rsid w:val="00EC1380"/>
    <w:rsid w:val="00EC1463"/>
    <w:rsid w:val="00EC3E6A"/>
    <w:rsid w:val="00EC456D"/>
    <w:rsid w:val="00EC5027"/>
    <w:rsid w:val="00EC5E32"/>
    <w:rsid w:val="00EC7ADC"/>
    <w:rsid w:val="00ED1CE7"/>
    <w:rsid w:val="00ED22CB"/>
    <w:rsid w:val="00ED2D8B"/>
    <w:rsid w:val="00ED3981"/>
    <w:rsid w:val="00ED40B7"/>
    <w:rsid w:val="00ED42A7"/>
    <w:rsid w:val="00ED51FC"/>
    <w:rsid w:val="00ED7F7F"/>
    <w:rsid w:val="00EE0626"/>
    <w:rsid w:val="00EE120F"/>
    <w:rsid w:val="00EE50A7"/>
    <w:rsid w:val="00EF0C73"/>
    <w:rsid w:val="00EF2F28"/>
    <w:rsid w:val="00EF36CB"/>
    <w:rsid w:val="00EF5129"/>
    <w:rsid w:val="00EF56B2"/>
    <w:rsid w:val="00EF5F2E"/>
    <w:rsid w:val="00EF62ED"/>
    <w:rsid w:val="00EF6DC2"/>
    <w:rsid w:val="00F00277"/>
    <w:rsid w:val="00F00D5A"/>
    <w:rsid w:val="00F010A9"/>
    <w:rsid w:val="00F02B2A"/>
    <w:rsid w:val="00F0347B"/>
    <w:rsid w:val="00F06825"/>
    <w:rsid w:val="00F07908"/>
    <w:rsid w:val="00F10841"/>
    <w:rsid w:val="00F119E2"/>
    <w:rsid w:val="00F11AA2"/>
    <w:rsid w:val="00F121ED"/>
    <w:rsid w:val="00F13393"/>
    <w:rsid w:val="00F144F4"/>
    <w:rsid w:val="00F156AC"/>
    <w:rsid w:val="00F20365"/>
    <w:rsid w:val="00F228FA"/>
    <w:rsid w:val="00F2295D"/>
    <w:rsid w:val="00F22B53"/>
    <w:rsid w:val="00F23BCE"/>
    <w:rsid w:val="00F2598F"/>
    <w:rsid w:val="00F26C04"/>
    <w:rsid w:val="00F31901"/>
    <w:rsid w:val="00F31CA9"/>
    <w:rsid w:val="00F3278E"/>
    <w:rsid w:val="00F33C00"/>
    <w:rsid w:val="00F35D88"/>
    <w:rsid w:val="00F37431"/>
    <w:rsid w:val="00F430ED"/>
    <w:rsid w:val="00F444FD"/>
    <w:rsid w:val="00F44A12"/>
    <w:rsid w:val="00F45AAC"/>
    <w:rsid w:val="00F46624"/>
    <w:rsid w:val="00F46D96"/>
    <w:rsid w:val="00F5715D"/>
    <w:rsid w:val="00F57252"/>
    <w:rsid w:val="00F57454"/>
    <w:rsid w:val="00F57A80"/>
    <w:rsid w:val="00F57D61"/>
    <w:rsid w:val="00F61B11"/>
    <w:rsid w:val="00F61FD2"/>
    <w:rsid w:val="00F63D61"/>
    <w:rsid w:val="00F653FE"/>
    <w:rsid w:val="00F721EB"/>
    <w:rsid w:val="00F723C9"/>
    <w:rsid w:val="00F72AD8"/>
    <w:rsid w:val="00F72B7B"/>
    <w:rsid w:val="00F73710"/>
    <w:rsid w:val="00F74EFD"/>
    <w:rsid w:val="00F75075"/>
    <w:rsid w:val="00F7540D"/>
    <w:rsid w:val="00F75858"/>
    <w:rsid w:val="00F769D3"/>
    <w:rsid w:val="00F778B1"/>
    <w:rsid w:val="00F80519"/>
    <w:rsid w:val="00F83B5F"/>
    <w:rsid w:val="00F8504B"/>
    <w:rsid w:val="00F85075"/>
    <w:rsid w:val="00F860B3"/>
    <w:rsid w:val="00F87A76"/>
    <w:rsid w:val="00F90137"/>
    <w:rsid w:val="00F90ADA"/>
    <w:rsid w:val="00F940CC"/>
    <w:rsid w:val="00F96829"/>
    <w:rsid w:val="00F96F66"/>
    <w:rsid w:val="00F97D82"/>
    <w:rsid w:val="00FA18CD"/>
    <w:rsid w:val="00FA1A57"/>
    <w:rsid w:val="00FA2089"/>
    <w:rsid w:val="00FA2380"/>
    <w:rsid w:val="00FA2414"/>
    <w:rsid w:val="00FA27D6"/>
    <w:rsid w:val="00FA3B97"/>
    <w:rsid w:val="00FA3F21"/>
    <w:rsid w:val="00FA4839"/>
    <w:rsid w:val="00FA6901"/>
    <w:rsid w:val="00FA6BAD"/>
    <w:rsid w:val="00FB19CA"/>
    <w:rsid w:val="00FB2FF5"/>
    <w:rsid w:val="00FB3E9E"/>
    <w:rsid w:val="00FB52C1"/>
    <w:rsid w:val="00FB5756"/>
    <w:rsid w:val="00FB5835"/>
    <w:rsid w:val="00FB6CBF"/>
    <w:rsid w:val="00FB6FA7"/>
    <w:rsid w:val="00FC1608"/>
    <w:rsid w:val="00FC2BEC"/>
    <w:rsid w:val="00FC2C5F"/>
    <w:rsid w:val="00FC3FE6"/>
    <w:rsid w:val="00FC5786"/>
    <w:rsid w:val="00FC5DA4"/>
    <w:rsid w:val="00FC7178"/>
    <w:rsid w:val="00FC7BC3"/>
    <w:rsid w:val="00FD0020"/>
    <w:rsid w:val="00FD0A9E"/>
    <w:rsid w:val="00FD0B7A"/>
    <w:rsid w:val="00FD1368"/>
    <w:rsid w:val="00FD4174"/>
    <w:rsid w:val="00FD438B"/>
    <w:rsid w:val="00FE0301"/>
    <w:rsid w:val="00FE058E"/>
    <w:rsid w:val="00FE07B4"/>
    <w:rsid w:val="00FE1979"/>
    <w:rsid w:val="00FE1F09"/>
    <w:rsid w:val="00FE39FA"/>
    <w:rsid w:val="00FE43F1"/>
    <w:rsid w:val="00FE44E3"/>
    <w:rsid w:val="00FF038A"/>
    <w:rsid w:val="00FF1B9C"/>
    <w:rsid w:val="00FF1EB5"/>
    <w:rsid w:val="00FF5254"/>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4C41BE"/>
  <w15:chartTrackingRefBased/>
  <w15:docId w15:val="{F2333F4A-87F0-426E-8150-3C0FB68FC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71C5"/>
    <w:pPr>
      <w:spacing w:line="340" w:lineRule="atLeast"/>
      <w:jc w:val="both"/>
    </w:pPr>
    <w:rPr>
      <w:rFonts w:eastAsia="Times New Roman" w:cs="Times New Roman"/>
      <w:color w:val="000000"/>
      <w:kern w:val="0"/>
      <w:sz w:val="24"/>
      <w:lang w:val="en-GB"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143181"/>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143181"/>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143181"/>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143181"/>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143181"/>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143181"/>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143181"/>
    <w:pPr>
      <w:spacing w:before="240"/>
      <w:ind w:left="113" w:firstLine="0"/>
    </w:pPr>
  </w:style>
  <w:style w:type="paragraph" w:customStyle="1" w:styleId="Mdeck3publcationhistory">
    <w:name w:val="M_deck_3_publcation_history"/>
    <w:next w:val="Normal"/>
    <w:qFormat/>
    <w:rsid w:val="00143181"/>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143181"/>
    <w:pPr>
      <w:spacing w:line="340" w:lineRule="atLeast"/>
      <w:outlineLvl w:val="0"/>
    </w:pPr>
    <w:rPr>
      <w:b/>
      <w:snapToGrid/>
    </w:rPr>
  </w:style>
  <w:style w:type="paragraph" w:customStyle="1" w:styleId="Mdeck4heading2">
    <w:name w:val="M_deck_4_heading_2"/>
    <w:basedOn w:val="MHeading3"/>
    <w:next w:val="Normal"/>
    <w:qFormat/>
    <w:rsid w:val="00143181"/>
    <w:pPr>
      <w:outlineLvl w:val="1"/>
    </w:pPr>
    <w:rPr>
      <w:i/>
      <w:snapToGrid/>
    </w:rPr>
  </w:style>
  <w:style w:type="paragraph" w:customStyle="1" w:styleId="Mdeck4heading3">
    <w:name w:val="M_deck_4_heading_3"/>
    <w:basedOn w:val="Mdeck4text"/>
    <w:next w:val="Normal"/>
    <w:qFormat/>
    <w:rsid w:val="00143181"/>
    <w:pPr>
      <w:spacing w:before="240" w:after="120" w:line="340" w:lineRule="atLeast"/>
      <w:ind w:firstLineChars="50" w:firstLine="50"/>
      <w:outlineLvl w:val="2"/>
    </w:pPr>
    <w:rPr>
      <w:snapToGrid/>
    </w:rPr>
  </w:style>
  <w:style w:type="paragraph" w:customStyle="1" w:styleId="Mdeck4text">
    <w:name w:val="M_deck_4_text"/>
    <w:qFormat/>
    <w:rsid w:val="00143181"/>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143181"/>
    <w:pPr>
      <w:numPr>
        <w:numId w:val="37"/>
      </w:numPr>
      <w:spacing w:before="120" w:after="120" w:line="340" w:lineRule="atLeast"/>
    </w:pPr>
    <w:rPr>
      <w:snapToGrid/>
    </w:rPr>
  </w:style>
  <w:style w:type="paragraph" w:customStyle="1" w:styleId="Mdeck4textfirstlinezero">
    <w:name w:val="M_deck_4_text_firstline_zero"/>
    <w:basedOn w:val="Mdeck4text"/>
    <w:next w:val="Mdeck4text"/>
    <w:qFormat/>
    <w:rsid w:val="00143181"/>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143181"/>
    <w:rPr>
      <w:i/>
    </w:rPr>
  </w:style>
  <w:style w:type="paragraph" w:customStyle="1" w:styleId="Mdeck4textlrindent">
    <w:name w:val="M_deck_4_text_lr_indent"/>
    <w:basedOn w:val="Mdeck4text"/>
    <w:qFormat/>
    <w:rsid w:val="00143181"/>
    <w:pPr>
      <w:spacing w:line="260" w:lineRule="atLeast"/>
      <w:ind w:left="567" w:right="567" w:firstLine="0"/>
    </w:pPr>
  </w:style>
  <w:style w:type="paragraph" w:customStyle="1" w:styleId="Mdeck4textnumberedlist">
    <w:name w:val="M_deck_4_text_numbered_list"/>
    <w:basedOn w:val="Mdeck4text"/>
    <w:qFormat/>
    <w:rsid w:val="00143181"/>
    <w:pPr>
      <w:numPr>
        <w:numId w:val="38"/>
      </w:numPr>
      <w:spacing w:before="120" w:after="120" w:line="340" w:lineRule="atLeast"/>
    </w:pPr>
    <w:rPr>
      <w:snapToGrid/>
    </w:rPr>
  </w:style>
  <w:style w:type="paragraph" w:customStyle="1" w:styleId="Mdeck5tablebody">
    <w:name w:val="M_deck_5_table_body"/>
    <w:qFormat/>
    <w:rsid w:val="00143181"/>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143181"/>
    <w:pPr>
      <w:adjustRightInd w:val="0"/>
      <w:snapToGrid w:val="0"/>
      <w:spacing w:line="300" w:lineRule="exact"/>
      <w:jc w:val="center"/>
    </w:pPr>
    <w:rPr>
      <w:rFonts w:cs="Times New Roman"/>
      <w:kern w:val="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143181"/>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143181"/>
    <w:pPr>
      <w:spacing w:line="300" w:lineRule="exact"/>
    </w:pPr>
  </w:style>
  <w:style w:type="paragraph" w:customStyle="1" w:styleId="Mdeck5tableheader">
    <w:name w:val="M_deck_5_table_header"/>
    <w:basedOn w:val="Mdeck5tablefooter"/>
    <w:rsid w:val="00143181"/>
  </w:style>
  <w:style w:type="paragraph" w:customStyle="1" w:styleId="Mdeck6figurebody">
    <w:name w:val="M_deck_6_figure_body"/>
    <w:qFormat/>
    <w:rsid w:val="00143181"/>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143181"/>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143181"/>
    <w:pPr>
      <w:spacing w:before="120" w:after="120"/>
      <w:ind w:left="709" w:firstLine="0"/>
      <w:jc w:val="center"/>
    </w:pPr>
    <w:rPr>
      <w:i/>
      <w:snapToGrid/>
      <w:szCs w:val="24"/>
      <w:lang w:eastAsia="en-US"/>
    </w:rPr>
  </w:style>
  <w:style w:type="paragraph" w:customStyle="1" w:styleId="Mdeck8references">
    <w:name w:val="M_deck_8_references"/>
    <w:qFormat/>
    <w:rsid w:val="00143181"/>
    <w:pPr>
      <w:numPr>
        <w:numId w:val="39"/>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aliases w:val="Schriftart: 9 pt,Schriftart: 10 pt,Schriftart: 8 pt,WB-Fußnotentext,fn,footnote text,Footnotes,Footnote ak"/>
    <w:basedOn w:val="Normal"/>
    <w:link w:val="FootnoteTextChar"/>
    <w:uiPriority w:val="99"/>
    <w:rsid w:val="00F87A76"/>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uiPriority w:val="99"/>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F87A76"/>
    <w:pPr>
      <w:spacing w:line="360" w:lineRule="auto"/>
    </w:pPr>
    <w:rPr>
      <w:szCs w:val="24"/>
      <w:lang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143181"/>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firstLine="284"/>
    </w:pPr>
    <w:rPr>
      <w:rFonts w:ascii="Times New Roman" w:hAnsi="Times New Roman"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JOSISnormal">
    <w:name w:val="JOSIS normal"/>
    <w:basedOn w:val="Normal"/>
    <w:rsid w:val="00CE27B6"/>
    <w:pPr>
      <w:autoSpaceDE w:val="0"/>
      <w:autoSpaceDN w:val="0"/>
      <w:adjustRightInd w:val="0"/>
      <w:spacing w:after="120"/>
    </w:pPr>
    <w:rPr>
      <w:rFonts w:ascii="Palatino" w:hAnsi="Palatino"/>
      <w:szCs w:val="22"/>
    </w:rPr>
  </w:style>
  <w:style w:type="character" w:styleId="FootnoteReference">
    <w:name w:val="footnote reference"/>
    <w:basedOn w:val="DefaultParagraphFont"/>
    <w:uiPriority w:val="99"/>
    <w:unhideWhenUsed/>
    <w:rsid w:val="00407FC2"/>
    <w:rPr>
      <w:vertAlign w:val="superscript"/>
    </w:rPr>
  </w:style>
  <w:style w:type="paragraph" w:styleId="Revision">
    <w:name w:val="Revision"/>
    <w:hidden/>
    <w:uiPriority w:val="99"/>
    <w:semiHidden/>
    <w:rsid w:val="00D50EBB"/>
    <w:rPr>
      <w:rFonts w:eastAsia="Times New Roman" w:cs="Times New Roman"/>
      <w:color w:val="000000"/>
      <w:kern w:val="0"/>
      <w:sz w:val="24"/>
      <w:lang w:val="en-GB" w:eastAsia="de-DE"/>
    </w:rPr>
  </w:style>
  <w:style w:type="table" w:customStyle="1" w:styleId="TableauGrille6Couleur1">
    <w:name w:val="Tableau Grille 6 Couleur1"/>
    <w:basedOn w:val="TableNormal"/>
    <w:uiPriority w:val="51"/>
    <w:rsid w:val="00CB06EC"/>
    <w:rPr>
      <w:rFonts w:eastAsia="Times New Roman" w:cs="Times New Roman"/>
      <w:color w:val="000000" w:themeColor="text1"/>
      <w:kern w:val="0"/>
      <w:sz w:val="24"/>
      <w:szCs w:val="24"/>
      <w:lang w:val="en-GB"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A81FDC"/>
    <w:pPr>
      <w:spacing w:after="200" w:line="225" w:lineRule="atLeast"/>
      <w:jc w:val="left"/>
    </w:pPr>
    <w:rPr>
      <w:rFonts w:ascii="Arial" w:eastAsia="SimSun" w:hAnsi="Arial" w:cs="Arial"/>
      <w:sz w:val="20"/>
      <w:lang w:eastAsia="en-GB"/>
    </w:rPr>
  </w:style>
  <w:style w:type="character" w:customStyle="1" w:styleId="s1">
    <w:name w:val="s1"/>
    <w:basedOn w:val="DefaultParagraphFont"/>
    <w:rsid w:val="00A81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579951">
      <w:bodyDiv w:val="1"/>
      <w:marLeft w:val="0"/>
      <w:marRight w:val="0"/>
      <w:marTop w:val="0"/>
      <w:marBottom w:val="0"/>
      <w:divBdr>
        <w:top w:val="none" w:sz="0" w:space="0" w:color="auto"/>
        <w:left w:val="none" w:sz="0" w:space="0" w:color="auto"/>
        <w:bottom w:val="none" w:sz="0" w:space="0" w:color="auto"/>
        <w:right w:val="none" w:sz="0" w:space="0" w:color="auto"/>
      </w:divBdr>
    </w:div>
    <w:div w:id="1354309569">
      <w:bodyDiv w:val="1"/>
      <w:marLeft w:val="0"/>
      <w:marRight w:val="0"/>
      <w:marTop w:val="0"/>
      <w:marBottom w:val="0"/>
      <w:divBdr>
        <w:top w:val="none" w:sz="0" w:space="0" w:color="auto"/>
        <w:left w:val="none" w:sz="0" w:space="0" w:color="auto"/>
        <w:bottom w:val="none" w:sz="0" w:space="0" w:color="auto"/>
        <w:right w:val="none" w:sz="0" w:space="0" w:color="auto"/>
      </w:divBdr>
    </w:div>
    <w:div w:id="210344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pengeospatial.org/projects/groups/gufswg"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github.com/cobweb-eu/workflow-at" TargetMode="External"/><Relationship Id="rId12" Type="http://schemas.openxmlformats.org/officeDocument/2006/relationships/hyperlink" Target="https://cobwebproject.eu"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hyperlink" Target="http://www.bpmn.org" TargetMode="External"/><Relationship Id="rId17" Type="http://schemas.openxmlformats.org/officeDocument/2006/relationships/image" Target="media/image5.png"/><Relationship Id="rId18" Type="http://schemas.openxmlformats.org/officeDocument/2006/relationships/hyperlink" Target="http://www.ecsa2016.eu/" TargetMode="External"/><Relationship Id="rId19" Type="http://schemas.openxmlformats.org/officeDocument/2006/relationships/image" Target="media/image6.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pm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eoviqua.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mdpi.com" TargetMode="External"/><Relationship Id="rId2" Type="http://schemas.openxmlformats.org/officeDocument/2006/relationships/image" Target="media/image7.wmf"/><Relationship Id="rId3"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gzdl/Documents/Dids/DidsE/ArticleEnCours/article_COBWEB%20JKW%20.../JKW_JoRemoSens2016/Journal%20Data/data-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72A13-1714-4F43-9689-79AC136F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data-template.dot</Template>
  <TotalTime>8</TotalTime>
  <Pages>22</Pages>
  <Words>10398</Words>
  <Characters>59275</Characters>
  <Application>Microsoft Macintosh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Rosser Julian</dc:creator>
  <cp:keywords/>
  <dc:description/>
  <cp:lastModifiedBy>Leibovici Didier</cp:lastModifiedBy>
  <cp:revision>9</cp:revision>
  <cp:lastPrinted>2017-08-23T10:08:00Z</cp:lastPrinted>
  <dcterms:created xsi:type="dcterms:W3CDTF">2017-10-02T18:30:00Z</dcterms:created>
  <dcterms:modified xsi:type="dcterms:W3CDTF">2017-10-02T18:41:00Z</dcterms:modified>
</cp:coreProperties>
</file>