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993FC54" w14:textId="77777777" w:rsidR="0024536F" w:rsidRDefault="0024536F" w:rsidP="0024536F">
      <w:pPr>
        <w:pStyle w:val="MDPI12title"/>
        <w:tabs>
          <w:tab w:val="left" w:pos="2687"/>
        </w:tabs>
        <w:spacing w:line="240" w:lineRule="atLeast"/>
        <w:rPr>
          <w:lang w:val="en-GB"/>
        </w:rPr>
      </w:pPr>
      <w:r>
        <w:t>E</w:t>
      </w:r>
      <w:proofErr w:type="spellStart"/>
      <w:r>
        <w:rPr>
          <w:lang w:val="en-GB"/>
        </w:rPr>
        <w:t>nantioselective</w:t>
      </w:r>
      <w:proofErr w:type="spellEnd"/>
      <w:r>
        <w:rPr>
          <w:lang w:val="en-GB"/>
        </w:rPr>
        <w:t xml:space="preserve"> transamination in continuous flow mode with transaminase immobilized in a </w:t>
      </w:r>
      <w:proofErr w:type="spellStart"/>
      <w:r>
        <w:rPr>
          <w:lang w:val="en-GB"/>
        </w:rPr>
        <w:t>macrocellular</w:t>
      </w:r>
      <w:proofErr w:type="spellEnd"/>
      <w:r>
        <w:rPr>
          <w:lang w:val="en-GB"/>
        </w:rPr>
        <w:t xml:space="preserve"> silica monolith</w:t>
      </w:r>
    </w:p>
    <w:p w14:paraId="104DD98D" w14:textId="77777777" w:rsidR="00755169" w:rsidRPr="00247EB6" w:rsidRDefault="00755169" w:rsidP="00755169">
      <w:pPr>
        <w:pStyle w:val="MDPI13authornames"/>
      </w:pPr>
      <w:proofErr w:type="spellStart"/>
      <w:r>
        <w:t>Ludivine</w:t>
      </w:r>
      <w:proofErr w:type="spellEnd"/>
      <w:r>
        <w:t xml:space="preserve"> van den </w:t>
      </w:r>
      <w:proofErr w:type="spellStart"/>
      <w:r>
        <w:t>Biggelaar</w:t>
      </w:r>
      <w:proofErr w:type="spellEnd"/>
      <w:r>
        <w:t xml:space="preserve"> </w:t>
      </w:r>
      <w:r w:rsidRPr="00247EB6">
        <w:rPr>
          <w:vertAlign w:val="superscript"/>
        </w:rPr>
        <w:t>1</w:t>
      </w:r>
      <w:r w:rsidRPr="00247EB6">
        <w:t xml:space="preserve">, </w:t>
      </w:r>
      <w:r>
        <w:t xml:space="preserve">Patrice </w:t>
      </w:r>
      <w:proofErr w:type="spellStart"/>
      <w:r>
        <w:t>Soumillion</w:t>
      </w:r>
      <w:proofErr w:type="spellEnd"/>
      <w:r>
        <w:t xml:space="preserve"> </w:t>
      </w:r>
      <w:r w:rsidRPr="00247EB6">
        <w:rPr>
          <w:vertAlign w:val="superscript"/>
        </w:rPr>
        <w:t>2</w:t>
      </w:r>
      <w:r w:rsidRPr="00247EB6">
        <w:t xml:space="preserve"> and </w:t>
      </w:r>
      <w:r>
        <w:t>Damien P. Debecker</w:t>
      </w:r>
      <w:r w:rsidRPr="00247EB6">
        <w:t xml:space="preserve"> </w:t>
      </w:r>
      <w:r>
        <w:rPr>
          <w:vertAlign w:val="superscript"/>
        </w:rPr>
        <w:t>1</w:t>
      </w:r>
      <w:r w:rsidRPr="00247EB6">
        <w:rPr>
          <w:vertAlign w:val="superscript"/>
        </w:rPr>
        <w:t>,</w:t>
      </w:r>
      <w:r w:rsidRPr="00247EB6">
        <w:t>*</w:t>
      </w:r>
    </w:p>
    <w:p w14:paraId="159FA92D" w14:textId="77777777" w:rsidR="00755169" w:rsidRDefault="00755169" w:rsidP="00755169">
      <w:pPr>
        <w:pStyle w:val="MDPI16affiliation"/>
      </w:pPr>
      <w:r w:rsidRPr="00247EB6">
        <w:rPr>
          <w:vertAlign w:val="superscript"/>
        </w:rPr>
        <w:t>1</w:t>
      </w:r>
      <w:r>
        <w:tab/>
      </w:r>
      <w:r w:rsidRPr="00674F95">
        <w:rPr>
          <w:lang w:val="en-GB"/>
        </w:rPr>
        <w:t xml:space="preserve">Institute of Condensed Matter and </w:t>
      </w:r>
      <w:proofErr w:type="spellStart"/>
      <w:r w:rsidRPr="00674F95">
        <w:rPr>
          <w:lang w:val="en-GB"/>
        </w:rPr>
        <w:t>Nanosciences</w:t>
      </w:r>
      <w:proofErr w:type="spellEnd"/>
      <w:r>
        <w:rPr>
          <w:lang w:val="en-GB"/>
        </w:rPr>
        <w:t xml:space="preserve">, </w:t>
      </w:r>
      <w:proofErr w:type="spellStart"/>
      <w:r w:rsidRPr="00674F95">
        <w:rPr>
          <w:lang w:val="en-GB"/>
        </w:rPr>
        <w:t>Université</w:t>
      </w:r>
      <w:proofErr w:type="spellEnd"/>
      <w:r w:rsidRPr="00674F95">
        <w:rPr>
          <w:lang w:val="en-GB"/>
        </w:rPr>
        <w:t xml:space="preserve"> </w:t>
      </w:r>
      <w:proofErr w:type="spellStart"/>
      <w:r w:rsidRPr="00674F95">
        <w:rPr>
          <w:lang w:val="en-GB"/>
        </w:rPr>
        <w:t>catholique</w:t>
      </w:r>
      <w:proofErr w:type="spellEnd"/>
      <w:r w:rsidRPr="00674F95">
        <w:rPr>
          <w:lang w:val="en-GB"/>
        </w:rPr>
        <w:t xml:space="preserve"> de Louvain</w:t>
      </w:r>
      <w:r>
        <w:rPr>
          <w:lang w:val="en-GB"/>
        </w:rPr>
        <w:t>, Belgium</w:t>
      </w:r>
    </w:p>
    <w:p w14:paraId="2929EA9B" w14:textId="77777777" w:rsidR="00755169" w:rsidRPr="00247EB6" w:rsidRDefault="00755169" w:rsidP="00755169">
      <w:pPr>
        <w:pStyle w:val="MDPI16affiliation"/>
      </w:pPr>
      <w:r w:rsidRPr="00247EB6">
        <w:rPr>
          <w:szCs w:val="20"/>
          <w:vertAlign w:val="superscript"/>
        </w:rPr>
        <w:t>2</w:t>
      </w:r>
      <w:r w:rsidRPr="00247EB6">
        <w:rPr>
          <w:szCs w:val="20"/>
          <w:vertAlign w:val="superscript"/>
        </w:rPr>
        <w:tab/>
      </w:r>
      <w:r w:rsidRPr="00674F95">
        <w:rPr>
          <w:lang w:val="en-GB"/>
        </w:rPr>
        <w:t>Institute of Life Sciences</w:t>
      </w:r>
      <w:r>
        <w:rPr>
          <w:lang w:val="en-GB"/>
        </w:rPr>
        <w:t xml:space="preserve">, </w:t>
      </w:r>
      <w:proofErr w:type="spellStart"/>
      <w:r w:rsidRPr="00774A6E">
        <w:rPr>
          <w:szCs w:val="20"/>
        </w:rPr>
        <w:t>Université</w:t>
      </w:r>
      <w:proofErr w:type="spellEnd"/>
      <w:r w:rsidRPr="00774A6E">
        <w:rPr>
          <w:szCs w:val="20"/>
        </w:rPr>
        <w:t xml:space="preserve"> </w:t>
      </w:r>
      <w:proofErr w:type="spellStart"/>
      <w:r w:rsidRPr="00774A6E">
        <w:rPr>
          <w:szCs w:val="20"/>
        </w:rPr>
        <w:t>catholique</w:t>
      </w:r>
      <w:proofErr w:type="spellEnd"/>
      <w:r w:rsidRPr="00774A6E">
        <w:rPr>
          <w:szCs w:val="20"/>
        </w:rPr>
        <w:t xml:space="preserve"> de Louvain, </w:t>
      </w:r>
      <w:proofErr w:type="gramStart"/>
      <w:r w:rsidRPr="00774A6E">
        <w:rPr>
          <w:szCs w:val="20"/>
        </w:rPr>
        <w:t>Belgium</w:t>
      </w:r>
      <w:proofErr w:type="gramEnd"/>
    </w:p>
    <w:p w14:paraId="481A0C2F" w14:textId="77777777" w:rsidR="00755169" w:rsidRPr="00247EB6" w:rsidRDefault="00755169" w:rsidP="00755169">
      <w:pPr>
        <w:pStyle w:val="MDPI14history"/>
        <w:spacing w:before="0"/>
        <w:ind w:left="311" w:hanging="198"/>
      </w:pPr>
      <w:r w:rsidRPr="0078779B">
        <w:rPr>
          <w:b/>
        </w:rPr>
        <w:t>*</w:t>
      </w:r>
      <w:r w:rsidRPr="0078779B">
        <w:tab/>
        <w:t>Correspondence: damien.debecker@uclouvain.be; Tel.: +</w:t>
      </w:r>
      <w:r w:rsidRPr="00774A6E">
        <w:t>32 (0)10 47 36 48</w:t>
      </w:r>
    </w:p>
    <w:p w14:paraId="0D0995A8" w14:textId="77777777" w:rsidR="00755169" w:rsidRDefault="00755169" w:rsidP="00F74A76">
      <w:pPr>
        <w:pStyle w:val="Style1"/>
        <w:jc w:val="center"/>
        <w:rPr>
          <w:rFonts w:ascii="Arial" w:hAnsi="Arial"/>
          <w:sz w:val="20"/>
          <w:szCs w:val="14"/>
          <w:lang w:val="en-US"/>
        </w:rPr>
      </w:pPr>
    </w:p>
    <w:p w14:paraId="2A5232AE" w14:textId="77777777" w:rsidR="00755169" w:rsidRDefault="00755169" w:rsidP="00F74A76">
      <w:pPr>
        <w:pStyle w:val="Style1"/>
        <w:jc w:val="center"/>
        <w:rPr>
          <w:rFonts w:ascii="Arial" w:hAnsi="Arial"/>
          <w:sz w:val="20"/>
          <w:szCs w:val="14"/>
          <w:lang w:val="en-US"/>
        </w:rPr>
      </w:pPr>
    </w:p>
    <w:p w14:paraId="2E6EFB41" w14:textId="77777777" w:rsidR="00755169" w:rsidRDefault="00755169" w:rsidP="00F74A76">
      <w:pPr>
        <w:pStyle w:val="Style1"/>
        <w:jc w:val="center"/>
        <w:rPr>
          <w:rFonts w:ascii="Arial" w:hAnsi="Arial"/>
          <w:sz w:val="20"/>
          <w:szCs w:val="14"/>
          <w:lang w:val="en-US"/>
        </w:rPr>
      </w:pPr>
    </w:p>
    <w:p w14:paraId="0C90E1F6" w14:textId="77777777" w:rsidR="00F74A76" w:rsidRPr="00755169" w:rsidRDefault="00F74A76" w:rsidP="00755169">
      <w:pPr>
        <w:pStyle w:val="MDPI12title"/>
        <w:tabs>
          <w:tab w:val="left" w:pos="2687"/>
        </w:tabs>
        <w:spacing w:line="240" w:lineRule="atLeast"/>
        <w:jc w:val="center"/>
        <w:rPr>
          <w:lang w:val="en-GB"/>
        </w:rPr>
      </w:pPr>
      <w:r w:rsidRPr="00755169">
        <w:rPr>
          <w:lang w:val="en-GB"/>
        </w:rPr>
        <w:t>Supporting Information</w:t>
      </w:r>
    </w:p>
    <w:p w14:paraId="374947B8" w14:textId="77777777" w:rsidR="00755169" w:rsidRDefault="00755169">
      <w:pPr>
        <w:rPr>
          <w:rFonts w:ascii="Arial" w:eastAsiaTheme="minorEastAsia" w:hAnsi="Arial"/>
          <w:sz w:val="20"/>
          <w:szCs w:val="14"/>
          <w:lang w:val="en-US"/>
        </w:rPr>
      </w:pPr>
      <w:r>
        <w:rPr>
          <w:rFonts w:ascii="Arial" w:hAnsi="Arial"/>
          <w:sz w:val="20"/>
          <w:szCs w:val="14"/>
          <w:lang w:val="en-US"/>
        </w:rPr>
        <w:br w:type="page"/>
      </w:r>
    </w:p>
    <w:p w14:paraId="2D39441B" w14:textId="30EE0BD9" w:rsidR="00F74A76" w:rsidRPr="0068040C" w:rsidRDefault="00F74A76" w:rsidP="00F74A76">
      <w:pPr>
        <w:pStyle w:val="Style1"/>
        <w:jc w:val="left"/>
        <w:rPr>
          <w:rFonts w:ascii="Arial" w:hAnsi="Arial"/>
          <w:sz w:val="20"/>
          <w:szCs w:val="14"/>
          <w:lang w:val="en-US"/>
        </w:rPr>
      </w:pPr>
      <w:r w:rsidRPr="0068040C">
        <w:rPr>
          <w:rFonts w:ascii="Arial" w:hAnsi="Arial"/>
          <w:noProof/>
          <w:color w:val="008040"/>
          <w:sz w:val="17"/>
          <w:lang w:val="en-US" w:eastAsia="fr-BE"/>
        </w:rPr>
        <w:lastRenderedPageBreak/>
        <w:drawing>
          <wp:inline distT="0" distB="0" distL="0" distR="0" wp14:anchorId="0CBB67C4" wp14:editId="7C5F8F8C">
            <wp:extent cx="5756910" cy="2420620"/>
            <wp:effectExtent l="0" t="0" r="8890" b="0"/>
            <wp:docPr id="2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a:ext>
                      </a:extLst>
                    </a:blip>
                    <a:srcRect/>
                    <a:stretch>
                      <a:fillRect/>
                    </a:stretch>
                  </pic:blipFill>
                  <pic:spPr bwMode="auto">
                    <a:xfrm>
                      <a:off x="0" y="0"/>
                      <a:ext cx="5756910" cy="2420620"/>
                    </a:xfrm>
                    <a:prstGeom prst="rect">
                      <a:avLst/>
                    </a:prstGeom>
                    <a:noFill/>
                    <a:ln>
                      <a:noFill/>
                    </a:ln>
                  </pic:spPr>
                </pic:pic>
              </a:graphicData>
            </a:graphic>
          </wp:inline>
        </w:drawing>
      </w:r>
    </w:p>
    <w:p w14:paraId="08F679F5" w14:textId="08531423" w:rsidR="00F74A76" w:rsidRPr="005941D9" w:rsidRDefault="00F74A76" w:rsidP="00F74A76">
      <w:pPr>
        <w:pStyle w:val="Style1"/>
        <w:rPr>
          <w:rFonts w:ascii="Arial" w:hAnsi="Arial"/>
          <w:sz w:val="20"/>
          <w:szCs w:val="20"/>
          <w:lang w:val="en-US"/>
        </w:rPr>
      </w:pPr>
      <w:r w:rsidRPr="005941D9">
        <w:rPr>
          <w:rFonts w:ascii="Arial" w:hAnsi="Arial"/>
          <w:b/>
          <w:sz w:val="20"/>
          <w:szCs w:val="20"/>
          <w:lang w:val="en-US"/>
        </w:rPr>
        <w:t>Figure S</w:t>
      </w:r>
      <w:r w:rsidRPr="005941D9">
        <w:rPr>
          <w:rFonts w:ascii="Arial" w:hAnsi="Arial"/>
          <w:b/>
          <w:sz w:val="20"/>
          <w:szCs w:val="20"/>
          <w:lang w:val="en-US"/>
        </w:rPr>
        <w:fldChar w:fldCharType="begin"/>
      </w:r>
      <w:r w:rsidRPr="005941D9">
        <w:rPr>
          <w:rFonts w:ascii="Arial" w:hAnsi="Arial"/>
          <w:b/>
          <w:sz w:val="20"/>
          <w:szCs w:val="20"/>
          <w:lang w:val="en-US"/>
        </w:rPr>
        <w:instrText xml:space="preserve"> SEQ Figure \* ARABIC </w:instrText>
      </w:r>
      <w:r w:rsidRPr="005941D9">
        <w:rPr>
          <w:rFonts w:ascii="Arial" w:hAnsi="Arial"/>
          <w:b/>
          <w:sz w:val="20"/>
          <w:szCs w:val="20"/>
          <w:lang w:val="en-US"/>
        </w:rPr>
        <w:fldChar w:fldCharType="separate"/>
      </w:r>
      <w:r w:rsidRPr="005941D9">
        <w:rPr>
          <w:rFonts w:ascii="Arial" w:hAnsi="Arial"/>
          <w:b/>
          <w:noProof/>
          <w:sz w:val="20"/>
          <w:szCs w:val="20"/>
          <w:lang w:val="en-US"/>
        </w:rPr>
        <w:t>1</w:t>
      </w:r>
      <w:r w:rsidRPr="005941D9">
        <w:rPr>
          <w:rFonts w:ascii="Arial" w:hAnsi="Arial"/>
          <w:b/>
          <w:sz w:val="20"/>
          <w:szCs w:val="20"/>
          <w:lang w:val="en-US"/>
        </w:rPr>
        <w:fldChar w:fldCharType="end"/>
      </w:r>
      <w:r w:rsidRPr="005941D9">
        <w:rPr>
          <w:rFonts w:ascii="Arial" w:hAnsi="Arial"/>
          <w:sz w:val="20"/>
          <w:szCs w:val="20"/>
          <w:lang w:val="en-US"/>
        </w:rPr>
        <w:t xml:space="preserve"> – </w:t>
      </w:r>
      <w:proofErr w:type="gramStart"/>
      <w:r w:rsidRPr="005941D9">
        <w:rPr>
          <w:rFonts w:ascii="Arial" w:hAnsi="Arial"/>
          <w:sz w:val="20"/>
          <w:szCs w:val="20"/>
          <w:lang w:val="en-US"/>
        </w:rPr>
        <w:t>Si(</w:t>
      </w:r>
      <w:proofErr w:type="gramEnd"/>
      <w:r w:rsidRPr="005941D9">
        <w:rPr>
          <w:rFonts w:ascii="Arial" w:hAnsi="Arial"/>
          <w:sz w:val="20"/>
          <w:szCs w:val="20"/>
          <w:lang w:val="en-US"/>
        </w:rPr>
        <w:t>HIPE) monolith synthesis.</w:t>
      </w:r>
      <w:bookmarkStart w:id="0" w:name="_Ref340139469"/>
      <w:r w:rsidR="002D2947" w:rsidRPr="005941D9">
        <w:rPr>
          <w:rFonts w:ascii="Arial" w:hAnsi="Arial"/>
          <w:sz w:val="20"/>
          <w:szCs w:val="20"/>
          <w:lang w:val="en-US"/>
        </w:rPr>
        <w:t xml:space="preserve"> </w:t>
      </w:r>
      <w:r w:rsidR="002D2947" w:rsidRPr="005941D9">
        <w:rPr>
          <w:rFonts w:ascii="Arial" w:hAnsi="Arial"/>
          <w:sz w:val="20"/>
          <w:szCs w:val="20"/>
          <w:lang w:val="en-US"/>
        </w:rPr>
        <w:t xml:space="preserve">6 g of a concentrated hydrochloric acid solution (37 % </w:t>
      </w:r>
      <w:proofErr w:type="spellStart"/>
      <w:r w:rsidR="002D2947" w:rsidRPr="005941D9">
        <w:rPr>
          <w:rFonts w:ascii="Arial" w:hAnsi="Arial"/>
          <w:sz w:val="20"/>
          <w:szCs w:val="20"/>
          <w:lang w:val="en-US"/>
        </w:rPr>
        <w:t>wt</w:t>
      </w:r>
      <w:proofErr w:type="spellEnd"/>
      <w:r w:rsidR="002D2947" w:rsidRPr="005941D9">
        <w:rPr>
          <w:rFonts w:ascii="Arial" w:hAnsi="Arial"/>
          <w:sz w:val="20"/>
          <w:szCs w:val="20"/>
          <w:lang w:val="en-US"/>
        </w:rPr>
        <w:t xml:space="preserve">) were introduced in 16 g of a TTAB aqueous solution (35 % </w:t>
      </w:r>
      <w:proofErr w:type="spellStart"/>
      <w:r w:rsidR="002D2947" w:rsidRPr="005941D9">
        <w:rPr>
          <w:rFonts w:ascii="Arial" w:hAnsi="Arial"/>
          <w:sz w:val="20"/>
          <w:szCs w:val="20"/>
          <w:lang w:val="en-US"/>
        </w:rPr>
        <w:t>wt</w:t>
      </w:r>
      <w:proofErr w:type="spellEnd"/>
      <w:r w:rsidR="002D2947" w:rsidRPr="005941D9">
        <w:rPr>
          <w:rFonts w:ascii="Arial" w:hAnsi="Arial"/>
          <w:sz w:val="20"/>
          <w:szCs w:val="20"/>
          <w:lang w:val="en-US"/>
        </w:rPr>
        <w:t xml:space="preserve">). Then 5 g of TEOS was added. The aqueous phase was stirred until a monophasic hydrophilic medium was obtained. To form an emulsion, 35 g </w:t>
      </w:r>
      <w:proofErr w:type="spellStart"/>
      <w:r w:rsidR="002D2947" w:rsidRPr="005941D9">
        <w:rPr>
          <w:rFonts w:ascii="Arial" w:hAnsi="Arial"/>
          <w:sz w:val="20"/>
          <w:szCs w:val="20"/>
          <w:lang w:val="en-US"/>
        </w:rPr>
        <w:t>dodecane</w:t>
      </w:r>
      <w:proofErr w:type="spellEnd"/>
      <w:r w:rsidR="002D2947" w:rsidRPr="005941D9">
        <w:rPr>
          <w:rFonts w:ascii="Arial" w:hAnsi="Arial"/>
          <w:sz w:val="20"/>
          <w:szCs w:val="20"/>
          <w:lang w:val="en-US"/>
        </w:rPr>
        <w:t xml:space="preserve"> was then added dropwise in a mortar while stirring. Emulsion was cast into a polypropylene 10 mL flask, allowed to condense for 1 week at room temperature. Resulting material was washed three times with 50 mL of a THF/acetone mixture (1:1 v/v) (each washing lasted 24 h) and then gently dried in air during 3 days before calcined at 650 °C for 6 h (heating rate of 2 °C/min with a first plateau at 180 °C for 6 h). Porous monoliths were stored in a desiccator at room temperature.</w:t>
      </w:r>
    </w:p>
    <w:p w14:paraId="75E76519" w14:textId="77777777" w:rsidR="002D2947" w:rsidRPr="0068040C" w:rsidRDefault="002D2947" w:rsidP="00F74A76">
      <w:pPr>
        <w:pStyle w:val="Style1"/>
        <w:rPr>
          <w:rFonts w:ascii="Arial" w:hAnsi="Arial"/>
          <w:sz w:val="14"/>
          <w:szCs w:val="14"/>
          <w:lang w:val="en-US"/>
        </w:rPr>
      </w:pPr>
    </w:p>
    <w:p w14:paraId="7153E2F4" w14:textId="77777777" w:rsidR="00755169" w:rsidRDefault="00755169">
      <w:pPr>
        <w:rPr>
          <w:rFonts w:ascii="Arial" w:eastAsiaTheme="minorEastAsia" w:hAnsi="Arial"/>
          <w:sz w:val="14"/>
          <w:szCs w:val="14"/>
          <w:lang w:val="en-US"/>
        </w:rPr>
      </w:pPr>
      <w:r>
        <w:rPr>
          <w:rFonts w:ascii="Arial" w:hAnsi="Arial"/>
          <w:sz w:val="14"/>
          <w:szCs w:val="14"/>
          <w:lang w:val="en-US"/>
        </w:rPr>
        <w:br w:type="page"/>
      </w:r>
    </w:p>
    <w:p w14:paraId="72B15DAE" w14:textId="1151270D" w:rsidR="00F74A76" w:rsidRPr="0068040C" w:rsidRDefault="00F74A76" w:rsidP="00F74A76">
      <w:pPr>
        <w:pStyle w:val="Style1"/>
        <w:rPr>
          <w:rFonts w:ascii="Arial" w:hAnsi="Arial"/>
          <w:sz w:val="14"/>
          <w:szCs w:val="14"/>
          <w:lang w:val="en-US"/>
        </w:rPr>
      </w:pPr>
      <w:r w:rsidRPr="0068040C">
        <w:rPr>
          <w:rFonts w:ascii="Arial" w:hAnsi="Arial"/>
          <w:noProof/>
          <w:color w:val="008040"/>
          <w:sz w:val="17"/>
          <w:lang w:val="en-US" w:eastAsia="fr-BE"/>
        </w:rPr>
        <w:lastRenderedPageBreak/>
        <w:drawing>
          <wp:inline distT="0" distB="0" distL="0" distR="0" wp14:anchorId="6AEE5205" wp14:editId="72C95E44">
            <wp:extent cx="5599430" cy="241427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599430" cy="2414270"/>
                    </a:xfrm>
                    <a:prstGeom prst="rect">
                      <a:avLst/>
                    </a:prstGeom>
                    <a:noFill/>
                    <a:ln>
                      <a:noFill/>
                    </a:ln>
                  </pic:spPr>
                </pic:pic>
              </a:graphicData>
            </a:graphic>
          </wp:inline>
        </w:drawing>
      </w:r>
    </w:p>
    <w:p w14:paraId="1963C676" w14:textId="0180337A" w:rsidR="00F74A76" w:rsidRPr="005941D9" w:rsidRDefault="00F74A76" w:rsidP="00F74A76">
      <w:pPr>
        <w:pStyle w:val="Style1"/>
        <w:rPr>
          <w:rFonts w:ascii="Arial" w:hAnsi="Arial" w:cs="Arial"/>
          <w:sz w:val="20"/>
          <w:szCs w:val="20"/>
          <w:lang w:val="en-US"/>
        </w:rPr>
      </w:pPr>
      <w:r w:rsidRPr="005941D9">
        <w:rPr>
          <w:rFonts w:ascii="Arial" w:hAnsi="Arial" w:cs="Arial"/>
          <w:b/>
          <w:sz w:val="20"/>
          <w:szCs w:val="20"/>
          <w:lang w:val="en-US"/>
        </w:rPr>
        <w:t>Figure S</w:t>
      </w:r>
      <w:r w:rsidRPr="005941D9">
        <w:rPr>
          <w:rFonts w:ascii="Arial" w:hAnsi="Arial" w:cs="Arial"/>
          <w:b/>
          <w:sz w:val="20"/>
          <w:szCs w:val="20"/>
          <w:lang w:val="en-US"/>
        </w:rPr>
        <w:fldChar w:fldCharType="begin"/>
      </w:r>
      <w:r w:rsidRPr="005941D9">
        <w:rPr>
          <w:rFonts w:ascii="Arial" w:hAnsi="Arial" w:cs="Arial"/>
          <w:b/>
          <w:sz w:val="20"/>
          <w:szCs w:val="20"/>
          <w:lang w:val="en-US"/>
        </w:rPr>
        <w:instrText xml:space="preserve"> SEQ Figure \* ARABIC </w:instrText>
      </w:r>
      <w:r w:rsidRPr="005941D9">
        <w:rPr>
          <w:rFonts w:ascii="Arial" w:hAnsi="Arial" w:cs="Arial"/>
          <w:b/>
          <w:sz w:val="20"/>
          <w:szCs w:val="20"/>
          <w:lang w:val="en-US"/>
        </w:rPr>
        <w:fldChar w:fldCharType="separate"/>
      </w:r>
      <w:r w:rsidRPr="005941D9">
        <w:rPr>
          <w:rFonts w:ascii="Arial" w:hAnsi="Arial" w:cs="Arial"/>
          <w:b/>
          <w:noProof/>
          <w:sz w:val="20"/>
          <w:szCs w:val="20"/>
          <w:lang w:val="en-US"/>
        </w:rPr>
        <w:t>2</w:t>
      </w:r>
      <w:r w:rsidRPr="005941D9">
        <w:rPr>
          <w:rFonts w:ascii="Arial" w:hAnsi="Arial" w:cs="Arial"/>
          <w:b/>
          <w:sz w:val="20"/>
          <w:szCs w:val="20"/>
          <w:lang w:val="en-US"/>
        </w:rPr>
        <w:fldChar w:fldCharType="end"/>
      </w:r>
      <w:bookmarkEnd w:id="0"/>
      <w:r w:rsidRPr="005941D9">
        <w:rPr>
          <w:rFonts w:ascii="Arial" w:hAnsi="Arial" w:cs="Arial"/>
          <w:sz w:val="20"/>
          <w:szCs w:val="20"/>
          <w:lang w:val="en-US"/>
        </w:rPr>
        <w:t xml:space="preserve"> – (a) </w:t>
      </w:r>
      <w:r w:rsidR="009232C7">
        <w:rPr>
          <w:rFonts w:ascii="Arial" w:hAnsi="Arial" w:cs="Arial"/>
          <w:sz w:val="20"/>
          <w:szCs w:val="20"/>
          <w:lang w:val="en-US"/>
        </w:rPr>
        <w:t>N</w:t>
      </w:r>
      <w:r w:rsidR="009232C7" w:rsidRPr="005941D9">
        <w:rPr>
          <w:rFonts w:ascii="Arial" w:hAnsi="Arial" w:cs="Arial"/>
          <w:color w:val="000000"/>
          <w:sz w:val="20"/>
          <w:szCs w:val="20"/>
          <w:lang w:val="en-US"/>
        </w:rPr>
        <w:t>itrogen (</w:t>
      </w:r>
      <w:r w:rsidR="009232C7" w:rsidRPr="005941D9">
        <w:rPr>
          <w:rFonts w:ascii="Arial" w:hAnsi="Arial" w:cs="Arial"/>
          <w:color w:val="0F7031"/>
          <w:sz w:val="20"/>
          <w:szCs w:val="20"/>
          <w:lang w:val="en-US"/>
        </w:rPr>
        <w:t>◼</w:t>
      </w:r>
      <w:r w:rsidR="009232C7" w:rsidRPr="005941D9">
        <w:rPr>
          <w:rFonts w:ascii="Arial" w:hAnsi="Arial" w:cs="Arial"/>
          <w:color w:val="000000"/>
          <w:sz w:val="20"/>
          <w:szCs w:val="20"/>
          <w:lang w:val="en-US"/>
        </w:rPr>
        <w:t>) adsorption and (</w:t>
      </w:r>
      <w:r w:rsidR="009232C7" w:rsidRPr="005941D9">
        <w:rPr>
          <w:rFonts w:ascii="Arial" w:hAnsi="Arial" w:cs="Arial"/>
          <w:color w:val="113067"/>
          <w:sz w:val="20"/>
          <w:szCs w:val="20"/>
          <w:lang w:val="en-US"/>
        </w:rPr>
        <w:t>●</w:t>
      </w:r>
      <w:r w:rsidR="009232C7" w:rsidRPr="005941D9">
        <w:rPr>
          <w:rFonts w:ascii="Arial" w:hAnsi="Arial" w:cs="Arial"/>
          <w:color w:val="000000"/>
          <w:sz w:val="20"/>
          <w:szCs w:val="20"/>
          <w:lang w:val="en-US"/>
        </w:rPr>
        <w:t xml:space="preserve">) </w:t>
      </w:r>
      <w:r w:rsidR="009232C7">
        <w:rPr>
          <w:rFonts w:ascii="Arial" w:hAnsi="Arial" w:cs="Arial"/>
          <w:color w:val="000000"/>
          <w:sz w:val="20"/>
          <w:szCs w:val="20"/>
          <w:lang w:val="en-US"/>
        </w:rPr>
        <w:t xml:space="preserve">desorption </w:t>
      </w:r>
      <w:r w:rsidR="009232C7">
        <w:rPr>
          <w:rFonts w:ascii="Arial" w:hAnsi="Arial" w:cs="Arial"/>
          <w:color w:val="000000"/>
          <w:sz w:val="20"/>
          <w:szCs w:val="20"/>
          <w:lang w:val="en-US"/>
        </w:rPr>
        <w:t>isotherms.</w:t>
      </w:r>
      <w:r w:rsidR="009232C7" w:rsidRPr="005941D9">
        <w:rPr>
          <w:rFonts w:ascii="Arial" w:hAnsi="Arial" w:cs="Arial"/>
          <w:sz w:val="20"/>
          <w:szCs w:val="20"/>
          <w:lang w:val="en-US"/>
        </w:rPr>
        <w:t xml:space="preserve"> </w:t>
      </w:r>
      <w:r w:rsidRPr="005941D9">
        <w:rPr>
          <w:rFonts w:ascii="Arial" w:hAnsi="Arial" w:cs="Arial"/>
          <w:sz w:val="20"/>
          <w:szCs w:val="20"/>
          <w:lang w:val="en-US"/>
        </w:rPr>
        <w:t>Specific surface area reaches 820 m</w:t>
      </w:r>
      <w:r w:rsidRPr="005941D9">
        <w:rPr>
          <w:rFonts w:ascii="Arial" w:hAnsi="Arial" w:cs="Arial"/>
          <w:sz w:val="20"/>
          <w:szCs w:val="20"/>
          <w:vertAlign w:val="superscript"/>
          <w:lang w:val="en-US"/>
        </w:rPr>
        <w:t>2</w:t>
      </w:r>
      <w:r w:rsidRPr="005941D9">
        <w:rPr>
          <w:rFonts w:ascii="Arial" w:hAnsi="Arial" w:cs="Arial"/>
          <w:sz w:val="20"/>
          <w:szCs w:val="20"/>
          <w:lang w:val="en-US"/>
        </w:rPr>
        <w:t>.g</w:t>
      </w:r>
      <w:r w:rsidRPr="005941D9">
        <w:rPr>
          <w:rFonts w:ascii="Arial" w:hAnsi="Arial" w:cs="Arial"/>
          <w:sz w:val="20"/>
          <w:szCs w:val="20"/>
          <w:vertAlign w:val="superscript"/>
          <w:lang w:val="en-US"/>
        </w:rPr>
        <w:t>-1</w:t>
      </w:r>
      <w:r w:rsidRPr="005941D9">
        <w:rPr>
          <w:rFonts w:ascii="Arial" w:hAnsi="Arial" w:cs="Arial"/>
          <w:sz w:val="20"/>
          <w:szCs w:val="20"/>
          <w:lang w:val="en-US"/>
        </w:rPr>
        <w:t xml:space="preserve">, mainly explained by </w:t>
      </w:r>
      <w:proofErr w:type="spellStart"/>
      <w:r w:rsidRPr="005941D9">
        <w:rPr>
          <w:rFonts w:ascii="Arial" w:hAnsi="Arial" w:cs="Arial"/>
          <w:sz w:val="20"/>
          <w:szCs w:val="20"/>
          <w:lang w:val="en-US"/>
        </w:rPr>
        <w:t>microporosity</w:t>
      </w:r>
      <w:proofErr w:type="spellEnd"/>
      <w:r w:rsidRPr="005941D9">
        <w:rPr>
          <w:rFonts w:ascii="Arial" w:hAnsi="Arial" w:cs="Arial"/>
          <w:sz w:val="20"/>
          <w:szCs w:val="20"/>
          <w:lang w:val="en-US"/>
        </w:rPr>
        <w:t xml:space="preserve"> due to sili</w:t>
      </w:r>
      <w:r w:rsidR="009232C7">
        <w:rPr>
          <w:rFonts w:ascii="Arial" w:hAnsi="Arial" w:cs="Arial"/>
          <w:sz w:val="20"/>
          <w:szCs w:val="20"/>
          <w:lang w:val="en-US"/>
        </w:rPr>
        <w:t>ca lattice molecular structure</w:t>
      </w:r>
      <w:r w:rsidRPr="005941D9">
        <w:rPr>
          <w:rFonts w:ascii="Arial" w:hAnsi="Arial" w:cs="Arial"/>
          <w:sz w:val="20"/>
          <w:szCs w:val="20"/>
          <w:lang w:val="en-US"/>
        </w:rPr>
        <w:t xml:space="preserve">. (b) Cylindrical </w:t>
      </w:r>
      <w:proofErr w:type="gramStart"/>
      <w:r w:rsidR="009232C7">
        <w:rPr>
          <w:rFonts w:ascii="Arial" w:hAnsi="Arial" w:cs="Arial"/>
          <w:sz w:val="20"/>
          <w:szCs w:val="20"/>
          <w:lang w:val="en-US"/>
        </w:rPr>
        <w:t>Si(</w:t>
      </w:r>
      <w:proofErr w:type="gramEnd"/>
      <w:r w:rsidR="009232C7">
        <w:rPr>
          <w:rFonts w:ascii="Arial" w:hAnsi="Arial" w:cs="Arial"/>
          <w:sz w:val="20"/>
          <w:szCs w:val="20"/>
          <w:lang w:val="en-US"/>
        </w:rPr>
        <w:t xml:space="preserve">HIPE) </w:t>
      </w:r>
      <w:r w:rsidRPr="005941D9">
        <w:rPr>
          <w:rFonts w:ascii="Arial" w:hAnsi="Arial" w:cs="Arial"/>
          <w:sz w:val="20"/>
          <w:szCs w:val="20"/>
          <w:lang w:val="en-US"/>
        </w:rPr>
        <w:t>monolith of ~3.5 cm in height and ~0.9 cm in diameter. Each monolith weighs approximately 0.15 g. Monoliths density is 0.0628 g/cm</w:t>
      </w:r>
      <w:r w:rsidRPr="005941D9">
        <w:rPr>
          <w:rFonts w:ascii="Arial" w:hAnsi="Arial" w:cs="Arial"/>
          <w:sz w:val="20"/>
          <w:szCs w:val="20"/>
          <w:vertAlign w:val="superscript"/>
          <w:lang w:val="en-US"/>
        </w:rPr>
        <w:t>3</w:t>
      </w:r>
      <w:r w:rsidR="00D17AD6" w:rsidRPr="005941D9">
        <w:rPr>
          <w:rFonts w:ascii="Arial" w:hAnsi="Arial" w:cs="Arial"/>
          <w:sz w:val="20"/>
          <w:szCs w:val="20"/>
          <w:lang w:val="en-US"/>
        </w:rPr>
        <w:t xml:space="preserve"> and porosity reaches ~95</w:t>
      </w:r>
      <w:r w:rsidRPr="005941D9">
        <w:rPr>
          <w:rFonts w:ascii="Arial" w:hAnsi="Arial" w:cs="Arial"/>
          <w:sz w:val="20"/>
          <w:szCs w:val="20"/>
          <w:lang w:val="en-US"/>
        </w:rPr>
        <w:t xml:space="preserve"> % (if bulk density is assumed to be 1.56 g.cm</w:t>
      </w:r>
      <w:r w:rsidRPr="005941D9">
        <w:rPr>
          <w:rFonts w:ascii="Arial" w:hAnsi="Arial" w:cs="Arial"/>
          <w:sz w:val="20"/>
          <w:szCs w:val="20"/>
          <w:vertAlign w:val="superscript"/>
          <w:lang w:val="en-US"/>
        </w:rPr>
        <w:t>-3</w:t>
      </w:r>
      <w:r w:rsidRPr="005941D9">
        <w:rPr>
          <w:rFonts w:ascii="Arial" w:hAnsi="Arial" w:cs="Arial"/>
          <w:sz w:val="20"/>
          <w:szCs w:val="20"/>
          <w:lang w:val="en-US"/>
        </w:rPr>
        <w:t xml:space="preserve">) </w:t>
      </w:r>
      <w:r w:rsidRPr="005941D9">
        <w:rPr>
          <w:rFonts w:ascii="Arial" w:hAnsi="Arial" w:cs="Arial"/>
          <w:sz w:val="20"/>
          <w:szCs w:val="20"/>
          <w:lang w:val="en-US"/>
        </w:rPr>
        <w:fldChar w:fldCharType="begin" w:fldLock="1"/>
      </w:r>
      <w:r w:rsidRPr="005941D9">
        <w:rPr>
          <w:rFonts w:ascii="Arial" w:hAnsi="Arial" w:cs="Arial"/>
          <w:sz w:val="20"/>
          <w:szCs w:val="20"/>
          <w:lang w:val="en-US"/>
        </w:rPr>
        <w:instrText>ADDIN CSL_CITATION { "citationItems" : [ { "id" : "ITEM-1", "itemData" : { "DOI" : "10.1021/cm100823d", "ISBN" : "0897-4756\\n1520-5002", "ISSN" : "08974756", "abstract" : "Integrative chemistry-based rational design has been used to synthesize the first lipase [C-CRI]@ Glymo-Si(HIPE) and [C-TA I]@Glymo-Si(HIPE) hybrid macrocellular biocatalysts, where immobilization of crude enzymes is optimized, while circumventing the reactants' low kinetic diffusion, by the use of silica macroporous hosts. As a direct consequence, these new hybrid biocatalysts display unprecedented cycling catalysis performance, as demonstrated by the syntheses of butyloleate ester (used as biodiesel lubricant), hydrolysis of linoleic-glycero ester derivatives (end products used for detergent and soap generations), and trans-esterification (reaction involved in the synthesis of low viscosity biodiesel). Considering that the catalytic performances are given in terms of absolute conversion percentage and not just relative enzyme activity, the enzyme@Glymo-Si(HIPE) hybrid macrocellular biocatalysts presented in this study display unprecedented high yield cycling catalysis performances, where turnover numbers (TON) and turnover frequencies (TOF) show promise for real industrial applications. This study can be considered as a milestone for enzyme-based heterogeneous catalyzes, thereby enhancing their competitiveness with the supported-catalysts commonly used in industry, in total agreement with current sustainable development issues. Also, the new macrocellular biocatalysts are well-suited for large-scale industrial production because of their above-mentioned performance characteristics, further enhanced by their monolithic character, which eases the separation of the catalysts from other reaction components.", "author" : [ { "dropping-particle" : "", "family" : "Brun", "given" : "N.", "non-dropping-particle" : "", "parse-names" : false, "suffix" : "" }, { "dropping-particle" : "", "family" : "Babeau Garcia", "given" : "A.", "non-dropping-particle" : "", "parse-names" : false, "suffix" : "" }, { "dropping-particle" : "", "family" : "Deleuze", "given" : "H.", "non-dropping-particle" : "", "parse-names" : false, "suffix" : "" }, { "dropping-particle" : "", "family" : "Achard", "given" : "M. F.", "non-dropping-particle" : "", "parse-names" : false, "suffix" : "" }, { "dropping-particle" : "", "family" : "Sanchez", "given" : "C.", "non-dropping-particle" : "", "parse-names" : false, "suffix" : "" }, { "dropping-particle" : "", "family" : "Durand", "given" : "F.", "non-dropping-particle" : "", "parse-names" : false, "suffix" : "" }, { "dropping-particle" : "", "family" : "Oestreicher", "given" : "V.", "non-dropping-particle" : "", "parse-names" : false, "suffix" : "" }, { "dropping-particle" : "", "family" : "Backov", "given" : "R.", "non-dropping-particle" : "", "parse-names" : false, "suffix" : "" } ], "container-title" : "Chemistry of Materials", "id" : "ITEM-1", "issue" : "16", "issued" : { "date-parts" : [ [ "2010" ] ] }, "page" : "4555-4562", "title" : "Enzyme-based hybrid macroporous foams as highly efficient biocatalysts obtained through integrative chemistry", "type" : "article-journal", "volume" : "22" }, "uris" : [ "http://www.mendeley.com/documents/?uuid=66043159-6250-45d4-a562-50c75bed68c4" ] } ], "mendeley" : { "formattedCitation" : "[30]", "plainTextFormattedCitation" : "[30]", "previouslyFormattedCitation" : "[30]" }, "properties" : { "noteIndex" : 0 }, "schema" : "https://github.com/citation-style-language/schema/raw/master/csl-citation.json" }</w:instrText>
      </w:r>
      <w:r w:rsidRPr="005941D9">
        <w:rPr>
          <w:rFonts w:ascii="Arial" w:hAnsi="Arial" w:cs="Arial"/>
          <w:sz w:val="20"/>
          <w:szCs w:val="20"/>
          <w:lang w:val="en-US"/>
        </w:rPr>
        <w:fldChar w:fldCharType="separate"/>
      </w:r>
      <w:r w:rsidRPr="005941D9">
        <w:rPr>
          <w:rFonts w:ascii="Arial" w:hAnsi="Arial" w:cs="Arial"/>
          <w:noProof/>
          <w:sz w:val="20"/>
          <w:szCs w:val="20"/>
          <w:lang w:val="en-US"/>
        </w:rPr>
        <w:t>[30]</w:t>
      </w:r>
      <w:r w:rsidRPr="005941D9">
        <w:rPr>
          <w:rFonts w:ascii="Arial" w:hAnsi="Arial" w:cs="Arial"/>
          <w:sz w:val="20"/>
          <w:szCs w:val="20"/>
          <w:lang w:val="en-US"/>
        </w:rPr>
        <w:fldChar w:fldCharType="end"/>
      </w:r>
      <w:r w:rsidRPr="005941D9">
        <w:rPr>
          <w:rFonts w:ascii="Arial" w:hAnsi="Arial" w:cs="Arial"/>
          <w:sz w:val="20"/>
          <w:szCs w:val="20"/>
          <w:lang w:val="en-US"/>
        </w:rPr>
        <w:t xml:space="preserve">. (c) </w:t>
      </w:r>
      <w:proofErr w:type="gramStart"/>
      <w:r w:rsidRPr="005941D9">
        <w:rPr>
          <w:rFonts w:ascii="Arial" w:hAnsi="Arial" w:cs="Arial"/>
          <w:sz w:val="20"/>
          <w:szCs w:val="20"/>
          <w:lang w:val="en-US"/>
        </w:rPr>
        <w:t>Si(</w:t>
      </w:r>
      <w:proofErr w:type="gramEnd"/>
      <w:r w:rsidRPr="005941D9">
        <w:rPr>
          <w:rFonts w:ascii="Arial" w:hAnsi="Arial" w:cs="Arial"/>
          <w:sz w:val="20"/>
          <w:szCs w:val="20"/>
          <w:lang w:val="en-US"/>
        </w:rPr>
        <w:t xml:space="preserve">HIPE) consists of empty interconnected spherical silica shells whose shape is a reminiscence of the </w:t>
      </w:r>
      <w:proofErr w:type="spellStart"/>
      <w:r w:rsidRPr="005941D9">
        <w:rPr>
          <w:rFonts w:ascii="Arial" w:hAnsi="Arial" w:cs="Arial"/>
          <w:sz w:val="20"/>
          <w:szCs w:val="20"/>
          <w:lang w:val="en-US"/>
        </w:rPr>
        <w:t>dodecane</w:t>
      </w:r>
      <w:proofErr w:type="spellEnd"/>
      <w:r w:rsidRPr="005941D9">
        <w:rPr>
          <w:rFonts w:ascii="Arial" w:hAnsi="Arial" w:cs="Arial"/>
          <w:sz w:val="20"/>
          <w:szCs w:val="20"/>
          <w:lang w:val="en-US"/>
        </w:rPr>
        <w:t xml:space="preserve"> droplets in the oil-in-water emulsion. </w:t>
      </w:r>
      <w:proofErr w:type="spellStart"/>
      <w:r w:rsidRPr="005941D9">
        <w:rPr>
          <w:rFonts w:ascii="Arial" w:hAnsi="Arial" w:cs="Arial"/>
          <w:sz w:val="20"/>
          <w:szCs w:val="20"/>
          <w:lang w:val="en-US"/>
        </w:rPr>
        <w:t>Polycondensation</w:t>
      </w:r>
      <w:proofErr w:type="spellEnd"/>
      <w:r w:rsidRPr="005941D9">
        <w:rPr>
          <w:rFonts w:ascii="Arial" w:hAnsi="Arial" w:cs="Arial"/>
          <w:sz w:val="20"/>
          <w:szCs w:val="20"/>
          <w:lang w:val="en-US"/>
        </w:rPr>
        <w:t xml:space="preserve"> of TEOS into silica starts from the organic/aqueous interface towards the rest of aqueous phase </w:t>
      </w:r>
      <w:r w:rsidRPr="005941D9">
        <w:rPr>
          <w:rFonts w:ascii="Arial" w:hAnsi="Arial" w:cs="Arial"/>
          <w:sz w:val="20"/>
          <w:szCs w:val="20"/>
          <w:lang w:val="en-US"/>
        </w:rPr>
        <w:fldChar w:fldCharType="begin" w:fldLock="1"/>
      </w:r>
      <w:r w:rsidRPr="005941D9">
        <w:rPr>
          <w:rFonts w:ascii="Arial" w:hAnsi="Arial" w:cs="Arial"/>
          <w:sz w:val="20"/>
          <w:szCs w:val="20"/>
          <w:lang w:val="en-US"/>
        </w:rPr>
        <w:instrText>ADDIN CSL_CITATION { "citationItems" : [ { "id" : "ITEM-1", "itemData" : { "DOI" : "10.1021/cm100823d", "ISBN" : "0897-4756\\n1520-5002", "ISSN" : "08974756", "abstract" : "Integrative chemistry-based rational design has been used to synthesize the first lipase [C-CRI]@ Glymo-Si(HIPE) and [C-TA I]@Glymo-Si(HIPE) hybrid macrocellular biocatalysts, where immobilization of crude enzymes is optimized, while circumventing the reactants' low kinetic diffusion, by the use of silica macroporous hosts. As a direct consequence, these new hybrid biocatalysts display unprecedented cycling catalysis performance, as demonstrated by the syntheses of butyloleate ester (used as biodiesel lubricant), hydrolysis of linoleic-glycero ester derivatives (end products used for detergent and soap generations), and trans-esterification (reaction involved in the synthesis of low viscosity biodiesel). Considering that the catalytic performances are given in terms of absolute conversion percentage and not just relative enzyme activity, the enzyme@Glymo-Si(HIPE) hybrid macrocellular biocatalysts presented in this study display unprecedented high yield cycling catalysis performances, where turnover numbers (TON) and turnover frequencies (TOF) show promise for real industrial applications. This study can be considered as a milestone for enzyme-based heterogeneous catalyzes, thereby enhancing their competitiveness with the supported-catalysts commonly used in industry, in total agreement with current sustainable development issues. Also, the new macrocellular biocatalysts are well-suited for large-scale industrial production because of their above-mentioned performance characteristics, further enhanced by their monolithic character, which eases the separation of the catalysts from other reaction components.", "author" : [ { "dropping-particle" : "", "family" : "Brun", "given" : "N.", "non-dropping-particle" : "", "parse-names" : false, "suffix" : "" }, { "dropping-particle" : "", "family" : "Babeau Garcia", "given" : "A.", "non-dropping-particle" : "", "parse-names" : false, "suffix" : "" }, { "dropping-particle" : "", "family" : "Deleuze", "given" : "H.", "non-dropping-particle" : "", "parse-names" : false, "suffix" : "" }, { "dropping-particle" : "", "family" : "Achard", "given" : "M. F.", "non-dropping-particle" : "", "parse-names" : false, "suffix" : "" }, { "dropping-particle" : "", "family" : "Sanchez", "given" : "C.", "non-dropping-particle" : "", "parse-names" : false, "suffix" : "" }, { "dropping-particle" : "", "family" : "Durand", "given" : "F.", "non-dropping-particle" : "", "parse-names" : false, "suffix" : "" }, { "dropping-particle" : "", "family" : "Oestreicher", "given" : "V.", "non-dropping-particle" : "", "parse-names" : false, "suffix" : "" }, { "dropping-particle" : "", "family" : "Backov", "given" : "R.", "non-dropping-particle" : "", "parse-names" : false, "suffix" : "" } ], "container-title" : "Chemistry of Materials", "id" : "ITEM-1", "issue" : "16", "issued" : { "date-parts" : [ [ "2010" ] ] }, "page" : "4555-4562", "title" : "Enzyme-based hybrid macroporous foams as highly efficient biocatalysts obtained through integrative chemistry", "type" : "article-journal", "volume" : "22" }, "uris" : [ "http://www.mendeley.com/documents/?uuid=66043159-6250-45d4-a562-50c75bed68c4" ] } ], "mendeley" : { "formattedCitation" : "[30]", "plainTextFormattedCitation" : "[30]", "previouslyFormattedCitation" : "[30]" }, "properties" : { "noteIndex" : 0 }, "schema" : "https://github.com/citation-style-language/schema/raw/master/csl-citation.json" }</w:instrText>
      </w:r>
      <w:r w:rsidRPr="005941D9">
        <w:rPr>
          <w:rFonts w:ascii="Arial" w:hAnsi="Arial" w:cs="Arial"/>
          <w:sz w:val="20"/>
          <w:szCs w:val="20"/>
          <w:lang w:val="en-US"/>
        </w:rPr>
        <w:fldChar w:fldCharType="separate"/>
      </w:r>
      <w:r w:rsidRPr="005941D9">
        <w:rPr>
          <w:rFonts w:ascii="Arial" w:hAnsi="Arial" w:cs="Arial"/>
          <w:noProof/>
          <w:sz w:val="20"/>
          <w:szCs w:val="20"/>
          <w:lang w:val="en-US"/>
        </w:rPr>
        <w:t>[30]</w:t>
      </w:r>
      <w:r w:rsidRPr="005941D9">
        <w:rPr>
          <w:rFonts w:ascii="Arial" w:hAnsi="Arial" w:cs="Arial"/>
          <w:sz w:val="20"/>
          <w:szCs w:val="20"/>
          <w:lang w:val="en-US"/>
        </w:rPr>
        <w:fldChar w:fldCharType="end"/>
      </w:r>
      <w:r w:rsidRPr="005941D9">
        <w:rPr>
          <w:rFonts w:ascii="Arial" w:hAnsi="Arial" w:cs="Arial"/>
          <w:sz w:val="20"/>
          <w:szCs w:val="20"/>
          <w:lang w:val="en-US"/>
        </w:rPr>
        <w:t xml:space="preserve">. The diameter of the </w:t>
      </w:r>
      <w:proofErr w:type="spellStart"/>
      <w:r w:rsidRPr="005941D9">
        <w:rPr>
          <w:rFonts w:ascii="Arial" w:hAnsi="Arial" w:cs="Arial"/>
          <w:sz w:val="20"/>
          <w:szCs w:val="20"/>
          <w:lang w:val="en-US"/>
        </w:rPr>
        <w:t>macrocellular</w:t>
      </w:r>
      <w:proofErr w:type="spellEnd"/>
      <w:r w:rsidRPr="005941D9">
        <w:rPr>
          <w:rFonts w:ascii="Arial" w:hAnsi="Arial" w:cs="Arial"/>
          <w:sz w:val="20"/>
          <w:szCs w:val="20"/>
          <w:lang w:val="en-US"/>
        </w:rPr>
        <w:t xml:space="preserve"> shells is highly variable (from ~1 </w:t>
      </w:r>
      <w:proofErr w:type="spellStart"/>
      <w:r w:rsidRPr="005941D9">
        <w:rPr>
          <w:rFonts w:ascii="Arial" w:hAnsi="Arial" w:cs="Arial"/>
          <w:sz w:val="20"/>
          <w:szCs w:val="20"/>
          <w:lang w:val="en-US"/>
        </w:rPr>
        <w:t>μm</w:t>
      </w:r>
      <w:proofErr w:type="spellEnd"/>
      <w:r w:rsidRPr="005941D9">
        <w:rPr>
          <w:rFonts w:ascii="Arial" w:hAnsi="Arial" w:cs="Arial"/>
          <w:sz w:val="20"/>
          <w:szCs w:val="20"/>
          <w:lang w:val="en-US"/>
        </w:rPr>
        <w:t xml:space="preserve"> to 300 </w:t>
      </w:r>
      <w:proofErr w:type="spellStart"/>
      <w:r w:rsidRPr="005941D9">
        <w:rPr>
          <w:rFonts w:ascii="Arial" w:hAnsi="Arial" w:cs="Arial"/>
          <w:sz w:val="20"/>
          <w:szCs w:val="20"/>
          <w:lang w:val="en-US"/>
        </w:rPr>
        <w:t>μm</w:t>
      </w:r>
      <w:proofErr w:type="spellEnd"/>
      <w:r w:rsidRPr="005941D9">
        <w:rPr>
          <w:rFonts w:ascii="Arial" w:hAnsi="Arial" w:cs="Arial"/>
          <w:sz w:val="20"/>
          <w:szCs w:val="20"/>
          <w:lang w:val="en-US"/>
        </w:rPr>
        <w:t xml:space="preserve">). Monoliths </w:t>
      </w:r>
      <w:proofErr w:type="spellStart"/>
      <w:r w:rsidRPr="005941D9">
        <w:rPr>
          <w:rFonts w:ascii="Arial" w:hAnsi="Arial" w:cs="Arial"/>
          <w:sz w:val="20"/>
          <w:szCs w:val="20"/>
          <w:lang w:val="en-US"/>
        </w:rPr>
        <w:t>macroporous</w:t>
      </w:r>
      <w:proofErr w:type="spellEnd"/>
      <w:r w:rsidRPr="005941D9">
        <w:rPr>
          <w:rFonts w:ascii="Arial" w:hAnsi="Arial" w:cs="Arial"/>
          <w:sz w:val="20"/>
          <w:szCs w:val="20"/>
          <w:lang w:val="en-US"/>
        </w:rPr>
        <w:t xml:space="preserve"> structure observed in SEM can be quantitatively confirmed by Hg-</w:t>
      </w:r>
      <w:proofErr w:type="spellStart"/>
      <w:r w:rsidRPr="005941D9">
        <w:rPr>
          <w:rFonts w:ascii="Arial" w:hAnsi="Arial" w:cs="Arial"/>
          <w:sz w:val="20"/>
          <w:szCs w:val="20"/>
          <w:lang w:val="en-US"/>
        </w:rPr>
        <w:t>porosimetry</w:t>
      </w:r>
      <w:proofErr w:type="spellEnd"/>
      <w:r w:rsidRPr="005941D9">
        <w:rPr>
          <w:rFonts w:ascii="Arial" w:hAnsi="Arial" w:cs="Arial"/>
          <w:sz w:val="20"/>
          <w:szCs w:val="20"/>
          <w:lang w:val="en-US"/>
        </w:rPr>
        <w:t xml:space="preserve">, as already reported </w:t>
      </w:r>
      <w:r w:rsidRPr="005941D9">
        <w:rPr>
          <w:rFonts w:ascii="Arial" w:hAnsi="Arial" w:cs="Arial"/>
          <w:sz w:val="20"/>
          <w:szCs w:val="20"/>
          <w:lang w:val="en-US"/>
        </w:rPr>
        <w:fldChar w:fldCharType="begin" w:fldLock="1"/>
      </w:r>
      <w:r w:rsidRPr="005941D9">
        <w:rPr>
          <w:rFonts w:ascii="Arial" w:hAnsi="Arial" w:cs="Arial"/>
          <w:sz w:val="20"/>
          <w:szCs w:val="20"/>
          <w:lang w:val="en-US"/>
        </w:rPr>
        <w:instrText>ADDIN CSL_CITATION { "citationItems" : [ { "id" : "ITEM-1", "itemData" : { "DOI" : "10.1021/cm100823d", "ISBN" : "0897-4756\\n1520-5002", "ISSN" : "08974756", "abstract" : "Integrative chemistry-based rational design has been used to synthesize the first lipase [C-CRI]@ Glymo-Si(HIPE) and [C-TA I]@Glymo-Si(HIPE) hybrid macrocellular biocatalysts, where immobilization of crude enzymes is optimized, while circumventing the reactants' low kinetic diffusion, by the use of silica macroporous hosts. As a direct consequence, these new hybrid biocatalysts display unprecedented cycling catalysis performance, as demonstrated by the syntheses of butyloleate ester (used as biodiesel lubricant), hydrolysis of linoleic-glycero ester derivatives (end products used for detergent and soap generations), and trans-esterification (reaction involved in the synthesis of low viscosity biodiesel). Considering that the catalytic performances are given in terms of absolute conversion percentage and not just relative enzyme activity, the enzyme@Glymo-Si(HIPE) hybrid macrocellular biocatalysts presented in this study display unprecedented high yield cycling catalysis performances, where turnover numbers (TON) and turnover frequencies (TOF) show promise for real industrial applications. This study can be considered as a milestone for enzyme-based heterogeneous catalyzes, thereby enhancing their competitiveness with the supported-catalysts commonly used in industry, in total agreement with current sustainable development issues. Also, the new macrocellular biocatalysts are well-suited for large-scale industrial production because of their above-mentioned performance characteristics, further enhanced by their monolithic character, which eases the separation of the catalysts from other reaction components.", "author" : [ { "dropping-particle" : "", "family" : "Brun", "given" : "N.", "non-dropping-particle" : "", "parse-names" : false, "suffix" : "" }, { "dropping-particle" : "", "family" : "Babeau Garcia", "given" : "A.", "non-dropping-particle" : "", "parse-names" : false, "suffix" : "" }, { "dropping-particle" : "", "family" : "Deleuze", "given" : "H.", "non-dropping-particle" : "", "parse-names" : false, "suffix" : "" }, { "dropping-particle" : "", "family" : "Achard", "given" : "M. F.", "non-dropping-particle" : "", "parse-names" : false, "suffix" : "" }, { "dropping-particle" : "", "family" : "Sanchez", "given" : "C.", "non-dropping-particle" : "", "parse-names" : false, "suffix" : "" }, { "dropping-particle" : "", "family" : "Durand", "given" : "F.", "non-dropping-particle" : "", "parse-names" : false, "suffix" : "" }, { "dropping-particle" : "", "family" : "Oestreicher", "given" : "V.", "non-dropping-particle" : "", "parse-names" : false, "suffix" : "" }, { "dropping-particle" : "", "family" : "Backov", "given" : "R.", "non-dropping-particle" : "", "parse-names" : false, "suffix" : "" } ], "container-title" : "Chemistry of Materials", "id" : "ITEM-1", "issue" : "16", "issued" : { "date-parts" : [ [ "2010" ] ] }, "page" : "4555-4562", "title" : "Enzyme-based hybrid macroporous foams as highly efficient biocatalysts obtained through integrative chemistry", "type" : "article-journal", "volume" : "22" }, "uris" : [ "http://www.mendeley.com/documents/?uuid=66043159-6250-45d4-a562-50c75bed68c4" ] } ], "mendeley" : { "formattedCitation" : "[30]", "plainTextFormattedCitation" : "[30]", "previouslyFormattedCitation" : "[30]" }, "properties" : { "noteIndex" : 0 }, "schema" : "https://github.com/citation-style-language/schema/raw/master/csl-citation.json" }</w:instrText>
      </w:r>
      <w:r w:rsidRPr="005941D9">
        <w:rPr>
          <w:rFonts w:ascii="Arial" w:hAnsi="Arial" w:cs="Arial"/>
          <w:sz w:val="20"/>
          <w:szCs w:val="20"/>
          <w:lang w:val="en-US"/>
        </w:rPr>
        <w:fldChar w:fldCharType="separate"/>
      </w:r>
      <w:r w:rsidRPr="005941D9">
        <w:rPr>
          <w:rFonts w:ascii="Arial" w:hAnsi="Arial" w:cs="Arial"/>
          <w:noProof/>
          <w:sz w:val="20"/>
          <w:szCs w:val="20"/>
          <w:lang w:val="en-US"/>
        </w:rPr>
        <w:t>[30]</w:t>
      </w:r>
      <w:r w:rsidRPr="005941D9">
        <w:rPr>
          <w:rFonts w:ascii="Arial" w:hAnsi="Arial" w:cs="Arial"/>
          <w:sz w:val="20"/>
          <w:szCs w:val="20"/>
          <w:lang w:val="en-US"/>
        </w:rPr>
        <w:fldChar w:fldCharType="end"/>
      </w:r>
      <w:r w:rsidRPr="005941D9">
        <w:rPr>
          <w:rFonts w:ascii="Arial" w:hAnsi="Arial" w:cs="Arial"/>
          <w:sz w:val="20"/>
          <w:szCs w:val="20"/>
          <w:lang w:val="en-US"/>
        </w:rPr>
        <w:t xml:space="preserve">. </w:t>
      </w:r>
      <w:bookmarkStart w:id="1" w:name="_Ref340139824"/>
    </w:p>
    <w:p w14:paraId="5D537D14" w14:textId="77777777" w:rsidR="00755169" w:rsidRDefault="00755169">
      <w:pPr>
        <w:rPr>
          <w:rFonts w:ascii="Arial" w:eastAsiaTheme="minorEastAsia" w:hAnsi="Arial"/>
          <w:sz w:val="14"/>
          <w:szCs w:val="14"/>
          <w:lang w:val="en-US"/>
        </w:rPr>
      </w:pPr>
      <w:r>
        <w:rPr>
          <w:rFonts w:ascii="Arial" w:hAnsi="Arial"/>
          <w:sz w:val="14"/>
          <w:szCs w:val="14"/>
          <w:lang w:val="en-US"/>
        </w:rPr>
        <w:br w:type="page"/>
      </w:r>
    </w:p>
    <w:p w14:paraId="23C16639" w14:textId="3A36A48D" w:rsidR="00F74A76" w:rsidRPr="0068040C" w:rsidRDefault="00F74A76" w:rsidP="00F74A76">
      <w:pPr>
        <w:pStyle w:val="Style1"/>
        <w:rPr>
          <w:rFonts w:ascii="Arial" w:hAnsi="Arial"/>
          <w:sz w:val="14"/>
          <w:szCs w:val="14"/>
          <w:lang w:val="en-US"/>
        </w:rPr>
      </w:pPr>
      <w:r w:rsidRPr="0068040C">
        <w:rPr>
          <w:b/>
          <w:bCs/>
          <w:noProof/>
          <w:lang w:val="en-US" w:eastAsia="fr-BE"/>
        </w:rPr>
        <w:lastRenderedPageBreak/>
        <w:drawing>
          <wp:inline distT="0" distB="0" distL="0" distR="0" wp14:anchorId="0BE79997" wp14:editId="32325063">
            <wp:extent cx="5489902" cy="3607900"/>
            <wp:effectExtent l="0" t="0" r="0" b="0"/>
            <wp:docPr id="4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5490399" cy="3608227"/>
                    </a:xfrm>
                    <a:prstGeom prst="rect">
                      <a:avLst/>
                    </a:prstGeom>
                    <a:noFill/>
                    <a:ln>
                      <a:noFill/>
                    </a:ln>
                  </pic:spPr>
                </pic:pic>
              </a:graphicData>
            </a:graphic>
          </wp:inline>
        </w:drawing>
      </w:r>
    </w:p>
    <w:p w14:paraId="4D7B6BE0" w14:textId="30B2ACBB" w:rsidR="00F74A76" w:rsidRPr="005941D9" w:rsidRDefault="00F74A76" w:rsidP="00F74A76">
      <w:pPr>
        <w:pStyle w:val="Style1"/>
        <w:rPr>
          <w:rFonts w:ascii="Arial" w:hAnsi="Arial"/>
          <w:sz w:val="20"/>
          <w:szCs w:val="20"/>
          <w:lang w:val="en-US"/>
        </w:rPr>
      </w:pPr>
      <w:r w:rsidRPr="005941D9">
        <w:rPr>
          <w:rFonts w:ascii="Arial" w:hAnsi="Arial"/>
          <w:b/>
          <w:sz w:val="20"/>
          <w:szCs w:val="20"/>
          <w:lang w:val="en-US"/>
        </w:rPr>
        <w:t>Figure S</w:t>
      </w:r>
      <w:bookmarkEnd w:id="1"/>
      <w:r w:rsidR="005941D9">
        <w:rPr>
          <w:rFonts w:ascii="Arial" w:hAnsi="Arial"/>
          <w:b/>
          <w:sz w:val="20"/>
          <w:szCs w:val="20"/>
          <w:lang w:val="en-US"/>
        </w:rPr>
        <w:t>3</w:t>
      </w:r>
      <w:r w:rsidRPr="005941D9">
        <w:rPr>
          <w:rFonts w:ascii="Arial" w:hAnsi="Arial"/>
          <w:sz w:val="20"/>
          <w:szCs w:val="20"/>
          <w:lang w:val="en-US"/>
        </w:rPr>
        <w:t xml:space="preserve"> – </w:t>
      </w:r>
      <w:r w:rsidR="009232C7" w:rsidRPr="005941D9">
        <w:rPr>
          <w:rFonts w:ascii="Arial" w:hAnsi="Arial"/>
          <w:sz w:val="20"/>
          <w:szCs w:val="20"/>
          <w:lang w:val="en-US"/>
        </w:rPr>
        <w:t xml:space="preserve">(a) ATA-117 protein sequence. Underlined residues are located at the external surface of the enzyme. </w:t>
      </w:r>
      <w:r w:rsidR="009232C7" w:rsidRPr="005941D9">
        <w:rPr>
          <w:rFonts w:ascii="Arial" w:hAnsi="Arial"/>
          <w:sz w:val="20"/>
          <w:szCs w:val="20"/>
          <w:lang w:val="en-US"/>
        </w:rPr>
        <w:t>Colors</w:t>
      </w:r>
      <w:r w:rsidR="009232C7" w:rsidRPr="005941D9">
        <w:rPr>
          <w:rFonts w:ascii="Arial" w:hAnsi="Arial"/>
          <w:sz w:val="20"/>
          <w:szCs w:val="20"/>
          <w:lang w:val="en-US"/>
        </w:rPr>
        <w:t xml:space="preserve"> refer to chemical types. (b) ATA-117 monomer unit.</w:t>
      </w:r>
      <w:r w:rsidR="009232C7">
        <w:rPr>
          <w:rFonts w:ascii="Arial" w:hAnsi="Arial"/>
          <w:sz w:val="20"/>
          <w:szCs w:val="20"/>
          <w:lang w:val="en-US"/>
        </w:rPr>
        <w:t xml:space="preserve"> </w:t>
      </w:r>
      <w:r w:rsidRPr="005941D9">
        <w:rPr>
          <w:rFonts w:ascii="Arial" w:hAnsi="Arial"/>
          <w:sz w:val="20"/>
          <w:szCs w:val="20"/>
          <w:lang w:val="en-US"/>
        </w:rPr>
        <w:t xml:space="preserve">The 3D structure of ATA-117 has been published recently [42] (structure entry on </w:t>
      </w:r>
      <w:proofErr w:type="spellStart"/>
      <w:r w:rsidRPr="005941D9">
        <w:rPr>
          <w:rFonts w:ascii="Arial" w:hAnsi="Arial"/>
          <w:sz w:val="20"/>
          <w:szCs w:val="20"/>
          <w:lang w:val="en-US"/>
        </w:rPr>
        <w:t>PDBe</w:t>
      </w:r>
      <w:proofErr w:type="spellEnd"/>
      <w:r w:rsidRPr="005941D9">
        <w:rPr>
          <w:rFonts w:ascii="Arial" w:hAnsi="Arial"/>
          <w:sz w:val="20"/>
          <w:szCs w:val="20"/>
          <w:lang w:val="en-US"/>
        </w:rPr>
        <w:t xml:space="preserve">: 3wwh). The PISA Tool (Proteins, Interfaces, Structures and Assemblies) [43] </w:t>
      </w:r>
      <w:r w:rsidR="009232C7">
        <w:rPr>
          <w:rFonts w:ascii="Arial" w:hAnsi="Arial"/>
          <w:sz w:val="20"/>
          <w:szCs w:val="20"/>
          <w:lang w:val="en-US"/>
        </w:rPr>
        <w:t>provides</w:t>
      </w:r>
      <w:r w:rsidRPr="005941D9">
        <w:rPr>
          <w:rFonts w:ascii="Arial" w:hAnsi="Arial"/>
          <w:sz w:val="20"/>
          <w:szCs w:val="20"/>
          <w:lang w:val="en-US"/>
        </w:rPr>
        <w:t xml:space="preserve"> the relative position of each amino acid: (</w:t>
      </w:r>
      <w:proofErr w:type="spellStart"/>
      <w:r w:rsidRPr="005941D9">
        <w:rPr>
          <w:rFonts w:ascii="Arial" w:hAnsi="Arial"/>
          <w:sz w:val="20"/>
          <w:szCs w:val="20"/>
          <w:lang w:val="en-US"/>
        </w:rPr>
        <w:t>i</w:t>
      </w:r>
      <w:proofErr w:type="spellEnd"/>
      <w:r w:rsidRPr="005941D9">
        <w:rPr>
          <w:rFonts w:ascii="Arial" w:hAnsi="Arial"/>
          <w:sz w:val="20"/>
          <w:szCs w:val="20"/>
          <w:lang w:val="en-US"/>
        </w:rPr>
        <w:t>) solvent-accessible residues (external surface), (ii) interfacing residues, or (iii) inaccessible residues (located into the enzyme structure). (c) Ratios of chemical functions at the external surface: more than half of the amino acids located at the surface are hydrophobic residues. A large part of the residues are polar or charged.</w:t>
      </w:r>
    </w:p>
    <w:p w14:paraId="1196AAE0" w14:textId="77777777" w:rsidR="002D2947" w:rsidRPr="0068040C" w:rsidRDefault="002D2947">
      <w:pPr>
        <w:rPr>
          <w:rFonts w:ascii="Arial" w:eastAsiaTheme="minorEastAsia" w:hAnsi="Arial"/>
          <w:sz w:val="14"/>
          <w:szCs w:val="14"/>
          <w:lang w:val="en-US"/>
        </w:rPr>
      </w:pPr>
      <w:r w:rsidRPr="0068040C">
        <w:rPr>
          <w:rFonts w:ascii="Arial" w:hAnsi="Arial"/>
          <w:sz w:val="14"/>
          <w:szCs w:val="14"/>
          <w:lang w:val="en-US"/>
        </w:rPr>
        <w:br w:type="page"/>
      </w:r>
    </w:p>
    <w:p w14:paraId="12E6620B" w14:textId="1695F2F7" w:rsidR="00F74A76" w:rsidRPr="0068040C" w:rsidRDefault="00F74A76" w:rsidP="00F74A76">
      <w:pPr>
        <w:pStyle w:val="Style1"/>
        <w:rPr>
          <w:rFonts w:ascii="Arial" w:hAnsi="Arial"/>
          <w:sz w:val="14"/>
          <w:szCs w:val="14"/>
          <w:lang w:val="en-US"/>
        </w:rPr>
      </w:pPr>
      <w:r w:rsidRPr="0068040C">
        <w:rPr>
          <w:rFonts w:ascii="Arial" w:hAnsi="Arial"/>
          <w:noProof/>
          <w:sz w:val="14"/>
          <w:szCs w:val="14"/>
          <w:lang w:val="en-US" w:eastAsia="fr-BE"/>
        </w:rPr>
        <w:lastRenderedPageBreak/>
        <w:drawing>
          <wp:inline distT="0" distB="0" distL="0" distR="0" wp14:anchorId="2FC623FA" wp14:editId="4F42BF34">
            <wp:extent cx="2667000" cy="2079057"/>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 Loading moyen.eps"/>
                    <pic:cNvPicPr/>
                  </pic:nvPicPr>
                  <pic:blipFill rotWithShape="1">
                    <a:blip r:embed="rId10" cstate="email">
                      <a:extLst>
                        <a:ext uri="{28A0092B-C50C-407E-A947-70E740481C1C}">
                          <a14:useLocalDpi xmlns:a14="http://schemas.microsoft.com/office/drawing/2010/main"/>
                        </a:ext>
                      </a:extLst>
                    </a:blip>
                    <a:srcRect b="13384"/>
                    <a:stretch/>
                  </pic:blipFill>
                  <pic:spPr bwMode="auto">
                    <a:xfrm>
                      <a:off x="0" y="0"/>
                      <a:ext cx="2667000" cy="2079057"/>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44F56BB" w14:textId="31C5D770" w:rsidR="00E03347" w:rsidRPr="005941D9" w:rsidRDefault="00F74A76" w:rsidP="00F74A76">
      <w:pPr>
        <w:pStyle w:val="Style1"/>
        <w:rPr>
          <w:rFonts w:ascii="Arial" w:hAnsi="Arial" w:cs="Arial"/>
          <w:sz w:val="20"/>
          <w:szCs w:val="20"/>
          <w:lang w:val="en-US"/>
        </w:rPr>
      </w:pPr>
      <w:r w:rsidRPr="005941D9">
        <w:rPr>
          <w:rFonts w:ascii="Arial" w:hAnsi="Arial" w:cs="Arial"/>
          <w:b/>
          <w:sz w:val="20"/>
          <w:szCs w:val="20"/>
          <w:lang w:val="en-US"/>
        </w:rPr>
        <w:t>Figure S4</w:t>
      </w:r>
      <w:r w:rsidRPr="005941D9">
        <w:rPr>
          <w:rFonts w:ascii="Arial" w:hAnsi="Arial" w:cs="Arial"/>
          <w:sz w:val="20"/>
          <w:szCs w:val="20"/>
          <w:lang w:val="en-US"/>
        </w:rPr>
        <w:t xml:space="preserve"> – </w:t>
      </w:r>
      <w:r w:rsidR="00217506" w:rsidRPr="005941D9">
        <w:rPr>
          <w:rFonts w:ascii="Arial" w:hAnsi="Arial" w:cs="Arial"/>
          <w:sz w:val="20"/>
          <w:szCs w:val="20"/>
          <w:lang w:val="en-US"/>
        </w:rPr>
        <w:t>M</w:t>
      </w:r>
      <w:r w:rsidR="00E03347" w:rsidRPr="005941D9">
        <w:rPr>
          <w:rFonts w:ascii="Arial" w:hAnsi="Arial" w:cs="Arial"/>
          <w:sz w:val="20"/>
          <w:szCs w:val="20"/>
          <w:lang w:val="en-US"/>
        </w:rPr>
        <w:t xml:space="preserve">easurement </w:t>
      </w:r>
      <w:r w:rsidR="00217506" w:rsidRPr="005941D9">
        <w:rPr>
          <w:rFonts w:ascii="Arial" w:hAnsi="Arial" w:cs="Arial"/>
          <w:sz w:val="20"/>
          <w:szCs w:val="20"/>
          <w:lang w:val="en-US"/>
        </w:rPr>
        <w:t xml:space="preserve">of the enzyme loading in </w:t>
      </w:r>
      <w:r w:rsidR="00E03347" w:rsidRPr="005941D9">
        <w:rPr>
          <w:rFonts w:ascii="Arial" w:hAnsi="Arial" w:cs="Arial"/>
          <w:sz w:val="20"/>
          <w:szCs w:val="20"/>
          <w:lang w:val="en-US"/>
        </w:rPr>
        <w:t>TA-A50</w:t>
      </w:r>
      <w:r w:rsidR="00217506" w:rsidRPr="005941D9">
        <w:rPr>
          <w:rFonts w:ascii="Arial" w:hAnsi="Arial" w:cs="Arial"/>
          <w:sz w:val="20"/>
          <w:szCs w:val="20"/>
          <w:lang w:val="en-US"/>
        </w:rPr>
        <w:t xml:space="preserve"> (5 experiments</w:t>
      </w:r>
      <w:r w:rsidR="00E03347" w:rsidRPr="005941D9">
        <w:rPr>
          <w:rFonts w:ascii="Arial" w:hAnsi="Arial" w:cs="Arial"/>
          <w:sz w:val="20"/>
          <w:szCs w:val="20"/>
          <w:lang w:val="en-US"/>
        </w:rPr>
        <w:t>). Dotted line represents the mean value (1</w:t>
      </w:r>
      <w:proofErr w:type="gramStart"/>
      <w:r w:rsidR="00E03347" w:rsidRPr="005941D9">
        <w:rPr>
          <w:rFonts w:ascii="Arial" w:hAnsi="Arial" w:cs="Arial"/>
          <w:sz w:val="20"/>
          <w:szCs w:val="20"/>
          <w:lang w:val="en-US"/>
        </w:rPr>
        <w:t>,2</w:t>
      </w:r>
      <w:proofErr w:type="gramEnd"/>
      <w:r w:rsidR="00E03347" w:rsidRPr="005941D9">
        <w:rPr>
          <w:rFonts w:ascii="Arial" w:hAnsi="Arial" w:cs="Arial"/>
          <w:sz w:val="20"/>
          <w:szCs w:val="20"/>
          <w:lang w:val="en-US"/>
        </w:rPr>
        <w:t xml:space="preserve"> mg); shaded area represents the relative standard deviation (RSD is 45 %).</w:t>
      </w:r>
    </w:p>
    <w:p w14:paraId="2B4C0887" w14:textId="68F5FCAF" w:rsidR="00F74A76" w:rsidRPr="005941D9" w:rsidRDefault="00217506" w:rsidP="00F74A76">
      <w:pPr>
        <w:pStyle w:val="Style1"/>
        <w:rPr>
          <w:rFonts w:ascii="Arial" w:hAnsi="Arial" w:cs="Arial"/>
          <w:sz w:val="20"/>
          <w:szCs w:val="20"/>
          <w:lang w:val="en-US"/>
        </w:rPr>
      </w:pPr>
      <w:r w:rsidRPr="005941D9">
        <w:rPr>
          <w:rFonts w:ascii="Arial" w:hAnsi="Arial" w:cs="Arial"/>
          <w:b/>
          <w:sz w:val="20"/>
          <w:szCs w:val="20"/>
          <w:lang w:val="en-US"/>
        </w:rPr>
        <w:t>Discussion</w:t>
      </w:r>
      <w:r w:rsidRPr="005941D9">
        <w:rPr>
          <w:rFonts w:ascii="Arial" w:hAnsi="Arial" w:cs="Arial"/>
          <w:sz w:val="20"/>
          <w:szCs w:val="20"/>
          <w:lang w:val="en-US"/>
        </w:rPr>
        <w:t xml:space="preserve">. </w:t>
      </w:r>
      <w:r w:rsidR="00E03347" w:rsidRPr="005941D9">
        <w:rPr>
          <w:rFonts w:ascii="Arial" w:hAnsi="Arial" w:cs="Arial"/>
          <w:sz w:val="20"/>
          <w:szCs w:val="20"/>
          <w:lang w:val="en-US"/>
        </w:rPr>
        <w:t>Determination o</w:t>
      </w:r>
      <w:r w:rsidRPr="005941D9">
        <w:rPr>
          <w:rFonts w:ascii="Arial" w:hAnsi="Arial" w:cs="Arial"/>
          <w:sz w:val="20"/>
          <w:szCs w:val="20"/>
          <w:lang w:val="en-US"/>
        </w:rPr>
        <w:t>f</w:t>
      </w:r>
      <w:r w:rsidR="00E03347" w:rsidRPr="005941D9">
        <w:rPr>
          <w:rFonts w:ascii="Arial" w:hAnsi="Arial" w:cs="Arial"/>
          <w:sz w:val="20"/>
          <w:szCs w:val="20"/>
          <w:lang w:val="en-US"/>
        </w:rPr>
        <w:t xml:space="preserve"> enzyme loading in the monoliths was delicate. </w:t>
      </w:r>
      <w:r w:rsidR="00F74A76" w:rsidRPr="005941D9">
        <w:rPr>
          <w:rFonts w:ascii="Arial" w:hAnsi="Arial" w:cs="Arial"/>
          <w:sz w:val="20"/>
          <w:szCs w:val="20"/>
          <w:lang w:val="en-US"/>
        </w:rPr>
        <w:t xml:space="preserve">For enzyme immobilization, 50 mL of a glutaraldehyde buffered solution </w:t>
      </w:r>
      <w:r w:rsidR="00227974" w:rsidRPr="005941D9">
        <w:rPr>
          <w:rFonts w:ascii="Arial" w:hAnsi="Arial" w:cs="Arial"/>
          <w:sz w:val="20"/>
          <w:szCs w:val="20"/>
          <w:lang w:val="en-US"/>
        </w:rPr>
        <w:t>is</w:t>
      </w:r>
      <w:r w:rsidR="00F74A76" w:rsidRPr="005941D9">
        <w:rPr>
          <w:rFonts w:ascii="Arial" w:hAnsi="Arial" w:cs="Arial"/>
          <w:sz w:val="20"/>
          <w:szCs w:val="20"/>
          <w:lang w:val="en-US"/>
        </w:rPr>
        <w:t xml:space="preserve"> </w:t>
      </w:r>
      <w:r w:rsidR="00E03347" w:rsidRPr="005941D9">
        <w:rPr>
          <w:rFonts w:ascii="Arial" w:hAnsi="Arial" w:cs="Arial"/>
          <w:sz w:val="20"/>
          <w:szCs w:val="20"/>
          <w:lang w:val="en-US"/>
        </w:rPr>
        <w:t>flowed</w:t>
      </w:r>
      <w:r w:rsidR="00F74A76" w:rsidRPr="005941D9">
        <w:rPr>
          <w:rFonts w:ascii="Arial" w:hAnsi="Arial" w:cs="Arial"/>
          <w:sz w:val="20"/>
          <w:szCs w:val="20"/>
          <w:lang w:val="en-US"/>
        </w:rPr>
        <w:t xml:space="preserve"> through the flow reactor. Then, 50 mL of ATA-117 solution </w:t>
      </w:r>
      <w:r w:rsidR="00613D58" w:rsidRPr="005941D9">
        <w:rPr>
          <w:rFonts w:ascii="Arial" w:hAnsi="Arial" w:cs="Arial"/>
          <w:sz w:val="20"/>
          <w:szCs w:val="20"/>
          <w:lang w:val="en-US"/>
        </w:rPr>
        <w:t xml:space="preserve">with </w:t>
      </w:r>
      <w:r w:rsidR="00613D58" w:rsidRPr="005941D9">
        <w:rPr>
          <w:rFonts w:ascii="Arial" w:hAnsi="Arial" w:cs="Arial"/>
          <w:sz w:val="20"/>
          <w:szCs w:val="20"/>
          <w:lang w:val="en-US"/>
        </w:rPr>
        <w:t>a</w:t>
      </w:r>
      <w:r w:rsidR="00613D58" w:rsidRPr="005941D9">
        <w:rPr>
          <w:rFonts w:ascii="Arial" w:hAnsi="Arial" w:cs="Arial"/>
          <w:sz w:val="20"/>
          <w:szCs w:val="20"/>
          <w:lang w:val="en-US"/>
        </w:rPr>
        <w:t xml:space="preserve">n </w:t>
      </w:r>
      <w:proofErr w:type="spellStart"/>
      <w:r w:rsidR="00613D58" w:rsidRPr="005941D9">
        <w:rPr>
          <w:rFonts w:ascii="Arial" w:hAnsi="Arial" w:cs="Arial"/>
          <w:sz w:val="20"/>
          <w:szCs w:val="20"/>
          <w:lang w:val="en-US"/>
        </w:rPr>
        <w:t>intital</w:t>
      </w:r>
      <w:proofErr w:type="spellEnd"/>
      <w:r w:rsidR="00613D58" w:rsidRPr="005941D9">
        <w:rPr>
          <w:rFonts w:ascii="Arial" w:hAnsi="Arial" w:cs="Arial"/>
          <w:sz w:val="20"/>
          <w:szCs w:val="20"/>
          <w:lang w:val="en-US"/>
        </w:rPr>
        <w:t xml:space="preserve"> concentration of 0.2 mg/mL (C</w:t>
      </w:r>
      <w:r w:rsidR="00613D58" w:rsidRPr="005941D9">
        <w:rPr>
          <w:rFonts w:ascii="Arial" w:hAnsi="Arial" w:cs="Arial"/>
          <w:sz w:val="20"/>
          <w:szCs w:val="20"/>
          <w:vertAlign w:val="subscript"/>
          <w:lang w:val="en-US"/>
        </w:rPr>
        <w:t>0</w:t>
      </w:r>
      <w:r w:rsidR="00613D58" w:rsidRPr="005941D9">
        <w:rPr>
          <w:rFonts w:ascii="Arial" w:hAnsi="Arial" w:cs="Arial"/>
          <w:sz w:val="20"/>
          <w:szCs w:val="20"/>
          <w:lang w:val="en-US"/>
        </w:rPr>
        <w:t>)</w:t>
      </w:r>
      <w:r w:rsidR="00613D58" w:rsidRPr="005941D9">
        <w:rPr>
          <w:rFonts w:ascii="Arial" w:hAnsi="Arial" w:cs="Arial"/>
          <w:sz w:val="20"/>
          <w:szCs w:val="20"/>
          <w:lang w:val="en-US"/>
        </w:rPr>
        <w:t xml:space="preserve"> </w:t>
      </w:r>
      <w:r w:rsidR="00F74A76" w:rsidRPr="005941D9">
        <w:rPr>
          <w:rFonts w:ascii="Arial" w:hAnsi="Arial" w:cs="Arial"/>
          <w:sz w:val="20"/>
          <w:szCs w:val="20"/>
          <w:lang w:val="en-US"/>
        </w:rPr>
        <w:t xml:space="preserve">is </w:t>
      </w:r>
      <w:r w:rsidR="00E03347" w:rsidRPr="005941D9">
        <w:rPr>
          <w:rFonts w:ascii="Arial" w:hAnsi="Arial" w:cs="Arial"/>
          <w:sz w:val="20"/>
          <w:szCs w:val="20"/>
          <w:lang w:val="en-US"/>
        </w:rPr>
        <w:t>flowed</w:t>
      </w:r>
      <w:r w:rsidR="00F74A76" w:rsidRPr="005941D9">
        <w:rPr>
          <w:rFonts w:ascii="Arial" w:hAnsi="Arial" w:cs="Arial"/>
          <w:sz w:val="20"/>
          <w:szCs w:val="20"/>
          <w:lang w:val="en-US"/>
        </w:rPr>
        <w:t xml:space="preserve">. </w:t>
      </w:r>
      <w:r w:rsidR="00613D58" w:rsidRPr="005941D9">
        <w:rPr>
          <w:rFonts w:ascii="Arial" w:hAnsi="Arial" w:cs="Arial"/>
          <w:sz w:val="20"/>
          <w:szCs w:val="20"/>
          <w:lang w:val="en-US"/>
        </w:rPr>
        <w:t>50 mL of outflow are collected and the enzyme concentration is measured (</w:t>
      </w:r>
      <w:r w:rsidR="00F74A76" w:rsidRPr="005941D9">
        <w:rPr>
          <w:rFonts w:ascii="Arial" w:hAnsi="Arial" w:cs="Arial"/>
          <w:sz w:val="20"/>
          <w:szCs w:val="20"/>
          <w:lang w:val="en-US"/>
        </w:rPr>
        <w:t>C</w:t>
      </w:r>
      <w:r w:rsidR="00F74A76" w:rsidRPr="005941D9">
        <w:rPr>
          <w:rFonts w:ascii="Arial" w:hAnsi="Arial" w:cs="Arial"/>
          <w:sz w:val="20"/>
          <w:szCs w:val="20"/>
          <w:vertAlign w:val="subscript"/>
          <w:lang w:val="en-US"/>
        </w:rPr>
        <w:t>1</w:t>
      </w:r>
      <w:r w:rsidR="00E03347" w:rsidRPr="005941D9">
        <w:rPr>
          <w:rFonts w:ascii="Arial" w:hAnsi="Arial" w:cs="Arial"/>
          <w:sz w:val="20"/>
          <w:szCs w:val="20"/>
          <w:lang w:val="en-US"/>
        </w:rPr>
        <w:t>)</w:t>
      </w:r>
      <w:r w:rsidR="00F74A76" w:rsidRPr="005941D9">
        <w:rPr>
          <w:rFonts w:ascii="Arial" w:hAnsi="Arial" w:cs="Arial"/>
          <w:sz w:val="20"/>
          <w:szCs w:val="20"/>
          <w:lang w:val="en-US"/>
        </w:rPr>
        <w:t xml:space="preserve">. Finally, the reactor </w:t>
      </w:r>
      <w:r w:rsidR="00227974" w:rsidRPr="005941D9">
        <w:rPr>
          <w:rFonts w:ascii="Arial" w:hAnsi="Arial" w:cs="Arial"/>
          <w:sz w:val="20"/>
          <w:szCs w:val="20"/>
          <w:lang w:val="en-US"/>
        </w:rPr>
        <w:t>is</w:t>
      </w:r>
      <w:r w:rsidR="00F74A76" w:rsidRPr="005941D9">
        <w:rPr>
          <w:rFonts w:ascii="Arial" w:hAnsi="Arial" w:cs="Arial"/>
          <w:sz w:val="20"/>
          <w:szCs w:val="20"/>
          <w:lang w:val="en-US"/>
        </w:rPr>
        <w:t xml:space="preserve"> washed with 50 mL of buffer </w:t>
      </w:r>
      <w:r w:rsidR="00E03347" w:rsidRPr="005941D9">
        <w:rPr>
          <w:rFonts w:ascii="Arial" w:hAnsi="Arial" w:cs="Arial"/>
          <w:sz w:val="20"/>
          <w:szCs w:val="20"/>
          <w:lang w:val="en-US"/>
        </w:rPr>
        <w:t xml:space="preserve">solution </w:t>
      </w:r>
      <w:r w:rsidR="00F74A76" w:rsidRPr="005941D9">
        <w:rPr>
          <w:rFonts w:ascii="Arial" w:hAnsi="Arial" w:cs="Arial"/>
          <w:sz w:val="20"/>
          <w:szCs w:val="20"/>
          <w:lang w:val="en-US"/>
        </w:rPr>
        <w:t>(no enzyme) and 50 mL are collected at the outflows (C</w:t>
      </w:r>
      <w:r w:rsidR="00F74A76" w:rsidRPr="005941D9">
        <w:rPr>
          <w:rFonts w:ascii="Arial" w:hAnsi="Arial" w:cs="Arial"/>
          <w:sz w:val="20"/>
          <w:szCs w:val="20"/>
          <w:vertAlign w:val="subscript"/>
          <w:lang w:val="en-US"/>
        </w:rPr>
        <w:t>2</w:t>
      </w:r>
      <w:r w:rsidR="00F74A76" w:rsidRPr="005941D9">
        <w:rPr>
          <w:rFonts w:ascii="Arial" w:hAnsi="Arial" w:cs="Arial"/>
          <w:sz w:val="20"/>
          <w:szCs w:val="20"/>
          <w:lang w:val="en-US"/>
        </w:rPr>
        <w:t xml:space="preserve">). </w:t>
      </w:r>
      <w:r w:rsidR="00E03347" w:rsidRPr="005941D9">
        <w:rPr>
          <w:rFonts w:ascii="Arial" w:hAnsi="Arial" w:cs="Arial"/>
          <w:sz w:val="20"/>
          <w:szCs w:val="20"/>
          <w:lang w:val="en-US"/>
        </w:rPr>
        <w:t>T</w:t>
      </w:r>
      <w:r w:rsidR="00F74A76" w:rsidRPr="005941D9">
        <w:rPr>
          <w:rFonts w:ascii="Arial" w:hAnsi="Arial" w:cs="Arial"/>
          <w:sz w:val="20"/>
          <w:szCs w:val="20"/>
          <w:lang w:val="en-US"/>
        </w:rPr>
        <w:t xml:space="preserve">he loading (L; in mg) </w:t>
      </w:r>
      <w:r w:rsidR="00227974" w:rsidRPr="005941D9">
        <w:rPr>
          <w:rFonts w:ascii="Arial" w:hAnsi="Arial" w:cs="Arial"/>
          <w:sz w:val="20"/>
          <w:szCs w:val="20"/>
          <w:lang w:val="en-US"/>
        </w:rPr>
        <w:t>is</w:t>
      </w:r>
      <w:r w:rsidR="00F74A76" w:rsidRPr="005941D9">
        <w:rPr>
          <w:rFonts w:ascii="Arial" w:hAnsi="Arial" w:cs="Arial"/>
          <w:sz w:val="20"/>
          <w:szCs w:val="20"/>
          <w:lang w:val="en-US"/>
        </w:rPr>
        <w:t xml:space="preserve"> determined by mass balance: L = 50 mL</w:t>
      </w:r>
      <w:r w:rsidR="002D2947" w:rsidRPr="005941D9">
        <w:rPr>
          <w:rFonts w:ascii="Arial" w:hAnsi="Arial" w:cs="Arial"/>
          <w:sz w:val="20"/>
          <w:szCs w:val="20"/>
          <w:lang w:val="en-US"/>
        </w:rPr>
        <w:t xml:space="preserve"> x </w:t>
      </w:r>
      <w:r w:rsidR="00F74A76" w:rsidRPr="005941D9">
        <w:rPr>
          <w:rFonts w:ascii="Arial" w:hAnsi="Arial" w:cs="Arial"/>
          <w:sz w:val="20"/>
          <w:szCs w:val="20"/>
          <w:lang w:val="en-US"/>
        </w:rPr>
        <w:t>(C</w:t>
      </w:r>
      <w:r w:rsidR="00F74A76" w:rsidRPr="005941D9">
        <w:rPr>
          <w:rFonts w:ascii="Arial" w:hAnsi="Arial" w:cs="Arial"/>
          <w:sz w:val="20"/>
          <w:szCs w:val="20"/>
          <w:vertAlign w:val="subscript"/>
          <w:lang w:val="en-US"/>
        </w:rPr>
        <w:t>0</w:t>
      </w:r>
      <w:r w:rsidR="00F74A76" w:rsidRPr="005941D9">
        <w:rPr>
          <w:rFonts w:ascii="Arial" w:hAnsi="Arial" w:cs="Arial"/>
          <w:sz w:val="20"/>
          <w:szCs w:val="20"/>
          <w:lang w:val="en-US"/>
        </w:rPr>
        <w:t>-C</w:t>
      </w:r>
      <w:r w:rsidR="00F74A76" w:rsidRPr="005941D9">
        <w:rPr>
          <w:rFonts w:ascii="Arial" w:hAnsi="Arial" w:cs="Arial"/>
          <w:sz w:val="20"/>
          <w:szCs w:val="20"/>
          <w:vertAlign w:val="subscript"/>
          <w:lang w:val="en-US"/>
        </w:rPr>
        <w:t>1</w:t>
      </w:r>
      <w:r w:rsidR="00F74A76" w:rsidRPr="005941D9">
        <w:rPr>
          <w:rFonts w:ascii="Arial" w:hAnsi="Arial" w:cs="Arial"/>
          <w:sz w:val="20"/>
          <w:szCs w:val="20"/>
          <w:lang w:val="en-US"/>
        </w:rPr>
        <w:t>-C</w:t>
      </w:r>
      <w:r w:rsidR="00F74A76" w:rsidRPr="005941D9">
        <w:rPr>
          <w:rFonts w:ascii="Arial" w:hAnsi="Arial" w:cs="Arial"/>
          <w:sz w:val="20"/>
          <w:szCs w:val="20"/>
          <w:vertAlign w:val="subscript"/>
          <w:lang w:val="en-US"/>
        </w:rPr>
        <w:t>2</w:t>
      </w:r>
      <w:r w:rsidR="00F74A76" w:rsidRPr="005941D9">
        <w:rPr>
          <w:rFonts w:ascii="Arial" w:hAnsi="Arial" w:cs="Arial"/>
          <w:sz w:val="20"/>
          <w:szCs w:val="20"/>
          <w:lang w:val="en-US"/>
        </w:rPr>
        <w:t xml:space="preserve">). However, </w:t>
      </w:r>
      <w:r w:rsidR="00E03347" w:rsidRPr="005941D9">
        <w:rPr>
          <w:rFonts w:ascii="Arial" w:hAnsi="Arial" w:cs="Arial"/>
          <w:sz w:val="20"/>
          <w:szCs w:val="20"/>
          <w:lang w:val="en-US"/>
        </w:rPr>
        <w:t xml:space="preserve">obtained </w:t>
      </w:r>
      <w:r w:rsidR="00F74A76" w:rsidRPr="005941D9">
        <w:rPr>
          <w:rFonts w:ascii="Arial" w:hAnsi="Arial" w:cs="Arial"/>
          <w:sz w:val="20"/>
          <w:szCs w:val="20"/>
          <w:lang w:val="en-US"/>
        </w:rPr>
        <w:t>loading values were often low</w:t>
      </w:r>
      <w:r w:rsidR="00E03347" w:rsidRPr="005941D9">
        <w:rPr>
          <w:rFonts w:ascii="Arial" w:hAnsi="Arial" w:cs="Arial"/>
          <w:sz w:val="20"/>
          <w:szCs w:val="20"/>
          <w:lang w:val="en-US"/>
        </w:rPr>
        <w:t>, sometimes negative (see discussion in Figure S5)</w:t>
      </w:r>
      <w:r w:rsidR="00F74A76" w:rsidRPr="005941D9">
        <w:rPr>
          <w:rFonts w:ascii="Arial" w:hAnsi="Arial" w:cs="Arial"/>
          <w:sz w:val="20"/>
          <w:szCs w:val="20"/>
          <w:lang w:val="en-US"/>
        </w:rPr>
        <w:t xml:space="preserve">, and suffered from high variability. </w:t>
      </w:r>
      <w:r w:rsidR="00E03347" w:rsidRPr="005941D9">
        <w:rPr>
          <w:rFonts w:ascii="Arial" w:hAnsi="Arial" w:cs="Arial"/>
          <w:sz w:val="20"/>
          <w:szCs w:val="20"/>
          <w:lang w:val="en-US"/>
        </w:rPr>
        <w:t>W</w:t>
      </w:r>
      <w:r w:rsidR="00F74A76" w:rsidRPr="005941D9">
        <w:rPr>
          <w:rFonts w:ascii="Arial" w:hAnsi="Arial" w:cs="Arial"/>
          <w:sz w:val="20"/>
          <w:szCs w:val="20"/>
          <w:lang w:val="en-US"/>
        </w:rPr>
        <w:t xml:space="preserve">e ensured there was neither contamination nor interference involved in the loading determination. </w:t>
      </w:r>
      <w:r w:rsidR="00227974" w:rsidRPr="005941D9">
        <w:rPr>
          <w:rFonts w:ascii="Arial" w:hAnsi="Arial" w:cs="Arial"/>
          <w:sz w:val="20"/>
          <w:szCs w:val="20"/>
          <w:lang w:val="en-US"/>
        </w:rPr>
        <w:t xml:space="preserve">Concentration measurement using the Bradford method was very precise. </w:t>
      </w:r>
      <w:r w:rsidR="00F74A76" w:rsidRPr="005941D9">
        <w:rPr>
          <w:rFonts w:ascii="Arial" w:hAnsi="Arial" w:cs="Arial"/>
          <w:sz w:val="20"/>
          <w:szCs w:val="20"/>
          <w:lang w:val="en-US"/>
        </w:rPr>
        <w:t xml:space="preserve">Temperature sensibility, reactants instability, and stirring method have also been studied but showed no influence on the measurement. </w:t>
      </w:r>
      <w:r w:rsidR="00227974" w:rsidRPr="005941D9">
        <w:rPr>
          <w:rFonts w:ascii="Arial" w:hAnsi="Arial" w:cs="Arial"/>
          <w:sz w:val="20"/>
          <w:szCs w:val="20"/>
          <w:lang w:val="en-US"/>
        </w:rPr>
        <w:t xml:space="preserve">Only the catalysts functionalized with high amount of APTES provided relevant loading measurements, yet repeatability was poor, as shown above. </w:t>
      </w:r>
      <w:r w:rsidR="00613D58" w:rsidRPr="005941D9">
        <w:rPr>
          <w:rFonts w:ascii="Arial" w:hAnsi="Arial" w:cs="Arial"/>
          <w:sz w:val="20"/>
          <w:szCs w:val="20"/>
          <w:lang w:val="en-US"/>
        </w:rPr>
        <w:t>For the catalysts with low APTES concentration or not APTES at all, we can only safely say that the loading is lower than 0.5 mg.</w:t>
      </w:r>
    </w:p>
    <w:p w14:paraId="4B06A77F" w14:textId="77777777" w:rsidR="00227974" w:rsidRPr="0068040C" w:rsidRDefault="00227974" w:rsidP="00227974">
      <w:pPr>
        <w:rPr>
          <w:rFonts w:ascii="Arial" w:hAnsi="Arial"/>
          <w:color w:val="C0504D" w:themeColor="accent2"/>
          <w:sz w:val="14"/>
          <w:szCs w:val="14"/>
          <w:lang w:val="en-US"/>
        </w:rPr>
      </w:pPr>
    </w:p>
    <w:p w14:paraId="59549298" w14:textId="77777777" w:rsidR="00227974" w:rsidRPr="0068040C" w:rsidRDefault="00227974" w:rsidP="00227974">
      <w:pPr>
        <w:rPr>
          <w:rFonts w:ascii="Arial" w:hAnsi="Arial"/>
          <w:color w:val="C0504D" w:themeColor="accent2"/>
          <w:sz w:val="14"/>
          <w:szCs w:val="14"/>
          <w:lang w:val="en-US"/>
        </w:rPr>
      </w:pPr>
    </w:p>
    <w:p w14:paraId="1C88BACC" w14:textId="77777777" w:rsidR="00227974" w:rsidRPr="0068040C" w:rsidRDefault="00227974" w:rsidP="00227974">
      <w:pPr>
        <w:rPr>
          <w:rFonts w:ascii="Arial" w:hAnsi="Arial"/>
          <w:color w:val="C0504D" w:themeColor="accent2"/>
          <w:sz w:val="14"/>
          <w:szCs w:val="14"/>
          <w:lang w:val="en-US"/>
        </w:rPr>
      </w:pPr>
    </w:p>
    <w:p w14:paraId="1EEFF64A" w14:textId="0F69058D" w:rsidR="00F74A76" w:rsidRPr="0068040C" w:rsidRDefault="00F74A76" w:rsidP="00227974">
      <w:pPr>
        <w:rPr>
          <w:rFonts w:ascii="Arial" w:hAnsi="Arial"/>
          <w:color w:val="C0504D" w:themeColor="accent2"/>
          <w:sz w:val="14"/>
          <w:szCs w:val="14"/>
          <w:lang w:val="en-US"/>
        </w:rPr>
      </w:pPr>
      <w:r w:rsidRPr="0068040C">
        <w:rPr>
          <w:noProof/>
          <w:lang w:val="en-US" w:eastAsia="fr-BE"/>
        </w:rPr>
        <w:drawing>
          <wp:inline distT="0" distB="0" distL="0" distR="0" wp14:anchorId="59966882" wp14:editId="7A34283A">
            <wp:extent cx="2667000" cy="240030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 DLS_1.eps"/>
                    <pic:cNvPicPr/>
                  </pic:nvPicPr>
                  <pic:blipFill>
                    <a:blip r:embed="rId11" cstate="email">
                      <a:extLst>
                        <a:ext uri="{28A0092B-C50C-407E-A947-70E740481C1C}">
                          <a14:useLocalDpi xmlns:a14="http://schemas.microsoft.com/office/drawing/2010/main"/>
                        </a:ext>
                      </a:extLst>
                    </a:blip>
                    <a:stretch>
                      <a:fillRect/>
                    </a:stretch>
                  </pic:blipFill>
                  <pic:spPr>
                    <a:xfrm>
                      <a:off x="0" y="0"/>
                      <a:ext cx="2667000" cy="2400300"/>
                    </a:xfrm>
                    <a:prstGeom prst="rect">
                      <a:avLst/>
                    </a:prstGeom>
                  </pic:spPr>
                </pic:pic>
              </a:graphicData>
            </a:graphic>
          </wp:inline>
        </w:drawing>
      </w:r>
    </w:p>
    <w:p w14:paraId="2A0BAA6F" w14:textId="1AF131A6" w:rsidR="00227974" w:rsidRPr="005941D9" w:rsidRDefault="00F74A76" w:rsidP="00F74A76">
      <w:pPr>
        <w:pStyle w:val="Style1"/>
        <w:rPr>
          <w:rFonts w:ascii="Arial" w:hAnsi="Arial"/>
          <w:sz w:val="20"/>
          <w:szCs w:val="20"/>
          <w:lang w:val="en-US"/>
        </w:rPr>
      </w:pPr>
      <w:r w:rsidRPr="005941D9">
        <w:rPr>
          <w:rFonts w:ascii="Arial" w:hAnsi="Arial"/>
          <w:b/>
          <w:sz w:val="20"/>
          <w:szCs w:val="20"/>
          <w:lang w:val="en-US"/>
        </w:rPr>
        <w:t>Figure S5</w:t>
      </w:r>
      <w:r w:rsidRPr="005941D9">
        <w:rPr>
          <w:rFonts w:ascii="Arial" w:hAnsi="Arial"/>
          <w:sz w:val="20"/>
          <w:szCs w:val="20"/>
          <w:lang w:val="en-US"/>
        </w:rPr>
        <w:t xml:space="preserve"> – </w:t>
      </w:r>
      <w:r w:rsidR="00227974" w:rsidRPr="005941D9">
        <w:rPr>
          <w:rFonts w:ascii="Arial" w:hAnsi="Arial"/>
          <w:sz w:val="20"/>
          <w:szCs w:val="20"/>
          <w:lang w:val="en-US"/>
        </w:rPr>
        <w:t>Dynamic light scattering</w:t>
      </w:r>
      <w:r w:rsidR="00227974" w:rsidRPr="005941D9">
        <w:rPr>
          <w:rFonts w:ascii="Arial" w:hAnsi="Arial"/>
          <w:sz w:val="20"/>
          <w:szCs w:val="20"/>
          <w:lang w:val="en-US"/>
        </w:rPr>
        <w:t xml:space="preserve"> (</w:t>
      </w:r>
      <w:r w:rsidR="00227974" w:rsidRPr="005941D9">
        <w:rPr>
          <w:rFonts w:ascii="Arial" w:hAnsi="Arial"/>
          <w:sz w:val="20"/>
          <w:szCs w:val="20"/>
          <w:lang w:val="en-US"/>
        </w:rPr>
        <w:t>DLS</w:t>
      </w:r>
      <w:r w:rsidR="00227974" w:rsidRPr="005941D9">
        <w:rPr>
          <w:rFonts w:ascii="Arial" w:hAnsi="Arial"/>
          <w:sz w:val="20"/>
          <w:szCs w:val="20"/>
          <w:lang w:val="en-US"/>
        </w:rPr>
        <w:t>)</w:t>
      </w:r>
      <w:r w:rsidR="00227974" w:rsidRPr="005941D9">
        <w:rPr>
          <w:rFonts w:ascii="Arial" w:hAnsi="Arial"/>
          <w:sz w:val="20"/>
          <w:szCs w:val="20"/>
          <w:lang w:val="en-US"/>
        </w:rPr>
        <w:t xml:space="preserve"> signal intensity around 3 nm for ATA-117 solution (A) before and (B) after </w:t>
      </w:r>
      <w:r w:rsidR="0090033F" w:rsidRPr="005941D9">
        <w:rPr>
          <w:rFonts w:ascii="Arial" w:hAnsi="Arial"/>
          <w:sz w:val="20"/>
          <w:szCs w:val="20"/>
          <w:lang w:val="en-US"/>
        </w:rPr>
        <w:t xml:space="preserve">passing through the </w:t>
      </w:r>
      <w:r w:rsidR="00613D58" w:rsidRPr="005941D9">
        <w:rPr>
          <w:rFonts w:ascii="Arial" w:hAnsi="Arial"/>
          <w:sz w:val="20"/>
          <w:szCs w:val="20"/>
          <w:lang w:val="en-US"/>
        </w:rPr>
        <w:t>flow set-up</w:t>
      </w:r>
      <w:r w:rsidR="00227974" w:rsidRPr="005941D9">
        <w:rPr>
          <w:rFonts w:ascii="Arial" w:hAnsi="Arial"/>
          <w:sz w:val="20"/>
          <w:szCs w:val="20"/>
          <w:lang w:val="en-US"/>
        </w:rPr>
        <w:t>. Relative standard deviation is 15 %.</w:t>
      </w:r>
    </w:p>
    <w:p w14:paraId="76C84727" w14:textId="2F8FF811" w:rsidR="00F74A76" w:rsidRPr="005941D9" w:rsidRDefault="00227974" w:rsidP="00F74A76">
      <w:pPr>
        <w:pStyle w:val="Style1"/>
        <w:rPr>
          <w:rFonts w:ascii="Arial" w:hAnsi="Arial"/>
          <w:sz w:val="20"/>
          <w:szCs w:val="20"/>
          <w:lang w:val="en-US"/>
        </w:rPr>
      </w:pPr>
      <w:r w:rsidRPr="005941D9">
        <w:rPr>
          <w:rFonts w:ascii="Arial" w:hAnsi="Arial"/>
          <w:b/>
          <w:sz w:val="20"/>
          <w:szCs w:val="20"/>
          <w:lang w:val="en-US"/>
        </w:rPr>
        <w:t>Discussion</w:t>
      </w:r>
      <w:r w:rsidRPr="005941D9">
        <w:rPr>
          <w:rFonts w:ascii="Arial" w:hAnsi="Arial"/>
          <w:sz w:val="20"/>
          <w:szCs w:val="20"/>
          <w:lang w:val="en-US"/>
        </w:rPr>
        <w:t xml:space="preserve">. </w:t>
      </w:r>
      <w:r w:rsidR="0090033F" w:rsidRPr="005941D9">
        <w:rPr>
          <w:rFonts w:ascii="Arial" w:hAnsi="Arial"/>
          <w:sz w:val="20"/>
          <w:szCs w:val="20"/>
          <w:lang w:val="en-US"/>
        </w:rPr>
        <w:t>By Bradford method, w</w:t>
      </w:r>
      <w:r w:rsidR="00F74A76" w:rsidRPr="005941D9">
        <w:rPr>
          <w:rFonts w:ascii="Arial" w:hAnsi="Arial"/>
          <w:sz w:val="20"/>
          <w:szCs w:val="20"/>
          <w:lang w:val="en-US"/>
        </w:rPr>
        <w:t xml:space="preserve">e observed that enzymatic solution concentration </w:t>
      </w:r>
      <w:r w:rsidR="0090033F" w:rsidRPr="005941D9">
        <w:rPr>
          <w:rFonts w:ascii="Arial" w:hAnsi="Arial"/>
          <w:sz w:val="20"/>
          <w:szCs w:val="20"/>
          <w:lang w:val="en-US"/>
        </w:rPr>
        <w:t>som</w:t>
      </w:r>
      <w:r w:rsidR="00613D58" w:rsidRPr="005941D9">
        <w:rPr>
          <w:rFonts w:ascii="Arial" w:hAnsi="Arial"/>
          <w:sz w:val="20"/>
          <w:szCs w:val="20"/>
          <w:lang w:val="en-US"/>
        </w:rPr>
        <w:t>e</w:t>
      </w:r>
      <w:r w:rsidR="0090033F" w:rsidRPr="005941D9">
        <w:rPr>
          <w:rFonts w:ascii="Arial" w:hAnsi="Arial"/>
          <w:sz w:val="20"/>
          <w:szCs w:val="20"/>
          <w:lang w:val="en-US"/>
        </w:rPr>
        <w:t>times</w:t>
      </w:r>
      <w:r w:rsidR="00F74A76" w:rsidRPr="005941D9">
        <w:rPr>
          <w:rFonts w:ascii="Arial" w:hAnsi="Arial"/>
          <w:sz w:val="20"/>
          <w:szCs w:val="20"/>
          <w:lang w:val="en-US"/>
        </w:rPr>
        <w:t xml:space="preserve"> increased by passing through the flow set-up, even without monolith. This suggests that </w:t>
      </w:r>
      <w:r w:rsidR="00613D58" w:rsidRPr="005941D9">
        <w:rPr>
          <w:rFonts w:ascii="Arial" w:hAnsi="Arial"/>
          <w:sz w:val="20"/>
          <w:szCs w:val="20"/>
          <w:lang w:val="en-US"/>
        </w:rPr>
        <w:t xml:space="preserve">the </w:t>
      </w:r>
      <w:r w:rsidR="00F74A76" w:rsidRPr="005941D9">
        <w:rPr>
          <w:rFonts w:ascii="Arial" w:hAnsi="Arial"/>
          <w:sz w:val="20"/>
          <w:szCs w:val="20"/>
          <w:lang w:val="en-US"/>
        </w:rPr>
        <w:t xml:space="preserve">initial enzyme solution </w:t>
      </w:r>
      <w:r w:rsidR="00613D58" w:rsidRPr="005941D9">
        <w:rPr>
          <w:rFonts w:ascii="Arial" w:hAnsi="Arial"/>
          <w:sz w:val="20"/>
          <w:szCs w:val="20"/>
          <w:lang w:val="en-US"/>
        </w:rPr>
        <w:t>used to load the monolith</w:t>
      </w:r>
      <w:r w:rsidR="00F74A76" w:rsidRPr="005941D9">
        <w:rPr>
          <w:rFonts w:ascii="Arial" w:hAnsi="Arial"/>
          <w:sz w:val="20"/>
          <w:szCs w:val="20"/>
          <w:lang w:val="en-US"/>
        </w:rPr>
        <w:t xml:space="preserve"> may contain enzymatic aggregates that are broken only under flow constraints. Those aggregates are a source of variability (C</w:t>
      </w:r>
      <w:r w:rsidR="00F74A76" w:rsidRPr="005941D9">
        <w:rPr>
          <w:rFonts w:ascii="Arial" w:hAnsi="Arial"/>
          <w:sz w:val="20"/>
          <w:szCs w:val="20"/>
          <w:vertAlign w:val="subscript"/>
          <w:lang w:val="en-US"/>
        </w:rPr>
        <w:t>0</w:t>
      </w:r>
      <w:r w:rsidR="00F74A76" w:rsidRPr="005941D9">
        <w:rPr>
          <w:rFonts w:ascii="Arial" w:hAnsi="Arial"/>
          <w:sz w:val="20"/>
          <w:szCs w:val="20"/>
          <w:lang w:val="en-US"/>
        </w:rPr>
        <w:t xml:space="preserve"> is underestimated</w:t>
      </w:r>
      <w:r w:rsidR="0090033F" w:rsidRPr="005941D9">
        <w:rPr>
          <w:rFonts w:ascii="Arial" w:hAnsi="Arial"/>
          <w:sz w:val="20"/>
          <w:szCs w:val="20"/>
          <w:lang w:val="en-US"/>
        </w:rPr>
        <w:t xml:space="preserve"> in the Bradford measurement</w:t>
      </w:r>
      <w:r w:rsidR="00F74A76" w:rsidRPr="005941D9">
        <w:rPr>
          <w:rFonts w:ascii="Arial" w:hAnsi="Arial"/>
          <w:sz w:val="20"/>
          <w:szCs w:val="20"/>
          <w:lang w:val="en-US"/>
        </w:rPr>
        <w:t xml:space="preserve">). DLS </w:t>
      </w:r>
      <w:r w:rsidR="0090033F" w:rsidRPr="005941D9">
        <w:rPr>
          <w:rFonts w:ascii="Arial" w:hAnsi="Arial"/>
          <w:sz w:val="20"/>
          <w:szCs w:val="20"/>
          <w:lang w:val="en-US"/>
        </w:rPr>
        <w:t xml:space="preserve">tend to </w:t>
      </w:r>
      <w:r w:rsidR="00F74A76" w:rsidRPr="005941D9">
        <w:rPr>
          <w:rFonts w:ascii="Arial" w:hAnsi="Arial"/>
          <w:sz w:val="20"/>
          <w:szCs w:val="20"/>
          <w:lang w:val="en-US"/>
        </w:rPr>
        <w:t xml:space="preserve">confirm the aggregates hypothesis. Indeed, </w:t>
      </w:r>
      <w:r w:rsidR="0090033F" w:rsidRPr="005941D9">
        <w:rPr>
          <w:rFonts w:ascii="Arial" w:hAnsi="Arial"/>
          <w:sz w:val="20"/>
          <w:szCs w:val="20"/>
          <w:lang w:val="en-US"/>
        </w:rPr>
        <w:t>for enzyme solution outflows</w:t>
      </w:r>
      <w:r w:rsidR="0090033F" w:rsidRPr="005941D9">
        <w:rPr>
          <w:rFonts w:ascii="Arial" w:hAnsi="Arial"/>
          <w:sz w:val="20"/>
          <w:szCs w:val="20"/>
          <w:lang w:val="en-US"/>
        </w:rPr>
        <w:t xml:space="preserve"> </w:t>
      </w:r>
      <w:r w:rsidR="00F74A76" w:rsidRPr="005941D9">
        <w:rPr>
          <w:rFonts w:ascii="Arial" w:hAnsi="Arial"/>
          <w:sz w:val="20"/>
          <w:szCs w:val="20"/>
          <w:lang w:val="en-US"/>
        </w:rPr>
        <w:t xml:space="preserve">a higher </w:t>
      </w:r>
      <w:r w:rsidR="0090033F" w:rsidRPr="005941D9">
        <w:rPr>
          <w:rFonts w:ascii="Arial" w:hAnsi="Arial"/>
          <w:sz w:val="20"/>
          <w:szCs w:val="20"/>
          <w:lang w:val="en-US"/>
        </w:rPr>
        <w:t xml:space="preserve">scattering </w:t>
      </w:r>
      <w:r w:rsidR="00F74A76" w:rsidRPr="005941D9">
        <w:rPr>
          <w:rFonts w:ascii="Arial" w:hAnsi="Arial"/>
          <w:sz w:val="20"/>
          <w:szCs w:val="20"/>
          <w:lang w:val="en-US"/>
        </w:rPr>
        <w:t xml:space="preserve">intensity was observed around 3 nm </w:t>
      </w:r>
      <w:r w:rsidR="0090033F" w:rsidRPr="005941D9">
        <w:rPr>
          <w:rFonts w:ascii="Arial" w:hAnsi="Arial"/>
          <w:sz w:val="20"/>
          <w:szCs w:val="20"/>
          <w:lang w:val="en-US"/>
        </w:rPr>
        <w:t>(i.e. close to the size of single enzyme molecules). This may</w:t>
      </w:r>
      <w:r w:rsidR="00F74A76" w:rsidRPr="005941D9">
        <w:rPr>
          <w:rFonts w:ascii="Arial" w:hAnsi="Arial"/>
          <w:sz w:val="20"/>
          <w:szCs w:val="20"/>
          <w:lang w:val="en-US"/>
        </w:rPr>
        <w:t xml:space="preserve"> indicat</w:t>
      </w:r>
      <w:r w:rsidR="0090033F" w:rsidRPr="005941D9">
        <w:rPr>
          <w:rFonts w:ascii="Arial" w:hAnsi="Arial"/>
          <w:sz w:val="20"/>
          <w:szCs w:val="20"/>
          <w:lang w:val="en-US"/>
        </w:rPr>
        <w:t>e</w:t>
      </w:r>
      <w:r w:rsidR="00613D58" w:rsidRPr="005941D9">
        <w:rPr>
          <w:rFonts w:ascii="Arial" w:hAnsi="Arial"/>
          <w:sz w:val="20"/>
          <w:szCs w:val="20"/>
          <w:lang w:val="en-US"/>
        </w:rPr>
        <w:t xml:space="preserve"> a larger proportion of</w:t>
      </w:r>
      <w:r w:rsidR="00F74A76" w:rsidRPr="005941D9">
        <w:rPr>
          <w:rFonts w:ascii="Arial" w:hAnsi="Arial"/>
          <w:sz w:val="20"/>
          <w:szCs w:val="20"/>
          <w:lang w:val="en-US"/>
        </w:rPr>
        <w:t xml:space="preserve"> free enzyme. The presence of aggregates in the </w:t>
      </w:r>
      <w:r w:rsidR="00613D58" w:rsidRPr="005941D9">
        <w:rPr>
          <w:rFonts w:ascii="Arial" w:hAnsi="Arial"/>
          <w:sz w:val="20"/>
          <w:szCs w:val="20"/>
          <w:lang w:val="en-US"/>
        </w:rPr>
        <w:t>initial solution</w:t>
      </w:r>
      <w:r w:rsidR="00F74A76" w:rsidRPr="005941D9">
        <w:rPr>
          <w:rFonts w:ascii="Arial" w:hAnsi="Arial"/>
          <w:sz w:val="20"/>
          <w:szCs w:val="20"/>
          <w:lang w:val="en-US"/>
        </w:rPr>
        <w:t xml:space="preserve"> causes high variability on loading measurement. Therefore, we are limited to a rough estimation on loading measurement. </w:t>
      </w:r>
    </w:p>
    <w:p w14:paraId="2756C492" w14:textId="77777777" w:rsidR="002D2947" w:rsidRPr="0068040C" w:rsidRDefault="002D2947">
      <w:pPr>
        <w:rPr>
          <w:rFonts w:ascii="Arial" w:eastAsiaTheme="minorEastAsia" w:hAnsi="Arial"/>
          <w:sz w:val="14"/>
          <w:szCs w:val="14"/>
          <w:lang w:val="en-US"/>
        </w:rPr>
      </w:pPr>
      <w:r w:rsidRPr="0068040C">
        <w:rPr>
          <w:rFonts w:ascii="Arial" w:hAnsi="Arial"/>
          <w:sz w:val="14"/>
          <w:szCs w:val="14"/>
          <w:lang w:val="en-US"/>
        </w:rPr>
        <w:br w:type="page"/>
      </w:r>
    </w:p>
    <w:p w14:paraId="66F988AD" w14:textId="46BFD600" w:rsidR="00F74A76" w:rsidRPr="0068040C" w:rsidRDefault="00F74A76" w:rsidP="00F74A76">
      <w:pPr>
        <w:keepNext/>
        <w:jc w:val="both"/>
        <w:rPr>
          <w:lang w:val="en-US"/>
        </w:rPr>
      </w:pPr>
      <w:bookmarkStart w:id="2" w:name="_Ref340415381"/>
      <w:r w:rsidRPr="0068040C">
        <w:rPr>
          <w:noProof/>
          <w:lang w:val="en-US" w:eastAsia="fr-BE"/>
        </w:rPr>
        <w:lastRenderedPageBreak/>
        <w:drawing>
          <wp:inline distT="0" distB="0" distL="0" distR="0" wp14:anchorId="1C57A304" wp14:editId="6915A498">
            <wp:extent cx="3111500" cy="2400300"/>
            <wp:effectExtent l="0" t="0" r="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 batch HPLC avec TAet conv_3.eps"/>
                    <pic:cNvPicPr/>
                  </pic:nvPicPr>
                  <pic:blipFill>
                    <a:blip r:embed="rId12" cstate="email">
                      <a:extLst>
                        <a:ext uri="{28A0092B-C50C-407E-A947-70E740481C1C}">
                          <a14:useLocalDpi xmlns:a14="http://schemas.microsoft.com/office/drawing/2010/main"/>
                        </a:ext>
                      </a:extLst>
                    </a:blip>
                    <a:stretch>
                      <a:fillRect/>
                    </a:stretch>
                  </pic:blipFill>
                  <pic:spPr>
                    <a:xfrm>
                      <a:off x="0" y="0"/>
                      <a:ext cx="3111500" cy="2400300"/>
                    </a:xfrm>
                    <a:prstGeom prst="rect">
                      <a:avLst/>
                    </a:prstGeom>
                  </pic:spPr>
                </pic:pic>
              </a:graphicData>
            </a:graphic>
          </wp:inline>
        </w:drawing>
      </w:r>
      <w:r w:rsidRPr="0068040C">
        <w:rPr>
          <w:noProof/>
          <w:lang w:val="en-US" w:eastAsia="fr-BE"/>
        </w:rPr>
        <w:drawing>
          <wp:inline distT="0" distB="0" distL="0" distR="0" wp14:anchorId="7E585ABE" wp14:editId="1E9E3113">
            <wp:extent cx="3111500" cy="2400300"/>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 batch HPLC sans TA avec conv_3.eps"/>
                    <pic:cNvPicPr/>
                  </pic:nvPicPr>
                  <pic:blipFill>
                    <a:blip r:embed="rId13" cstate="email">
                      <a:extLst>
                        <a:ext uri="{28A0092B-C50C-407E-A947-70E740481C1C}">
                          <a14:useLocalDpi xmlns:a14="http://schemas.microsoft.com/office/drawing/2010/main"/>
                        </a:ext>
                      </a:extLst>
                    </a:blip>
                    <a:stretch>
                      <a:fillRect/>
                    </a:stretch>
                  </pic:blipFill>
                  <pic:spPr>
                    <a:xfrm>
                      <a:off x="0" y="0"/>
                      <a:ext cx="3111500" cy="2400300"/>
                    </a:xfrm>
                    <a:prstGeom prst="rect">
                      <a:avLst/>
                    </a:prstGeom>
                  </pic:spPr>
                </pic:pic>
              </a:graphicData>
            </a:graphic>
          </wp:inline>
        </w:drawing>
      </w:r>
    </w:p>
    <w:p w14:paraId="0DFD543B" w14:textId="6D0463F1" w:rsidR="00F74A76" w:rsidRDefault="00F74A76" w:rsidP="00F74A76">
      <w:pPr>
        <w:pStyle w:val="Style1"/>
        <w:rPr>
          <w:rFonts w:ascii="Arial" w:hAnsi="Arial" w:cs="Arial"/>
          <w:sz w:val="20"/>
          <w:szCs w:val="20"/>
          <w:lang w:val="en-US"/>
        </w:rPr>
      </w:pPr>
      <w:r w:rsidRPr="00DE60B8">
        <w:rPr>
          <w:rFonts w:ascii="Arial" w:hAnsi="Arial" w:cs="Arial"/>
          <w:b/>
          <w:sz w:val="20"/>
          <w:szCs w:val="20"/>
          <w:lang w:val="en-US"/>
        </w:rPr>
        <w:t>Figure S</w:t>
      </w:r>
      <w:bookmarkEnd w:id="2"/>
      <w:r w:rsidR="00DE60B8">
        <w:rPr>
          <w:rFonts w:ascii="Arial" w:hAnsi="Arial" w:cs="Arial"/>
          <w:b/>
          <w:sz w:val="20"/>
          <w:szCs w:val="20"/>
          <w:lang w:val="en-US"/>
        </w:rPr>
        <w:t>6</w:t>
      </w:r>
      <w:r w:rsidRPr="00DE60B8">
        <w:rPr>
          <w:rFonts w:ascii="Arial" w:hAnsi="Arial" w:cs="Arial"/>
          <w:sz w:val="20"/>
          <w:szCs w:val="20"/>
          <w:lang w:val="en-US"/>
        </w:rPr>
        <w:t xml:space="preserve"> – </w:t>
      </w:r>
      <w:r w:rsidR="0068040C" w:rsidRPr="00DE60B8">
        <w:rPr>
          <w:rFonts w:ascii="Arial" w:hAnsi="Arial" w:cs="Arial"/>
          <w:sz w:val="20"/>
          <w:szCs w:val="20"/>
          <w:lang w:val="en-US"/>
        </w:rPr>
        <w:t>K</w:t>
      </w:r>
      <w:r w:rsidR="0068040C" w:rsidRPr="00DE60B8">
        <w:rPr>
          <w:rFonts w:ascii="Arial" w:hAnsi="Arial" w:cs="Arial"/>
          <w:sz w:val="20"/>
          <w:szCs w:val="20"/>
          <w:lang w:val="en-US"/>
        </w:rPr>
        <w:t xml:space="preserve">inetic resolution of racemic </w:t>
      </w:r>
      <w:proofErr w:type="spellStart"/>
      <w:r w:rsidR="0068040C" w:rsidRPr="00DE60B8">
        <w:rPr>
          <w:rFonts w:ascii="Arial" w:hAnsi="Arial" w:cs="Arial"/>
          <w:sz w:val="20"/>
          <w:szCs w:val="20"/>
          <w:lang w:val="en-US"/>
        </w:rPr>
        <w:t>bromo</w:t>
      </w:r>
      <w:proofErr w:type="spellEnd"/>
      <w:r w:rsidR="0068040C" w:rsidRPr="00DE60B8">
        <w:rPr>
          <w:rFonts w:ascii="Arial" w:hAnsi="Arial" w:cs="Arial"/>
          <w:sz w:val="20"/>
          <w:szCs w:val="20"/>
          <w:lang w:val="en-US"/>
        </w:rPr>
        <w:t>-α-</w:t>
      </w:r>
      <w:proofErr w:type="spellStart"/>
      <w:r w:rsidR="0068040C" w:rsidRPr="00DE60B8">
        <w:rPr>
          <w:rFonts w:ascii="Arial" w:hAnsi="Arial" w:cs="Arial"/>
          <w:sz w:val="20"/>
          <w:szCs w:val="20"/>
          <w:lang w:val="en-US"/>
        </w:rPr>
        <w:t>methylbenzylamine</w:t>
      </w:r>
      <w:proofErr w:type="spellEnd"/>
      <w:r w:rsidR="0068040C" w:rsidRPr="00DE60B8">
        <w:rPr>
          <w:rFonts w:ascii="Arial" w:hAnsi="Arial" w:cs="Arial"/>
          <w:sz w:val="20"/>
          <w:szCs w:val="20"/>
          <w:lang w:val="en-US"/>
        </w:rPr>
        <w:t xml:space="preserve"> (</w:t>
      </w:r>
      <w:proofErr w:type="spellStart"/>
      <w:r w:rsidR="0068040C" w:rsidRPr="00DE60B8">
        <w:rPr>
          <w:rFonts w:ascii="Arial" w:hAnsi="Arial" w:cs="Arial"/>
          <w:sz w:val="20"/>
          <w:szCs w:val="20"/>
          <w:lang w:val="en-US"/>
        </w:rPr>
        <w:t>rac</w:t>
      </w:r>
      <w:proofErr w:type="spellEnd"/>
      <w:r w:rsidR="0068040C" w:rsidRPr="00DE60B8">
        <w:rPr>
          <w:rFonts w:ascii="Arial" w:hAnsi="Arial" w:cs="Arial"/>
          <w:sz w:val="20"/>
          <w:szCs w:val="20"/>
          <w:lang w:val="en-US"/>
        </w:rPr>
        <w:t>-BMBA) into 4’-bromoacetophenone (BAP)</w:t>
      </w:r>
      <w:r w:rsidR="0068040C" w:rsidRPr="00DE60B8">
        <w:rPr>
          <w:rFonts w:ascii="Arial" w:hAnsi="Arial" w:cs="Arial"/>
          <w:sz w:val="20"/>
          <w:szCs w:val="20"/>
          <w:lang w:val="en-US"/>
        </w:rPr>
        <w:t xml:space="preserve"> in batch mode. </w:t>
      </w:r>
      <w:r w:rsidR="0068040C" w:rsidRPr="00DE60B8">
        <w:rPr>
          <w:rFonts w:ascii="Arial" w:hAnsi="Arial" w:cs="Arial"/>
          <w:sz w:val="20"/>
          <w:szCs w:val="20"/>
          <w:lang w:val="en-US"/>
        </w:rPr>
        <w:t>Total BMBA concentration is assessed by GC, enantiomeric excess is assessed by chiral-HPLC. (</w:t>
      </w:r>
      <w:r w:rsidR="0068040C" w:rsidRPr="00DE60B8">
        <w:rPr>
          <w:rFonts w:ascii="Arial" w:hAnsi="Arial" w:cs="Arial"/>
          <w:color w:val="A6A6A6" w:themeColor="background1" w:themeShade="A6"/>
          <w:sz w:val="20"/>
          <w:szCs w:val="20"/>
          <w:lang w:val="en-US"/>
        </w:rPr>
        <w:t>■</w:t>
      </w:r>
      <w:r w:rsidR="0068040C" w:rsidRPr="00DE60B8">
        <w:rPr>
          <w:rFonts w:ascii="Arial" w:hAnsi="Arial" w:cs="Arial"/>
          <w:sz w:val="20"/>
          <w:szCs w:val="20"/>
          <w:lang w:val="en-US"/>
        </w:rPr>
        <w:t>) Yield is obtained by measuring the BAP concentration in GC.</w:t>
      </w:r>
      <w:r w:rsidR="0068040C" w:rsidRPr="00DE60B8">
        <w:rPr>
          <w:rFonts w:ascii="Arial" w:hAnsi="Arial" w:cs="Arial"/>
          <w:sz w:val="20"/>
          <w:szCs w:val="20"/>
          <w:lang w:val="en-US"/>
        </w:rPr>
        <w:t xml:space="preserve"> </w:t>
      </w:r>
      <w:r w:rsidRPr="00DE60B8">
        <w:rPr>
          <w:rFonts w:ascii="Arial" w:hAnsi="Arial" w:cs="Arial"/>
          <w:sz w:val="20"/>
          <w:szCs w:val="20"/>
          <w:lang w:val="en-US"/>
        </w:rPr>
        <w:t>(Left) Batch transamination with ATA-117 (0.2 g/L): (</w:t>
      </w:r>
      <w:r w:rsidRPr="00DE60B8">
        <w:rPr>
          <w:rFonts w:ascii="Arial" w:hAnsi="Arial" w:cs="Arial"/>
          <w:color w:val="004080"/>
          <w:sz w:val="20"/>
          <w:szCs w:val="20"/>
          <w:lang w:val="en-US"/>
        </w:rPr>
        <w:t>●</w:t>
      </w:r>
      <w:r w:rsidRPr="00DE60B8">
        <w:rPr>
          <w:rFonts w:ascii="Arial" w:hAnsi="Arial" w:cs="Arial"/>
          <w:sz w:val="20"/>
          <w:szCs w:val="20"/>
          <w:lang w:val="en-US"/>
        </w:rPr>
        <w:t xml:space="preserve">) total BMBA concentration </w:t>
      </w:r>
      <w:r w:rsidR="0068040C" w:rsidRPr="00DE60B8">
        <w:rPr>
          <w:rFonts w:ascii="Arial" w:hAnsi="Arial" w:cs="Arial"/>
          <w:sz w:val="20"/>
          <w:szCs w:val="20"/>
          <w:lang w:val="en-US"/>
        </w:rPr>
        <w:t>decreases with time. O</w:t>
      </w:r>
      <w:r w:rsidR="0068040C" w:rsidRPr="00DE60B8">
        <w:rPr>
          <w:rFonts w:ascii="Arial" w:hAnsi="Arial" w:cs="Arial"/>
          <w:sz w:val="20"/>
          <w:szCs w:val="20"/>
          <w:lang w:val="en-US"/>
        </w:rPr>
        <w:t xml:space="preserve">nly </w:t>
      </w:r>
      <w:r w:rsidR="0068040C" w:rsidRPr="00DE60B8">
        <w:rPr>
          <w:rFonts w:ascii="Arial" w:hAnsi="Arial" w:cs="Arial"/>
          <w:i/>
          <w:sz w:val="20"/>
          <w:szCs w:val="20"/>
          <w:lang w:val="en-US"/>
        </w:rPr>
        <w:t>R</w:t>
      </w:r>
      <w:r w:rsidR="0068040C" w:rsidRPr="00DE60B8">
        <w:rPr>
          <w:rFonts w:ascii="Arial" w:hAnsi="Arial" w:cs="Arial"/>
          <w:sz w:val="20"/>
          <w:szCs w:val="20"/>
          <w:lang w:val="en-US"/>
        </w:rPr>
        <w:t>-BMBA</w:t>
      </w:r>
      <w:r w:rsidR="0068040C" w:rsidRPr="00DE60B8">
        <w:rPr>
          <w:rFonts w:ascii="Arial" w:hAnsi="Arial" w:cs="Arial"/>
          <w:sz w:val="20"/>
          <w:szCs w:val="20"/>
          <w:lang w:val="en-US"/>
        </w:rPr>
        <w:t xml:space="preserve"> </w:t>
      </w:r>
      <w:r w:rsidR="0068040C" w:rsidRPr="00DE60B8">
        <w:rPr>
          <w:rFonts w:ascii="Arial" w:hAnsi="Arial" w:cs="Arial"/>
          <w:sz w:val="20"/>
          <w:szCs w:val="20"/>
          <w:lang w:val="en-US"/>
        </w:rPr>
        <w:t>(</w:t>
      </w:r>
      <w:r w:rsidR="0068040C" w:rsidRPr="00DE60B8">
        <w:rPr>
          <w:rFonts w:ascii="MS Gothic" w:eastAsia="MS Gothic" w:hAnsi="MS Gothic" w:cs="MS Gothic" w:hint="eastAsia"/>
          <w:color w:val="C10029"/>
          <w:sz w:val="20"/>
          <w:szCs w:val="20"/>
          <w:lang w:val="en-US"/>
        </w:rPr>
        <w:t>◆</w:t>
      </w:r>
      <w:r w:rsidR="0068040C" w:rsidRPr="00DE60B8">
        <w:rPr>
          <w:rFonts w:ascii="Arial" w:hAnsi="Arial" w:cs="Arial"/>
          <w:sz w:val="20"/>
          <w:szCs w:val="20"/>
          <w:lang w:val="en-US"/>
        </w:rPr>
        <w:t xml:space="preserve">) is converted by ATA-117 </w:t>
      </w:r>
      <w:r w:rsidRPr="00DE60B8">
        <w:rPr>
          <w:rFonts w:ascii="Arial" w:hAnsi="Arial" w:cs="Arial"/>
          <w:sz w:val="20"/>
          <w:szCs w:val="20"/>
          <w:lang w:val="en-US"/>
        </w:rPr>
        <w:t xml:space="preserve">while </w:t>
      </w:r>
      <w:r w:rsidR="0068040C" w:rsidRPr="00DE60B8">
        <w:rPr>
          <w:rFonts w:ascii="Arial" w:hAnsi="Arial" w:cs="Arial"/>
          <w:i/>
          <w:sz w:val="20"/>
          <w:szCs w:val="20"/>
          <w:lang w:val="en-US"/>
        </w:rPr>
        <w:t>S-</w:t>
      </w:r>
      <w:r w:rsidR="0068040C" w:rsidRPr="00DE60B8">
        <w:rPr>
          <w:rFonts w:ascii="Arial" w:hAnsi="Arial" w:cs="Arial"/>
          <w:sz w:val="20"/>
          <w:szCs w:val="20"/>
          <w:lang w:val="en-US"/>
        </w:rPr>
        <w:t xml:space="preserve">BMBA </w:t>
      </w:r>
      <w:r w:rsidRPr="00DE60B8">
        <w:rPr>
          <w:rFonts w:ascii="Arial" w:hAnsi="Arial" w:cs="Arial"/>
          <w:sz w:val="20"/>
          <w:szCs w:val="20"/>
          <w:lang w:val="en-US"/>
        </w:rPr>
        <w:t>(</w:t>
      </w:r>
      <w:r w:rsidRPr="00DE60B8">
        <w:rPr>
          <w:rFonts w:ascii="Arial" w:hAnsi="Arial" w:cs="Arial"/>
          <w:color w:val="008040"/>
          <w:sz w:val="20"/>
          <w:szCs w:val="20"/>
          <w:lang w:val="en-US"/>
        </w:rPr>
        <w:t>▲</w:t>
      </w:r>
      <w:r w:rsidRPr="00DE60B8">
        <w:rPr>
          <w:rFonts w:ascii="Arial" w:hAnsi="Arial" w:cs="Arial"/>
          <w:sz w:val="20"/>
          <w:szCs w:val="20"/>
          <w:lang w:val="en-US"/>
        </w:rPr>
        <w:t>)</w:t>
      </w:r>
      <w:r w:rsidR="0068040C" w:rsidRPr="00DE60B8">
        <w:rPr>
          <w:rFonts w:ascii="Arial" w:hAnsi="Arial" w:cs="Arial"/>
          <w:sz w:val="20"/>
          <w:szCs w:val="20"/>
          <w:lang w:val="en-US"/>
        </w:rPr>
        <w:t xml:space="preserve"> </w:t>
      </w:r>
      <w:r w:rsidRPr="00DE60B8">
        <w:rPr>
          <w:rFonts w:ascii="Arial" w:hAnsi="Arial" w:cs="Arial"/>
          <w:sz w:val="20"/>
          <w:szCs w:val="20"/>
          <w:lang w:val="en-US"/>
        </w:rPr>
        <w:t>remains stable. (Right) Batch transamination without ATA-117: (</w:t>
      </w:r>
      <w:r w:rsidRPr="00DE60B8">
        <w:rPr>
          <w:rFonts w:ascii="Arial" w:hAnsi="Arial" w:cs="Arial"/>
          <w:color w:val="004080"/>
          <w:sz w:val="20"/>
          <w:szCs w:val="20"/>
          <w:lang w:val="en-US"/>
        </w:rPr>
        <w:t>●</w:t>
      </w:r>
      <w:r w:rsidRPr="00DE60B8">
        <w:rPr>
          <w:rFonts w:ascii="Arial" w:hAnsi="Arial" w:cs="Arial"/>
          <w:sz w:val="20"/>
          <w:szCs w:val="20"/>
          <w:lang w:val="en-US"/>
        </w:rPr>
        <w:t>)</w:t>
      </w:r>
      <w:r w:rsidR="0068040C" w:rsidRPr="00DE60B8">
        <w:rPr>
          <w:rFonts w:ascii="Arial" w:hAnsi="Arial" w:cs="Arial"/>
          <w:sz w:val="20"/>
          <w:szCs w:val="20"/>
          <w:lang w:val="en-US"/>
        </w:rPr>
        <w:t xml:space="preserve"> </w:t>
      </w:r>
      <w:r w:rsidRPr="00DE60B8">
        <w:rPr>
          <w:rFonts w:ascii="Arial" w:hAnsi="Arial" w:cs="Arial"/>
          <w:sz w:val="20"/>
          <w:szCs w:val="20"/>
          <w:lang w:val="en-US"/>
        </w:rPr>
        <w:t xml:space="preserve">BMBA </w:t>
      </w:r>
      <w:r w:rsidR="0068040C" w:rsidRPr="00DE60B8">
        <w:rPr>
          <w:rFonts w:ascii="Arial" w:hAnsi="Arial" w:cs="Arial"/>
          <w:sz w:val="20"/>
          <w:szCs w:val="20"/>
          <w:lang w:val="en-US"/>
        </w:rPr>
        <w:t xml:space="preserve">(both S </w:t>
      </w:r>
      <w:r w:rsidR="0068040C" w:rsidRPr="00DE60B8">
        <w:rPr>
          <w:rFonts w:ascii="Arial" w:hAnsi="Arial" w:cs="Arial"/>
          <w:sz w:val="20"/>
          <w:szCs w:val="20"/>
          <w:lang w:val="en-US"/>
        </w:rPr>
        <w:t>(</w:t>
      </w:r>
      <w:r w:rsidR="0068040C" w:rsidRPr="00DE60B8">
        <w:rPr>
          <w:rFonts w:ascii="MS Gothic" w:eastAsia="MS Gothic" w:hAnsi="MS Gothic" w:cs="MS Gothic" w:hint="eastAsia"/>
          <w:color w:val="C10029"/>
          <w:sz w:val="20"/>
          <w:szCs w:val="20"/>
          <w:lang w:val="en-US"/>
        </w:rPr>
        <w:t>◆</w:t>
      </w:r>
      <w:r w:rsidR="0068040C" w:rsidRPr="00DE60B8">
        <w:rPr>
          <w:rFonts w:ascii="Arial" w:hAnsi="Arial" w:cs="Arial"/>
          <w:sz w:val="20"/>
          <w:szCs w:val="20"/>
          <w:lang w:val="en-US"/>
        </w:rPr>
        <w:t xml:space="preserve">) </w:t>
      </w:r>
      <w:r w:rsidR="0068040C" w:rsidRPr="00DE60B8">
        <w:rPr>
          <w:rFonts w:ascii="Arial" w:hAnsi="Arial" w:cs="Arial"/>
          <w:i/>
          <w:sz w:val="20"/>
          <w:szCs w:val="20"/>
          <w:lang w:val="en-US"/>
        </w:rPr>
        <w:t>S</w:t>
      </w:r>
      <w:r w:rsidR="0068040C" w:rsidRPr="00DE60B8">
        <w:rPr>
          <w:rFonts w:ascii="Arial" w:hAnsi="Arial" w:cs="Arial"/>
          <w:sz w:val="20"/>
          <w:szCs w:val="20"/>
          <w:lang w:val="en-US"/>
        </w:rPr>
        <w:t xml:space="preserve"> and</w:t>
      </w:r>
      <w:r w:rsidR="0068040C" w:rsidRPr="00DE60B8">
        <w:rPr>
          <w:rFonts w:ascii="Arial" w:hAnsi="Arial" w:cs="Arial"/>
          <w:sz w:val="20"/>
          <w:szCs w:val="20"/>
          <w:lang w:val="en-US"/>
        </w:rPr>
        <w:t xml:space="preserve"> R</w:t>
      </w:r>
      <w:r w:rsidR="0068040C" w:rsidRPr="00DE60B8">
        <w:rPr>
          <w:rFonts w:ascii="Arial" w:hAnsi="Arial" w:cs="Arial"/>
          <w:sz w:val="20"/>
          <w:szCs w:val="20"/>
          <w:lang w:val="en-US"/>
        </w:rPr>
        <w:t xml:space="preserve"> (</w:t>
      </w:r>
      <w:r w:rsidR="0068040C" w:rsidRPr="00DE60B8">
        <w:rPr>
          <w:rFonts w:ascii="Arial" w:hAnsi="Arial" w:cs="Arial"/>
          <w:color w:val="008040"/>
          <w:sz w:val="20"/>
          <w:szCs w:val="20"/>
          <w:lang w:val="en-US"/>
        </w:rPr>
        <w:t>▲</w:t>
      </w:r>
      <w:r w:rsidR="0068040C" w:rsidRPr="00DE60B8">
        <w:rPr>
          <w:rFonts w:ascii="Arial" w:hAnsi="Arial" w:cs="Arial"/>
          <w:sz w:val="20"/>
          <w:szCs w:val="20"/>
          <w:lang w:val="en-US"/>
        </w:rPr>
        <w:t>)</w:t>
      </w:r>
      <w:r w:rsidR="0068040C" w:rsidRPr="00DE60B8">
        <w:rPr>
          <w:rFonts w:ascii="Arial" w:hAnsi="Arial" w:cs="Arial"/>
          <w:i/>
          <w:sz w:val="20"/>
          <w:szCs w:val="20"/>
          <w:lang w:val="en-US"/>
        </w:rPr>
        <w:t xml:space="preserve"> </w:t>
      </w:r>
      <w:r w:rsidR="0068040C" w:rsidRPr="00DE60B8">
        <w:rPr>
          <w:rFonts w:ascii="Arial" w:hAnsi="Arial" w:cs="Arial"/>
          <w:sz w:val="20"/>
          <w:szCs w:val="20"/>
          <w:lang w:val="en-US"/>
        </w:rPr>
        <w:t>enantiomer</w:t>
      </w:r>
      <w:r w:rsidR="0068040C" w:rsidRPr="00DE60B8">
        <w:rPr>
          <w:rFonts w:ascii="Arial" w:hAnsi="Arial" w:cs="Arial"/>
          <w:sz w:val="20"/>
          <w:szCs w:val="20"/>
          <w:lang w:val="en-US"/>
        </w:rPr>
        <w:t>s)</w:t>
      </w:r>
      <w:r w:rsidR="0068040C" w:rsidRPr="00DE60B8">
        <w:rPr>
          <w:rFonts w:ascii="Arial" w:hAnsi="Arial" w:cs="Arial"/>
          <w:sz w:val="20"/>
          <w:szCs w:val="20"/>
          <w:lang w:val="en-US"/>
        </w:rPr>
        <w:t xml:space="preserve"> </w:t>
      </w:r>
      <w:r w:rsidR="0068040C" w:rsidRPr="00DE60B8">
        <w:rPr>
          <w:rFonts w:ascii="Arial" w:hAnsi="Arial" w:cs="Arial"/>
          <w:sz w:val="20"/>
          <w:szCs w:val="20"/>
          <w:lang w:val="en-US"/>
        </w:rPr>
        <w:t xml:space="preserve">is not converted significantly, confirming the very slow kinetics of the non-catalyzed reaction. </w:t>
      </w:r>
      <w:bookmarkStart w:id="3" w:name="_Ref340140277"/>
    </w:p>
    <w:p w14:paraId="5429AFD6" w14:textId="77777777" w:rsidR="00DE60B8" w:rsidRDefault="00DE60B8" w:rsidP="00F74A76">
      <w:pPr>
        <w:pStyle w:val="Style1"/>
        <w:rPr>
          <w:rFonts w:ascii="Arial" w:hAnsi="Arial" w:cs="Arial"/>
          <w:sz w:val="20"/>
          <w:szCs w:val="20"/>
          <w:lang w:val="en-US"/>
        </w:rPr>
      </w:pPr>
    </w:p>
    <w:p w14:paraId="54E7F979" w14:textId="77777777" w:rsidR="002D2947" w:rsidRPr="0068040C" w:rsidRDefault="002D2947">
      <w:pPr>
        <w:rPr>
          <w:rFonts w:ascii="Arial" w:eastAsiaTheme="minorEastAsia" w:hAnsi="Arial"/>
          <w:sz w:val="14"/>
          <w:szCs w:val="14"/>
          <w:lang w:val="en-US"/>
        </w:rPr>
      </w:pPr>
      <w:r w:rsidRPr="0068040C">
        <w:rPr>
          <w:rFonts w:ascii="Arial" w:hAnsi="Arial"/>
          <w:sz w:val="14"/>
          <w:szCs w:val="14"/>
          <w:lang w:val="en-US"/>
        </w:rPr>
        <w:br w:type="page"/>
      </w:r>
    </w:p>
    <w:p w14:paraId="4A9506D1" w14:textId="68991C85" w:rsidR="00F74A76" w:rsidRPr="0068040C" w:rsidRDefault="00F74A76" w:rsidP="00F74A76">
      <w:pPr>
        <w:pStyle w:val="Style1"/>
        <w:rPr>
          <w:rFonts w:ascii="Arial" w:hAnsi="Arial"/>
          <w:sz w:val="14"/>
          <w:szCs w:val="14"/>
          <w:lang w:val="en-US"/>
        </w:rPr>
      </w:pPr>
      <w:r w:rsidRPr="0068040C">
        <w:rPr>
          <w:noProof/>
          <w:lang w:val="en-US" w:eastAsia="fr-BE"/>
        </w:rPr>
        <w:lastRenderedPageBreak/>
        <w:drawing>
          <wp:inline distT="0" distB="0" distL="0" distR="0" wp14:anchorId="35CD57BB" wp14:editId="21AB72C2">
            <wp:extent cx="3545024" cy="2146798"/>
            <wp:effectExtent l="0" t="0" r="11430" b="12700"/>
            <wp:docPr id="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3545150" cy="2146874"/>
                    </a:xfrm>
                    <a:prstGeom prst="rect">
                      <a:avLst/>
                    </a:prstGeom>
                    <a:noFill/>
                    <a:ln>
                      <a:noFill/>
                    </a:ln>
                  </pic:spPr>
                </pic:pic>
              </a:graphicData>
            </a:graphic>
          </wp:inline>
        </w:drawing>
      </w:r>
    </w:p>
    <w:p w14:paraId="52336048" w14:textId="65C7AA87" w:rsidR="00F74A76" w:rsidRPr="00A648D1" w:rsidRDefault="00F74A76" w:rsidP="00F74A76">
      <w:pPr>
        <w:pStyle w:val="Style1"/>
        <w:rPr>
          <w:rFonts w:ascii="Arial" w:hAnsi="Arial"/>
          <w:sz w:val="20"/>
          <w:szCs w:val="20"/>
          <w:lang w:val="en-US"/>
        </w:rPr>
      </w:pPr>
      <w:r w:rsidRPr="00A648D1">
        <w:rPr>
          <w:rFonts w:ascii="Arial" w:hAnsi="Arial"/>
          <w:b/>
          <w:sz w:val="20"/>
          <w:szCs w:val="20"/>
          <w:lang w:val="en-US"/>
        </w:rPr>
        <w:t>Figure S</w:t>
      </w:r>
      <w:bookmarkEnd w:id="3"/>
      <w:r w:rsidR="00A648D1" w:rsidRPr="00A648D1">
        <w:rPr>
          <w:rFonts w:ascii="Arial" w:hAnsi="Arial"/>
          <w:b/>
          <w:sz w:val="20"/>
          <w:szCs w:val="20"/>
          <w:lang w:val="en-US"/>
        </w:rPr>
        <w:t>7</w:t>
      </w:r>
      <w:r w:rsidRPr="00A648D1">
        <w:rPr>
          <w:rFonts w:ascii="Arial" w:hAnsi="Arial"/>
          <w:sz w:val="20"/>
          <w:szCs w:val="20"/>
          <w:lang w:val="en-US"/>
        </w:rPr>
        <w:t xml:space="preserve"> – During the synthesis process, </w:t>
      </w:r>
      <w:proofErr w:type="gramStart"/>
      <w:r w:rsidRPr="00A648D1">
        <w:rPr>
          <w:rFonts w:ascii="Arial" w:hAnsi="Arial"/>
          <w:sz w:val="20"/>
          <w:szCs w:val="20"/>
          <w:lang w:val="en-US"/>
        </w:rPr>
        <w:t>Si(</w:t>
      </w:r>
      <w:proofErr w:type="gramEnd"/>
      <w:r w:rsidRPr="00A648D1">
        <w:rPr>
          <w:rFonts w:ascii="Arial" w:hAnsi="Arial"/>
          <w:sz w:val="20"/>
          <w:szCs w:val="20"/>
          <w:lang w:val="en-US"/>
        </w:rPr>
        <w:t xml:space="preserve">HIPE) monoliths undergo an important macroscopic shrinkage attributed to the densification of the silica network. Consequently, it was impossible to predict the final diameter of the monoliths, and so, to build a suitable reactor for each batch of </w:t>
      </w:r>
      <w:proofErr w:type="gramStart"/>
      <w:r w:rsidRPr="00A648D1">
        <w:rPr>
          <w:rFonts w:ascii="Arial" w:hAnsi="Arial"/>
          <w:sz w:val="20"/>
          <w:szCs w:val="20"/>
          <w:lang w:val="en-US"/>
        </w:rPr>
        <w:t>Si(</w:t>
      </w:r>
      <w:proofErr w:type="gramEnd"/>
      <w:r w:rsidRPr="00A648D1">
        <w:rPr>
          <w:rFonts w:ascii="Arial" w:hAnsi="Arial"/>
          <w:sz w:val="20"/>
          <w:szCs w:val="20"/>
          <w:lang w:val="en-US"/>
        </w:rPr>
        <w:t>HIPE). Therefore, a heat-shrinkable material was implemented to match the shapes of the monolith. This plastic material shrinks when heated, without damaging the monolith. A polytetrafluoroethylene heat-shrinkable membrane –inert towards flow components– was implemented. Syringe-pumps connected to PTFE tubes and syringes were chosen as inert pumping devices.</w:t>
      </w:r>
      <w:bookmarkStart w:id="4" w:name="_Ref340140440"/>
    </w:p>
    <w:p w14:paraId="5A9FE718" w14:textId="77777777" w:rsidR="00A648D1" w:rsidRDefault="00A648D1" w:rsidP="00A648D1">
      <w:pPr>
        <w:pStyle w:val="Style1"/>
        <w:rPr>
          <w:rFonts w:ascii="Arial" w:hAnsi="Arial"/>
          <w:sz w:val="14"/>
          <w:szCs w:val="14"/>
          <w:lang w:val="en-US"/>
        </w:rPr>
      </w:pPr>
    </w:p>
    <w:p w14:paraId="437161D4" w14:textId="77777777" w:rsidR="00A648D1" w:rsidRDefault="00A648D1" w:rsidP="00A648D1">
      <w:pPr>
        <w:pStyle w:val="Style1"/>
        <w:rPr>
          <w:rFonts w:ascii="Arial" w:hAnsi="Arial"/>
          <w:sz w:val="14"/>
          <w:szCs w:val="14"/>
          <w:lang w:val="en-US"/>
        </w:rPr>
      </w:pPr>
    </w:p>
    <w:p w14:paraId="6FC2E13F" w14:textId="77777777" w:rsidR="00A648D1" w:rsidRDefault="00A648D1" w:rsidP="00A648D1">
      <w:pPr>
        <w:pStyle w:val="Style1"/>
        <w:rPr>
          <w:rFonts w:ascii="Arial" w:hAnsi="Arial"/>
          <w:sz w:val="14"/>
          <w:szCs w:val="14"/>
          <w:lang w:val="en-US"/>
        </w:rPr>
      </w:pPr>
    </w:p>
    <w:p w14:paraId="7C9E067B" w14:textId="5080072B" w:rsidR="00A648D1" w:rsidRPr="0068040C" w:rsidRDefault="00A648D1" w:rsidP="00A648D1">
      <w:pPr>
        <w:pStyle w:val="Style1"/>
        <w:rPr>
          <w:rFonts w:ascii="Arial" w:hAnsi="Arial"/>
          <w:sz w:val="14"/>
          <w:szCs w:val="14"/>
          <w:lang w:val="en-US"/>
        </w:rPr>
      </w:pPr>
      <w:r w:rsidRPr="0068040C">
        <w:rPr>
          <w:noProof/>
          <w:lang w:val="en-US" w:eastAsia="fr-BE"/>
        </w:rPr>
        <w:drawing>
          <wp:inline distT="0" distB="0" distL="0" distR="0" wp14:anchorId="1A9FB71C" wp14:editId="7C407972">
            <wp:extent cx="2123349" cy="1712867"/>
            <wp:effectExtent l="0" t="0" r="0" b="0"/>
            <wp:docPr id="5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2123349" cy="1712867"/>
                    </a:xfrm>
                    <a:prstGeom prst="rect">
                      <a:avLst/>
                    </a:prstGeom>
                    <a:noFill/>
                    <a:ln>
                      <a:noFill/>
                    </a:ln>
                  </pic:spPr>
                </pic:pic>
              </a:graphicData>
            </a:graphic>
          </wp:inline>
        </w:drawing>
      </w:r>
    </w:p>
    <w:p w14:paraId="556B90D2" w14:textId="7F4ED145" w:rsidR="00A648D1" w:rsidRPr="00A648D1" w:rsidRDefault="00A648D1" w:rsidP="00A648D1">
      <w:pPr>
        <w:pStyle w:val="Style1"/>
        <w:rPr>
          <w:rFonts w:ascii="Arial" w:hAnsi="Arial"/>
          <w:sz w:val="20"/>
          <w:szCs w:val="20"/>
          <w:lang w:val="en-US"/>
        </w:rPr>
      </w:pPr>
      <w:r w:rsidRPr="00A648D1">
        <w:rPr>
          <w:rFonts w:ascii="Arial" w:hAnsi="Arial"/>
          <w:b/>
          <w:sz w:val="20"/>
          <w:szCs w:val="20"/>
          <w:lang w:val="en-US"/>
        </w:rPr>
        <w:t>Figure S</w:t>
      </w:r>
      <w:r>
        <w:rPr>
          <w:rFonts w:ascii="Arial" w:hAnsi="Arial"/>
          <w:b/>
          <w:sz w:val="20"/>
          <w:szCs w:val="20"/>
          <w:lang w:val="en-US"/>
        </w:rPr>
        <w:t>8</w:t>
      </w:r>
      <w:r w:rsidRPr="00A648D1">
        <w:rPr>
          <w:rFonts w:ascii="Arial" w:hAnsi="Arial"/>
          <w:sz w:val="20"/>
          <w:szCs w:val="20"/>
          <w:lang w:val="en-US"/>
        </w:rPr>
        <w:t xml:space="preserve"> – Prior to flow biocatalysis experiments, the buffer (which contains PLP, a yellow compound) was injected into a </w:t>
      </w:r>
      <w:proofErr w:type="gramStart"/>
      <w:r w:rsidRPr="00A648D1">
        <w:rPr>
          <w:rFonts w:ascii="Arial" w:hAnsi="Arial"/>
          <w:sz w:val="20"/>
          <w:szCs w:val="20"/>
          <w:lang w:val="en-US"/>
        </w:rPr>
        <w:t>Si(</w:t>
      </w:r>
      <w:proofErr w:type="gramEnd"/>
      <w:r w:rsidRPr="00A648D1">
        <w:rPr>
          <w:rFonts w:ascii="Arial" w:hAnsi="Arial"/>
          <w:sz w:val="20"/>
          <w:szCs w:val="20"/>
          <w:lang w:val="en-US"/>
        </w:rPr>
        <w:t xml:space="preserve">HIPE) monolith itself placed in the continuous flow set-up. The flow was stopped before the yellow coloration reached the end of the monolith. The monolith was then recovered and cut lengthwise in order to observe the flow profile. The boundary between yellow zone (filled with buffer) and the white zone (not yet reached by the buffer) is straight. Also, to the eye, the yellow zone is uniform in </w:t>
      </w:r>
      <w:proofErr w:type="spellStart"/>
      <w:r w:rsidRPr="00A648D1">
        <w:rPr>
          <w:rFonts w:ascii="Arial" w:hAnsi="Arial"/>
          <w:sz w:val="20"/>
          <w:szCs w:val="20"/>
          <w:lang w:val="en-US"/>
        </w:rPr>
        <w:t>colour</w:t>
      </w:r>
      <w:proofErr w:type="spellEnd"/>
      <w:r w:rsidRPr="00A648D1">
        <w:rPr>
          <w:rFonts w:ascii="Arial" w:hAnsi="Arial"/>
          <w:sz w:val="20"/>
          <w:szCs w:val="20"/>
          <w:lang w:val="en-US"/>
        </w:rPr>
        <w:t xml:space="preserve"> intensity. This indicates that the liquid follows an ideal plug flow regime into </w:t>
      </w:r>
      <w:proofErr w:type="gramStart"/>
      <w:r w:rsidRPr="00A648D1">
        <w:rPr>
          <w:rFonts w:ascii="Arial" w:hAnsi="Arial"/>
          <w:sz w:val="20"/>
          <w:szCs w:val="20"/>
          <w:lang w:val="en-US"/>
        </w:rPr>
        <w:t>Si(</w:t>
      </w:r>
      <w:proofErr w:type="gramEnd"/>
      <w:r w:rsidRPr="00A648D1">
        <w:rPr>
          <w:rFonts w:ascii="Arial" w:hAnsi="Arial"/>
          <w:sz w:val="20"/>
          <w:szCs w:val="20"/>
          <w:lang w:val="en-US"/>
        </w:rPr>
        <w:t>HIPE). Therefore, it is assumed that product concentration into the reactor depends only on the relative position on the axis parallel to the flow (rather than on the radial position).</w:t>
      </w:r>
    </w:p>
    <w:p w14:paraId="50A551A8" w14:textId="77777777" w:rsidR="00A648D1" w:rsidRDefault="00A648D1">
      <w:pPr>
        <w:rPr>
          <w:rFonts w:ascii="Arial" w:eastAsiaTheme="minorEastAsia" w:hAnsi="Arial"/>
          <w:sz w:val="14"/>
          <w:szCs w:val="14"/>
          <w:lang w:val="en-US"/>
        </w:rPr>
      </w:pPr>
    </w:p>
    <w:p w14:paraId="4556A31A" w14:textId="77777777" w:rsidR="00A648D1" w:rsidRDefault="00A648D1">
      <w:pPr>
        <w:rPr>
          <w:rFonts w:ascii="Arial" w:eastAsiaTheme="minorEastAsia" w:hAnsi="Arial"/>
          <w:sz w:val="14"/>
          <w:szCs w:val="14"/>
          <w:lang w:val="en-US"/>
        </w:rPr>
      </w:pPr>
      <w:r>
        <w:rPr>
          <w:rFonts w:ascii="Arial" w:hAnsi="Arial"/>
          <w:sz w:val="14"/>
          <w:szCs w:val="14"/>
          <w:lang w:val="en-US"/>
        </w:rPr>
        <w:br w:type="page"/>
      </w:r>
    </w:p>
    <w:p w14:paraId="2F072F3C" w14:textId="224828EC" w:rsidR="00A648D1" w:rsidRPr="0068040C" w:rsidRDefault="00A648D1" w:rsidP="00A648D1">
      <w:pPr>
        <w:pStyle w:val="Style1"/>
        <w:rPr>
          <w:rFonts w:ascii="Arial" w:hAnsi="Arial"/>
          <w:sz w:val="14"/>
          <w:szCs w:val="14"/>
          <w:lang w:val="en-US"/>
        </w:rPr>
      </w:pPr>
      <w:r w:rsidRPr="0068040C">
        <w:rPr>
          <w:noProof/>
          <w:lang w:val="en-US" w:eastAsia="fr-BE"/>
        </w:rPr>
        <w:lastRenderedPageBreak/>
        <w:drawing>
          <wp:inline distT="0" distB="0" distL="0" distR="0" wp14:anchorId="7880E179" wp14:editId="0356E169">
            <wp:extent cx="2667000" cy="2400300"/>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 conv blancs_1.eps"/>
                    <pic:cNvPicPr/>
                  </pic:nvPicPr>
                  <pic:blipFill>
                    <a:blip r:embed="rId16" cstate="email">
                      <a:extLst>
                        <a:ext uri="{28A0092B-C50C-407E-A947-70E740481C1C}">
                          <a14:useLocalDpi xmlns:a14="http://schemas.microsoft.com/office/drawing/2010/main"/>
                        </a:ext>
                      </a:extLst>
                    </a:blip>
                    <a:stretch>
                      <a:fillRect/>
                    </a:stretch>
                  </pic:blipFill>
                  <pic:spPr>
                    <a:xfrm>
                      <a:off x="0" y="0"/>
                      <a:ext cx="2667000" cy="2400300"/>
                    </a:xfrm>
                    <a:prstGeom prst="rect">
                      <a:avLst/>
                    </a:prstGeom>
                  </pic:spPr>
                </pic:pic>
              </a:graphicData>
            </a:graphic>
          </wp:inline>
        </w:drawing>
      </w:r>
      <w:r w:rsidRPr="0068040C">
        <w:rPr>
          <w:rFonts w:ascii="Arial" w:hAnsi="Arial"/>
          <w:sz w:val="14"/>
          <w:szCs w:val="14"/>
          <w:lang w:val="en-US"/>
        </w:rPr>
        <w:t xml:space="preserve"> </w:t>
      </w:r>
      <w:bookmarkStart w:id="5" w:name="_Ref340146307"/>
    </w:p>
    <w:p w14:paraId="41ABD7C1" w14:textId="591A5BF5" w:rsidR="00A648D1" w:rsidRPr="00DE60B8" w:rsidRDefault="00A648D1" w:rsidP="00A648D1">
      <w:pPr>
        <w:pStyle w:val="Style1"/>
        <w:rPr>
          <w:rFonts w:ascii="Arial" w:hAnsi="Arial" w:cs="Arial"/>
          <w:sz w:val="20"/>
          <w:szCs w:val="20"/>
          <w:lang w:val="en-US"/>
        </w:rPr>
      </w:pPr>
      <w:r w:rsidRPr="00DE60B8">
        <w:rPr>
          <w:rFonts w:ascii="Arial" w:hAnsi="Arial" w:cs="Arial"/>
          <w:b/>
          <w:sz w:val="20"/>
          <w:szCs w:val="20"/>
          <w:lang w:val="en-US"/>
        </w:rPr>
        <w:t>Figure S</w:t>
      </w:r>
      <w:bookmarkEnd w:id="5"/>
      <w:r>
        <w:rPr>
          <w:rFonts w:ascii="Arial" w:hAnsi="Arial" w:cs="Arial"/>
          <w:b/>
          <w:sz w:val="20"/>
          <w:szCs w:val="20"/>
          <w:lang w:val="en-US"/>
        </w:rPr>
        <w:t>9</w:t>
      </w:r>
      <w:r w:rsidRPr="00DE60B8">
        <w:rPr>
          <w:rFonts w:ascii="Arial" w:hAnsi="Arial" w:cs="Arial"/>
          <w:sz w:val="20"/>
          <w:szCs w:val="20"/>
          <w:lang w:val="en-US"/>
        </w:rPr>
        <w:t xml:space="preserve"> – Kinetic resolution of racemic </w:t>
      </w:r>
      <w:proofErr w:type="spellStart"/>
      <w:r w:rsidRPr="00DE60B8">
        <w:rPr>
          <w:rFonts w:ascii="Arial" w:hAnsi="Arial" w:cs="Arial"/>
          <w:sz w:val="20"/>
          <w:szCs w:val="20"/>
          <w:lang w:val="en-US"/>
        </w:rPr>
        <w:t>bromo</w:t>
      </w:r>
      <w:proofErr w:type="spellEnd"/>
      <w:r w:rsidRPr="00DE60B8">
        <w:rPr>
          <w:rFonts w:ascii="Arial" w:hAnsi="Arial" w:cs="Arial"/>
          <w:sz w:val="20"/>
          <w:szCs w:val="20"/>
          <w:lang w:val="en-US"/>
        </w:rPr>
        <w:t>-α-</w:t>
      </w:r>
      <w:proofErr w:type="spellStart"/>
      <w:r w:rsidRPr="00DE60B8">
        <w:rPr>
          <w:rFonts w:ascii="Arial" w:hAnsi="Arial" w:cs="Arial"/>
          <w:sz w:val="20"/>
          <w:szCs w:val="20"/>
          <w:lang w:val="en-US"/>
        </w:rPr>
        <w:t>methylbenzylamine</w:t>
      </w:r>
      <w:proofErr w:type="spellEnd"/>
      <w:r w:rsidRPr="00DE60B8">
        <w:rPr>
          <w:rFonts w:ascii="Arial" w:hAnsi="Arial" w:cs="Arial"/>
          <w:sz w:val="20"/>
          <w:szCs w:val="20"/>
          <w:lang w:val="en-US"/>
        </w:rPr>
        <w:t xml:space="preserve"> (</w:t>
      </w:r>
      <w:proofErr w:type="spellStart"/>
      <w:r w:rsidRPr="00DE60B8">
        <w:rPr>
          <w:rFonts w:ascii="Arial" w:hAnsi="Arial" w:cs="Arial"/>
          <w:sz w:val="20"/>
          <w:szCs w:val="20"/>
          <w:lang w:val="en-US"/>
        </w:rPr>
        <w:t>rac</w:t>
      </w:r>
      <w:proofErr w:type="spellEnd"/>
      <w:r w:rsidRPr="00DE60B8">
        <w:rPr>
          <w:rFonts w:ascii="Arial" w:hAnsi="Arial" w:cs="Arial"/>
          <w:sz w:val="20"/>
          <w:szCs w:val="20"/>
          <w:lang w:val="en-US"/>
        </w:rPr>
        <w:t>-BMBA) into 4’-bromoacetophenone (BAP)</w:t>
      </w:r>
      <w:r>
        <w:rPr>
          <w:rFonts w:ascii="Arial" w:hAnsi="Arial" w:cs="Arial"/>
          <w:sz w:val="20"/>
          <w:szCs w:val="20"/>
          <w:lang w:val="en-US"/>
        </w:rPr>
        <w:t xml:space="preserve"> in flow mode using </w:t>
      </w:r>
      <w:r w:rsidRPr="00DE60B8">
        <w:rPr>
          <w:rFonts w:ascii="Arial" w:hAnsi="Arial" w:cs="Arial"/>
          <w:sz w:val="20"/>
          <w:szCs w:val="20"/>
          <w:lang w:val="en-US"/>
        </w:rPr>
        <w:t>(</w:t>
      </w:r>
      <w:r w:rsidRPr="00DE60B8">
        <w:rPr>
          <w:rFonts w:ascii="Arial" w:hAnsi="Arial" w:cs="Arial"/>
          <w:color w:val="003399"/>
          <w:sz w:val="20"/>
          <w:szCs w:val="20"/>
          <w:lang w:val="en-US"/>
        </w:rPr>
        <w:t>■</w:t>
      </w:r>
      <w:r w:rsidRPr="00DE60B8">
        <w:rPr>
          <w:rFonts w:ascii="Arial" w:hAnsi="Arial" w:cs="Arial"/>
          <w:sz w:val="20"/>
          <w:szCs w:val="20"/>
          <w:lang w:val="en-US"/>
        </w:rPr>
        <w:t xml:space="preserve">) </w:t>
      </w:r>
      <w:proofErr w:type="gramStart"/>
      <w:r w:rsidRPr="00DE60B8">
        <w:rPr>
          <w:rFonts w:ascii="Arial" w:hAnsi="Arial" w:cs="Arial"/>
          <w:sz w:val="20"/>
          <w:szCs w:val="20"/>
          <w:lang w:val="en-US"/>
        </w:rPr>
        <w:t>Si(</w:t>
      </w:r>
      <w:proofErr w:type="gramEnd"/>
      <w:r w:rsidRPr="00DE60B8">
        <w:rPr>
          <w:rFonts w:ascii="Arial" w:hAnsi="Arial" w:cs="Arial"/>
          <w:sz w:val="20"/>
          <w:szCs w:val="20"/>
          <w:lang w:val="en-US"/>
        </w:rPr>
        <w:t>HIPE) or (</w:t>
      </w:r>
      <w:r w:rsidRPr="00DE60B8">
        <w:rPr>
          <w:rFonts w:ascii="Arial" w:hAnsi="Arial" w:cs="Arial"/>
          <w:color w:val="C10029"/>
          <w:sz w:val="20"/>
          <w:szCs w:val="20"/>
          <w:lang w:val="en-US"/>
        </w:rPr>
        <w:t>▲</w:t>
      </w:r>
      <w:r w:rsidRPr="00DE60B8">
        <w:rPr>
          <w:rFonts w:ascii="Arial" w:hAnsi="Arial" w:cs="Arial"/>
          <w:sz w:val="20"/>
          <w:szCs w:val="20"/>
          <w:lang w:val="en-US"/>
        </w:rPr>
        <w:t>) A50 monolith</w:t>
      </w:r>
      <w:r>
        <w:rPr>
          <w:rFonts w:ascii="Arial" w:hAnsi="Arial" w:cs="Arial"/>
          <w:sz w:val="20"/>
          <w:szCs w:val="20"/>
          <w:lang w:val="en-US"/>
        </w:rPr>
        <w:t xml:space="preserve"> (no enzyme). Only a small conversion is observed (yield ~0.5%), corresponding to the </w:t>
      </w:r>
      <w:r w:rsidRPr="00DE60B8">
        <w:rPr>
          <w:rFonts w:ascii="Arial" w:hAnsi="Arial" w:cs="Arial"/>
          <w:sz w:val="20"/>
          <w:szCs w:val="20"/>
          <w:lang w:val="en-US"/>
        </w:rPr>
        <w:t xml:space="preserve">slow non-enzymatic </w:t>
      </w:r>
      <w:r>
        <w:rPr>
          <w:rFonts w:ascii="Arial" w:hAnsi="Arial" w:cs="Arial"/>
          <w:sz w:val="20"/>
          <w:szCs w:val="20"/>
          <w:lang w:val="en-US"/>
        </w:rPr>
        <w:t xml:space="preserve">activity </w:t>
      </w:r>
      <w:r w:rsidR="006E08EC">
        <w:rPr>
          <w:rFonts w:ascii="Arial" w:hAnsi="Arial" w:cs="Arial"/>
          <w:sz w:val="20"/>
          <w:szCs w:val="20"/>
          <w:lang w:val="en-US"/>
        </w:rPr>
        <w:t xml:space="preserve">occurring in the stock solution </w:t>
      </w:r>
      <w:bookmarkStart w:id="6" w:name="_GoBack"/>
      <w:bookmarkEnd w:id="6"/>
      <w:r>
        <w:rPr>
          <w:rFonts w:ascii="Arial" w:hAnsi="Arial" w:cs="Arial"/>
          <w:sz w:val="20"/>
          <w:szCs w:val="20"/>
          <w:lang w:val="en-US"/>
        </w:rPr>
        <w:t>under the sole effect of PLP, as observed also in batch mode</w:t>
      </w:r>
      <w:r w:rsidRPr="00DE60B8">
        <w:rPr>
          <w:rFonts w:ascii="Arial" w:hAnsi="Arial" w:cs="Arial"/>
          <w:sz w:val="20"/>
          <w:szCs w:val="20"/>
          <w:lang w:val="en-US"/>
        </w:rPr>
        <w:t xml:space="preserve"> (</w:t>
      </w:r>
      <w:r w:rsidRPr="00DE60B8">
        <w:rPr>
          <w:rFonts w:ascii="Arial" w:hAnsi="Arial" w:cs="Arial"/>
          <w:color w:val="008040"/>
          <w:sz w:val="20"/>
          <w:szCs w:val="20"/>
          <w:lang w:val="en-US"/>
        </w:rPr>
        <w:t>●</w:t>
      </w:r>
      <w:r>
        <w:rPr>
          <w:rFonts w:ascii="Arial" w:hAnsi="Arial" w:cs="Arial"/>
          <w:sz w:val="20"/>
          <w:szCs w:val="20"/>
          <w:lang w:val="en-US"/>
        </w:rPr>
        <w:t xml:space="preserve">) </w:t>
      </w:r>
      <w:r w:rsidRPr="00DE60B8">
        <w:rPr>
          <w:rFonts w:ascii="Arial" w:hAnsi="Arial" w:cs="Arial"/>
          <w:sz w:val="20"/>
          <w:szCs w:val="20"/>
          <w:lang w:val="en-US"/>
        </w:rPr>
        <w:t xml:space="preserve">in the </w:t>
      </w:r>
      <w:r w:rsidR="006E08EC">
        <w:rPr>
          <w:rFonts w:ascii="Arial" w:hAnsi="Arial" w:cs="Arial"/>
          <w:sz w:val="20"/>
          <w:szCs w:val="20"/>
          <w:lang w:val="en-US"/>
        </w:rPr>
        <w:t>same</w:t>
      </w:r>
      <w:r w:rsidRPr="00DE60B8">
        <w:rPr>
          <w:rFonts w:ascii="Arial" w:hAnsi="Arial" w:cs="Arial"/>
          <w:sz w:val="20"/>
          <w:szCs w:val="20"/>
          <w:lang w:val="en-US"/>
        </w:rPr>
        <w:t xml:space="preserve"> conditions. </w:t>
      </w:r>
    </w:p>
    <w:p w14:paraId="62A3552B" w14:textId="77777777" w:rsidR="00A648D1" w:rsidRDefault="00A648D1">
      <w:pPr>
        <w:rPr>
          <w:rFonts w:ascii="Arial" w:eastAsiaTheme="minorEastAsia" w:hAnsi="Arial"/>
          <w:sz w:val="14"/>
          <w:szCs w:val="14"/>
          <w:lang w:val="en-US"/>
        </w:rPr>
      </w:pPr>
      <w:r>
        <w:rPr>
          <w:rFonts w:ascii="Arial" w:hAnsi="Arial"/>
          <w:sz w:val="14"/>
          <w:szCs w:val="14"/>
          <w:lang w:val="en-US"/>
        </w:rPr>
        <w:br w:type="page"/>
      </w:r>
    </w:p>
    <w:bookmarkEnd w:id="4"/>
    <w:p w14:paraId="3C967EC7" w14:textId="77777777" w:rsidR="002D2947" w:rsidRPr="0068040C" w:rsidRDefault="002D2947" w:rsidP="00F74A76">
      <w:pPr>
        <w:pStyle w:val="Style1"/>
        <w:rPr>
          <w:rFonts w:ascii="Arial" w:hAnsi="Arial"/>
          <w:sz w:val="14"/>
          <w:szCs w:val="14"/>
          <w:lang w:val="en-US"/>
        </w:rPr>
      </w:pPr>
    </w:p>
    <w:p w14:paraId="218CA4B8" w14:textId="2B97F4B2" w:rsidR="006E08EC" w:rsidRPr="0068040C" w:rsidRDefault="006E08EC" w:rsidP="00F74A76">
      <w:pPr>
        <w:pStyle w:val="Style1"/>
        <w:rPr>
          <w:rFonts w:ascii="Arial" w:hAnsi="Arial"/>
          <w:sz w:val="14"/>
          <w:szCs w:val="14"/>
          <w:lang w:val="en-US"/>
        </w:rPr>
      </w:pPr>
      <w:r>
        <w:rPr>
          <w:noProof/>
          <w:lang w:val="fr-BE" w:eastAsia="fr-BE"/>
        </w:rPr>
        <w:drawing>
          <wp:inline distT="0" distB="0" distL="0" distR="0" wp14:anchorId="7F931FEF" wp14:editId="4A3D1AC5">
            <wp:extent cx="2667000" cy="2400300"/>
            <wp:effectExtent l="0" t="0" r="0" b="0"/>
            <wp:docPr id="2" name="Image 2" descr="Macintosh HD:Users:ludivdb:Documents:THESE:Rédaction:► Article:4e essai:figure:Fig CCC:7 - contact lim dif_v3.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ludivdb:Documents:THESE:Rédaction:► Article:4e essai:figure:Fig CCC:7 - contact lim dif_v3.ep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67000" cy="2400300"/>
                    </a:xfrm>
                    <a:prstGeom prst="rect">
                      <a:avLst/>
                    </a:prstGeom>
                    <a:noFill/>
                    <a:ln>
                      <a:noFill/>
                    </a:ln>
                  </pic:spPr>
                </pic:pic>
              </a:graphicData>
            </a:graphic>
          </wp:inline>
        </w:drawing>
      </w:r>
    </w:p>
    <w:p w14:paraId="12A759D4" w14:textId="7726D04D" w:rsidR="00F74A76" w:rsidRPr="009232C7" w:rsidRDefault="00F74A76" w:rsidP="00F74A76">
      <w:pPr>
        <w:pStyle w:val="Style1"/>
        <w:rPr>
          <w:rFonts w:ascii="Arial" w:hAnsi="Arial" w:cs="Arial"/>
          <w:sz w:val="20"/>
          <w:szCs w:val="20"/>
          <w:lang w:val="en-US"/>
        </w:rPr>
      </w:pPr>
      <w:r w:rsidRPr="009232C7">
        <w:rPr>
          <w:rFonts w:ascii="Arial" w:hAnsi="Arial" w:cs="Arial"/>
          <w:b/>
          <w:sz w:val="20"/>
          <w:szCs w:val="20"/>
          <w:lang w:val="en-US"/>
        </w:rPr>
        <w:t>Figure S1</w:t>
      </w:r>
      <w:r w:rsidR="006C12AB" w:rsidRPr="009232C7">
        <w:rPr>
          <w:rFonts w:ascii="Arial" w:hAnsi="Arial" w:cs="Arial"/>
          <w:b/>
          <w:sz w:val="20"/>
          <w:szCs w:val="20"/>
          <w:lang w:val="en-US"/>
        </w:rPr>
        <w:t>0</w:t>
      </w:r>
      <w:r w:rsidRPr="009232C7">
        <w:rPr>
          <w:rFonts w:ascii="Arial" w:hAnsi="Arial" w:cs="Arial"/>
          <w:sz w:val="20"/>
          <w:szCs w:val="20"/>
          <w:lang w:val="en-US"/>
        </w:rPr>
        <w:t xml:space="preserve"> – Dependence of </w:t>
      </w:r>
      <w:r w:rsidR="00D70DF6">
        <w:rPr>
          <w:rFonts w:ascii="Arial" w:hAnsi="Arial" w:cs="Arial"/>
          <w:sz w:val="20"/>
          <w:szCs w:val="20"/>
          <w:lang w:val="en-US"/>
        </w:rPr>
        <w:t>activity on flow rate. C</w:t>
      </w:r>
      <w:r w:rsidRPr="009232C7">
        <w:rPr>
          <w:rFonts w:ascii="Arial" w:hAnsi="Arial" w:cs="Arial"/>
          <w:sz w:val="20"/>
          <w:szCs w:val="20"/>
          <w:lang w:val="en-US"/>
        </w:rPr>
        <w:t xml:space="preserve">ontact time is </w:t>
      </w:r>
      <w:r w:rsidR="00D70DF6">
        <w:rPr>
          <w:rFonts w:ascii="Arial" w:hAnsi="Arial" w:cs="Arial"/>
          <w:sz w:val="20"/>
          <w:szCs w:val="20"/>
          <w:lang w:val="en-US"/>
        </w:rPr>
        <w:t xml:space="preserve">maintained </w:t>
      </w:r>
      <w:r w:rsidRPr="009232C7">
        <w:rPr>
          <w:rFonts w:ascii="Arial" w:hAnsi="Arial" w:cs="Arial"/>
          <w:sz w:val="20"/>
          <w:szCs w:val="20"/>
          <w:lang w:val="en-US"/>
        </w:rPr>
        <w:t xml:space="preserve">constant by adjusting the flow rate </w:t>
      </w:r>
      <w:r w:rsidR="00D70DF6">
        <w:rPr>
          <w:rFonts w:ascii="Arial" w:hAnsi="Arial" w:cs="Arial"/>
          <w:sz w:val="20"/>
          <w:szCs w:val="20"/>
          <w:lang w:val="en-US"/>
        </w:rPr>
        <w:t>proportionally to the bed size</w:t>
      </w:r>
      <w:r w:rsidRPr="009232C7">
        <w:rPr>
          <w:rFonts w:ascii="Arial" w:hAnsi="Arial" w:cs="Arial"/>
          <w:sz w:val="20"/>
          <w:szCs w:val="20"/>
          <w:lang w:val="en-US"/>
        </w:rPr>
        <w:t>. The yield was constant suggesting that no diffusional limitation occurred for the flow rates chosen. To account for small variation in the monolith pore volume, data are plotted as a function of porous volume.</w:t>
      </w:r>
    </w:p>
    <w:p w14:paraId="748A768D" w14:textId="77777777" w:rsidR="002D2947" w:rsidRPr="0068040C" w:rsidRDefault="002D2947" w:rsidP="00F74A76">
      <w:pPr>
        <w:pStyle w:val="Style1"/>
        <w:rPr>
          <w:rFonts w:ascii="Arial" w:hAnsi="Arial"/>
          <w:noProof/>
          <w:sz w:val="14"/>
          <w:szCs w:val="14"/>
          <w:lang w:val="en-US" w:eastAsia="fr-FR"/>
        </w:rPr>
      </w:pPr>
    </w:p>
    <w:p w14:paraId="392DCACB" w14:textId="77777777" w:rsidR="00F74A76" w:rsidRPr="0068040C" w:rsidRDefault="00F74A76" w:rsidP="00F74A76">
      <w:pPr>
        <w:pStyle w:val="Style1"/>
        <w:rPr>
          <w:rFonts w:ascii="Arial" w:hAnsi="Arial"/>
          <w:b/>
          <w:sz w:val="14"/>
          <w:szCs w:val="14"/>
          <w:lang w:val="en-US"/>
        </w:rPr>
      </w:pPr>
      <w:r w:rsidRPr="0068040C">
        <w:rPr>
          <w:rFonts w:ascii="Arial" w:hAnsi="Arial"/>
          <w:noProof/>
          <w:sz w:val="14"/>
          <w:szCs w:val="14"/>
          <w:lang w:val="en-US" w:eastAsia="fr-BE"/>
        </w:rPr>
        <w:drawing>
          <wp:inline distT="0" distB="0" distL="0" distR="0" wp14:anchorId="41571307" wp14:editId="4481BE52">
            <wp:extent cx="2667000" cy="240030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 contact lin_v2.eps"/>
                    <pic:cNvPicPr/>
                  </pic:nvPicPr>
                  <pic:blipFill>
                    <a:blip r:embed="rId18" cstate="email">
                      <a:extLst>
                        <a:ext uri="{28A0092B-C50C-407E-A947-70E740481C1C}">
                          <a14:useLocalDpi xmlns:a14="http://schemas.microsoft.com/office/drawing/2010/main"/>
                        </a:ext>
                      </a:extLst>
                    </a:blip>
                    <a:stretch>
                      <a:fillRect/>
                    </a:stretch>
                  </pic:blipFill>
                  <pic:spPr>
                    <a:xfrm>
                      <a:off x="0" y="0"/>
                      <a:ext cx="2667000" cy="2400300"/>
                    </a:xfrm>
                    <a:prstGeom prst="rect">
                      <a:avLst/>
                    </a:prstGeom>
                  </pic:spPr>
                </pic:pic>
              </a:graphicData>
            </a:graphic>
          </wp:inline>
        </w:drawing>
      </w:r>
    </w:p>
    <w:p w14:paraId="2CC9B11A" w14:textId="4A398DCB" w:rsidR="00F74A76" w:rsidRPr="00D70DF6" w:rsidRDefault="00F74A76" w:rsidP="00F74A76">
      <w:pPr>
        <w:pStyle w:val="Style1"/>
        <w:rPr>
          <w:rFonts w:ascii="Arial" w:hAnsi="Arial" w:cs="Arial"/>
          <w:sz w:val="20"/>
          <w:szCs w:val="20"/>
          <w:lang w:val="en-US"/>
        </w:rPr>
      </w:pPr>
      <w:r w:rsidRPr="00D70DF6">
        <w:rPr>
          <w:rFonts w:ascii="Arial" w:hAnsi="Arial" w:cs="Arial"/>
          <w:b/>
          <w:sz w:val="20"/>
          <w:szCs w:val="20"/>
          <w:lang w:val="en-US"/>
        </w:rPr>
        <w:t>Figure S1</w:t>
      </w:r>
      <w:r w:rsidR="006C12AB" w:rsidRPr="00D70DF6">
        <w:rPr>
          <w:rFonts w:ascii="Arial" w:hAnsi="Arial" w:cs="Arial"/>
          <w:b/>
          <w:sz w:val="20"/>
          <w:szCs w:val="20"/>
          <w:lang w:val="en-US"/>
        </w:rPr>
        <w:t>1</w:t>
      </w:r>
      <w:r w:rsidRPr="00D70DF6">
        <w:rPr>
          <w:rFonts w:ascii="Arial" w:hAnsi="Arial" w:cs="Arial"/>
          <w:sz w:val="20"/>
          <w:szCs w:val="20"/>
          <w:lang w:val="en-US"/>
        </w:rPr>
        <w:t xml:space="preserve"> – Dependence of </w:t>
      </w:r>
      <w:r w:rsidR="00D70DF6">
        <w:rPr>
          <w:rFonts w:ascii="Arial" w:hAnsi="Arial" w:cs="Arial"/>
          <w:sz w:val="20"/>
          <w:szCs w:val="20"/>
          <w:lang w:val="en-US"/>
        </w:rPr>
        <w:t>activity</w:t>
      </w:r>
      <w:r w:rsidRPr="00D70DF6">
        <w:rPr>
          <w:rFonts w:ascii="Arial" w:hAnsi="Arial" w:cs="Arial"/>
          <w:sz w:val="20"/>
          <w:szCs w:val="20"/>
          <w:lang w:val="en-US"/>
        </w:rPr>
        <w:t xml:space="preserve"> on contact time, for TA-A50-GA. Flow rate was maintained constant but the size of the monolith was varied.</w:t>
      </w:r>
    </w:p>
    <w:p w14:paraId="509C06BD" w14:textId="77777777" w:rsidR="00162677" w:rsidRPr="0068040C" w:rsidRDefault="00162677">
      <w:pPr>
        <w:rPr>
          <w:lang w:val="en-US"/>
        </w:rPr>
      </w:pPr>
    </w:p>
    <w:sectPr w:rsidR="00162677" w:rsidRPr="0068040C" w:rsidSect="0095126A">
      <w:headerReference w:type="even" r:id="rId19"/>
      <w:headerReference w:type="default" r:id="rId20"/>
      <w:footerReference w:type="even" r:id="rId21"/>
      <w:footerReference w:type="default" r:id="rId22"/>
      <w:headerReference w:type="first" r:id="rId23"/>
      <w:footerReference w:type="first" r:id="rId24"/>
      <w:pgSz w:w="11906" w:h="16838" w:code="9"/>
      <w:pgMar w:top="1134" w:right="936" w:bottom="1134" w:left="936" w:header="1021" w:footer="0" w:gutter="0"/>
      <w:cols w:space="28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64D4B1" w14:textId="77777777" w:rsidR="008132F0" w:rsidRDefault="008132F0">
      <w:r>
        <w:separator/>
      </w:r>
    </w:p>
  </w:endnote>
  <w:endnote w:type="continuationSeparator" w:id="0">
    <w:p w14:paraId="42D8DB90" w14:textId="77777777" w:rsidR="008132F0" w:rsidRDefault="008132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LM Roman Demi 10 Regular">
    <w:altName w:val="Courier New"/>
    <w:charset w:val="00"/>
    <w:family w:val="auto"/>
    <w:pitch w:val="variable"/>
    <w:sig w:usb0="00000001" w:usb1="00000000" w:usb2="00000000" w:usb3="00000000" w:csb0="00000193" w:csb1="00000000"/>
  </w:font>
  <w:font w:name="Arial">
    <w:panose1 w:val="020B0604020202020204"/>
    <w:charset w:val="00"/>
    <w:family w:val="swiss"/>
    <w:pitch w:val="variable"/>
    <w:sig w:usb0="E0002EFF" w:usb1="C0007843" w:usb2="00000009" w:usb3="00000000" w:csb0="000001FF" w:csb1="00000000"/>
  </w:font>
  <w:font w:name="LM Roman Demi 10 Oblique">
    <w:charset w:val="00"/>
    <w:family w:val="auto"/>
    <w:pitch w:val="variable"/>
    <w:sig w:usb0="20000007" w:usb1="00000000" w:usb2="00000000" w:usb3="00000000" w:csb0="00000193"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E1000AEF" w:usb1="5000A1FF" w:usb2="00000000" w:usb3="00000000" w:csb0="000001BF" w:csb1="00000000"/>
  </w:font>
  <w:font w:name="Georgia">
    <w:panose1 w:val="02040502050405020303"/>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6549D6" w14:textId="77777777" w:rsidR="0040185A" w:rsidRDefault="0040185A" w:rsidP="002F4CAF">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41CE7D3F" w14:textId="77777777" w:rsidR="0040185A" w:rsidRDefault="0040185A" w:rsidP="0040185A">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AFDA63" w14:textId="77777777" w:rsidR="0040185A" w:rsidRPr="0040185A" w:rsidRDefault="0040185A" w:rsidP="002F4CAF">
    <w:pPr>
      <w:pStyle w:val="Pieddepage"/>
      <w:framePr w:wrap="around" w:vAnchor="text" w:hAnchor="margin" w:xAlign="right" w:y="1"/>
      <w:rPr>
        <w:rStyle w:val="Numrodepage"/>
      </w:rPr>
    </w:pPr>
    <w:r w:rsidRPr="0040185A">
      <w:rPr>
        <w:rStyle w:val="Numrodepage"/>
      </w:rPr>
      <w:fldChar w:fldCharType="begin"/>
    </w:r>
    <w:r w:rsidRPr="0040185A">
      <w:rPr>
        <w:rStyle w:val="Numrodepage"/>
      </w:rPr>
      <w:instrText xml:space="preserve">PAGE  </w:instrText>
    </w:r>
    <w:r w:rsidRPr="0040185A">
      <w:rPr>
        <w:rStyle w:val="Numrodepage"/>
      </w:rPr>
      <w:fldChar w:fldCharType="separate"/>
    </w:r>
    <w:r w:rsidR="006E08EC">
      <w:rPr>
        <w:rStyle w:val="Numrodepage"/>
        <w:noProof/>
      </w:rPr>
      <w:t>9</w:t>
    </w:r>
    <w:r w:rsidRPr="0040185A">
      <w:rPr>
        <w:rStyle w:val="Numrodepage"/>
      </w:rPr>
      <w:fldChar w:fldCharType="end"/>
    </w:r>
  </w:p>
  <w:p w14:paraId="5B59C8C7" w14:textId="77777777" w:rsidR="006C7E66" w:rsidRDefault="008132F0" w:rsidP="0040185A">
    <w:pPr>
      <w:ind w:right="360"/>
    </w:pPr>
  </w:p>
  <w:p w14:paraId="1E7858B4" w14:textId="77777777" w:rsidR="006C7E66" w:rsidRDefault="008132F0" w:rsidP="0095126A">
    <w:pPr>
      <w:pStyle w:val="Pieddepage"/>
    </w:pPr>
  </w:p>
  <w:p w14:paraId="09EFC623" w14:textId="77777777" w:rsidR="006C7E66" w:rsidRDefault="008132F0" w:rsidP="0095126A">
    <w:pPr>
      <w:pStyle w:val="Pieddepage"/>
    </w:pPr>
  </w:p>
  <w:p w14:paraId="4E90F0E6" w14:textId="77777777" w:rsidR="006C7E66" w:rsidRPr="00205632" w:rsidRDefault="008132F0" w:rsidP="0095126A">
    <w:pPr>
      <w:pStyle w:val="Pieddepage"/>
    </w:pPr>
  </w:p>
  <w:p w14:paraId="29768CA2" w14:textId="77777777" w:rsidR="006C7E66" w:rsidRPr="0095126A" w:rsidRDefault="008132F0" w:rsidP="0095126A">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99D4C9" w14:textId="77777777" w:rsidR="005665BC" w:rsidRDefault="005665BC">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A45D2E" w14:textId="77777777" w:rsidR="008132F0" w:rsidRDefault="008132F0">
      <w:r>
        <w:separator/>
      </w:r>
    </w:p>
  </w:footnote>
  <w:footnote w:type="continuationSeparator" w:id="0">
    <w:p w14:paraId="33F5E0DF" w14:textId="77777777" w:rsidR="008132F0" w:rsidRDefault="008132F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9721EB" w14:textId="77777777" w:rsidR="006C7E66" w:rsidRPr="00C8278A" w:rsidRDefault="008132F0" w:rsidP="00FB4551">
    <w:pPr>
      <w:pStyle w:val="En-tte"/>
      <w:pBdr>
        <w:bottom w:val="single" w:sz="36" w:space="1" w:color="C0C0C0"/>
      </w:pBdr>
      <w:rPr>
        <w:rFonts w:ascii="Arial Narrow" w:hAnsi="Arial Narrow" w:cs="Arial"/>
        <w:b/>
        <w:bCs/>
        <w:color w:val="C0C0C0"/>
        <w:sz w:val="36"/>
        <w:szCs w:val="36"/>
      </w:rPr>
    </w:pPr>
    <w:r>
      <w:rPr>
        <w:rFonts w:ascii="Arial Narrow" w:hAnsi="Arial Narrow" w:cs="Arial"/>
        <w:b/>
        <w:bCs/>
        <w:noProof/>
        <w:color w:val="C0C0C0"/>
        <w:sz w:val="40"/>
        <w:szCs w:val="36"/>
        <w:lang w:val="de-DE" w:eastAsia="zh-CN"/>
      </w:rPr>
      <w:pict w14:anchorId="4AA936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22074" o:spid="_x0000_s2050" type="#_x0000_t75" style="position:absolute;left:0;text-align:left;margin-left:0;margin-top:0;width:688.65pt;height:937.8pt;z-index:-251655168;mso-position-horizontal:center;mso-position-horizontal-relative:margin;mso-position-vertical:center;mso-position-vertical-relative:margin" o:allowincell="f">
          <v:imagedata r:id="rId1" o:title="Wiley-VCH_gedreht" gain="19661f" blacklevel="22938f"/>
          <w10:wrap anchorx="margin" anchory="margin"/>
        </v:shape>
      </w:pict>
    </w:r>
    <w:r w:rsidR="00F74A76">
      <w:rPr>
        <w:rFonts w:ascii="Arial Narrow" w:hAnsi="Arial Narrow" w:cs="Arial"/>
        <w:b/>
        <w:bCs/>
        <w:noProof/>
        <w:color w:val="C0C0C0"/>
        <w:sz w:val="40"/>
        <w:szCs w:val="36"/>
        <w:lang w:val="fr-BE" w:eastAsia="fr-BE"/>
      </w:rPr>
      <w:drawing>
        <wp:inline distT="0" distB="0" distL="0" distR="0" wp14:anchorId="589B6E90" wp14:editId="5DED6367">
          <wp:extent cx="1439545" cy="416560"/>
          <wp:effectExtent l="0" t="0" r="825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39545" cy="416560"/>
                  </a:xfrm>
                  <a:prstGeom prst="rect">
                    <a:avLst/>
                  </a:prstGeom>
                  <a:noFill/>
                  <a:ln>
                    <a:noFill/>
                  </a:ln>
                </pic:spPr>
              </pic:pic>
            </a:graphicData>
          </a:graphic>
        </wp:inline>
      </w:drawing>
    </w:r>
    <w:r w:rsidR="00F74A76">
      <w:rPr>
        <w:rFonts w:ascii="Arial Narrow" w:hAnsi="Arial Narrow" w:cs="Arial"/>
        <w:b/>
        <w:bCs/>
        <w:color w:val="C0C0C0"/>
        <w:sz w:val="40"/>
        <w:szCs w:val="36"/>
      </w:rPr>
      <w:tab/>
    </w:r>
    <w:r w:rsidR="00F74A76">
      <w:rPr>
        <w:rFonts w:ascii="Arial Narrow" w:hAnsi="Arial Narrow" w:cs="Arial"/>
        <w:b/>
        <w:bCs/>
        <w:color w:val="C0C0C0"/>
        <w:sz w:val="40"/>
        <w:szCs w:val="36"/>
      </w:rPr>
      <w:tab/>
      <w:t xml:space="preserve">                            </w:t>
    </w:r>
    <w:r w:rsidR="00F74A76" w:rsidRPr="00FB4551">
      <w:rPr>
        <w:rFonts w:ascii="Arial" w:hAnsi="Arial" w:cs="Arial"/>
        <w:b/>
        <w:bCs/>
        <w:color w:val="C0C0C0"/>
      </w:rPr>
      <w:t>www.chemsuschem.org</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414636" w14:textId="77777777" w:rsidR="005665BC" w:rsidRDefault="005665BC">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04C1C7" w14:textId="77777777" w:rsidR="006C7E66" w:rsidRDefault="008132F0">
    <w:pPr>
      <w:pStyle w:val="En-tte"/>
    </w:pPr>
    <w:r>
      <w:rPr>
        <w:noProof/>
        <w:lang w:val="de-DE" w:eastAsia="zh-CN"/>
      </w:rPr>
      <w:pict w14:anchorId="770B3F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622073" o:spid="_x0000_s2049" type="#_x0000_t75" style="position:absolute;left:0;text-align:left;margin-left:0;margin-top:0;width:688.65pt;height:937.8pt;z-index:-251656192;mso-position-horizontal:center;mso-position-horizontal-relative:margin;mso-position-vertical:center;mso-position-vertical-relative:margin" o:allowincell="f">
          <v:imagedata r:id="rId1" o:title="Wiley-VCH_gedreht"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937988"/>
    <w:multiLevelType w:val="hybridMultilevel"/>
    <w:tmpl w:val="EB78F574"/>
    <w:lvl w:ilvl="0" w:tplc="50A2BB38">
      <w:start w:val="1"/>
      <w:numFmt w:val="lowerLetter"/>
      <w:lvlText w:val="%1."/>
      <w:lvlJc w:val="left"/>
      <w:pPr>
        <w:ind w:left="2484" w:hanging="360"/>
      </w:pPr>
      <w:rPr>
        <w:rFonts w:hint="default"/>
      </w:rPr>
    </w:lvl>
    <w:lvl w:ilvl="1" w:tplc="040C0019" w:tentative="1">
      <w:start w:val="1"/>
      <w:numFmt w:val="lowerLetter"/>
      <w:lvlText w:val="%2."/>
      <w:lvlJc w:val="left"/>
      <w:pPr>
        <w:ind w:left="3204" w:hanging="360"/>
      </w:pPr>
    </w:lvl>
    <w:lvl w:ilvl="2" w:tplc="040C001B" w:tentative="1">
      <w:start w:val="1"/>
      <w:numFmt w:val="lowerRoman"/>
      <w:lvlText w:val="%3."/>
      <w:lvlJc w:val="right"/>
      <w:pPr>
        <w:ind w:left="3924" w:hanging="180"/>
      </w:pPr>
    </w:lvl>
    <w:lvl w:ilvl="3" w:tplc="040C000F" w:tentative="1">
      <w:start w:val="1"/>
      <w:numFmt w:val="decimal"/>
      <w:pStyle w:val="Titre4"/>
      <w:lvlText w:val="%4."/>
      <w:lvlJc w:val="left"/>
      <w:pPr>
        <w:ind w:left="4644" w:hanging="360"/>
      </w:pPr>
    </w:lvl>
    <w:lvl w:ilvl="4" w:tplc="040C0019" w:tentative="1">
      <w:start w:val="1"/>
      <w:numFmt w:val="lowerLetter"/>
      <w:lvlText w:val="%5."/>
      <w:lvlJc w:val="left"/>
      <w:pPr>
        <w:ind w:left="5364" w:hanging="360"/>
      </w:pPr>
    </w:lvl>
    <w:lvl w:ilvl="5" w:tplc="040C001B" w:tentative="1">
      <w:start w:val="1"/>
      <w:numFmt w:val="lowerRoman"/>
      <w:lvlText w:val="%6."/>
      <w:lvlJc w:val="right"/>
      <w:pPr>
        <w:ind w:left="6084" w:hanging="180"/>
      </w:pPr>
    </w:lvl>
    <w:lvl w:ilvl="6" w:tplc="040C000F" w:tentative="1">
      <w:start w:val="1"/>
      <w:numFmt w:val="decimal"/>
      <w:lvlText w:val="%7."/>
      <w:lvlJc w:val="left"/>
      <w:pPr>
        <w:ind w:left="6804" w:hanging="360"/>
      </w:pPr>
    </w:lvl>
    <w:lvl w:ilvl="7" w:tplc="040C0019" w:tentative="1">
      <w:start w:val="1"/>
      <w:numFmt w:val="lowerLetter"/>
      <w:lvlText w:val="%8."/>
      <w:lvlJc w:val="left"/>
      <w:pPr>
        <w:ind w:left="7524" w:hanging="360"/>
      </w:pPr>
    </w:lvl>
    <w:lvl w:ilvl="8" w:tplc="040C001B" w:tentative="1">
      <w:start w:val="1"/>
      <w:numFmt w:val="lowerRoman"/>
      <w:lvlText w:val="%9."/>
      <w:lvlJc w:val="right"/>
      <w:pPr>
        <w:ind w:left="8244" w:hanging="180"/>
      </w:pPr>
    </w:lvl>
  </w:abstractNum>
  <w:abstractNum w:abstractNumId="1" w15:restartNumberingAfterBreak="0">
    <w:nsid w:val="36312EA1"/>
    <w:multiLevelType w:val="hybridMultilevel"/>
    <w:tmpl w:val="2A7C5D0E"/>
    <w:lvl w:ilvl="0" w:tplc="69DEBFFE">
      <w:start w:val="1"/>
      <w:numFmt w:val="decimal"/>
      <w:pStyle w:val="En-ttesection"/>
      <w:lvlText w:val="%1."/>
      <w:lvlJc w:val="left"/>
      <w:pPr>
        <w:ind w:left="700" w:hanging="360"/>
      </w:pPr>
      <w:rPr>
        <w:rFonts w:hint="default"/>
      </w:rPr>
    </w:lvl>
    <w:lvl w:ilvl="1" w:tplc="040C0019" w:tentative="1">
      <w:start w:val="1"/>
      <w:numFmt w:val="lowerLetter"/>
      <w:pStyle w:val="Titre2"/>
      <w:lvlText w:val="%2."/>
      <w:lvlJc w:val="left"/>
      <w:pPr>
        <w:ind w:left="1420" w:hanging="360"/>
      </w:pPr>
    </w:lvl>
    <w:lvl w:ilvl="2" w:tplc="040C001B" w:tentative="1">
      <w:start w:val="1"/>
      <w:numFmt w:val="lowerRoman"/>
      <w:pStyle w:val="Titre3"/>
      <w:lvlText w:val="%3."/>
      <w:lvlJc w:val="right"/>
      <w:pPr>
        <w:ind w:left="2140" w:hanging="180"/>
      </w:pPr>
    </w:lvl>
    <w:lvl w:ilvl="3" w:tplc="040C000F" w:tentative="1">
      <w:start w:val="1"/>
      <w:numFmt w:val="decimal"/>
      <w:lvlText w:val="%4."/>
      <w:lvlJc w:val="left"/>
      <w:pPr>
        <w:ind w:left="2860" w:hanging="360"/>
      </w:pPr>
    </w:lvl>
    <w:lvl w:ilvl="4" w:tplc="040C0019" w:tentative="1">
      <w:start w:val="1"/>
      <w:numFmt w:val="lowerLetter"/>
      <w:lvlText w:val="%5."/>
      <w:lvlJc w:val="left"/>
      <w:pPr>
        <w:ind w:left="3580" w:hanging="360"/>
      </w:pPr>
    </w:lvl>
    <w:lvl w:ilvl="5" w:tplc="040C001B" w:tentative="1">
      <w:start w:val="1"/>
      <w:numFmt w:val="lowerRoman"/>
      <w:lvlText w:val="%6."/>
      <w:lvlJc w:val="right"/>
      <w:pPr>
        <w:ind w:left="4300" w:hanging="180"/>
      </w:pPr>
    </w:lvl>
    <w:lvl w:ilvl="6" w:tplc="040C000F" w:tentative="1">
      <w:start w:val="1"/>
      <w:numFmt w:val="decimal"/>
      <w:lvlText w:val="%7."/>
      <w:lvlJc w:val="left"/>
      <w:pPr>
        <w:ind w:left="5020" w:hanging="360"/>
      </w:pPr>
    </w:lvl>
    <w:lvl w:ilvl="7" w:tplc="040C0019" w:tentative="1">
      <w:start w:val="1"/>
      <w:numFmt w:val="lowerLetter"/>
      <w:lvlText w:val="%8."/>
      <w:lvlJc w:val="left"/>
      <w:pPr>
        <w:ind w:left="5740" w:hanging="360"/>
      </w:pPr>
    </w:lvl>
    <w:lvl w:ilvl="8" w:tplc="040C001B" w:tentative="1">
      <w:start w:val="1"/>
      <w:numFmt w:val="lowerRoman"/>
      <w:lvlText w:val="%9."/>
      <w:lvlJc w:val="right"/>
      <w:pPr>
        <w:ind w:left="6460" w:hanging="180"/>
      </w:pPr>
    </w:lvl>
  </w:abstractNum>
  <w:abstractNum w:abstractNumId="2" w15:restartNumberingAfterBreak="0">
    <w:nsid w:val="5F6C7427"/>
    <w:multiLevelType w:val="multilevel"/>
    <w:tmpl w:val="BE3EC5E4"/>
    <w:lvl w:ilvl="0">
      <w:start w:val="1"/>
      <w:numFmt w:val="decimal"/>
      <w:lvlText w:val="%1"/>
      <w:lvlJc w:val="left"/>
      <w:pPr>
        <w:tabs>
          <w:tab w:val="num" w:pos="360"/>
        </w:tabs>
        <w:ind w:left="0" w:firstLine="0"/>
      </w:pPr>
      <w:rPr>
        <w:rFonts w:hint="default"/>
      </w:rPr>
    </w:lvl>
    <w:lvl w:ilvl="1">
      <w:start w:val="1"/>
      <w:numFmt w:val="decimal"/>
      <w:lvlText w:val="%1.%2"/>
      <w:lvlJc w:val="left"/>
      <w:pPr>
        <w:tabs>
          <w:tab w:val="num" w:pos="720"/>
        </w:tabs>
        <w:ind w:left="0" w:firstLine="0"/>
      </w:pPr>
      <w:rPr>
        <w:rFonts w:hint="default"/>
      </w:rPr>
    </w:lvl>
    <w:lvl w:ilvl="2">
      <w:start w:val="1"/>
      <w:numFmt w:val="decimal"/>
      <w:lvlText w:val="%1.%2.%3"/>
      <w:lvlJc w:val="left"/>
      <w:pPr>
        <w:tabs>
          <w:tab w:val="num" w:pos="1080"/>
        </w:tabs>
        <w:ind w:left="0" w:firstLine="0"/>
      </w:pPr>
      <w:rPr>
        <w:rFonts w:hint="default"/>
      </w:rPr>
    </w:lvl>
    <w:lvl w:ilvl="3">
      <w:start w:val="1"/>
      <w:numFmt w:val="decimal"/>
      <w:lvlText w:val="%1.%2.%3.%4"/>
      <w:lvlJc w:val="left"/>
      <w:pPr>
        <w:tabs>
          <w:tab w:val="num" w:pos="1021"/>
        </w:tabs>
        <w:ind w:left="1728" w:hanging="172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num w:numId="1">
    <w:abstractNumId w:val="2"/>
  </w:num>
  <w:num w:numId="2">
    <w:abstractNumId w:val="2"/>
  </w:num>
  <w:num w:numId="3">
    <w:abstractNumId w:val="2"/>
  </w:num>
  <w:num w:numId="4">
    <w:abstractNumId w:val="2"/>
  </w:num>
  <w:num w:numId="5">
    <w:abstractNumId w:val="2"/>
  </w:num>
  <w:num w:numId="6">
    <w:abstractNumId w:val="2"/>
  </w:num>
  <w:num w:numId="7">
    <w:abstractNumId w:val="1"/>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4A76"/>
    <w:rsid w:val="00092110"/>
    <w:rsid w:val="0010756D"/>
    <w:rsid w:val="00162677"/>
    <w:rsid w:val="00217506"/>
    <w:rsid w:val="00227974"/>
    <w:rsid w:val="0024536F"/>
    <w:rsid w:val="002D2947"/>
    <w:rsid w:val="002D3D49"/>
    <w:rsid w:val="003631B1"/>
    <w:rsid w:val="0040185A"/>
    <w:rsid w:val="005665BC"/>
    <w:rsid w:val="005941D9"/>
    <w:rsid w:val="005C7E30"/>
    <w:rsid w:val="00613D58"/>
    <w:rsid w:val="0068040C"/>
    <w:rsid w:val="006C12AB"/>
    <w:rsid w:val="006E08EC"/>
    <w:rsid w:val="00734A05"/>
    <w:rsid w:val="00755169"/>
    <w:rsid w:val="007A1417"/>
    <w:rsid w:val="008132F0"/>
    <w:rsid w:val="008508D4"/>
    <w:rsid w:val="0090033F"/>
    <w:rsid w:val="009232C7"/>
    <w:rsid w:val="009E1AB0"/>
    <w:rsid w:val="00A648D1"/>
    <w:rsid w:val="00AE6C15"/>
    <w:rsid w:val="00D17AD6"/>
    <w:rsid w:val="00D70DF6"/>
    <w:rsid w:val="00D82EB4"/>
    <w:rsid w:val="00DE60B8"/>
    <w:rsid w:val="00E03347"/>
    <w:rsid w:val="00F74A76"/>
  </w:rsids>
  <m:mathPr>
    <m:mathFont m:val="Cambria Math"/>
    <m:brkBin m:val="before"/>
    <m:brkBinSub m:val="--"/>
    <m:smallFrac m:val="0"/>
    <m:dispDef/>
    <m:lMargin m:val="0"/>
    <m:rMargin m:val="0"/>
    <m:defJc m:val="centerGroup"/>
    <m:wrapIndent m:val="1440"/>
    <m:intLim m:val="subSup"/>
    <m:naryLim m:val="undOvr"/>
  </m:mathPr>
  <w:themeFontLang w:val="fr-B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1"/>
    </o:shapelayout>
  </w:shapeDefaults>
  <w:decimalSymbol w:val=","/>
  <w:listSeparator w:val=";"/>
  <w14:docId w14:val="61388668"/>
  <w14:defaultImageDpi w14:val="300"/>
  <w15:docId w15:val="{A99331E2-1BED-4FA2-ABA3-715F849B6B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sz w:val="22"/>
        <w:szCs w:val="22"/>
        <w:lang w:val="en-GB"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74A76"/>
    <w:rPr>
      <w:rFonts w:eastAsia="MS Mincho"/>
      <w:sz w:val="24"/>
      <w:szCs w:val="24"/>
      <w:lang w:val="de-DE"/>
    </w:rPr>
  </w:style>
  <w:style w:type="paragraph" w:styleId="Titre1">
    <w:name w:val="heading 1"/>
    <w:basedOn w:val="Normal"/>
    <w:next w:val="Normal"/>
    <w:link w:val="Titre1Car"/>
    <w:qFormat/>
    <w:rsid w:val="003631B1"/>
    <w:pPr>
      <w:keepNext/>
      <w:tabs>
        <w:tab w:val="num" w:pos="360"/>
        <w:tab w:val="left" w:pos="482"/>
      </w:tabs>
      <w:spacing w:before="360" w:after="180"/>
      <w:outlineLvl w:val="0"/>
    </w:pPr>
    <w:rPr>
      <w:rFonts w:ascii="LM Roman Demi 10 Regular" w:eastAsiaTheme="minorEastAsia" w:hAnsi="LM Roman Demi 10 Regular" w:cs="Arial"/>
      <w:bCs/>
      <w:noProof/>
      <w:sz w:val="36"/>
      <w:szCs w:val="32"/>
      <w:lang w:val="en-GB"/>
    </w:rPr>
  </w:style>
  <w:style w:type="paragraph" w:styleId="Titre2">
    <w:name w:val="heading 2"/>
    <w:basedOn w:val="Normal"/>
    <w:next w:val="Normal"/>
    <w:link w:val="Titre2Car"/>
    <w:autoRedefine/>
    <w:qFormat/>
    <w:rsid w:val="003631B1"/>
    <w:pPr>
      <w:keepNext/>
      <w:numPr>
        <w:ilvl w:val="1"/>
        <w:numId w:val="7"/>
      </w:numPr>
      <w:spacing w:before="300" w:after="120"/>
      <w:ind w:firstLine="0"/>
      <w:outlineLvl w:val="1"/>
    </w:pPr>
    <w:rPr>
      <w:rFonts w:ascii="LM Roman Demi 10 Regular" w:eastAsiaTheme="minorEastAsia" w:hAnsi="LM Roman Demi 10 Regular" w:cs="Arial"/>
      <w:bCs/>
      <w:iCs/>
      <w:noProof/>
      <w:sz w:val="32"/>
      <w:szCs w:val="28"/>
      <w:lang w:val="en-GB"/>
    </w:rPr>
  </w:style>
  <w:style w:type="paragraph" w:styleId="Titre3">
    <w:name w:val="heading 3"/>
    <w:basedOn w:val="Normal"/>
    <w:next w:val="Normal"/>
    <w:link w:val="Titre3Car"/>
    <w:autoRedefine/>
    <w:qFormat/>
    <w:rsid w:val="003631B1"/>
    <w:pPr>
      <w:keepNext/>
      <w:numPr>
        <w:ilvl w:val="2"/>
        <w:numId w:val="7"/>
      </w:numPr>
      <w:tabs>
        <w:tab w:val="left" w:pos="765"/>
      </w:tabs>
      <w:spacing w:before="300" w:after="120"/>
      <w:ind w:firstLine="0"/>
      <w:outlineLvl w:val="2"/>
    </w:pPr>
    <w:rPr>
      <w:rFonts w:ascii="LM Roman Demi 10 Regular" w:eastAsiaTheme="minorEastAsia" w:hAnsi="LM Roman Demi 10 Regular" w:cs="Arial"/>
      <w:bCs/>
      <w:noProof/>
      <w:sz w:val="28"/>
      <w:szCs w:val="26"/>
      <w:lang w:val="en-GB"/>
    </w:rPr>
  </w:style>
  <w:style w:type="paragraph" w:styleId="Titre4">
    <w:name w:val="heading 4"/>
    <w:basedOn w:val="Titre1"/>
    <w:next w:val="Normal"/>
    <w:link w:val="Titre4Car"/>
    <w:autoRedefine/>
    <w:uiPriority w:val="9"/>
    <w:semiHidden/>
    <w:unhideWhenUsed/>
    <w:qFormat/>
    <w:rsid w:val="003631B1"/>
    <w:pPr>
      <w:numPr>
        <w:ilvl w:val="3"/>
        <w:numId w:val="8"/>
      </w:numPr>
      <w:tabs>
        <w:tab w:val="num" w:pos="1021"/>
      </w:tabs>
      <w:spacing w:before="240" w:after="60"/>
      <w:ind w:left="1728" w:hanging="1728"/>
      <w:outlineLvl w:val="3"/>
    </w:pPr>
    <w:rPr>
      <w:rFonts w:ascii="LM Roman Demi 10 Oblique" w:eastAsia="MS Mincho" w:hAnsi="LM Roman Demi 10 Oblique" w:cstheme="minorBidi"/>
      <w:bCs w:val="0"/>
      <w:sz w:val="26"/>
      <w:szCs w:val="28"/>
    </w:rPr>
  </w:style>
  <w:style w:type="paragraph" w:styleId="Titre5">
    <w:name w:val="heading 5"/>
    <w:basedOn w:val="Paragraphedeliste"/>
    <w:next w:val="Normal"/>
    <w:link w:val="Titre5Car"/>
    <w:uiPriority w:val="9"/>
    <w:unhideWhenUsed/>
    <w:qFormat/>
    <w:rsid w:val="00092110"/>
    <w:pPr>
      <w:spacing w:before="0" w:after="0" w:line="288" w:lineRule="auto"/>
      <w:ind w:left="2484" w:hanging="360"/>
      <w:outlineLvl w:val="4"/>
    </w:pPr>
    <w:rPr>
      <w:rFonts w:ascii="Times New Roman" w:hAnsi="Times New Roman"/>
      <w:i/>
      <w:sz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yle1">
    <w:name w:val="Style1"/>
    <w:basedOn w:val="Normal"/>
    <w:qFormat/>
    <w:rsid w:val="003631B1"/>
    <w:pPr>
      <w:spacing w:before="120" w:after="120"/>
      <w:ind w:firstLine="340"/>
      <w:jc w:val="both"/>
    </w:pPr>
    <w:rPr>
      <w:rFonts w:ascii="LM Roman Demi 10 Regular" w:eastAsiaTheme="minorEastAsia" w:hAnsi="LM Roman Demi 10 Regular"/>
      <w:sz w:val="36"/>
      <w:szCs w:val="22"/>
      <w:lang w:val="en-GB"/>
    </w:rPr>
  </w:style>
  <w:style w:type="character" w:customStyle="1" w:styleId="Titre1Car">
    <w:name w:val="Titre 1 Car"/>
    <w:basedOn w:val="Policepardfaut"/>
    <w:link w:val="Titre1"/>
    <w:rsid w:val="003631B1"/>
    <w:rPr>
      <w:rFonts w:ascii="LM Roman Demi 10 Regular" w:hAnsi="LM Roman Demi 10 Regular" w:cs="Arial"/>
      <w:bCs/>
      <w:noProof/>
      <w:sz w:val="36"/>
      <w:szCs w:val="32"/>
    </w:rPr>
  </w:style>
  <w:style w:type="character" w:customStyle="1" w:styleId="Titre2Car">
    <w:name w:val="Titre 2 Car"/>
    <w:basedOn w:val="Policepardfaut"/>
    <w:link w:val="Titre2"/>
    <w:rsid w:val="003631B1"/>
    <w:rPr>
      <w:rFonts w:ascii="LM Roman Demi 10 Regular" w:hAnsi="LM Roman Demi 10 Regular" w:cs="Arial"/>
      <w:bCs/>
      <w:iCs/>
      <w:noProof/>
      <w:sz w:val="32"/>
      <w:szCs w:val="28"/>
    </w:rPr>
  </w:style>
  <w:style w:type="character" w:customStyle="1" w:styleId="Titre3Car">
    <w:name w:val="Titre 3 Car"/>
    <w:basedOn w:val="Policepardfaut"/>
    <w:link w:val="Titre3"/>
    <w:rsid w:val="003631B1"/>
    <w:rPr>
      <w:rFonts w:ascii="LM Roman Demi 10 Regular" w:hAnsi="LM Roman Demi 10 Regular" w:cs="Arial"/>
      <w:bCs/>
      <w:noProof/>
      <w:sz w:val="28"/>
      <w:szCs w:val="26"/>
    </w:rPr>
  </w:style>
  <w:style w:type="character" w:customStyle="1" w:styleId="Titre4Car">
    <w:name w:val="Titre 4 Car"/>
    <w:link w:val="Titre4"/>
    <w:uiPriority w:val="9"/>
    <w:semiHidden/>
    <w:rsid w:val="003631B1"/>
    <w:rPr>
      <w:rFonts w:ascii="LM Roman Demi 10 Oblique" w:eastAsia="MS Mincho" w:hAnsi="LM Roman Demi 10 Oblique"/>
      <w:noProof/>
      <w:sz w:val="26"/>
      <w:szCs w:val="28"/>
    </w:rPr>
  </w:style>
  <w:style w:type="paragraph" w:styleId="Titre">
    <w:name w:val="Title"/>
    <w:aliases w:val="Titre 5bis"/>
    <w:next w:val="Normal"/>
    <w:link w:val="TitreCar"/>
    <w:autoRedefine/>
    <w:uiPriority w:val="10"/>
    <w:qFormat/>
    <w:rsid w:val="003631B1"/>
    <w:pPr>
      <w:spacing w:before="240" w:after="60"/>
      <w:outlineLvl w:val="0"/>
    </w:pPr>
    <w:rPr>
      <w:rFonts w:ascii="LM Roman Demi 10 Regular" w:eastAsiaTheme="majorEastAsia" w:hAnsi="LM Roman Demi 10 Regular" w:cstheme="majorBidi"/>
      <w:i/>
      <w:iCs/>
      <w:kern w:val="28"/>
      <w:sz w:val="26"/>
      <w:szCs w:val="32"/>
      <w:lang w:val="fr-FR"/>
    </w:rPr>
  </w:style>
  <w:style w:type="character" w:customStyle="1" w:styleId="TitreCar">
    <w:name w:val="Titre Car"/>
    <w:aliases w:val="Titre 5bis Car"/>
    <w:basedOn w:val="Policepardfaut"/>
    <w:link w:val="Titre"/>
    <w:uiPriority w:val="10"/>
    <w:rsid w:val="003631B1"/>
    <w:rPr>
      <w:rFonts w:ascii="LM Roman Demi 10 Regular" w:eastAsiaTheme="majorEastAsia" w:hAnsi="LM Roman Demi 10 Regular" w:cstheme="majorBidi"/>
      <w:i/>
      <w:iCs/>
      <w:kern w:val="28"/>
      <w:sz w:val="26"/>
      <w:szCs w:val="32"/>
      <w:lang w:val="fr-FR"/>
    </w:rPr>
  </w:style>
  <w:style w:type="paragraph" w:styleId="Textedebulles">
    <w:name w:val="Balloon Text"/>
    <w:basedOn w:val="Normal"/>
    <w:link w:val="TextedebullesCar"/>
    <w:uiPriority w:val="99"/>
    <w:semiHidden/>
    <w:unhideWhenUsed/>
    <w:rsid w:val="005C7E30"/>
    <w:pPr>
      <w:spacing w:before="120" w:after="120"/>
      <w:ind w:firstLine="340"/>
      <w:jc w:val="both"/>
    </w:pPr>
    <w:rPr>
      <w:rFonts w:ascii="Lucida Grande" w:eastAsiaTheme="minorEastAsia" w:hAnsi="Lucida Grande" w:cs="Lucida Grande"/>
      <w:sz w:val="18"/>
      <w:szCs w:val="18"/>
      <w:lang w:val="en-GB"/>
    </w:rPr>
  </w:style>
  <w:style w:type="character" w:customStyle="1" w:styleId="TextedebullesCar">
    <w:name w:val="Texte de bulles Car"/>
    <w:basedOn w:val="Policepardfaut"/>
    <w:link w:val="Textedebulles"/>
    <w:uiPriority w:val="99"/>
    <w:semiHidden/>
    <w:rsid w:val="005C7E30"/>
    <w:rPr>
      <w:rFonts w:ascii="Lucida Grande" w:eastAsia="Times New Roman" w:hAnsi="Lucida Grande" w:cs="Lucida Grande"/>
      <w:sz w:val="18"/>
      <w:szCs w:val="18"/>
      <w:lang w:val="fr-FR"/>
    </w:rPr>
  </w:style>
  <w:style w:type="paragraph" w:customStyle="1" w:styleId="TitreConfirmation">
    <w:name w:val="Titre Confirmation"/>
    <w:basedOn w:val="Normal"/>
    <w:qFormat/>
    <w:rsid w:val="009E1AB0"/>
    <w:pPr>
      <w:spacing w:before="240" w:after="240"/>
      <w:jc w:val="center"/>
    </w:pPr>
    <w:rPr>
      <w:rFonts w:ascii="Georgia" w:eastAsiaTheme="minorEastAsia" w:hAnsi="Georgia"/>
      <w:sz w:val="36"/>
      <w:szCs w:val="36"/>
      <w:lang w:val="en-GB"/>
    </w:rPr>
  </w:style>
  <w:style w:type="paragraph" w:customStyle="1" w:styleId="En-ttesection">
    <w:name w:val="En-tête section"/>
    <w:basedOn w:val="En-tte"/>
    <w:qFormat/>
    <w:rsid w:val="009E1AB0"/>
    <w:pPr>
      <w:numPr>
        <w:numId w:val="7"/>
      </w:numPr>
      <w:pBdr>
        <w:bottom w:val="single" w:sz="6" w:space="1" w:color="auto"/>
      </w:pBdr>
      <w:spacing w:before="120" w:after="120"/>
      <w:jc w:val="right"/>
    </w:pPr>
  </w:style>
  <w:style w:type="paragraph" w:styleId="En-tte">
    <w:name w:val="header"/>
    <w:basedOn w:val="Normal"/>
    <w:link w:val="En-tteCar"/>
    <w:uiPriority w:val="99"/>
    <w:unhideWhenUsed/>
    <w:rsid w:val="009E1AB0"/>
    <w:pPr>
      <w:tabs>
        <w:tab w:val="center" w:pos="4536"/>
        <w:tab w:val="right" w:pos="9072"/>
      </w:tabs>
      <w:ind w:firstLine="340"/>
      <w:jc w:val="both"/>
    </w:pPr>
    <w:rPr>
      <w:rFonts w:ascii="Georgia" w:eastAsiaTheme="minorEastAsia" w:hAnsi="Georgia"/>
      <w:sz w:val="20"/>
      <w:szCs w:val="22"/>
      <w:lang w:val="en-GB"/>
    </w:rPr>
  </w:style>
  <w:style w:type="character" w:customStyle="1" w:styleId="En-tteCar">
    <w:name w:val="En-tête Car"/>
    <w:basedOn w:val="Policepardfaut"/>
    <w:link w:val="En-tte"/>
    <w:uiPriority w:val="99"/>
    <w:rsid w:val="009E1AB0"/>
    <w:rPr>
      <w:rFonts w:ascii="Georgia" w:hAnsi="Georgia"/>
      <w:sz w:val="20"/>
    </w:rPr>
  </w:style>
  <w:style w:type="paragraph" w:styleId="Lgende">
    <w:name w:val="caption"/>
    <w:basedOn w:val="Normal"/>
    <w:next w:val="Normal"/>
    <w:uiPriority w:val="35"/>
    <w:unhideWhenUsed/>
    <w:qFormat/>
    <w:rsid w:val="00D82EB4"/>
    <w:pPr>
      <w:spacing w:before="240" w:after="240"/>
      <w:ind w:firstLine="340"/>
      <w:contextualSpacing/>
      <w:jc w:val="both"/>
    </w:pPr>
    <w:rPr>
      <w:rFonts w:ascii="Georgia" w:eastAsiaTheme="minorEastAsia" w:hAnsi="Georgia"/>
      <w:b/>
      <w:bCs/>
      <w:sz w:val="18"/>
      <w:szCs w:val="18"/>
      <w:lang w:val="en-GB"/>
    </w:rPr>
  </w:style>
  <w:style w:type="character" w:customStyle="1" w:styleId="Titre5Car">
    <w:name w:val="Titre 5 Car"/>
    <w:basedOn w:val="Policepardfaut"/>
    <w:link w:val="Titre5"/>
    <w:uiPriority w:val="9"/>
    <w:rsid w:val="00092110"/>
    <w:rPr>
      <w:i/>
    </w:rPr>
  </w:style>
  <w:style w:type="paragraph" w:styleId="Paragraphedeliste">
    <w:name w:val="List Paragraph"/>
    <w:basedOn w:val="Normal"/>
    <w:uiPriority w:val="34"/>
    <w:qFormat/>
    <w:rsid w:val="00092110"/>
    <w:pPr>
      <w:spacing w:before="120" w:after="120"/>
      <w:ind w:left="720" w:firstLine="340"/>
      <w:contextualSpacing/>
      <w:jc w:val="both"/>
    </w:pPr>
    <w:rPr>
      <w:rFonts w:ascii="Georgia" w:eastAsiaTheme="minorEastAsia" w:hAnsi="Georgia"/>
      <w:sz w:val="20"/>
      <w:szCs w:val="22"/>
      <w:lang w:val="en-GB"/>
    </w:rPr>
  </w:style>
  <w:style w:type="paragraph" w:styleId="Pieddepage">
    <w:name w:val="footer"/>
    <w:basedOn w:val="Normal"/>
    <w:link w:val="PieddepageCar"/>
    <w:uiPriority w:val="99"/>
    <w:unhideWhenUsed/>
    <w:rsid w:val="00F74A76"/>
    <w:pPr>
      <w:tabs>
        <w:tab w:val="center" w:pos="4703"/>
        <w:tab w:val="right" w:pos="9406"/>
      </w:tabs>
    </w:pPr>
  </w:style>
  <w:style w:type="character" w:customStyle="1" w:styleId="PieddepageCar">
    <w:name w:val="Pied de page Car"/>
    <w:basedOn w:val="Policepardfaut"/>
    <w:link w:val="Pieddepage"/>
    <w:uiPriority w:val="99"/>
    <w:rsid w:val="00F74A76"/>
    <w:rPr>
      <w:rFonts w:eastAsia="MS Mincho"/>
      <w:sz w:val="24"/>
      <w:szCs w:val="24"/>
      <w:lang w:val="de-DE"/>
    </w:rPr>
  </w:style>
  <w:style w:type="character" w:styleId="Numrodepage">
    <w:name w:val="page number"/>
    <w:basedOn w:val="Policepardfaut"/>
    <w:uiPriority w:val="99"/>
    <w:semiHidden/>
    <w:unhideWhenUsed/>
    <w:rsid w:val="0040185A"/>
  </w:style>
  <w:style w:type="character" w:styleId="Textedelespacerserv">
    <w:name w:val="Placeholder Text"/>
    <w:basedOn w:val="Policepardfaut"/>
    <w:uiPriority w:val="99"/>
    <w:semiHidden/>
    <w:rsid w:val="0068040C"/>
    <w:rPr>
      <w:color w:val="808080"/>
    </w:rPr>
  </w:style>
  <w:style w:type="paragraph" w:customStyle="1" w:styleId="MDPI12title">
    <w:name w:val="MDPI_1.2_title"/>
    <w:next w:val="MDPI13authornames"/>
    <w:qFormat/>
    <w:rsid w:val="00755169"/>
    <w:pPr>
      <w:adjustRightInd w:val="0"/>
      <w:snapToGrid w:val="0"/>
      <w:spacing w:after="240" w:line="400" w:lineRule="exact"/>
    </w:pPr>
    <w:rPr>
      <w:rFonts w:ascii="Palatino Linotype" w:eastAsia="Times New Roman" w:hAnsi="Palatino Linotype"/>
      <w:b/>
      <w:snapToGrid w:val="0"/>
      <w:color w:val="000000"/>
      <w:sz w:val="36"/>
      <w:szCs w:val="20"/>
      <w:lang w:val="en-US" w:eastAsia="de-DE" w:bidi="en-US"/>
    </w:rPr>
  </w:style>
  <w:style w:type="paragraph" w:customStyle="1" w:styleId="MDPI13authornames">
    <w:name w:val="MDPI_1.3_authornames"/>
    <w:basedOn w:val="Normal"/>
    <w:next w:val="MDPI14history"/>
    <w:qFormat/>
    <w:rsid w:val="00755169"/>
    <w:pPr>
      <w:adjustRightInd w:val="0"/>
      <w:snapToGrid w:val="0"/>
      <w:spacing w:after="120" w:line="260" w:lineRule="atLeast"/>
    </w:pPr>
    <w:rPr>
      <w:rFonts w:ascii="Palatino Linotype" w:eastAsia="Times New Roman" w:hAnsi="Palatino Linotype"/>
      <w:b/>
      <w:color w:val="000000"/>
      <w:sz w:val="20"/>
      <w:szCs w:val="22"/>
      <w:lang w:val="en-US" w:eastAsia="de-DE" w:bidi="en-US"/>
    </w:rPr>
  </w:style>
  <w:style w:type="paragraph" w:customStyle="1" w:styleId="MDPI14history">
    <w:name w:val="MDPI_1.4_history"/>
    <w:basedOn w:val="Normal"/>
    <w:next w:val="Normal"/>
    <w:qFormat/>
    <w:rsid w:val="00755169"/>
    <w:pPr>
      <w:adjustRightInd w:val="0"/>
      <w:snapToGrid w:val="0"/>
      <w:spacing w:before="120" w:line="200" w:lineRule="atLeast"/>
      <w:ind w:left="113"/>
    </w:pPr>
    <w:rPr>
      <w:rFonts w:ascii="Palatino Linotype" w:eastAsia="Times New Roman" w:hAnsi="Palatino Linotype"/>
      <w:color w:val="000000"/>
      <w:sz w:val="18"/>
      <w:szCs w:val="20"/>
      <w:lang w:val="en-US" w:eastAsia="de-DE" w:bidi="en-US"/>
    </w:rPr>
  </w:style>
  <w:style w:type="paragraph" w:customStyle="1" w:styleId="MDPI16affiliation">
    <w:name w:val="MDPI_1.6_affiliation"/>
    <w:basedOn w:val="Normal"/>
    <w:qFormat/>
    <w:rsid w:val="00755169"/>
    <w:pPr>
      <w:adjustRightInd w:val="0"/>
      <w:snapToGrid w:val="0"/>
      <w:spacing w:line="200" w:lineRule="atLeast"/>
      <w:ind w:left="311" w:hanging="198"/>
    </w:pPr>
    <w:rPr>
      <w:rFonts w:ascii="Palatino Linotype" w:eastAsia="Times New Roman" w:hAnsi="Palatino Linotype"/>
      <w:color w:val="000000"/>
      <w:sz w:val="18"/>
      <w:szCs w:val="18"/>
      <w:lang w:val="en-US" w:eastAsia="de-DE"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header" Target="header3.xml"/><Relationship Id="rId10" Type="http://schemas.openxmlformats.org/officeDocument/2006/relationships/image" Target="media/image4.emf"/><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14.emf"/><Relationship Id="rId1" Type="http://schemas.openxmlformats.org/officeDocument/2006/relationships/image" Target="media/image13.png"/></Relationships>
</file>

<file path=word/_rels/header3.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178</TotalTime>
  <Pages>9</Pages>
  <Words>2957</Words>
  <Characters>16266</Characters>
  <Application>Microsoft Office Word</Application>
  <DocSecurity>0</DocSecurity>
  <Lines>135</Lines>
  <Paragraphs>38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19185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Ludivine van den Biggelaar</dc:creator>
  <cp:keywords/>
  <dc:description/>
  <cp:lastModifiedBy>Damien Debecker</cp:lastModifiedBy>
  <cp:revision>11</cp:revision>
  <dcterms:created xsi:type="dcterms:W3CDTF">2017-01-09T16:28:00Z</dcterms:created>
  <dcterms:modified xsi:type="dcterms:W3CDTF">2017-01-10T11:18:00Z</dcterms:modified>
</cp:coreProperties>
</file>