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35E27" w14:textId="77777777" w:rsidR="00C017E9" w:rsidRPr="00207BCF" w:rsidRDefault="00C017E9" w:rsidP="00C017E9">
      <w:pPr>
        <w:spacing w:before="120"/>
        <w:rPr>
          <w:b/>
          <w:bCs/>
        </w:rPr>
      </w:pPr>
      <w:r>
        <w:rPr>
          <w:b/>
          <w:bCs/>
        </w:rPr>
        <w:t>Appendix A:  Literature S</w:t>
      </w:r>
      <w:r w:rsidRPr="00207BCF">
        <w:rPr>
          <w:b/>
          <w:bCs/>
        </w:rPr>
        <w:t>ources</w:t>
      </w:r>
      <w:r>
        <w:rPr>
          <w:b/>
          <w:bCs/>
        </w:rPr>
        <w:t xml:space="preserve"> for Table 2</w:t>
      </w:r>
    </w:p>
    <w:p w14:paraId="6B5FD169" w14:textId="77777777" w:rsidR="00C017E9" w:rsidRPr="00F55EFA" w:rsidRDefault="00C017E9" w:rsidP="00C017E9">
      <w:pPr>
        <w:rPr>
          <w:sz w:val="20"/>
          <w:szCs w:val="20"/>
        </w:rPr>
      </w:pPr>
    </w:p>
    <w:p w14:paraId="55F1A1C7" w14:textId="77777777" w:rsidR="00C017E9" w:rsidRPr="00F55EFA" w:rsidRDefault="00C017E9" w:rsidP="00C017E9">
      <w:pPr>
        <w:rPr>
          <w:b/>
          <w:bCs/>
          <w:sz w:val="20"/>
          <w:szCs w:val="20"/>
        </w:rPr>
      </w:pPr>
      <w:r w:rsidRPr="00F55EFA">
        <w:rPr>
          <w:b/>
          <w:bCs/>
          <w:sz w:val="20"/>
          <w:szCs w:val="20"/>
        </w:rPr>
        <w:t>General</w:t>
      </w:r>
    </w:p>
    <w:p w14:paraId="31D83A11" w14:textId="77777777" w:rsidR="00C017E9" w:rsidRPr="00F55EFA" w:rsidRDefault="00C017E9" w:rsidP="00C017E9">
      <w:pPr>
        <w:rPr>
          <w:sz w:val="20"/>
          <w:szCs w:val="20"/>
        </w:rPr>
      </w:pPr>
      <w:r w:rsidRPr="00F55EFA">
        <w:rPr>
          <w:sz w:val="20"/>
          <w:szCs w:val="20"/>
        </w:rPr>
        <w:t>Pfizer. (2021). 5.3.6 Cumulative analysis of post-authorization adverse event reports of PF-07302048 (BNT162b2) received through 28-Feb-2021 (reissued). https://www.phmpt.org/wp-content/uploads/2022/04/reissue_5.3.6-postmarketing-experience.pdf</w:t>
      </w:r>
    </w:p>
    <w:p w14:paraId="4F3871CC" w14:textId="77777777" w:rsidR="00C017E9" w:rsidRPr="00351524" w:rsidRDefault="00C017E9" w:rsidP="00C017E9">
      <w:pPr>
        <w:rPr>
          <w:sz w:val="10"/>
          <w:szCs w:val="10"/>
        </w:rPr>
      </w:pPr>
    </w:p>
    <w:p w14:paraId="43726DDC" w14:textId="77777777" w:rsidR="00C017E9" w:rsidRPr="00E81D0D" w:rsidRDefault="00C017E9" w:rsidP="00C017E9">
      <w:pPr>
        <w:rPr>
          <w:b/>
          <w:bCs/>
          <w:sz w:val="20"/>
          <w:szCs w:val="20"/>
        </w:rPr>
      </w:pPr>
      <w:r w:rsidRPr="00E81D0D">
        <w:rPr>
          <w:b/>
          <w:bCs/>
          <w:sz w:val="20"/>
          <w:szCs w:val="20"/>
        </w:rPr>
        <w:t>PASC</w:t>
      </w:r>
    </w:p>
    <w:p w14:paraId="17ED6718" w14:textId="77777777" w:rsidR="00C017E9" w:rsidRDefault="00C017E9" w:rsidP="00C017E9">
      <w:pPr>
        <w:rPr>
          <w:color w:val="1B1B1B"/>
          <w:sz w:val="20"/>
          <w:szCs w:val="20"/>
        </w:rPr>
      </w:pPr>
      <w:r w:rsidRPr="00E81D0D">
        <w:rPr>
          <w:color w:val="1B1B1B"/>
          <w:sz w:val="20"/>
          <w:szCs w:val="20"/>
        </w:rPr>
        <w:t xml:space="preserve">Bowe B, Xie Y, Al-Aly Z. </w:t>
      </w:r>
      <w:proofErr w:type="spellStart"/>
      <w:r w:rsidRPr="00E81D0D">
        <w:rPr>
          <w:color w:val="1B1B1B"/>
          <w:sz w:val="20"/>
          <w:szCs w:val="20"/>
        </w:rPr>
        <w:t>Postacute</w:t>
      </w:r>
      <w:proofErr w:type="spellEnd"/>
      <w:r w:rsidRPr="00E81D0D">
        <w:rPr>
          <w:color w:val="1B1B1B"/>
          <w:sz w:val="20"/>
          <w:szCs w:val="20"/>
        </w:rPr>
        <w:t xml:space="preserve"> sequelae of COVID-19 at 2 years. Nat Med. 2023;29(9):2347-2357. </w:t>
      </w:r>
      <w:proofErr w:type="spellStart"/>
      <w:r w:rsidRPr="00E81D0D">
        <w:rPr>
          <w:color w:val="1B1B1B"/>
          <w:sz w:val="20"/>
          <w:szCs w:val="20"/>
        </w:rPr>
        <w:t>doi</w:t>
      </w:r>
      <w:proofErr w:type="spellEnd"/>
      <w:r w:rsidRPr="00E81D0D">
        <w:rPr>
          <w:color w:val="1B1B1B"/>
          <w:sz w:val="20"/>
          <w:szCs w:val="20"/>
        </w:rPr>
        <w:t>: 10.1038/s41591-023-02521-2.</w:t>
      </w:r>
    </w:p>
    <w:p w14:paraId="0998B2DA" w14:textId="77777777" w:rsidR="00C017E9" w:rsidRPr="00351524" w:rsidRDefault="00C017E9" w:rsidP="00C017E9">
      <w:pPr>
        <w:rPr>
          <w:sz w:val="10"/>
          <w:szCs w:val="10"/>
        </w:rPr>
      </w:pPr>
    </w:p>
    <w:p w14:paraId="42121256" w14:textId="77777777" w:rsidR="00C017E9" w:rsidRDefault="00C017E9" w:rsidP="00C017E9">
      <w:pPr>
        <w:rPr>
          <w:color w:val="1B1B1B"/>
          <w:sz w:val="20"/>
          <w:szCs w:val="20"/>
        </w:rPr>
      </w:pPr>
      <w:r w:rsidRPr="004C5D9D">
        <w:rPr>
          <w:color w:val="1B1B1B"/>
          <w:sz w:val="20"/>
          <w:szCs w:val="20"/>
        </w:rPr>
        <w:t xml:space="preserve">Cheng KL, Yu WS, Wang YH, </w:t>
      </w:r>
      <w:proofErr w:type="spellStart"/>
      <w:r w:rsidRPr="004C5D9D">
        <w:rPr>
          <w:color w:val="1B1B1B"/>
          <w:sz w:val="20"/>
          <w:szCs w:val="20"/>
        </w:rPr>
        <w:t>Ibarburu</w:t>
      </w:r>
      <w:proofErr w:type="spellEnd"/>
      <w:r w:rsidRPr="004C5D9D">
        <w:rPr>
          <w:color w:val="1B1B1B"/>
          <w:sz w:val="20"/>
          <w:szCs w:val="20"/>
        </w:rPr>
        <w:t xml:space="preserve"> GH, Lee HL, Wei JC. Long-term Thyroid Outcomes After COVID-19 Vaccination: A Cohort Study of 2,333,496 Patients from the </w:t>
      </w:r>
      <w:proofErr w:type="spellStart"/>
      <w:r w:rsidRPr="004C5D9D">
        <w:rPr>
          <w:color w:val="1B1B1B"/>
          <w:sz w:val="20"/>
          <w:szCs w:val="20"/>
        </w:rPr>
        <w:t>TriNetX</w:t>
      </w:r>
      <w:proofErr w:type="spellEnd"/>
      <w:r w:rsidRPr="004C5D9D">
        <w:rPr>
          <w:color w:val="1B1B1B"/>
          <w:sz w:val="20"/>
          <w:szCs w:val="20"/>
        </w:rPr>
        <w:t xml:space="preserve"> Network. J Clin Endocrinol </w:t>
      </w:r>
      <w:proofErr w:type="spellStart"/>
      <w:r w:rsidRPr="004C5D9D">
        <w:rPr>
          <w:color w:val="1B1B1B"/>
          <w:sz w:val="20"/>
          <w:szCs w:val="20"/>
        </w:rPr>
        <w:t>Metab</w:t>
      </w:r>
      <w:proofErr w:type="spellEnd"/>
      <w:r w:rsidRPr="004C5D9D">
        <w:rPr>
          <w:color w:val="1B1B1B"/>
          <w:sz w:val="20"/>
          <w:szCs w:val="20"/>
        </w:rPr>
        <w:t>. 2025:</w:t>
      </w:r>
      <w:r>
        <w:rPr>
          <w:color w:val="1B1B1B"/>
          <w:sz w:val="20"/>
          <w:szCs w:val="20"/>
        </w:rPr>
        <w:t xml:space="preserve"> </w:t>
      </w:r>
      <w:r w:rsidRPr="004C5D9D">
        <w:rPr>
          <w:color w:val="1B1B1B"/>
          <w:sz w:val="20"/>
          <w:szCs w:val="20"/>
        </w:rPr>
        <w:t xml:space="preserve">dgaf064. </w:t>
      </w:r>
      <w:proofErr w:type="spellStart"/>
      <w:r w:rsidRPr="004C5D9D">
        <w:rPr>
          <w:color w:val="1B1B1B"/>
          <w:sz w:val="20"/>
          <w:szCs w:val="20"/>
        </w:rPr>
        <w:t>doi</w:t>
      </w:r>
      <w:proofErr w:type="spellEnd"/>
      <w:r w:rsidRPr="004C5D9D">
        <w:rPr>
          <w:color w:val="1B1B1B"/>
          <w:sz w:val="20"/>
          <w:szCs w:val="20"/>
        </w:rPr>
        <w:t>: 10.1210/</w:t>
      </w:r>
      <w:proofErr w:type="spellStart"/>
      <w:r w:rsidRPr="004C5D9D">
        <w:rPr>
          <w:color w:val="1B1B1B"/>
          <w:sz w:val="20"/>
          <w:szCs w:val="20"/>
        </w:rPr>
        <w:t>clinem</w:t>
      </w:r>
      <w:proofErr w:type="spellEnd"/>
      <w:r w:rsidRPr="004C5D9D">
        <w:rPr>
          <w:color w:val="1B1B1B"/>
          <w:sz w:val="20"/>
          <w:szCs w:val="20"/>
        </w:rPr>
        <w:t>/dgaf064</w:t>
      </w:r>
    </w:p>
    <w:p w14:paraId="4A564F79" w14:textId="77777777" w:rsidR="00C017E9" w:rsidRPr="00351524" w:rsidRDefault="00C017E9" w:rsidP="00C017E9">
      <w:pPr>
        <w:rPr>
          <w:sz w:val="10"/>
          <w:szCs w:val="10"/>
        </w:rPr>
      </w:pPr>
    </w:p>
    <w:p w14:paraId="6C33B3D0" w14:textId="77777777" w:rsidR="00C017E9" w:rsidRPr="00F55EFA" w:rsidRDefault="00C017E9" w:rsidP="00C017E9">
      <w:pPr>
        <w:rPr>
          <w:sz w:val="20"/>
          <w:szCs w:val="20"/>
        </w:rPr>
      </w:pPr>
      <w:r w:rsidRPr="00F55EFA">
        <w:rPr>
          <w:b/>
          <w:bCs/>
          <w:sz w:val="20"/>
          <w:szCs w:val="20"/>
        </w:rPr>
        <w:t>Autoimmune</w:t>
      </w:r>
    </w:p>
    <w:p w14:paraId="1686311F" w14:textId="77777777" w:rsidR="00C017E9" w:rsidRPr="00F55EFA" w:rsidRDefault="00C017E9" w:rsidP="00C017E9">
      <w:pPr>
        <w:rPr>
          <w:sz w:val="20"/>
          <w:szCs w:val="20"/>
        </w:rPr>
      </w:pPr>
      <w:proofErr w:type="spellStart"/>
      <w:r w:rsidRPr="00F55EFA">
        <w:rPr>
          <w:color w:val="1B1B1B"/>
          <w:sz w:val="20"/>
          <w:szCs w:val="20"/>
        </w:rPr>
        <w:t>Sumantri</w:t>
      </w:r>
      <w:proofErr w:type="spellEnd"/>
      <w:r w:rsidRPr="00F55EFA">
        <w:rPr>
          <w:color w:val="1B1B1B"/>
          <w:sz w:val="20"/>
          <w:szCs w:val="20"/>
        </w:rPr>
        <w:t xml:space="preserve"> S, </w:t>
      </w:r>
      <w:proofErr w:type="spellStart"/>
      <w:r w:rsidRPr="00F55EFA">
        <w:rPr>
          <w:color w:val="1B1B1B"/>
          <w:sz w:val="20"/>
          <w:szCs w:val="20"/>
        </w:rPr>
        <w:t>Rengganis</w:t>
      </w:r>
      <w:proofErr w:type="spellEnd"/>
      <w:r w:rsidRPr="00F55EFA">
        <w:rPr>
          <w:color w:val="1B1B1B"/>
          <w:sz w:val="20"/>
          <w:szCs w:val="20"/>
        </w:rPr>
        <w:t xml:space="preserve"> I. Immunological dysfunction and mast cell activation syndrome in long COVID. Asia Pac Allergy. 2023;13(1):50-53. </w:t>
      </w:r>
      <w:proofErr w:type="spellStart"/>
      <w:r w:rsidRPr="00F55EFA">
        <w:rPr>
          <w:color w:val="1B1B1B"/>
          <w:sz w:val="20"/>
          <w:szCs w:val="20"/>
        </w:rPr>
        <w:t>doi</w:t>
      </w:r>
      <w:proofErr w:type="spellEnd"/>
      <w:r w:rsidRPr="00F55EFA">
        <w:rPr>
          <w:color w:val="1B1B1B"/>
          <w:sz w:val="20"/>
          <w:szCs w:val="20"/>
        </w:rPr>
        <w:t>: 10.5415/apallergy.0000000000000022.</w:t>
      </w:r>
    </w:p>
    <w:p w14:paraId="35171DCC" w14:textId="77777777" w:rsidR="00C017E9" w:rsidRPr="00351524" w:rsidRDefault="00C017E9" w:rsidP="00C017E9">
      <w:pPr>
        <w:rPr>
          <w:sz w:val="10"/>
          <w:szCs w:val="10"/>
        </w:rPr>
      </w:pPr>
    </w:p>
    <w:p w14:paraId="52DEE30A" w14:textId="77777777" w:rsidR="00C017E9" w:rsidRPr="00F55EFA" w:rsidRDefault="00C017E9" w:rsidP="00C017E9">
      <w:pPr>
        <w:rPr>
          <w:sz w:val="20"/>
          <w:szCs w:val="20"/>
        </w:rPr>
      </w:pPr>
      <w:r w:rsidRPr="00F55EFA">
        <w:rPr>
          <w:b/>
          <w:bCs/>
          <w:sz w:val="20"/>
          <w:szCs w:val="20"/>
        </w:rPr>
        <w:t>Cardiovascular</w:t>
      </w:r>
    </w:p>
    <w:p w14:paraId="4BB8DEDC" w14:textId="77777777" w:rsidR="00C017E9" w:rsidRPr="00F55EFA" w:rsidRDefault="00C017E9" w:rsidP="00C017E9">
      <w:pPr>
        <w:rPr>
          <w:sz w:val="20"/>
          <w:szCs w:val="20"/>
        </w:rPr>
      </w:pPr>
      <w:r w:rsidRPr="00F55EFA">
        <w:rPr>
          <w:color w:val="1B1B1B"/>
          <w:sz w:val="20"/>
          <w:szCs w:val="20"/>
        </w:rPr>
        <w:t xml:space="preserve">Zhang T, Li Z, Mei Q, Walline JH, Zhang Z, Liu Y, Zhu H, Du B. Cardiovascular outcomes in long COVID-19: a systematic review and meta-analysis. Front Cardiovasc Med. 2025;12:1450470. </w:t>
      </w:r>
      <w:proofErr w:type="spellStart"/>
      <w:r w:rsidRPr="00F55EFA">
        <w:rPr>
          <w:color w:val="1B1B1B"/>
          <w:sz w:val="20"/>
          <w:szCs w:val="20"/>
        </w:rPr>
        <w:t>doi</w:t>
      </w:r>
      <w:proofErr w:type="spellEnd"/>
      <w:r w:rsidRPr="00F55EFA">
        <w:rPr>
          <w:color w:val="1B1B1B"/>
          <w:sz w:val="20"/>
          <w:szCs w:val="20"/>
        </w:rPr>
        <w:t xml:space="preserve">: 10.3389/fcvm.2025.1450470. </w:t>
      </w:r>
    </w:p>
    <w:p w14:paraId="0E4A6ACD" w14:textId="77777777" w:rsidR="00C017E9" w:rsidRPr="00351524" w:rsidRDefault="00C017E9" w:rsidP="00C017E9">
      <w:pPr>
        <w:rPr>
          <w:sz w:val="10"/>
          <w:szCs w:val="10"/>
        </w:rPr>
      </w:pPr>
    </w:p>
    <w:p w14:paraId="57EFFBE2" w14:textId="77777777" w:rsidR="00C017E9" w:rsidRDefault="00C017E9" w:rsidP="00C017E9">
      <w:pPr>
        <w:rPr>
          <w:sz w:val="20"/>
          <w:szCs w:val="20"/>
        </w:rPr>
      </w:pPr>
      <w:proofErr w:type="spellStart"/>
      <w:r w:rsidRPr="00ED4D91">
        <w:rPr>
          <w:b/>
          <w:bCs/>
          <w:sz w:val="20"/>
          <w:szCs w:val="20"/>
        </w:rPr>
        <w:t>Otolarygnological</w:t>
      </w:r>
      <w:proofErr w:type="spellEnd"/>
    </w:p>
    <w:p w14:paraId="2C9EFCE5" w14:textId="77777777" w:rsidR="00C017E9" w:rsidRPr="00F55EFA" w:rsidRDefault="00C017E9" w:rsidP="00C017E9">
      <w:pPr>
        <w:rPr>
          <w:sz w:val="20"/>
          <w:szCs w:val="20"/>
        </w:rPr>
      </w:pPr>
      <w:r w:rsidRPr="00F55EFA">
        <w:rPr>
          <w:color w:val="1B1B1B"/>
          <w:sz w:val="20"/>
          <w:szCs w:val="20"/>
        </w:rPr>
        <w:t xml:space="preserve">Alzahrani M, </w:t>
      </w:r>
      <w:proofErr w:type="spellStart"/>
      <w:r w:rsidRPr="00F55EFA">
        <w:rPr>
          <w:color w:val="1B1B1B"/>
          <w:sz w:val="20"/>
          <w:szCs w:val="20"/>
        </w:rPr>
        <w:t>Alshathri</w:t>
      </w:r>
      <w:proofErr w:type="spellEnd"/>
      <w:r w:rsidRPr="00F55EFA">
        <w:rPr>
          <w:color w:val="1B1B1B"/>
          <w:sz w:val="20"/>
          <w:szCs w:val="20"/>
        </w:rPr>
        <w:t xml:space="preserve"> AH, </w:t>
      </w:r>
      <w:proofErr w:type="spellStart"/>
      <w:r w:rsidRPr="00F55EFA">
        <w:rPr>
          <w:color w:val="1B1B1B"/>
          <w:sz w:val="20"/>
          <w:szCs w:val="20"/>
        </w:rPr>
        <w:t>Alduraibi</w:t>
      </w:r>
      <w:proofErr w:type="spellEnd"/>
      <w:r w:rsidRPr="00F55EFA">
        <w:rPr>
          <w:color w:val="1B1B1B"/>
          <w:sz w:val="20"/>
          <w:szCs w:val="20"/>
        </w:rPr>
        <w:t xml:space="preserve"> K, </w:t>
      </w:r>
      <w:proofErr w:type="spellStart"/>
      <w:r w:rsidRPr="00F55EFA">
        <w:rPr>
          <w:color w:val="1B1B1B"/>
          <w:sz w:val="20"/>
          <w:szCs w:val="20"/>
        </w:rPr>
        <w:t>Alshathri</w:t>
      </w:r>
      <w:proofErr w:type="spellEnd"/>
      <w:r w:rsidRPr="00F55EFA">
        <w:rPr>
          <w:color w:val="1B1B1B"/>
          <w:sz w:val="20"/>
          <w:szCs w:val="20"/>
        </w:rPr>
        <w:t xml:space="preserve"> AH, Alanazi TF, </w:t>
      </w:r>
      <w:proofErr w:type="spellStart"/>
      <w:r w:rsidRPr="00F55EFA">
        <w:rPr>
          <w:color w:val="1B1B1B"/>
          <w:sz w:val="20"/>
          <w:szCs w:val="20"/>
        </w:rPr>
        <w:t>Alandijani</w:t>
      </w:r>
      <w:proofErr w:type="spellEnd"/>
      <w:r w:rsidRPr="00F55EFA">
        <w:rPr>
          <w:color w:val="1B1B1B"/>
          <w:sz w:val="20"/>
          <w:szCs w:val="20"/>
        </w:rPr>
        <w:t xml:space="preserve"> H, </w:t>
      </w:r>
      <w:proofErr w:type="spellStart"/>
      <w:r w:rsidRPr="00F55EFA">
        <w:rPr>
          <w:color w:val="1B1B1B"/>
          <w:sz w:val="20"/>
          <w:szCs w:val="20"/>
        </w:rPr>
        <w:t>Almajed</w:t>
      </w:r>
      <w:proofErr w:type="spellEnd"/>
      <w:r w:rsidRPr="00F55EFA">
        <w:rPr>
          <w:color w:val="1B1B1B"/>
          <w:sz w:val="20"/>
          <w:szCs w:val="20"/>
        </w:rPr>
        <w:t xml:space="preserve"> JA, Wajdi KA. Long-Term Outcomes of COVID-19 Otolaryngology Symptoms in Saudi Arabia. </w:t>
      </w:r>
      <w:proofErr w:type="spellStart"/>
      <w:r w:rsidRPr="00F55EFA">
        <w:rPr>
          <w:color w:val="1B1B1B"/>
          <w:sz w:val="20"/>
          <w:szCs w:val="20"/>
        </w:rPr>
        <w:t>Cureus</w:t>
      </w:r>
      <w:proofErr w:type="spellEnd"/>
      <w:r w:rsidRPr="00F55EFA">
        <w:rPr>
          <w:color w:val="1B1B1B"/>
          <w:sz w:val="20"/>
          <w:szCs w:val="20"/>
        </w:rPr>
        <w:t xml:space="preserve">. 2023;15(1):e33461. </w:t>
      </w:r>
      <w:proofErr w:type="spellStart"/>
      <w:r w:rsidRPr="00F55EFA">
        <w:rPr>
          <w:color w:val="1B1B1B"/>
          <w:sz w:val="20"/>
          <w:szCs w:val="20"/>
        </w:rPr>
        <w:t>doi</w:t>
      </w:r>
      <w:proofErr w:type="spellEnd"/>
      <w:r w:rsidRPr="00F55EFA">
        <w:rPr>
          <w:color w:val="1B1B1B"/>
          <w:sz w:val="20"/>
          <w:szCs w:val="20"/>
        </w:rPr>
        <w:t>: 10.7759/cureus.33461. PMID: 36751176; PMCID: PMC9899518.</w:t>
      </w:r>
    </w:p>
    <w:p w14:paraId="6A58B754" w14:textId="77777777" w:rsidR="00C017E9" w:rsidRPr="00351524" w:rsidRDefault="00C017E9" w:rsidP="00C017E9">
      <w:pPr>
        <w:rPr>
          <w:sz w:val="10"/>
          <w:szCs w:val="10"/>
        </w:rPr>
      </w:pPr>
    </w:p>
    <w:p w14:paraId="687DFF0F" w14:textId="77777777" w:rsidR="00C017E9" w:rsidRPr="00AF0CFE" w:rsidRDefault="00C017E9" w:rsidP="00C017E9">
      <w:pPr>
        <w:rPr>
          <w:b/>
          <w:bCs/>
          <w:sz w:val="20"/>
          <w:szCs w:val="20"/>
        </w:rPr>
      </w:pPr>
      <w:r w:rsidRPr="00AF0CFE">
        <w:rPr>
          <w:b/>
          <w:bCs/>
          <w:sz w:val="20"/>
          <w:szCs w:val="20"/>
        </w:rPr>
        <w:t>Dermatology</w:t>
      </w:r>
    </w:p>
    <w:p w14:paraId="44AED1B8" w14:textId="77777777" w:rsidR="00C017E9" w:rsidRDefault="00C017E9" w:rsidP="00C017E9">
      <w:pPr>
        <w:rPr>
          <w:color w:val="1B1B1B"/>
          <w:sz w:val="20"/>
          <w:szCs w:val="20"/>
        </w:rPr>
      </w:pPr>
      <w:proofErr w:type="spellStart"/>
      <w:r w:rsidRPr="00F55EFA">
        <w:rPr>
          <w:color w:val="1B1B1B"/>
          <w:sz w:val="20"/>
          <w:szCs w:val="20"/>
        </w:rPr>
        <w:t>Gambichler</w:t>
      </w:r>
      <w:proofErr w:type="spellEnd"/>
      <w:r w:rsidRPr="00F55EFA">
        <w:rPr>
          <w:color w:val="1B1B1B"/>
          <w:sz w:val="20"/>
          <w:szCs w:val="20"/>
        </w:rPr>
        <w:t xml:space="preserve"> T, </w:t>
      </w:r>
      <w:proofErr w:type="spellStart"/>
      <w:r w:rsidRPr="00F55EFA">
        <w:rPr>
          <w:color w:val="1B1B1B"/>
          <w:sz w:val="20"/>
          <w:szCs w:val="20"/>
        </w:rPr>
        <w:t>Boms</w:t>
      </w:r>
      <w:proofErr w:type="spellEnd"/>
      <w:r w:rsidRPr="00F55EFA">
        <w:rPr>
          <w:color w:val="1B1B1B"/>
          <w:sz w:val="20"/>
          <w:szCs w:val="20"/>
        </w:rPr>
        <w:t xml:space="preserve"> S, </w:t>
      </w:r>
      <w:proofErr w:type="spellStart"/>
      <w:r w:rsidRPr="00F55EFA">
        <w:rPr>
          <w:color w:val="1B1B1B"/>
          <w:sz w:val="20"/>
          <w:szCs w:val="20"/>
        </w:rPr>
        <w:t>Susok</w:t>
      </w:r>
      <w:proofErr w:type="spellEnd"/>
      <w:r w:rsidRPr="00F55EFA">
        <w:rPr>
          <w:color w:val="1B1B1B"/>
          <w:sz w:val="20"/>
          <w:szCs w:val="20"/>
        </w:rPr>
        <w:t xml:space="preserve"> L, Dickel H, Finis C, Abu Rached N, Barras M, </w:t>
      </w:r>
      <w:proofErr w:type="spellStart"/>
      <w:r w:rsidRPr="00F55EFA">
        <w:rPr>
          <w:color w:val="1B1B1B"/>
          <w:sz w:val="20"/>
          <w:szCs w:val="20"/>
        </w:rPr>
        <w:t>Stücker</w:t>
      </w:r>
      <w:proofErr w:type="spellEnd"/>
      <w:r w:rsidRPr="00F55EFA">
        <w:rPr>
          <w:color w:val="1B1B1B"/>
          <w:sz w:val="20"/>
          <w:szCs w:val="20"/>
        </w:rPr>
        <w:t xml:space="preserve"> M, </w:t>
      </w:r>
      <w:proofErr w:type="spellStart"/>
      <w:r w:rsidRPr="00F55EFA">
        <w:rPr>
          <w:color w:val="1B1B1B"/>
          <w:sz w:val="20"/>
          <w:szCs w:val="20"/>
        </w:rPr>
        <w:t>Kasakovski</w:t>
      </w:r>
      <w:proofErr w:type="spellEnd"/>
      <w:r w:rsidRPr="00F55EFA">
        <w:rPr>
          <w:color w:val="1B1B1B"/>
          <w:sz w:val="20"/>
          <w:szCs w:val="20"/>
        </w:rPr>
        <w:t xml:space="preserve"> D. Cutaneous findings following COVID-19 vaccination: review of world literature and own experience. J </w:t>
      </w:r>
      <w:proofErr w:type="spellStart"/>
      <w:r w:rsidRPr="00F55EFA">
        <w:rPr>
          <w:color w:val="1B1B1B"/>
          <w:sz w:val="20"/>
          <w:szCs w:val="20"/>
        </w:rPr>
        <w:t>Eur</w:t>
      </w:r>
      <w:proofErr w:type="spellEnd"/>
      <w:r w:rsidRPr="00F55EFA">
        <w:rPr>
          <w:color w:val="1B1B1B"/>
          <w:sz w:val="20"/>
          <w:szCs w:val="20"/>
        </w:rPr>
        <w:t xml:space="preserve"> </w:t>
      </w:r>
      <w:proofErr w:type="spellStart"/>
      <w:r w:rsidRPr="00F55EFA">
        <w:rPr>
          <w:color w:val="1B1B1B"/>
          <w:sz w:val="20"/>
          <w:szCs w:val="20"/>
        </w:rPr>
        <w:t>Acad</w:t>
      </w:r>
      <w:proofErr w:type="spellEnd"/>
      <w:r w:rsidRPr="00F55EFA">
        <w:rPr>
          <w:color w:val="1B1B1B"/>
          <w:sz w:val="20"/>
          <w:szCs w:val="20"/>
        </w:rPr>
        <w:t xml:space="preserve"> Dermatol </w:t>
      </w:r>
      <w:proofErr w:type="spellStart"/>
      <w:r w:rsidRPr="00F55EFA">
        <w:rPr>
          <w:color w:val="1B1B1B"/>
          <w:sz w:val="20"/>
          <w:szCs w:val="20"/>
        </w:rPr>
        <w:t>Venereol</w:t>
      </w:r>
      <w:proofErr w:type="spellEnd"/>
      <w:r w:rsidRPr="00F55EFA">
        <w:rPr>
          <w:color w:val="1B1B1B"/>
          <w:sz w:val="20"/>
          <w:szCs w:val="20"/>
        </w:rPr>
        <w:t xml:space="preserve">. 2022;36(2):172-180. </w:t>
      </w:r>
      <w:proofErr w:type="spellStart"/>
      <w:r w:rsidRPr="00F55EFA">
        <w:rPr>
          <w:color w:val="1B1B1B"/>
          <w:sz w:val="20"/>
          <w:szCs w:val="20"/>
        </w:rPr>
        <w:t>doi</w:t>
      </w:r>
      <w:proofErr w:type="spellEnd"/>
      <w:r w:rsidRPr="00F55EFA">
        <w:rPr>
          <w:color w:val="1B1B1B"/>
          <w:sz w:val="20"/>
          <w:szCs w:val="20"/>
        </w:rPr>
        <w:t>: 10.1111/jdv.17744.</w:t>
      </w:r>
    </w:p>
    <w:p w14:paraId="01B04F92" w14:textId="77777777" w:rsidR="00C017E9" w:rsidRPr="00351524" w:rsidRDefault="00C017E9" w:rsidP="00C017E9">
      <w:pPr>
        <w:rPr>
          <w:sz w:val="10"/>
          <w:szCs w:val="10"/>
        </w:rPr>
      </w:pPr>
    </w:p>
    <w:p w14:paraId="63E951B4" w14:textId="77777777" w:rsidR="00C017E9" w:rsidRPr="00DE6BC1" w:rsidRDefault="00C017E9" w:rsidP="00C017E9">
      <w:pPr>
        <w:rPr>
          <w:b/>
          <w:bCs/>
          <w:sz w:val="20"/>
          <w:szCs w:val="20"/>
        </w:rPr>
      </w:pPr>
      <w:r w:rsidRPr="00DE6BC1">
        <w:rPr>
          <w:b/>
          <w:bCs/>
          <w:sz w:val="20"/>
          <w:szCs w:val="20"/>
        </w:rPr>
        <w:t>Endocrine</w:t>
      </w:r>
    </w:p>
    <w:p w14:paraId="08F0530B" w14:textId="77777777" w:rsidR="00C017E9" w:rsidRDefault="00C017E9" w:rsidP="00C017E9">
      <w:pPr>
        <w:rPr>
          <w:color w:val="1B1B1B"/>
          <w:sz w:val="20"/>
          <w:szCs w:val="20"/>
        </w:rPr>
      </w:pPr>
      <w:proofErr w:type="spellStart"/>
      <w:r w:rsidRPr="00F55EFA">
        <w:rPr>
          <w:color w:val="1B1B1B"/>
          <w:sz w:val="20"/>
          <w:szCs w:val="20"/>
        </w:rPr>
        <w:t>Kazakou</w:t>
      </w:r>
      <w:proofErr w:type="spellEnd"/>
      <w:r w:rsidRPr="00F55EFA">
        <w:rPr>
          <w:color w:val="1B1B1B"/>
          <w:sz w:val="20"/>
          <w:szCs w:val="20"/>
        </w:rPr>
        <w:t xml:space="preserve"> P, Paschou SA, </w:t>
      </w:r>
      <w:proofErr w:type="spellStart"/>
      <w:r w:rsidRPr="00F55EFA">
        <w:rPr>
          <w:color w:val="1B1B1B"/>
          <w:sz w:val="20"/>
          <w:szCs w:val="20"/>
        </w:rPr>
        <w:t>Psaltopoulou</w:t>
      </w:r>
      <w:proofErr w:type="spellEnd"/>
      <w:r w:rsidRPr="00F55EFA">
        <w:rPr>
          <w:color w:val="1B1B1B"/>
          <w:sz w:val="20"/>
          <w:szCs w:val="20"/>
        </w:rPr>
        <w:t xml:space="preserve"> T, </w:t>
      </w:r>
      <w:proofErr w:type="spellStart"/>
      <w:r w:rsidRPr="00F55EFA">
        <w:rPr>
          <w:color w:val="1B1B1B"/>
          <w:sz w:val="20"/>
          <w:szCs w:val="20"/>
        </w:rPr>
        <w:t>Gavriatopoulou</w:t>
      </w:r>
      <w:proofErr w:type="spellEnd"/>
      <w:r w:rsidRPr="00F55EFA">
        <w:rPr>
          <w:color w:val="1B1B1B"/>
          <w:sz w:val="20"/>
          <w:szCs w:val="20"/>
        </w:rPr>
        <w:t xml:space="preserve"> M, </w:t>
      </w:r>
      <w:proofErr w:type="spellStart"/>
      <w:r w:rsidRPr="00F55EFA">
        <w:rPr>
          <w:color w:val="1B1B1B"/>
          <w:sz w:val="20"/>
          <w:szCs w:val="20"/>
        </w:rPr>
        <w:t>Korompoki</w:t>
      </w:r>
      <w:proofErr w:type="spellEnd"/>
      <w:r w:rsidRPr="00F55EFA">
        <w:rPr>
          <w:color w:val="1B1B1B"/>
          <w:sz w:val="20"/>
          <w:szCs w:val="20"/>
        </w:rPr>
        <w:t xml:space="preserve"> E, </w:t>
      </w:r>
      <w:proofErr w:type="spellStart"/>
      <w:r w:rsidRPr="00F55EFA">
        <w:rPr>
          <w:color w:val="1B1B1B"/>
          <w:sz w:val="20"/>
          <w:szCs w:val="20"/>
        </w:rPr>
        <w:t>Stefanaki</w:t>
      </w:r>
      <w:proofErr w:type="spellEnd"/>
      <w:r w:rsidRPr="00F55EFA">
        <w:rPr>
          <w:color w:val="1B1B1B"/>
          <w:sz w:val="20"/>
          <w:szCs w:val="20"/>
        </w:rPr>
        <w:t xml:space="preserve"> K, </w:t>
      </w:r>
      <w:proofErr w:type="spellStart"/>
      <w:r w:rsidRPr="00F55EFA">
        <w:rPr>
          <w:color w:val="1B1B1B"/>
          <w:sz w:val="20"/>
          <w:szCs w:val="20"/>
        </w:rPr>
        <w:t>Kanouta</w:t>
      </w:r>
      <w:proofErr w:type="spellEnd"/>
      <w:r w:rsidRPr="00F55EFA">
        <w:rPr>
          <w:color w:val="1B1B1B"/>
          <w:sz w:val="20"/>
          <w:szCs w:val="20"/>
        </w:rPr>
        <w:t xml:space="preserve"> F, Kassi GN, Dimopoulos MA, </w:t>
      </w:r>
      <w:proofErr w:type="spellStart"/>
      <w:r w:rsidRPr="00F55EFA">
        <w:rPr>
          <w:color w:val="1B1B1B"/>
          <w:sz w:val="20"/>
          <w:szCs w:val="20"/>
        </w:rPr>
        <w:t>Mitrakou</w:t>
      </w:r>
      <w:proofErr w:type="spellEnd"/>
      <w:r w:rsidRPr="00F55EFA">
        <w:rPr>
          <w:color w:val="1B1B1B"/>
          <w:sz w:val="20"/>
          <w:szCs w:val="20"/>
        </w:rPr>
        <w:t xml:space="preserve"> A. Early and late endocrine complications of COVID-19. </w:t>
      </w:r>
      <w:proofErr w:type="spellStart"/>
      <w:r w:rsidRPr="00F55EFA">
        <w:rPr>
          <w:color w:val="1B1B1B"/>
          <w:sz w:val="20"/>
          <w:szCs w:val="20"/>
        </w:rPr>
        <w:t>Endocr</w:t>
      </w:r>
      <w:proofErr w:type="spellEnd"/>
      <w:r w:rsidRPr="00F55EFA">
        <w:rPr>
          <w:color w:val="1B1B1B"/>
          <w:sz w:val="20"/>
          <w:szCs w:val="20"/>
        </w:rPr>
        <w:t xml:space="preserve"> Connect. 2021;10(9):R229-R239. </w:t>
      </w:r>
      <w:proofErr w:type="spellStart"/>
      <w:r w:rsidRPr="00F55EFA">
        <w:rPr>
          <w:color w:val="1B1B1B"/>
          <w:sz w:val="20"/>
          <w:szCs w:val="20"/>
        </w:rPr>
        <w:t>doi</w:t>
      </w:r>
      <w:proofErr w:type="spellEnd"/>
      <w:r w:rsidRPr="00F55EFA">
        <w:rPr>
          <w:color w:val="1B1B1B"/>
          <w:sz w:val="20"/>
          <w:szCs w:val="20"/>
        </w:rPr>
        <w:t>: 10.1530/EC-21-0184</w:t>
      </w:r>
    </w:p>
    <w:p w14:paraId="06AE7FA7" w14:textId="77777777" w:rsidR="00C017E9" w:rsidRPr="00351524" w:rsidRDefault="00C017E9" w:rsidP="00C017E9">
      <w:pPr>
        <w:rPr>
          <w:sz w:val="10"/>
          <w:szCs w:val="10"/>
        </w:rPr>
      </w:pPr>
    </w:p>
    <w:p w14:paraId="6F63D50D" w14:textId="77777777" w:rsidR="00C017E9" w:rsidRPr="00F55EFA" w:rsidRDefault="00C017E9" w:rsidP="00C017E9">
      <w:pPr>
        <w:rPr>
          <w:sz w:val="20"/>
          <w:szCs w:val="20"/>
        </w:rPr>
      </w:pPr>
      <w:r w:rsidRPr="00F55EFA">
        <w:rPr>
          <w:b/>
          <w:bCs/>
          <w:sz w:val="20"/>
          <w:szCs w:val="20"/>
        </w:rPr>
        <w:t>Gynecological</w:t>
      </w:r>
      <w:r>
        <w:rPr>
          <w:b/>
          <w:bCs/>
          <w:sz w:val="20"/>
          <w:szCs w:val="20"/>
        </w:rPr>
        <w:t>/reproductive</w:t>
      </w:r>
    </w:p>
    <w:p w14:paraId="63F13414" w14:textId="77777777" w:rsidR="00C017E9" w:rsidRPr="00F55EFA" w:rsidRDefault="00C017E9" w:rsidP="00C017E9">
      <w:pPr>
        <w:spacing w:line="276" w:lineRule="auto"/>
        <w:rPr>
          <w:sz w:val="20"/>
          <w:szCs w:val="20"/>
        </w:rPr>
      </w:pPr>
      <w:r w:rsidRPr="00F55EFA">
        <w:rPr>
          <w:sz w:val="20"/>
          <w:szCs w:val="20"/>
        </w:rPr>
        <w:t xml:space="preserve">Pollack B, von </w:t>
      </w:r>
      <w:proofErr w:type="spellStart"/>
      <w:r w:rsidRPr="00F55EFA">
        <w:rPr>
          <w:sz w:val="20"/>
          <w:szCs w:val="20"/>
        </w:rPr>
        <w:t>Saltza</w:t>
      </w:r>
      <w:proofErr w:type="spellEnd"/>
      <w:r w:rsidRPr="00F55EFA">
        <w:rPr>
          <w:sz w:val="20"/>
          <w:szCs w:val="20"/>
        </w:rPr>
        <w:t xml:space="preserve"> E, McCorkell L, Santos L, Hultman A, Cohen AK, Soares L. Female reproductive health impacts of Long COVID and associated illnesses including ME/CFS, POTS, and connective tissue disorders: a literature review. Front </w:t>
      </w:r>
      <w:proofErr w:type="spellStart"/>
      <w:r w:rsidRPr="00F55EFA">
        <w:rPr>
          <w:sz w:val="20"/>
          <w:szCs w:val="20"/>
        </w:rPr>
        <w:t>Rehabil</w:t>
      </w:r>
      <w:proofErr w:type="spellEnd"/>
      <w:r w:rsidRPr="00F55EFA">
        <w:rPr>
          <w:sz w:val="20"/>
          <w:szCs w:val="20"/>
        </w:rPr>
        <w:t xml:space="preserve"> Sci. 2023;4:1122673. </w:t>
      </w:r>
      <w:proofErr w:type="spellStart"/>
      <w:r w:rsidRPr="00F55EFA">
        <w:rPr>
          <w:sz w:val="20"/>
          <w:szCs w:val="20"/>
        </w:rPr>
        <w:t>doi</w:t>
      </w:r>
      <w:proofErr w:type="spellEnd"/>
      <w:r w:rsidRPr="00F55EFA">
        <w:rPr>
          <w:sz w:val="20"/>
          <w:szCs w:val="20"/>
        </w:rPr>
        <w:t>: 10.3389/fresc.2023.1122673</w:t>
      </w:r>
    </w:p>
    <w:p w14:paraId="3767D3BC" w14:textId="77777777" w:rsidR="00C017E9" w:rsidRPr="00351524" w:rsidRDefault="00C017E9" w:rsidP="00C017E9">
      <w:pPr>
        <w:rPr>
          <w:sz w:val="10"/>
          <w:szCs w:val="10"/>
        </w:rPr>
      </w:pPr>
    </w:p>
    <w:p w14:paraId="25329F6D" w14:textId="77777777" w:rsidR="00C017E9" w:rsidRPr="00F55EFA" w:rsidRDefault="00C017E9" w:rsidP="00C017E9">
      <w:pPr>
        <w:spacing w:line="276" w:lineRule="auto"/>
        <w:rPr>
          <w:color w:val="212121"/>
          <w:sz w:val="20"/>
          <w:szCs w:val="20"/>
        </w:rPr>
      </w:pPr>
      <w:r w:rsidRPr="00F55EFA">
        <w:rPr>
          <w:color w:val="212121"/>
          <w:sz w:val="20"/>
          <w:szCs w:val="20"/>
        </w:rPr>
        <w:t xml:space="preserve">Sandoval MN, Klawans MR, Bach MA, Mikhail J, Graviss EA, Cao T, Parchem JG, Husain J, Boerwinkle E. COVID-19 infection history as a risk factor for early pregnancy loss: results from the electronic health record-based Southeast Texas COVID and Pregnancy Cohort Study. BMC Med. 2025 May 9;23(1):274. </w:t>
      </w:r>
      <w:proofErr w:type="spellStart"/>
      <w:r w:rsidRPr="00F55EFA">
        <w:rPr>
          <w:color w:val="212121"/>
          <w:sz w:val="20"/>
          <w:szCs w:val="20"/>
        </w:rPr>
        <w:t>doi</w:t>
      </w:r>
      <w:proofErr w:type="spellEnd"/>
      <w:r w:rsidRPr="00F55EFA">
        <w:rPr>
          <w:color w:val="212121"/>
          <w:sz w:val="20"/>
          <w:szCs w:val="20"/>
        </w:rPr>
        <w:t>: 10.1186/s12916-025-04094-y.</w:t>
      </w:r>
    </w:p>
    <w:p w14:paraId="221AE10E" w14:textId="77777777" w:rsidR="00C017E9" w:rsidRPr="00351524" w:rsidRDefault="00C017E9" w:rsidP="00C017E9">
      <w:pPr>
        <w:rPr>
          <w:sz w:val="10"/>
          <w:szCs w:val="10"/>
        </w:rPr>
      </w:pPr>
    </w:p>
    <w:p w14:paraId="7C38A25C" w14:textId="77777777" w:rsidR="00C017E9" w:rsidRPr="00F55EFA" w:rsidRDefault="00C017E9" w:rsidP="00C017E9">
      <w:pPr>
        <w:spacing w:line="276" w:lineRule="auto"/>
        <w:rPr>
          <w:color w:val="212121"/>
          <w:sz w:val="20"/>
          <w:szCs w:val="20"/>
        </w:rPr>
      </w:pPr>
      <w:r w:rsidRPr="00F55EFA">
        <w:rPr>
          <w:color w:val="212121"/>
          <w:sz w:val="20"/>
          <w:szCs w:val="20"/>
        </w:rPr>
        <w:t xml:space="preserve">Manniche V, Fürst T, Schmeling M, </w:t>
      </w:r>
      <w:proofErr w:type="spellStart"/>
      <w:r w:rsidRPr="00F55EFA">
        <w:rPr>
          <w:color w:val="212121"/>
          <w:sz w:val="20"/>
          <w:szCs w:val="20"/>
        </w:rPr>
        <w:t>Gilthorpe</w:t>
      </w:r>
      <w:proofErr w:type="spellEnd"/>
      <w:r w:rsidRPr="00F55EFA">
        <w:rPr>
          <w:color w:val="212121"/>
          <w:sz w:val="20"/>
          <w:szCs w:val="20"/>
        </w:rPr>
        <w:t xml:space="preserve"> JD, Hansen PR. Rates of successful conceptions according to COVID-19 vaccination status: Data from the Czech Republic. Int J Risk Saf Med. 2025 Jun 19:9246479251353384. </w:t>
      </w:r>
      <w:proofErr w:type="spellStart"/>
      <w:r w:rsidRPr="00F55EFA">
        <w:rPr>
          <w:color w:val="212121"/>
          <w:sz w:val="20"/>
          <w:szCs w:val="20"/>
        </w:rPr>
        <w:t>doi</w:t>
      </w:r>
      <w:proofErr w:type="spellEnd"/>
      <w:r w:rsidRPr="00F55EFA">
        <w:rPr>
          <w:color w:val="212121"/>
          <w:sz w:val="20"/>
          <w:szCs w:val="20"/>
        </w:rPr>
        <w:t>: 10.1177/09246479251353384</w:t>
      </w:r>
    </w:p>
    <w:p w14:paraId="23B9A02E" w14:textId="77777777" w:rsidR="00C017E9" w:rsidRPr="00351524" w:rsidRDefault="00C017E9" w:rsidP="00C017E9">
      <w:pPr>
        <w:rPr>
          <w:sz w:val="10"/>
          <w:szCs w:val="10"/>
        </w:rPr>
      </w:pPr>
    </w:p>
    <w:p w14:paraId="2342C8D3" w14:textId="77777777" w:rsidR="00C017E9" w:rsidRPr="00F55EFA" w:rsidRDefault="00C017E9" w:rsidP="00C017E9">
      <w:pPr>
        <w:spacing w:line="276" w:lineRule="auto"/>
        <w:rPr>
          <w:color w:val="212121"/>
          <w:sz w:val="20"/>
          <w:szCs w:val="20"/>
        </w:rPr>
      </w:pPr>
      <w:r w:rsidRPr="00F55EFA">
        <w:rPr>
          <w:color w:val="212121"/>
          <w:sz w:val="20"/>
          <w:szCs w:val="20"/>
        </w:rPr>
        <w:t xml:space="preserve">Thorp  JA, Rogers C, </w:t>
      </w:r>
      <w:proofErr w:type="spellStart"/>
      <w:r w:rsidRPr="00F55EFA">
        <w:rPr>
          <w:color w:val="212121"/>
          <w:sz w:val="20"/>
          <w:szCs w:val="20"/>
        </w:rPr>
        <w:t>Deskevich</w:t>
      </w:r>
      <w:proofErr w:type="spellEnd"/>
      <w:r w:rsidRPr="00F55EFA">
        <w:rPr>
          <w:color w:val="212121"/>
          <w:sz w:val="20"/>
          <w:szCs w:val="20"/>
        </w:rPr>
        <w:t xml:space="preserve"> MP, Tankersley S, Benavides A, Redshaw MD, McCullough PA. COVID-19 vaccines: The impact on pregnancy outcomes and menstrual function. </w:t>
      </w:r>
      <w:r>
        <w:rPr>
          <w:iCs/>
          <w:color w:val="212121"/>
          <w:sz w:val="20"/>
          <w:szCs w:val="20"/>
        </w:rPr>
        <w:t>J</w:t>
      </w:r>
      <w:r w:rsidRPr="00F55EFA">
        <w:rPr>
          <w:iCs/>
          <w:color w:val="212121"/>
          <w:sz w:val="20"/>
          <w:szCs w:val="20"/>
        </w:rPr>
        <w:t xml:space="preserve"> Am Phys Surg</w:t>
      </w:r>
      <w:r>
        <w:rPr>
          <w:iCs/>
          <w:color w:val="212121"/>
          <w:sz w:val="20"/>
          <w:szCs w:val="20"/>
        </w:rPr>
        <w:t>.</w:t>
      </w:r>
      <w:r w:rsidRPr="00F55EFA">
        <w:rPr>
          <w:iCs/>
          <w:color w:val="212121"/>
          <w:sz w:val="20"/>
          <w:szCs w:val="20"/>
        </w:rPr>
        <w:t xml:space="preserve"> 2023; 28(1). </w:t>
      </w:r>
      <w:hyperlink r:id="rId4">
        <w:r w:rsidRPr="00F55EFA">
          <w:rPr>
            <w:color w:val="212121"/>
            <w:sz w:val="20"/>
            <w:szCs w:val="20"/>
          </w:rPr>
          <w:t>https://www.jpands.org/vol28no1/thorp.pdf</w:t>
        </w:r>
      </w:hyperlink>
    </w:p>
    <w:p w14:paraId="541EFE66" w14:textId="77777777" w:rsidR="00C017E9" w:rsidRPr="00351524" w:rsidRDefault="00C017E9" w:rsidP="00C017E9">
      <w:pPr>
        <w:rPr>
          <w:sz w:val="10"/>
          <w:szCs w:val="10"/>
        </w:rPr>
      </w:pPr>
    </w:p>
    <w:p w14:paraId="44126E4A" w14:textId="77777777" w:rsidR="00C017E9" w:rsidRDefault="00C017E9" w:rsidP="00C017E9">
      <w:pPr>
        <w:rPr>
          <w:sz w:val="20"/>
          <w:szCs w:val="20"/>
        </w:rPr>
      </w:pPr>
      <w:r w:rsidRPr="00F55EFA">
        <w:rPr>
          <w:color w:val="1B1B1B"/>
          <w:sz w:val="20"/>
          <w:szCs w:val="20"/>
        </w:rPr>
        <w:t xml:space="preserve">Madaan S, Talwar D, Jaiswal A, Kumar S, Acharya N, Acharya S, </w:t>
      </w:r>
      <w:proofErr w:type="spellStart"/>
      <w:r w:rsidRPr="00F55EFA">
        <w:rPr>
          <w:color w:val="1B1B1B"/>
          <w:sz w:val="20"/>
          <w:szCs w:val="20"/>
        </w:rPr>
        <w:t>Dewani</w:t>
      </w:r>
      <w:proofErr w:type="spellEnd"/>
      <w:r w:rsidRPr="00F55EFA">
        <w:rPr>
          <w:color w:val="1B1B1B"/>
          <w:sz w:val="20"/>
          <w:szCs w:val="20"/>
        </w:rPr>
        <w:t xml:space="preserve"> D. Post-COVID-19 menstrual abnormalities and infertility: Repercussions of the pandemic. J Educ Health </w:t>
      </w:r>
      <w:proofErr w:type="spellStart"/>
      <w:r w:rsidRPr="00F55EFA">
        <w:rPr>
          <w:color w:val="1B1B1B"/>
          <w:sz w:val="20"/>
          <w:szCs w:val="20"/>
        </w:rPr>
        <w:t>Promot</w:t>
      </w:r>
      <w:proofErr w:type="spellEnd"/>
      <w:r w:rsidRPr="00F55EFA">
        <w:rPr>
          <w:color w:val="1B1B1B"/>
          <w:sz w:val="20"/>
          <w:szCs w:val="20"/>
        </w:rPr>
        <w:t xml:space="preserve">. 2022;11:170. </w:t>
      </w:r>
      <w:proofErr w:type="spellStart"/>
      <w:r w:rsidRPr="00F55EFA">
        <w:rPr>
          <w:color w:val="1B1B1B"/>
          <w:sz w:val="20"/>
          <w:szCs w:val="20"/>
        </w:rPr>
        <w:t>doi</w:t>
      </w:r>
      <w:proofErr w:type="spellEnd"/>
      <w:r w:rsidRPr="00F55EFA">
        <w:rPr>
          <w:color w:val="1B1B1B"/>
          <w:sz w:val="20"/>
          <w:szCs w:val="20"/>
        </w:rPr>
        <w:t>: 10.4103/jehp.jehp_1200_21</w:t>
      </w:r>
    </w:p>
    <w:p w14:paraId="121DE18E" w14:textId="77777777" w:rsidR="00C017E9" w:rsidRDefault="00C017E9" w:rsidP="00C017E9">
      <w:pPr>
        <w:rPr>
          <w:b/>
          <w:bCs/>
        </w:rPr>
        <w:sectPr w:rsidR="00C017E9" w:rsidSect="00C017E9">
          <w:endnotePr>
            <w:numFmt w:val="decimal"/>
          </w:endnotePr>
          <w:pgSz w:w="12240" w:h="15840"/>
          <w:pgMar w:top="1440" w:right="1440" w:bottom="1440" w:left="1440" w:header="720" w:footer="720" w:gutter="0"/>
          <w:cols w:space="720"/>
          <w:docGrid w:linePitch="360"/>
        </w:sectPr>
      </w:pPr>
    </w:p>
    <w:p w14:paraId="1F62C1CE" w14:textId="77777777" w:rsidR="00C017E9" w:rsidRDefault="00C017E9" w:rsidP="00C017E9">
      <w:pPr>
        <w:rPr>
          <w:b/>
          <w:bCs/>
        </w:rPr>
      </w:pPr>
      <w:r>
        <w:rPr>
          <w:b/>
          <w:bCs/>
          <w:noProof/>
        </w:rPr>
        <w:lastRenderedPageBreak/>
        <w:drawing>
          <wp:inline distT="0" distB="0" distL="0" distR="0" wp14:anchorId="7FECA738" wp14:editId="34D80E46">
            <wp:extent cx="5380383" cy="5380383"/>
            <wp:effectExtent l="0" t="0" r="4445" b="4445"/>
            <wp:docPr id="1385097369" name="Picture 3" descr="A diagram of a syringe with different stages of vacc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97369" name="Picture 3" descr="A diagram of a syringe with different stages of vaccin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388359" cy="5388359"/>
                    </a:xfrm>
                    <a:prstGeom prst="rect">
                      <a:avLst/>
                    </a:prstGeom>
                  </pic:spPr>
                </pic:pic>
              </a:graphicData>
            </a:graphic>
          </wp:inline>
        </w:drawing>
      </w:r>
    </w:p>
    <w:p w14:paraId="2AB1BEAC" w14:textId="77777777" w:rsidR="00C017E9" w:rsidRPr="00E25709" w:rsidRDefault="00C017E9" w:rsidP="00C017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rPr>
        <w:sectPr w:rsidR="00C017E9" w:rsidRPr="00E25709" w:rsidSect="00C017E9">
          <w:endnotePr>
            <w:numFmt w:val="decimal"/>
          </w:endnotePr>
          <w:pgSz w:w="12240" w:h="15840"/>
          <w:pgMar w:top="1440" w:right="1440" w:bottom="1440" w:left="1440" w:header="720" w:footer="720" w:gutter="0"/>
          <w:cols w:space="720"/>
          <w:docGrid w:linePitch="360"/>
        </w:sectPr>
      </w:pPr>
      <w:r w:rsidRPr="00E25709">
        <w:rPr>
          <w:rFonts w:eastAsiaTheme="minorHAnsi"/>
          <w:b/>
          <w:bCs/>
        </w:rPr>
        <w:t>Appendix B, Figure 4.</w:t>
      </w:r>
      <w:r w:rsidRPr="00E25709">
        <w:rPr>
          <w:rFonts w:eastAsiaTheme="minorHAnsi"/>
        </w:rPr>
        <w:t xml:space="preserve"> The basis for the failure of COVID-19 mRNA vaccinations has been elucidated. The SARS-CoV-2 spike (S) protein interacts with ACE2 receptor on host cells, creating conditions that exert significant selective pressure on the S gene, driving mutations that facilitate viral immune escape. Most of these mRNA products were developed using the S protein sequence from the original Wuhan strain, rendering them less effective against these escape variants, as the mutants can circumvent the immune responses elicited by these vaccines. This results in diminished vaccine efficacy for formulations based on the original S protein sequence. Furthermore, repeated mRNA vaccinations may alter viral dynamics, potentially promoting the emergence of immune-evasive variants, which could further reduce the effectiveness of these biologics. Additionally, frequent booster doses may contribute to excessive spike-related toxicities as well as immune dysregulation, potentially compromising antiviral and antimicrobial immunity while increasing the risk of autoimmune conditions and accelerated oncogenesis.</w:t>
      </w:r>
    </w:p>
    <w:p w14:paraId="24062B42" w14:textId="77777777" w:rsidR="00000000" w:rsidRDefault="00000000"/>
    <w:sectPr w:rsidR="00433CE7" w:rsidSect="00BF0E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ckwell">
    <w:panose1 w:val="02060603020205020403"/>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7E9"/>
    <w:rsid w:val="00331C69"/>
    <w:rsid w:val="00507A58"/>
    <w:rsid w:val="00841902"/>
    <w:rsid w:val="00BF0E81"/>
    <w:rsid w:val="00C017E9"/>
    <w:rsid w:val="00C8245B"/>
    <w:rsid w:val="00D125EB"/>
    <w:rsid w:val="00E22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21373D"/>
  <w15:chartTrackingRefBased/>
  <w15:docId w15:val="{910D0B56-A94C-FA40-8D53-352EE23B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7E9"/>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017E9"/>
    <w:pPr>
      <w:keepNext/>
      <w:keepLines/>
      <w:spacing w:before="360" w:after="80"/>
      <w:outlineLvl w:val="0"/>
    </w:pPr>
    <w:rPr>
      <w:rFonts w:asciiTheme="majorHAnsi" w:eastAsiaTheme="majorEastAsia" w:hAnsiTheme="majorHAnsi" w:cstheme="majorBidi"/>
      <w:color w:val="B9130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017E9"/>
    <w:pPr>
      <w:keepNext/>
      <w:keepLines/>
      <w:spacing w:before="160" w:after="80"/>
      <w:outlineLvl w:val="1"/>
    </w:pPr>
    <w:rPr>
      <w:rFonts w:asciiTheme="majorHAnsi" w:eastAsiaTheme="majorEastAsia" w:hAnsiTheme="majorHAnsi" w:cstheme="majorBidi"/>
      <w:color w:val="B9130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017E9"/>
    <w:pPr>
      <w:keepNext/>
      <w:keepLines/>
      <w:spacing w:before="160" w:after="80"/>
      <w:outlineLvl w:val="2"/>
    </w:pPr>
    <w:rPr>
      <w:rFonts w:asciiTheme="minorHAnsi" w:eastAsiaTheme="majorEastAsia" w:hAnsiTheme="minorHAnsi" w:cstheme="majorBidi"/>
      <w:color w:val="B9130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017E9"/>
    <w:pPr>
      <w:keepNext/>
      <w:keepLines/>
      <w:spacing w:before="80" w:after="40"/>
      <w:outlineLvl w:val="3"/>
    </w:pPr>
    <w:rPr>
      <w:rFonts w:asciiTheme="minorHAnsi" w:eastAsiaTheme="majorEastAsia" w:hAnsiTheme="minorHAnsi" w:cstheme="majorBidi"/>
      <w:i/>
      <w:iCs/>
      <w:color w:val="B9130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017E9"/>
    <w:pPr>
      <w:keepNext/>
      <w:keepLines/>
      <w:spacing w:before="80" w:after="40"/>
      <w:outlineLvl w:val="4"/>
    </w:pPr>
    <w:rPr>
      <w:rFonts w:asciiTheme="minorHAnsi" w:eastAsiaTheme="majorEastAsia" w:hAnsiTheme="minorHAnsi" w:cstheme="majorBidi"/>
      <w:color w:val="B9130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017E9"/>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017E9"/>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017E9"/>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017E9"/>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125EB"/>
    <w:rPr>
      <w:i/>
      <w:iCs/>
    </w:rPr>
  </w:style>
  <w:style w:type="character" w:customStyle="1" w:styleId="Heading1Char">
    <w:name w:val="Heading 1 Char"/>
    <w:basedOn w:val="DefaultParagraphFont"/>
    <w:link w:val="Heading1"/>
    <w:uiPriority w:val="9"/>
    <w:rsid w:val="00C017E9"/>
    <w:rPr>
      <w:rFonts w:asciiTheme="majorHAnsi" w:eastAsiaTheme="majorEastAsia" w:hAnsiTheme="majorHAnsi" w:cstheme="majorBidi"/>
      <w:color w:val="B91301" w:themeColor="accent1" w:themeShade="BF"/>
      <w:sz w:val="40"/>
      <w:szCs w:val="40"/>
    </w:rPr>
  </w:style>
  <w:style w:type="character" w:customStyle="1" w:styleId="Heading2Char">
    <w:name w:val="Heading 2 Char"/>
    <w:basedOn w:val="DefaultParagraphFont"/>
    <w:link w:val="Heading2"/>
    <w:uiPriority w:val="9"/>
    <w:semiHidden/>
    <w:rsid w:val="00C017E9"/>
    <w:rPr>
      <w:rFonts w:asciiTheme="majorHAnsi" w:eastAsiaTheme="majorEastAsia" w:hAnsiTheme="majorHAnsi" w:cstheme="majorBidi"/>
      <w:color w:val="B91301" w:themeColor="accent1" w:themeShade="BF"/>
      <w:sz w:val="32"/>
      <w:szCs w:val="32"/>
    </w:rPr>
  </w:style>
  <w:style w:type="character" w:customStyle="1" w:styleId="Heading3Char">
    <w:name w:val="Heading 3 Char"/>
    <w:basedOn w:val="DefaultParagraphFont"/>
    <w:link w:val="Heading3"/>
    <w:uiPriority w:val="9"/>
    <w:semiHidden/>
    <w:rsid w:val="00C017E9"/>
    <w:rPr>
      <w:rFonts w:eastAsiaTheme="majorEastAsia" w:cstheme="majorBidi"/>
      <w:color w:val="B91301" w:themeColor="accent1" w:themeShade="BF"/>
      <w:sz w:val="28"/>
      <w:szCs w:val="28"/>
    </w:rPr>
  </w:style>
  <w:style w:type="character" w:customStyle="1" w:styleId="Heading4Char">
    <w:name w:val="Heading 4 Char"/>
    <w:basedOn w:val="DefaultParagraphFont"/>
    <w:link w:val="Heading4"/>
    <w:uiPriority w:val="9"/>
    <w:semiHidden/>
    <w:rsid w:val="00C017E9"/>
    <w:rPr>
      <w:rFonts w:eastAsiaTheme="majorEastAsia" w:cstheme="majorBidi"/>
      <w:i/>
      <w:iCs/>
      <w:color w:val="B91301" w:themeColor="accent1" w:themeShade="BF"/>
    </w:rPr>
  </w:style>
  <w:style w:type="character" w:customStyle="1" w:styleId="Heading5Char">
    <w:name w:val="Heading 5 Char"/>
    <w:basedOn w:val="DefaultParagraphFont"/>
    <w:link w:val="Heading5"/>
    <w:uiPriority w:val="9"/>
    <w:semiHidden/>
    <w:rsid w:val="00C017E9"/>
    <w:rPr>
      <w:rFonts w:eastAsiaTheme="majorEastAsia" w:cstheme="majorBidi"/>
      <w:color w:val="B91301" w:themeColor="accent1" w:themeShade="BF"/>
    </w:rPr>
  </w:style>
  <w:style w:type="character" w:customStyle="1" w:styleId="Heading6Char">
    <w:name w:val="Heading 6 Char"/>
    <w:basedOn w:val="DefaultParagraphFont"/>
    <w:link w:val="Heading6"/>
    <w:uiPriority w:val="9"/>
    <w:semiHidden/>
    <w:rsid w:val="00C017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17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17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17E9"/>
    <w:rPr>
      <w:rFonts w:eastAsiaTheme="majorEastAsia" w:cstheme="majorBidi"/>
      <w:color w:val="272727" w:themeColor="text1" w:themeTint="D8"/>
    </w:rPr>
  </w:style>
  <w:style w:type="paragraph" w:styleId="Title">
    <w:name w:val="Title"/>
    <w:basedOn w:val="Normal"/>
    <w:next w:val="Normal"/>
    <w:link w:val="TitleChar"/>
    <w:uiPriority w:val="10"/>
    <w:qFormat/>
    <w:rsid w:val="00C017E9"/>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017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17E9"/>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017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17E9"/>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C017E9"/>
    <w:rPr>
      <w:i/>
      <w:iCs/>
      <w:color w:val="404040" w:themeColor="text1" w:themeTint="BF"/>
    </w:rPr>
  </w:style>
  <w:style w:type="paragraph" w:styleId="ListParagraph">
    <w:name w:val="List Paragraph"/>
    <w:basedOn w:val="Normal"/>
    <w:uiPriority w:val="34"/>
    <w:qFormat/>
    <w:rsid w:val="00C017E9"/>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C017E9"/>
    <w:rPr>
      <w:i/>
      <w:iCs/>
      <w:color w:val="B91301" w:themeColor="accent1" w:themeShade="BF"/>
    </w:rPr>
  </w:style>
  <w:style w:type="paragraph" w:styleId="IntenseQuote">
    <w:name w:val="Intense Quote"/>
    <w:basedOn w:val="Normal"/>
    <w:next w:val="Normal"/>
    <w:link w:val="IntenseQuoteChar"/>
    <w:uiPriority w:val="30"/>
    <w:qFormat/>
    <w:rsid w:val="00C017E9"/>
    <w:pPr>
      <w:pBdr>
        <w:top w:val="single" w:sz="4" w:space="10" w:color="B91301" w:themeColor="accent1" w:themeShade="BF"/>
        <w:bottom w:val="single" w:sz="4" w:space="10" w:color="B91301" w:themeColor="accent1" w:themeShade="BF"/>
      </w:pBdr>
      <w:spacing w:before="360" w:after="360"/>
      <w:ind w:left="864" w:right="864"/>
      <w:jc w:val="center"/>
    </w:pPr>
    <w:rPr>
      <w:rFonts w:asciiTheme="minorHAnsi" w:eastAsiaTheme="minorHAnsi" w:hAnsiTheme="minorHAnsi" w:cstheme="minorBidi"/>
      <w:i/>
      <w:iCs/>
      <w:color w:val="B91301" w:themeColor="accent1" w:themeShade="BF"/>
      <w:kern w:val="2"/>
      <w14:ligatures w14:val="standardContextual"/>
    </w:rPr>
  </w:style>
  <w:style w:type="character" w:customStyle="1" w:styleId="IntenseQuoteChar">
    <w:name w:val="Intense Quote Char"/>
    <w:basedOn w:val="DefaultParagraphFont"/>
    <w:link w:val="IntenseQuote"/>
    <w:uiPriority w:val="30"/>
    <w:rsid w:val="00C017E9"/>
    <w:rPr>
      <w:i/>
      <w:iCs/>
      <w:color w:val="B91301" w:themeColor="accent1" w:themeShade="BF"/>
    </w:rPr>
  </w:style>
  <w:style w:type="character" w:styleId="IntenseReference">
    <w:name w:val="Intense Reference"/>
    <w:basedOn w:val="DefaultParagraphFont"/>
    <w:uiPriority w:val="32"/>
    <w:qFormat/>
    <w:rsid w:val="00C017E9"/>
    <w:rPr>
      <w:b/>
      <w:bCs/>
      <w:smallCaps/>
      <w:color w:val="B9130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jpands.org/vol28no1/thorp.pdf" TargetMode="External"/></Relationship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3800</Characters>
  <Application>Microsoft Office Word</Application>
  <DocSecurity>0</DocSecurity>
  <Lines>31</Lines>
  <Paragraphs>8</Paragraphs>
  <ScaleCrop>false</ScaleCrop>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Hulscher</dc:creator>
  <cp:keywords/>
  <dc:description/>
  <cp:lastModifiedBy>Nic Hulscher</cp:lastModifiedBy>
  <cp:revision>1</cp:revision>
  <dcterms:created xsi:type="dcterms:W3CDTF">2025-08-12T17:52:00Z</dcterms:created>
  <dcterms:modified xsi:type="dcterms:W3CDTF">2025-08-12T17:52:00Z</dcterms:modified>
</cp:coreProperties>
</file>