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078" w:rsidRDefault="00D32078" w:rsidP="00C422D5">
      <w:pPr>
        <w:adjustRightInd w:val="0"/>
        <w:snapToGrid w:val="0"/>
        <w:spacing w:after="60" w:line="228" w:lineRule="auto"/>
        <w:jc w:val="left"/>
        <w:rPr>
          <w:rFonts w:ascii="Palatino Linotype" w:hAnsi="Palatino Linotype" w:cs="Times New Roman"/>
          <w:b/>
          <w:snapToGrid w:val="0"/>
          <w:color w:val="000000"/>
          <w:kern w:val="0"/>
          <w:sz w:val="20"/>
          <w:lang w:bidi="en-US"/>
        </w:rPr>
      </w:pPr>
      <w:r w:rsidRPr="00D32078">
        <w:rPr>
          <w:rFonts w:ascii="Palatino Linotype" w:hAnsi="Palatino Linotype" w:cs="Times New Roman"/>
          <w:b/>
          <w:snapToGrid w:val="0"/>
          <w:color w:val="000000"/>
          <w:kern w:val="0"/>
          <w:sz w:val="20"/>
          <w:lang w:bidi="en-US"/>
        </w:rPr>
        <w:t>Supplementary Material</w:t>
      </w:r>
    </w:p>
    <w:p w:rsidR="00DC4201" w:rsidRPr="00DC4201" w:rsidRDefault="00DC4201" w:rsidP="00C422D5">
      <w:pPr>
        <w:adjustRightInd w:val="0"/>
        <w:snapToGrid w:val="0"/>
        <w:spacing w:after="60" w:line="228" w:lineRule="auto"/>
        <w:jc w:val="left"/>
        <w:rPr>
          <w:rFonts w:ascii="Palatino Linotype" w:hAnsi="Palatino Linotype" w:cs="Times New Roman"/>
          <w:b/>
          <w:snapToGrid w:val="0"/>
          <w:color w:val="000000"/>
          <w:kern w:val="0"/>
          <w:sz w:val="20"/>
          <w:lang w:bidi="en-US"/>
        </w:rPr>
      </w:pPr>
      <w:r w:rsidRPr="00DC4201">
        <w:rPr>
          <w:rFonts w:ascii="Palatino Linotype" w:hAnsi="Palatino Linotype" w:cs="Times New Roman" w:hint="eastAsia"/>
          <w:b/>
          <w:snapToGrid w:val="0"/>
          <w:color w:val="000000"/>
          <w:kern w:val="0"/>
          <w:sz w:val="20"/>
          <w:lang w:bidi="en-US"/>
        </w:rPr>
        <w:t>S</w:t>
      </w:r>
      <w:r w:rsidRPr="00DC4201">
        <w:rPr>
          <w:rFonts w:ascii="Palatino Linotype" w:hAnsi="Palatino Linotype" w:cs="Times New Roman"/>
          <w:b/>
          <w:snapToGrid w:val="0"/>
          <w:color w:val="000000"/>
          <w:kern w:val="0"/>
          <w:sz w:val="20"/>
          <w:lang w:bidi="en-US"/>
        </w:rPr>
        <w:t>earch strategy:</w:t>
      </w:r>
    </w:p>
    <w:p w:rsidR="004A32A9" w:rsidRPr="00CA49A8" w:rsidRDefault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#1 'Crohn disease'[Mesh]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cleron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disease' OR 'Crohn`s disease'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Crohns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disease' OR 'enteritis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regionalis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'intestinal tract, regional enteritis' OR 'morbus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crohn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'regional enteritis' OR 'regional enterocolitis'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#2 'ulcerative colitis'[Mesh] OR 'colitis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ulcerativa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'colitis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ulcerosa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'colitis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ulcerosa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chronica' OR 'colitis, mucosal' OR 'colitis, ulcerative' OR 'colitis, ulcerous' OR 'colon, chronic ulceration' OR 'histiocytic ulcerative colitis' OR 'mucosal colitis' OR 'ulcerative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colorectitis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'ulcerative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procto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colitis' OR 'ulcerative proctocolitis' OR 'ulcerous colitis' OR 'ulcerative colitis'</w:t>
      </w:r>
    </w:p>
    <w:p w:rsidR="00474FA2" w:rsidRPr="00CA49A8" w:rsidRDefault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3 'inflammatory bowel disease'[Mesh] OR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'inflammatory bowel diseases' 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#4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= #1 or #2 or #3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#5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'biological product'[Mesh] OR 'biologic' OR 'biologic agent' OR 'biologic agents' OR 'biologic product' OR 'biologic products' OR 'biological' OR 'biological agent' OR 'biological agents' OR 'biological products' OR 'biologicals' OR 'biologics'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#6 'infliximab'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[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Mesh]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abp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710' OR 'abp710'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avakine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avsola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bcd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055' OR 'bcd055' OR 'bow 015' OR 'bow015'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cmab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008' OR 'cmab008'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ct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p13'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ctp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13' OR 'ctp13'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flammegis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flixabi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gb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242' OR 'gb242'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gp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1111' OR 'gp1111'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infimab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inflectra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'infliximab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abda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'infliximab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axxq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'infliximab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dyyb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'infliximab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hjmt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'infliximab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qbtx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'infliximab-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abda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'infliximab-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axxq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'infliximab-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dyyb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'infliximab-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hjmt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'infliximab-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qbtx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ixifi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ni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071' OR 'ni071' OR 'pf 06438179' OR 'pf 6438179' OR 'pf06438179' OR 'pf6438179'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remicade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remsima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renflexis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revellex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6897845' OR 'ro6897845' OR 'sb 2' OR 'sb2'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sti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002' OR 'sti002' OR 'ta 650' OR 'ta650'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zessly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zymfentra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#7 'adalimumab'[Mesh]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abp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501' OR 'abp501'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abrilada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abt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d2e7' OR 'abtd2e7'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adalacip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'adalimumab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aacf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'adalimumab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aaty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'adalimumab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adaz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'adalimumab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adbm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'adalimumab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afzb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'adalimumab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aqvh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'adalimumab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atto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'adalimumab beta' OR 'adalimumab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bwwd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'adalimumab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eva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'adalimumab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fkjp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'adalimumab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ryvk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'adalimumab-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aacf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'adalimumab-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aaty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'adalimumab-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adaz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'adalimumab-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adbm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'adalimumab-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afzb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'adalimumab-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aqvh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'adalimumab-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atto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'adalimumab-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bwwd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'adalimumab-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eva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'adalimumab-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fkjp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'adalimumab-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ryvk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adalloce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adaly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amgevita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amjevita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amsparity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ardalicip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avt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02' OR 'avt02' OR 'bat 1406' OR 'bat1406'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bax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2923'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bax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923' OR 'bax2923' OR 'bax923'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bcd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057' OR 'bcd057' OR 'bi 695501' OR 'bi695501'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bmo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2' OR 'bmo2'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bxt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2922' OR 'bxt2922'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chs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1420' OR 'chs1420'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cinnora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ciptunec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ct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p17' OR 'ctp17'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cyltezo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'da 3113' OR 'da3113'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dalibra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dmb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3113' OR 'dmb3113'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euplima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exemptia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fkb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327' OR 'fkb327'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fyzoclad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gp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2017' OR 'gp2017'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hadlima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halimatoz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hefiya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hlx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03' OR 'hlx03'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hs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016' OR 'hs016'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hukyndra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hulio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humira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hyrimoz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ibi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303' OR 'ibi303'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idacio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imraldi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jy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026' OR 'jy026'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kromeya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libmyris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lu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200134' OR 'lu200134' OR 'm 923' OR 'm923'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mabura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'monoclonal antibody D2E7'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msb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11022' OR 'msb11022'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myl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1401a' OR 'myl1401a'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ons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3010' OR 'ons3010'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pbp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1502' OR 'pbp1502' OR 'pf 06410293' OR 'pf 6410293' OR 'pf06410293' OR 'pf6410293'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qletli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raheara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'sb 5' OR 'sb5'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simlandi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solymbic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sulinno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trudexa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'tur 01' OR 'tur01'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uplima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yuflyma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yusimry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zrc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3197' OR 'zrc3197'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lastRenderedPageBreak/>
        <w:t>#8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'vedolizumab'[Mesh]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entyvio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kynteles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ldp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02' OR 'ldp02'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mln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0002'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mln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02'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mln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02 antibody'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mln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02 monoclonal antibody' OR 'mln0002' OR 'mln02' OR 'mln02 antibody' OR 'mln02 monoclonal antibody' OR 'monoclonal antibody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ldp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02' OR 'monoclonal antibody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mln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02' OR 'pb 016' OR 'pb016'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7246311' OR 'ro7246311'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#9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ustekinumab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'[Mesh]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abp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654' OR 'abp654'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amg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654' OR 'amg654'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avt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04' OR 'avt04' OR 'bat 2206' OR 'bat2206'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bfi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751' OR 'bfi751'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bmab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1200' OR 'bmab1200' OR 'bow 090' OR 'bow090'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cnto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1275' OR 'cnto1275'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ct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p43' OR 'ctp43' OR 'da 3115' OR 'da3115'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dmb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3115' OR 'dmb3115'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eb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1004' OR 'eb1004'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fyb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202' OR 'fyb202'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jamteki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'monoclonal antibody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cnto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1275'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ons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3040' OR 'ons3040' OR 'pb 007' OR 'pb007'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pyzchiva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723 3920'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7233920' OR 'ro7233920' OR 'sb 17' OR 'sb17'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selarsdi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stelara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stellara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suterara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tt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20' OR 'tt20'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ustekinumab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aekn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ustekinumab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auub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ustekinumab-aekn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ustekinumab-auub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uzpruvo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wezenla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wezlana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#10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upadacitinib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'[Mesh] OR '3 ethyl 4 (1, 5, 7, 10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tetrazatricyclo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[7.3.0.0 (2, 6)]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dodeca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(6), 3, 7, 9, 11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pentaen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n (2, 2,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trifluoroethyl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pyrrolidinecarboxamide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'3 ethyl 4 (1, 5, 7, 10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tetrazatricyclo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[7.3.0.0 (2, 6)]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dodeca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(6), 3, 7, 9, 11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pentaen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n (2, 2,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trifluoroethyl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pyrrolidine 1 carboxamide' OR '3 ethyl 4 (3h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imidazo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[1, 2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e]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pyrazin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8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n (2, 2,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trifluoroethyl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pyrrolidinecarboxamide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'3 ethyl 4 (3h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imidazo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[1, 2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e]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pyrazin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8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n (2, 2,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trifluoroethyl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pyrrolidinecarboxamide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2, 3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dihydroxybutanedioate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'3 ethyl 4 (3h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imidazo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[1, 2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e]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pyrazin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8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n (2, 2,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trifluoroethyl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pyrrolidinecarboxamide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tartrate' OR '3 ethyl 4 (3h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imidazo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[1, 2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e]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pyrazin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8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n (2, 2,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trifluoroethyl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pyrrolidine 1 carboxamide' OR '3 ethyl 4 (3h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imidazo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[1, 2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e]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pyrazin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8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n (2, 2,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trifluoroethyl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pyrrolidine 1 carboxamide 2,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dihydroxybutanedioate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'3 ethyl 4 (3h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imidazo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[1, 2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e]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pyrazin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8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n (2, 2,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trifluoroethyl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) pyrrolidine 1 carboxamide tartrate' OR '3 ethyl 4 (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imidazo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[1, 2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e]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pyrazin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8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n (2, 2,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trifluoroethyl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pyrrolidinecarboxamide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'3 ethyl 4 (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imidazo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[1, 2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e]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pyrazin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8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n (2, 2,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trifluoroethyl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) pyrrolidine 1 carboxamide'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abt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494' OR 'abt494'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rinvoq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rinvoq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lq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upadacitinib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2, 3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dihydroxybutanedioate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upadacitinib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hemihydrate'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upadacitinib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hydrate'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upadacitinib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tartrate'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#11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 xml:space="preserve"> </w:t>
      </w:r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'golimumab'[Mesh] OR 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cnto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148' OR 'cnto148'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mk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8259' OR 'mk8259' OR 'sch 900259' OR 'sch900259'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shinponi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simponi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simponi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aria'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#12</w:t>
      </w:r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'certolizumab pegol'[Mesh] OR 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cdp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870' OR 'cdp870'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cimzia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'pegylated tumor necrosis factor alpha antibody Fab fragment' OR 'pegylated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tumour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necrosis factor alpha antibody Fab fragment' OR 'pf 688' OR 'pf688'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pha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738144' OR 'pha738144'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simziya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xcimzane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#13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 xml:space="preserve"> </w:t>
      </w:r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'natalizumab'[Mesh] OR 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'an 10022' OR 'an 100226' OR 'an10022' OR 'an100226'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antegran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antegren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bg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0002' OR 'bg0002'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dst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356a1' OR 'dst356a1' OR 'natalizumab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sztn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'natalizumab-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sztn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'pb 006' OR 'pb006'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pbp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2002' OR 'pbp2002'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tyruko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tysabri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#14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 xml:space="preserve"> </w:t>
      </w:r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  <w:proofErr w:type="spellStart"/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risankizumab</w:t>
      </w:r>
      <w:proofErr w:type="spellEnd"/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'[Mesh] OR 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abbv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066' OR 'abbv066' OR 'bi 655066' OR 'bi655066'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risankizumab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rzaa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risankizumab-rzaa</w:t>
      </w:r>
      <w:proofErr w:type="spellEnd"/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skyrizi</w:t>
      </w:r>
      <w:proofErr w:type="spellEnd"/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#</w:t>
      </w:r>
      <w:r w:rsidR="00CA49A8"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15</w:t>
      </w:r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'</w:t>
      </w:r>
      <w:proofErr w:type="spellStart"/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mirikizumab</w:t>
      </w:r>
      <w:proofErr w:type="spellEnd"/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'[Mesh] OR 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ly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3074828' OR 'ly3074828'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mirikizumab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mrkz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mirikizumab-mrkz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omvoh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#16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 xml:space="preserve"> </w:t>
      </w:r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'tofacitinib'[Mesh] OR 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'1 cyanoacetyl 4 methyl n methyl n (1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hydropyrrolo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d]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pyrimidin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lastRenderedPageBreak/>
        <w:t xml:space="preserve">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piperidinamine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'1 cyanoacetyl 4 methyl n methyl n (1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hydropyrrolo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d]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pyrimidin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piperidine 3 amine' OR '1 cyanoacetyl 4 methyl n methyl n (1h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d]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pyrimidin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piperidinamine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'1 cyanoacetyl 4 methyl n methyl n (1h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d]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pyrimidin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piperidine 3 amine' OR '3 [4 methyl 3 [methyl (7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hydropyrrolo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d]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pyrimidin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amino] 1 piperidinyl]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oxopropanenitrile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'3 [4 methyl 3 [methyl (7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hydropyrrolo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d]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pyrimidin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amino] 1 piperidyl]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oxopropanenitrile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'3 [4 methyl 3 [methyl (7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hydropyrrolo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d]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pyrimidin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amino]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piperidin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oxopropanenitrile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'3 [4 methyl 3 [methyl (7h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d]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pyrimidin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amino] 1 piperidinyl]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oxopropanenitrile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'3 [4 methyl 3 [methyl (7h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d]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pyrimidin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amino] 1 piperidyl]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oxopropanenitrile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'3 [4 methyl 3 [methyl (7h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d]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pyrimidin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amino]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piperidin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oxopropanenitrile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'4 [n [1 (2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cyano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 oxoethyl) 4 methyl 3 piperidinyl] n methylamino]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d] pyrimidine' OR '4 [n [1 (2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cyano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1 oxoethyl) 4 methyl 3 piperidyl] n methylamino]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d] pyrimidine' OR '4 methyl 3 [methyl (7h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pyrrolo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[2, 3 d]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pyrimidin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amino] beta oxo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piperidinepropanenitrile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cgb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500' OR 'cgb500' OR 'cp 690 550' OR 'cp 690, 550' OR 'cp 690550' OR 'cp 690550 10' OR 'cp 690550-10' OR 'cp690 550' OR 'cp690, 550' OR 'cp690550' OR 'cp690550 10' OR 'cp690550-10'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jaquinus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pgn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600' OR 'pgn600'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prd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4862257' OR 'prd4862257'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5169503' OR 'ro5169503'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tasocitinib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tasocitinib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citrate' OR 'tofacitinib citrate'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xeljanz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xeljanz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xr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#1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 xml:space="preserve">7 </w:t>
      </w:r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  <w:proofErr w:type="spellStart"/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filgotinib</w:t>
      </w:r>
      <w:proofErr w:type="spellEnd"/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'[Mesh] OR 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filgotinib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butenedioate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filgotinib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hydrochloride'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filgotinib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maleate' OR 'g 146034' OR 'g 146034 101' OR 'g 146034-101' OR 'g146034' OR 'g146034 101' OR 'g146034-101'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glpg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0634' OR 'glpg0634'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gs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6034' OR 'gs6034'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jyseleca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'n [5 [4 (1,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dioxothiomorpholinomethyl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phenyl] 1, 2, 4 triazolo [1, 5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cyclopropanecarboxamide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'n [5 [4 (1,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dioxothiomorpholinomethyl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phenyl] 1, 2, 4 triazolo [1, 5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cyclopropanecarboxamide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butenedioate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'n [5 [4 (1,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dioxothiomorpholinomethyl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phenyl] 1, 2, 4 triazolo [1, 5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cyclopropanecarboxamide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but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enedioate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'n [5 [4 [ (1,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dioxido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thiomorpholinyl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methyl] phenyl] 1, 2, 4 triazolo [1, 5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cyclopropanecarboxamide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'n [5 [4 [ (1,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dioxido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thiomorpholinyl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methyl] phenyl] 1, 2, 4 triazolo [1, 5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cyclopropanecarboxamide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butenedioate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'n [5 [4 [ (1,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dioxidothiomorpholin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methyl] phenyl] [1, 2, 4] triazolo [1, 5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cyclopropanecarboxamide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'n [5 [4 [ (1, 1 dioxo 1,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thiazinan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methyl] phenyl] [1, 2, 4] triazolo [1, 5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cyclopropanecarboxamide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'n [5 [4 [ (1,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dioxothiomorpholin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methyl] phenyl] 1, 2, 4 triazolo [1, 5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cyclopropanecarboxamide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'n [5 [4 [ (1,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dioxothiomorpholin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methyl] phenyl] 1, 2, 4 triazolo [1, 5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cyclopropanecarboxamide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but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enedioate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'n [5 [4 [ (1,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dioxothiomorpholin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methyl] phenyl] [1, 2, 4] triazolo [1, 5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cyclopropanecarboxamide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'n [5 [4 [ (1, 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dioxothiomorpholin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methyl] phenyl] [1, 2, 4] triazolo [1, 5 a]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pyridin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cyclopropanecarboxamide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but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enedioate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#18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 xml:space="preserve"> </w:t>
      </w:r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'ozanimod'[Mesh] OR 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'5 [3 [1 [ (2 hydroxyethyl) amino] 2, 3 dihydro 1h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inden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1, 2, 4 oxadiazol 5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2 [ (2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propanyl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oxy] benzonitrile' OR '5 [3 [1 [ (2 hydroxyethyl) amino] 2, 3 dihydro 1h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inden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1, 2, 4 oxadiazol 5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] 2 [ (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propan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oxy] benzonitrile' OR '5 [3 [1 [ (2 hydroxyethyl) amino] 2, 3 dihydro 1h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inden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1, 2, 4 oxadiazol 5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isopropoxybenzonitrile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'5 [3 [1 [ (2 hydroxyethyl) amino] 4 indanyl] 1, 2, 4 oxadiazol 5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isopropoxybenzonitrile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 OR '5 [3 [2, 3 dihydro 1 [ (2 hydroxyethyl) amino] 1h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inden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1, 2, 4 oxadiazol 5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2 (1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methylethoxy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) benzonitrile' OR '5 [3 [2, 3 dihydro 1 [ (2 hydroxyethyl) 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lastRenderedPageBreak/>
        <w:t xml:space="preserve">amino] 1h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inden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1, 2, 4 oxadiazol 5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2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isopropoxybenzonitrile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 OR 'ozanimod hydrochloride'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rpc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1063' OR 'rpc1063' OR '</w:t>
      </w:r>
      <w:proofErr w:type="spellStart"/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zeposia</w:t>
      </w:r>
      <w:proofErr w:type="spellEnd"/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#19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 xml:space="preserve"> </w:t>
      </w:r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  <w:proofErr w:type="spellStart"/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etrasimod</w:t>
      </w:r>
      <w:proofErr w:type="spellEnd"/>
      <w:r w:rsidR="00CA49A8"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'[Mesh] OR 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'2 [7 [ [4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cyclopentyl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(trifluoromethyl) benzyl] oxy] 1, 2, 3,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tetrahydrocyclopenta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[b]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indol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acetic acid' OR '2 [7 [ [4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cyclopentyl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(trifluoromethyl) phenyl] methoxy] 1, 2, 3,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tetrahydrocyclopenta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[b]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indol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acetic acid' OR '7 [ [4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cyclopentyl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(trifluoromethyl) benzyl] oxy] 1, 2, 3,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tetrahydrocyclopent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[b] indole 3 acetic acid' OR '7 [ [4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cyclopentyl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(trifluoromethyl) phenyl] methoxy] 1, 2, 3,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tetrahydrocyclopent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[b] indole 3 acetic acid' OR '7 [ [4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cyclopentyl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(trifluoromethyl) phenyl] methoxy] 1, 2, 3,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tetrahydrocyclopent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[b] indole 3 acetic acid arginine' OR '7 [ [[4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cyclopentyl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(trifluoromethyl) benzyl] oxy] 1, 2, 3,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tetrahydrocyclopenta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[b]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indol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acetic acid' OR '7 [ [[4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cyclopentyl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(trifluoromethyl) phenyl] methoxy] 1, 2, 3,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tetrahydrocyclopenta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[b]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indol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acetic acid' OR '[7 [ [4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cyclopentyl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(trifluoromethyl) benzyl] oxy] 1, 2, 3,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tetrahydrocyclopenta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[b]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indol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] acetic acid' OR '[7 [ [4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cyclopentyl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(trifluoromethyl) phenyl] methoxy] 1, 2, 3,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tetrahydrocyclopenta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[b]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indol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] acetic acid'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apd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334' OR 'apd334' OR 'arginine mono [7[ [4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cyclopentyl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(trifluoromethyl) phenyl] methoxy] 1, 2, 3, 4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tetrahydrocyclopenta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[b]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indol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3 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yl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] acetic acid'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etrasimod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arginine' OR 'pf 07915503' OR 'pf 7915503' OR 'pf07915503' OR 'pf7915503' OR '</w:t>
      </w:r>
      <w:proofErr w:type="spellStart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velsipity</w:t>
      </w:r>
      <w:proofErr w:type="spellEnd"/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'</w:t>
      </w:r>
    </w:p>
    <w:p w:rsidR="00474FA2" w:rsidRPr="00CA49A8" w:rsidRDefault="00474FA2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#20=#5 or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#6 or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#7 or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#8 or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#9 or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#10 or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#11 or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#12 or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#13 or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#14 or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#15 or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#16 or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#17 or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#18 or</w:t>
      </w:r>
      <w:r w:rsidRPr="00CA49A8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 xml:space="preserve">#19 </w:t>
      </w:r>
    </w:p>
    <w:p w:rsidR="00474FA2" w:rsidRDefault="00F50D50" w:rsidP="00474FA2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#21=</w:t>
      </w:r>
      <w:r w:rsidR="00474FA2" w:rsidRPr="00CA49A8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 xml:space="preserve">#4 and #20 </w:t>
      </w:r>
    </w:p>
    <w:p w:rsidR="002F5EE5" w:rsidRPr="00006710" w:rsidRDefault="00997982" w:rsidP="002F5EE5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997982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(</w:t>
      </w:r>
      <w:r w:rsidRPr="00997982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1)</w:t>
      </w:r>
      <w: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</w:t>
      </w:r>
      <w:r w:rsidR="002F5EE5" w:rsidRPr="00006710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The search terms were determined by the </w:t>
      </w:r>
      <w:r w:rsidR="002F5EE5" w:rsidRPr="00006710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#21</w:t>
      </w:r>
    </w:p>
    <w:p w:rsidR="002F5EE5" w:rsidRPr="00006710" w:rsidRDefault="00997982" w:rsidP="002F5EE5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997982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(</w:t>
      </w:r>
      <w: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2</w:t>
      </w:r>
      <w:r w:rsidRPr="00997982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)</w:t>
      </w:r>
      <w:r>
        <w:rPr>
          <w:rFonts w:ascii="宋体" w:eastAsia="宋体" w:hAnsi="宋体" w:cs="宋体" w:hint="eastAsia"/>
          <w:snapToGrid w:val="0"/>
          <w:color w:val="000000"/>
          <w:kern w:val="0"/>
          <w:sz w:val="20"/>
          <w:lang w:bidi="en-US"/>
        </w:rPr>
        <w:t xml:space="preserve"> </w:t>
      </w:r>
      <w: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T</w:t>
      </w:r>
      <w:r w:rsidR="002F5EE5" w:rsidRPr="00006710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he document type was “article”; </w:t>
      </w:r>
    </w:p>
    <w:p w:rsidR="00997982" w:rsidRDefault="00997982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997982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(</w:t>
      </w:r>
      <w: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3</w:t>
      </w:r>
      <w:r w:rsidRPr="00997982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)</w:t>
      </w:r>
      <w: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T</w:t>
      </w:r>
      <w:r w:rsidR="002F5EE5" w:rsidRPr="00006710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he publication period was between 2014 and 2024</w:t>
      </w:r>
      <w:r w:rsidR="002F5EE5" w:rsidRPr="00006710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.</w:t>
      </w:r>
    </w:p>
    <w:p w:rsidR="00006710" w:rsidRDefault="00997982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  <w:r w:rsidRPr="00997982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20"/>
          <w:lang w:eastAsia="de-DE" w:bidi="en-US"/>
        </w:rPr>
        <w:t>(</w:t>
      </w:r>
      <w: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4</w:t>
      </w:r>
      <w:r w:rsidRPr="00997982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>)</w:t>
      </w:r>
      <w: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 T</w:t>
      </w:r>
      <w:r w:rsidR="00006710" w:rsidRPr="00006710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  <w:t xml:space="preserve">he above information was collected: publication, authors, countries, institutions, journals, keywords, and citations. </w:t>
      </w:r>
    </w:p>
    <w:p w:rsidR="00B73EE5" w:rsidRDefault="00B73EE5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E12D78" w:rsidRPr="00006710" w:rsidRDefault="00E12D78" w:rsidP="00006710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</w:rPr>
      </w:pPr>
    </w:p>
    <w:p w:rsidR="00B73EE5" w:rsidRDefault="00D32078" w:rsidP="00B73EE5">
      <w:pPr>
        <w:widowControl/>
        <w:jc w:val="left"/>
        <w:rPr>
          <w:rFonts w:ascii="Times New Roman" w:hAnsi="Times New Roman" w:cs="Times New Roman"/>
          <w:sz w:val="24"/>
          <w:highlight w:val="yellow"/>
        </w:rPr>
      </w:pPr>
      <w:r w:rsidRPr="00B73EE5">
        <w:rPr>
          <w:rFonts w:ascii="Palatino Linotype" w:hAnsi="Palatino Linotype" w:cs="Times New Roman"/>
          <w:b/>
          <w:snapToGrid w:val="0"/>
          <w:color w:val="000000"/>
          <w:kern w:val="0"/>
          <w:sz w:val="20"/>
          <w:lang w:bidi="en-US"/>
        </w:rPr>
        <w:t>T</w:t>
      </w:r>
      <w:r w:rsidR="00B73EE5" w:rsidRPr="00B73EE5">
        <w:rPr>
          <w:rFonts w:ascii="Palatino Linotype" w:hAnsi="Palatino Linotype" w:cs="Times New Roman"/>
          <w:b/>
          <w:snapToGrid w:val="0"/>
          <w:color w:val="000000"/>
          <w:kern w:val="0"/>
          <w:sz w:val="20"/>
          <w:lang w:bidi="en-US"/>
        </w:rPr>
        <w:t>able</w:t>
      </w:r>
      <w:r w:rsidR="007424F7">
        <w:rPr>
          <w:rFonts w:ascii="Palatino Linotype" w:hAnsi="Palatino Linotype" w:cs="Times New Roman"/>
          <w:b/>
          <w:snapToGrid w:val="0"/>
          <w:color w:val="000000"/>
          <w:kern w:val="0"/>
          <w:sz w:val="20"/>
          <w:lang w:bidi="en-US"/>
        </w:rPr>
        <w:t xml:space="preserve"> </w:t>
      </w:r>
      <w:r>
        <w:rPr>
          <w:rFonts w:ascii="Palatino Linotype" w:hAnsi="Palatino Linotype" w:cs="Times New Roman" w:hint="eastAsia"/>
          <w:b/>
          <w:snapToGrid w:val="0"/>
          <w:color w:val="000000"/>
          <w:kern w:val="0"/>
          <w:sz w:val="20"/>
          <w:lang w:bidi="en-US"/>
        </w:rPr>
        <w:t>S</w:t>
      </w:r>
      <w:r w:rsidR="007424F7">
        <w:rPr>
          <w:rFonts w:ascii="Palatino Linotype" w:hAnsi="Palatino Linotype" w:cs="Times New Roman"/>
          <w:b/>
          <w:snapToGrid w:val="0"/>
          <w:color w:val="000000"/>
          <w:kern w:val="0"/>
          <w:sz w:val="20"/>
          <w:lang w:bidi="en-US"/>
        </w:rPr>
        <w:t>1</w:t>
      </w:r>
      <w:r w:rsidR="00B73EE5" w:rsidRPr="00B73EE5">
        <w:rPr>
          <w:rFonts w:ascii="Palatino Linotype" w:hAnsi="Palatino Linotype" w:cs="Times New Roman" w:hint="eastAsia"/>
          <w:b/>
          <w:snapToGrid w:val="0"/>
          <w:color w:val="000000"/>
          <w:kern w:val="0"/>
          <w:sz w:val="20"/>
          <w:lang w:bidi="en-US"/>
        </w:rPr>
        <w:t xml:space="preserve">. </w:t>
      </w:r>
      <w:r w:rsidR="00B73EE5" w:rsidRPr="00B73EE5">
        <w:rPr>
          <w:rFonts w:ascii="Palatino Linotype" w:hAnsi="Palatino Linotype" w:cs="Times New Roman"/>
          <w:b/>
          <w:snapToGrid w:val="0"/>
          <w:color w:val="000000"/>
          <w:kern w:val="0"/>
          <w:sz w:val="20"/>
          <w:lang w:bidi="en-US"/>
        </w:rPr>
        <w:t>Clusters of the top 100 Keywords</w:t>
      </w:r>
      <w:r w:rsidR="00B73EE5">
        <w:rPr>
          <w:rFonts w:ascii="Times New Roman" w:eastAsia="CharisSIL" w:hAnsi="Times New Roman" w:cs="Times New Roman"/>
          <w:b/>
          <w:bCs/>
          <w:color w:val="000000"/>
          <w:kern w:val="0"/>
          <w:sz w:val="24"/>
        </w:rPr>
        <w:t xml:space="preserve"> </w:t>
      </w:r>
    </w:p>
    <w:tbl>
      <w:tblPr>
        <w:tblW w:w="10012" w:type="dxa"/>
        <w:jc w:val="center"/>
        <w:tblLayout w:type="fixed"/>
        <w:tblLook w:val="04A0" w:firstRow="1" w:lastRow="0" w:firstColumn="1" w:lastColumn="0" w:noHBand="0" w:noVBand="1"/>
      </w:tblPr>
      <w:tblGrid>
        <w:gridCol w:w="905"/>
        <w:gridCol w:w="2279"/>
        <w:gridCol w:w="990"/>
        <w:gridCol w:w="791"/>
        <w:gridCol w:w="937"/>
        <w:gridCol w:w="1854"/>
        <w:gridCol w:w="973"/>
        <w:gridCol w:w="1283"/>
      </w:tblGrid>
      <w:tr w:rsidR="00B73EE5" w:rsidTr="007E7C32">
        <w:trPr>
          <w:trHeight w:val="283"/>
          <w:jc w:val="center"/>
        </w:trPr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  <w:tl2br w:val="nil"/>
            </w:tcBorders>
            <w:shd w:val="clear" w:color="auto" w:fill="FFFFFF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/>
                <w:bCs/>
              </w:rPr>
            </w:pPr>
            <w:r w:rsidRPr="00B73EE5">
              <w:rPr>
                <w:rFonts w:hint="eastAsia"/>
                <w:b/>
                <w:bCs/>
              </w:rPr>
              <w:t>Cluster</w:t>
            </w:r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/>
                <w:bCs/>
              </w:rPr>
            </w:pPr>
            <w:r w:rsidRPr="00B73EE5">
              <w:rPr>
                <w:rFonts w:hint="eastAsia"/>
                <w:b/>
                <w:bCs/>
              </w:rPr>
              <w:t>Keywords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/>
                <w:bCs/>
              </w:rPr>
            </w:pPr>
            <w:r w:rsidRPr="00B73EE5">
              <w:rPr>
                <w:rFonts w:hint="eastAsia"/>
                <w:b/>
                <w:bCs/>
              </w:rPr>
              <w:t>Counts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/>
                <w:bCs/>
              </w:rPr>
            </w:pPr>
            <w:r w:rsidRPr="00B73EE5">
              <w:rPr>
                <w:rFonts w:hint="eastAsia"/>
                <w:b/>
                <w:bCs/>
              </w:rPr>
              <w:t>Rank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/>
                <w:bCs/>
              </w:rPr>
            </w:pPr>
            <w:r w:rsidRPr="00B73EE5">
              <w:rPr>
                <w:rFonts w:hint="eastAsia"/>
                <w:b/>
                <w:bCs/>
              </w:rPr>
              <w:t>Cluster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/>
                <w:bCs/>
              </w:rPr>
            </w:pPr>
            <w:r w:rsidRPr="00B73EE5">
              <w:rPr>
                <w:rFonts w:hint="eastAsia"/>
                <w:b/>
                <w:bCs/>
              </w:rPr>
              <w:t>Keywords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/>
                <w:bCs/>
              </w:rPr>
            </w:pPr>
            <w:r w:rsidRPr="00B73EE5">
              <w:rPr>
                <w:rFonts w:hint="eastAsia"/>
                <w:b/>
                <w:bCs/>
              </w:rPr>
              <w:t>Counts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/>
                <w:bCs/>
              </w:rPr>
            </w:pPr>
            <w:r w:rsidRPr="00B73EE5">
              <w:rPr>
                <w:rFonts w:hint="eastAsia"/>
                <w:b/>
                <w:bCs/>
              </w:rPr>
              <w:t>Rank</w:t>
            </w:r>
          </w:p>
        </w:tc>
      </w:tr>
      <w:tr w:rsidR="00B73EE5" w:rsidTr="007E7C32">
        <w:trPr>
          <w:trHeight w:val="170"/>
          <w:jc w:val="center"/>
        </w:trPr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inflammatory bowel disease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3707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clinical remission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729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10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proofErr w:type="spellStart"/>
            <w:r w:rsidRPr="00B73EE5">
              <w:rPr>
                <w:rFonts w:hint="eastAsia"/>
                <w:bCs/>
              </w:rPr>
              <w:t>crohn</w:t>
            </w:r>
            <w:proofErr w:type="spellEnd"/>
            <w:r w:rsidRPr="00B73EE5">
              <w:rPr>
                <w:rFonts w:hint="eastAsia"/>
                <w:bCs/>
              </w:rPr>
              <w:t xml:space="preserve"> disease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3205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risk factors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611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13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ulcerative colitis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2267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safety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14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rheumatoid arthritis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437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anti-drug antibodies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473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15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psoriasis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131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pharmacokinetics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20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ankylosing spondylitis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93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fecal calprotectin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24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cancer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89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clinical-response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223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25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arthritis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therapeutic drug monitoring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221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26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colorectal neoplasia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dose escalation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206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27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tuberculosis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serum drug level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187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29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severe ulcerative-colitis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trough level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186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30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 xml:space="preserve">severe </w:t>
            </w:r>
            <w:proofErr w:type="spellStart"/>
            <w:r w:rsidRPr="00B73EE5">
              <w:rPr>
                <w:rFonts w:hint="eastAsia"/>
                <w:bCs/>
              </w:rPr>
              <w:t>crohns</w:t>
            </w:r>
            <w:proofErr w:type="spellEnd"/>
            <w:r w:rsidRPr="00B73EE5">
              <w:rPr>
                <w:rFonts w:hint="eastAsia"/>
                <w:bCs/>
              </w:rPr>
              <w:t>-disease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c-reactive protein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166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36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psoriatic arthritis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drug monitoring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64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corticosteroids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loss of response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66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covid-19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adverse events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79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active rheumatoid-arthritis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pharmacodynamics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88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perianal fistula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91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anti-</w:t>
            </w:r>
            <w:proofErr w:type="spellStart"/>
            <w:r w:rsidRPr="00B73EE5">
              <w:rPr>
                <w:rFonts w:hint="eastAsia"/>
                <w:bCs/>
              </w:rPr>
              <w:t>tnf</w:t>
            </w:r>
            <w:proofErr w:type="spellEnd"/>
            <w:r w:rsidRPr="00B73EE5">
              <w:rPr>
                <w:rFonts w:hint="eastAsia"/>
                <w:bCs/>
              </w:rPr>
              <w:t>α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1262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lymphoma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96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immunogenicity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173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34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infliximab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3305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biomarker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164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37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adalimumab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1077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cytokine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45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biologics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725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immunosuppression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99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49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vedolizumab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637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t-cells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54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proofErr w:type="spellStart"/>
            <w:r w:rsidRPr="00B73EE5">
              <w:rPr>
                <w:rFonts w:hint="eastAsia"/>
                <w:bCs/>
              </w:rPr>
              <w:t>ustekinumab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465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integrin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71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azathioprine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453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gene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72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tofacitinib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256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immune response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77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monoclonal antibody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190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il-23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92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proofErr w:type="spellStart"/>
            <w:r w:rsidRPr="00B73EE5">
              <w:rPr>
                <w:rFonts w:hint="eastAsia"/>
                <w:bCs/>
              </w:rPr>
              <w:t>janus</w:t>
            </w:r>
            <w:proofErr w:type="spellEnd"/>
            <w:r w:rsidRPr="00B73EE5">
              <w:rPr>
                <w:rFonts w:hint="eastAsia"/>
                <w:bCs/>
              </w:rPr>
              <w:t xml:space="preserve"> kinase inhibitor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144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genome-wide association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97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certolizumab pegol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142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proofErr w:type="spellStart"/>
            <w:r w:rsidRPr="00B73EE5">
              <w:rPr>
                <w:rFonts w:hint="eastAsia"/>
                <w:bCs/>
              </w:rPr>
              <w:t>nf</w:t>
            </w:r>
            <w:proofErr w:type="spellEnd"/>
            <w:r w:rsidRPr="00B73EE5">
              <w:rPr>
                <w:rFonts w:hint="eastAsia"/>
                <w:bCs/>
              </w:rPr>
              <w:t>-kappa-b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100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immunotherapy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138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maintenance therapy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1744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complications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135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induction therapy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1249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ct-p13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126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children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369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19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cyclosporine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combination therapy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325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21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methotrexate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infection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182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32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golimumab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98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recurrence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35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etanercept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gut microbiota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111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46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natalizumab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rescue therapy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104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48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proofErr w:type="spellStart"/>
            <w:r w:rsidRPr="00B73EE5">
              <w:rPr>
                <w:rFonts w:hint="eastAsia"/>
                <w:bCs/>
              </w:rPr>
              <w:t>upadacitinib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extraintestinal manifestations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55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6-mercaptopurine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84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pregnancy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58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lastRenderedPageBreak/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5-aminosalicylic acid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86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opportunistic infections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62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mesalamine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98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mortality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65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surgery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298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22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switch therapy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73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endoscopy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182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apoptosis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76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colectomy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180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women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82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postoperative complications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89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monotherapy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83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resection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adults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85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postoperative recurrence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59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intestinal inflammation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89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restorative proctocolectomy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81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vaccination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90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pouch-anal anastomosis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87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susceptibility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93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anal anastomosis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99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deep remission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94</w:t>
            </w:r>
          </w:p>
        </w:tc>
      </w:tr>
      <w:tr w:rsidR="00B73EE5" w:rsidTr="007E7C32">
        <w:trPr>
          <w:trHeight w:val="266"/>
          <w:jc w:val="center"/>
        </w:trPr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efficacy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936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adolescents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39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73EE5" w:rsidRPr="00B73EE5" w:rsidRDefault="00B73EE5" w:rsidP="00B73EE5">
            <w:pPr>
              <w:pStyle w:val="MDPI42tablebody"/>
              <w:rPr>
                <w:bCs/>
              </w:rPr>
            </w:pPr>
            <w:r w:rsidRPr="00B73EE5">
              <w:rPr>
                <w:rFonts w:hint="eastAsia"/>
                <w:bCs/>
              </w:rPr>
              <w:t>95</w:t>
            </w:r>
          </w:p>
        </w:tc>
      </w:tr>
    </w:tbl>
    <w:p w:rsidR="00B73EE5" w:rsidRDefault="00B73EE5" w:rsidP="00B73EE5">
      <w:pPr>
        <w:tabs>
          <w:tab w:val="left" w:pos="1493"/>
        </w:tabs>
        <w:jc w:val="left"/>
      </w:pPr>
    </w:p>
    <w:p w:rsidR="00B73EE5" w:rsidRDefault="00B73EE5" w:rsidP="00B73EE5"/>
    <w:p w:rsidR="004C278D" w:rsidRPr="00DC4201" w:rsidRDefault="004C278D" w:rsidP="002C44FF">
      <w:pPr>
        <w:adjustRightInd w:val="0"/>
        <w:snapToGrid w:val="0"/>
        <w:spacing w:after="60" w:line="228" w:lineRule="auto"/>
        <w:jc w:val="left"/>
        <w:rPr>
          <w:rFonts w:ascii="Palatino Linotype" w:hAnsi="Palatino Linotype" w:cs="Times New Roman"/>
          <w:b/>
          <w:snapToGrid w:val="0"/>
          <w:color w:val="000000"/>
          <w:kern w:val="0"/>
          <w:sz w:val="20"/>
          <w:lang w:bidi="en-US"/>
        </w:rPr>
      </w:pPr>
    </w:p>
    <w:p w:rsidR="002F5EE5" w:rsidRPr="00997982" w:rsidRDefault="002F5EE5" w:rsidP="002F5EE5">
      <w:pPr>
        <w:rPr>
          <w:rFonts w:ascii="Times New Roman" w:hAnsi="Times New Roman" w:cs="Times New Roman"/>
          <w:sz w:val="24"/>
        </w:rPr>
      </w:pPr>
    </w:p>
    <w:p w:rsidR="00474FA2" w:rsidRPr="002F5EE5" w:rsidRDefault="00474FA2" w:rsidP="00474FA2"/>
    <w:sectPr w:rsidR="00474FA2" w:rsidRPr="002F5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62C" w:rsidRDefault="0006662C" w:rsidP="00474FA2">
      <w:r>
        <w:separator/>
      </w:r>
    </w:p>
  </w:endnote>
  <w:endnote w:type="continuationSeparator" w:id="0">
    <w:p w:rsidR="0006662C" w:rsidRDefault="0006662C" w:rsidP="0047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harisSIL">
    <w:altName w:val="Times New Roman"/>
    <w:panose1 w:val="020B0604020202020204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62C" w:rsidRDefault="0006662C" w:rsidP="00474FA2">
      <w:r>
        <w:separator/>
      </w:r>
    </w:p>
  </w:footnote>
  <w:footnote w:type="continuationSeparator" w:id="0">
    <w:p w:rsidR="0006662C" w:rsidRDefault="0006662C" w:rsidP="00474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871C22"/>
    <w:multiLevelType w:val="multilevel"/>
    <w:tmpl w:val="CC871C22"/>
    <w:lvl w:ilvl="0">
      <w:start w:val="1"/>
      <w:numFmt w:val="decimal"/>
      <w:suff w:val="space"/>
      <w:lvlText w:val="(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02440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8F"/>
    <w:rsid w:val="00006710"/>
    <w:rsid w:val="0006662C"/>
    <w:rsid w:val="000918DB"/>
    <w:rsid w:val="002C44FF"/>
    <w:rsid w:val="002F5EE5"/>
    <w:rsid w:val="00441D0D"/>
    <w:rsid w:val="00474FA2"/>
    <w:rsid w:val="004750DE"/>
    <w:rsid w:val="004A32A9"/>
    <w:rsid w:val="004C278D"/>
    <w:rsid w:val="007424F7"/>
    <w:rsid w:val="007F1694"/>
    <w:rsid w:val="00831654"/>
    <w:rsid w:val="00997982"/>
    <w:rsid w:val="00A70A26"/>
    <w:rsid w:val="00B21ED4"/>
    <w:rsid w:val="00B73EE5"/>
    <w:rsid w:val="00C422D5"/>
    <w:rsid w:val="00CA49A8"/>
    <w:rsid w:val="00D32078"/>
    <w:rsid w:val="00DC4201"/>
    <w:rsid w:val="00E12D78"/>
    <w:rsid w:val="00F42B8F"/>
    <w:rsid w:val="00F50D50"/>
    <w:rsid w:val="00F7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2C84AC"/>
  <w15:chartTrackingRefBased/>
  <w15:docId w15:val="{3E63C40D-9106-461A-AC36-7846775F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4F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4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4FA2"/>
    <w:rPr>
      <w:sz w:val="18"/>
      <w:szCs w:val="18"/>
    </w:rPr>
  </w:style>
  <w:style w:type="paragraph" w:styleId="a7">
    <w:name w:val="List Paragraph"/>
    <w:basedOn w:val="a"/>
    <w:uiPriority w:val="34"/>
    <w:qFormat/>
    <w:rsid w:val="002F5EE5"/>
    <w:pPr>
      <w:ind w:firstLineChars="200" w:firstLine="420"/>
    </w:pPr>
  </w:style>
  <w:style w:type="paragraph" w:customStyle="1" w:styleId="MDPI42tablebody">
    <w:name w:val="MDPI_4.2_table_body"/>
    <w:qFormat/>
    <w:rsid w:val="00B73EE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2347</Words>
  <Characters>13382</Characters>
  <Application>Microsoft Office Word</Application>
  <DocSecurity>0</DocSecurity>
  <Lines>111</Lines>
  <Paragraphs>31</Paragraphs>
  <ScaleCrop>false</ScaleCrop>
  <Company/>
  <LinksUpToDate>false</LinksUpToDate>
  <CharactersWithSpaces>15698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Huibo LI</cp:lastModifiedBy>
  <cp:revision>23</cp:revision>
  <dcterms:created xsi:type="dcterms:W3CDTF">2025-01-05T08:38:00Z</dcterms:created>
  <dcterms:modified xsi:type="dcterms:W3CDTF">2025-01-14T16:38:00Z</dcterms:modified>
</cp:coreProperties>
</file>