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A42EE" w14:textId="1E34AB30" w:rsidR="004F2309" w:rsidRDefault="001C34BE" w:rsidP="001C34BE">
      <w:pPr>
        <w:pBdr>
          <w:top w:val="nil"/>
          <w:left w:val="nil"/>
          <w:bottom w:val="nil"/>
          <w:right w:val="nil"/>
          <w:between w:val="nil"/>
        </w:pBdr>
        <w:spacing w:after="240"/>
        <w:jc w:val="left"/>
      </w:pPr>
      <w:r>
        <w:rPr>
          <w:b/>
          <w:sz w:val="36"/>
          <w:szCs w:val="36"/>
        </w:rPr>
        <w:t>From house to farm: LCA of sewage sludge as a circular fertiliser in three European regions</w:t>
      </w:r>
    </w:p>
    <w:p w14:paraId="1F16990D" w14:textId="77777777" w:rsidR="004F2309" w:rsidRPr="007A2BBB" w:rsidRDefault="00000000">
      <w:pPr>
        <w:pBdr>
          <w:top w:val="nil"/>
          <w:left w:val="nil"/>
          <w:bottom w:val="nil"/>
          <w:right w:val="nil"/>
          <w:between w:val="nil"/>
        </w:pBdr>
        <w:spacing w:before="240" w:after="60" w:line="228" w:lineRule="auto"/>
        <w:ind w:left="2608"/>
        <w:jc w:val="left"/>
        <w:rPr>
          <w:b/>
          <w:sz w:val="24"/>
          <w:szCs w:val="24"/>
        </w:rPr>
      </w:pPr>
      <w:r w:rsidRPr="007A2BBB">
        <w:rPr>
          <w:b/>
          <w:sz w:val="24"/>
          <w:szCs w:val="24"/>
        </w:rPr>
        <w:t>SUPPLEMENTARY MATERIAL</w:t>
      </w:r>
    </w:p>
    <w:p w14:paraId="40FA537A" w14:textId="77777777" w:rsidR="004F2309" w:rsidRPr="007A2BBB" w:rsidRDefault="00000000">
      <w:pPr>
        <w:pBdr>
          <w:top w:val="nil"/>
          <w:left w:val="nil"/>
          <w:bottom w:val="nil"/>
          <w:right w:val="nil"/>
          <w:between w:val="nil"/>
        </w:pBdr>
        <w:spacing w:before="240" w:after="60" w:line="228" w:lineRule="auto"/>
        <w:ind w:left="2608"/>
        <w:jc w:val="left"/>
        <w:rPr>
          <w:b/>
          <w:sz w:val="24"/>
          <w:szCs w:val="24"/>
        </w:rPr>
      </w:pPr>
      <w:r w:rsidRPr="007A2BBB">
        <w:rPr>
          <w:b/>
          <w:sz w:val="24"/>
          <w:szCs w:val="24"/>
        </w:rPr>
        <w:t>1. Stabilisation process mix</w:t>
      </w:r>
    </w:p>
    <w:p w14:paraId="5E613B4C" w14:textId="77777777" w:rsidR="004F2309" w:rsidRDefault="00000000">
      <w:pPr>
        <w:pBdr>
          <w:top w:val="nil"/>
          <w:left w:val="nil"/>
          <w:bottom w:val="nil"/>
          <w:right w:val="nil"/>
          <w:between w:val="nil"/>
        </w:pBdr>
        <w:spacing w:before="240" w:after="60" w:line="228" w:lineRule="auto"/>
        <w:ind w:left="2608"/>
        <w:jc w:val="left"/>
        <w:rPr>
          <w:i/>
        </w:rPr>
      </w:pPr>
      <w:r>
        <w:rPr>
          <w:i/>
        </w:rPr>
        <w:t>1.2. Central region</w:t>
      </w:r>
    </w:p>
    <w:p w14:paraId="532CB37E" w14:textId="77777777" w:rsidR="004F2309" w:rsidRDefault="00000000">
      <w:pPr>
        <w:pBdr>
          <w:top w:val="nil"/>
          <w:left w:val="nil"/>
          <w:bottom w:val="nil"/>
          <w:right w:val="nil"/>
          <w:between w:val="nil"/>
        </w:pBdr>
        <w:spacing w:before="240" w:after="60" w:line="228" w:lineRule="auto"/>
        <w:ind w:left="2608" w:firstLine="271"/>
      </w:pPr>
      <w:r>
        <w:t xml:space="preserve">There are different types of stabilisation methods. Information on the uptake of the different methods was gathered, when available, for the EU-27 countries </w:t>
      </w:r>
      <w:r w:rsidR="00E86D38">
        <w:t>[1]</w:t>
      </w:r>
      <w:r>
        <w:t xml:space="preserve">. </w:t>
      </w:r>
    </w:p>
    <w:p w14:paraId="00215225" w14:textId="1F8BD076" w:rsidR="004F2309" w:rsidRDefault="00000000" w:rsidP="007A2BBB">
      <w:pPr>
        <w:pBdr>
          <w:top w:val="nil"/>
          <w:left w:val="nil"/>
          <w:bottom w:val="nil"/>
          <w:right w:val="nil"/>
          <w:between w:val="nil"/>
        </w:pBdr>
        <w:spacing w:before="240" w:after="60" w:line="228" w:lineRule="auto"/>
        <w:ind w:left="2608" w:firstLine="271"/>
      </w:pPr>
      <w:r>
        <w:t xml:space="preserve">For the central region it was possible to obtain information for some of the stabilisation methods for some countries from literature </w:t>
      </w:r>
      <w:r w:rsidR="00E86D38">
        <w:t>[1-3]</w:t>
      </w:r>
      <w:r>
        <w:t>. Regarding composting, in most Member State’s reports, it is reported as a sludge disposal method not as a stabilisation method. However, for the purpose of this study these statistics were used. Table S1 details the information found by countries. No information was found for Belgium, Rumania, and the Netherlands.</w:t>
      </w:r>
    </w:p>
    <w:p w14:paraId="19590A91" w14:textId="77777777" w:rsidR="00E86D38" w:rsidRDefault="00E86D38" w:rsidP="00E86D38">
      <w:pPr>
        <w:spacing w:line="228" w:lineRule="auto"/>
        <w:jc w:val="left"/>
        <w:rPr>
          <w:rFonts w:ascii="Arial" w:eastAsia="Arial" w:hAnsi="Arial" w:cs="Arial"/>
          <w:sz w:val="24"/>
          <w:szCs w:val="24"/>
        </w:rPr>
      </w:pPr>
    </w:p>
    <w:p w14:paraId="07F72E34" w14:textId="77777777" w:rsidR="004F2309" w:rsidRDefault="00000000" w:rsidP="00E86D38">
      <w:pPr>
        <w:spacing w:line="228" w:lineRule="auto"/>
        <w:ind w:left="1888" w:firstLine="720"/>
        <w:jc w:val="left"/>
      </w:pPr>
      <w:r>
        <w:rPr>
          <w:b/>
        </w:rPr>
        <w:t>Table S1.</w:t>
      </w:r>
      <w:r>
        <w:t xml:space="preserve"> Stabilisation method distribution for the central region for sludge </w:t>
      </w:r>
    </w:p>
    <w:tbl>
      <w:tblPr>
        <w:tblStyle w:val="a0"/>
        <w:tblW w:w="7445" w:type="dxa"/>
        <w:tblInd w:w="2718" w:type="dxa"/>
        <w:tblLayout w:type="fixed"/>
        <w:tblLook w:val="0600" w:firstRow="0" w:lastRow="0" w:firstColumn="0" w:lastColumn="0" w:noHBand="1" w:noVBand="1"/>
      </w:tblPr>
      <w:tblGrid>
        <w:gridCol w:w="1175"/>
        <w:gridCol w:w="1305"/>
        <w:gridCol w:w="1215"/>
        <w:gridCol w:w="1260"/>
        <w:gridCol w:w="1305"/>
        <w:gridCol w:w="1185"/>
      </w:tblGrid>
      <w:tr w:rsidR="004F2309" w14:paraId="14A998EA" w14:textId="77777777" w:rsidTr="00340395">
        <w:trPr>
          <w:trHeight w:val="800"/>
        </w:trPr>
        <w:tc>
          <w:tcPr>
            <w:tcW w:w="1175" w:type="dxa"/>
            <w:tcBorders>
              <w:top w:val="single" w:sz="12" w:space="0" w:color="000000"/>
              <w:left w:val="nil"/>
              <w:bottom w:val="single" w:sz="6" w:space="0" w:color="000000"/>
              <w:right w:val="nil"/>
            </w:tcBorders>
            <w:shd w:val="clear" w:color="auto" w:fill="auto"/>
            <w:tcMar>
              <w:top w:w="0" w:type="dxa"/>
              <w:left w:w="0" w:type="dxa"/>
              <w:bottom w:w="0" w:type="dxa"/>
              <w:right w:w="0" w:type="dxa"/>
            </w:tcMar>
            <w:vAlign w:val="center"/>
          </w:tcPr>
          <w:p w14:paraId="30B43459" w14:textId="77777777" w:rsidR="004F2309" w:rsidRDefault="004F2309" w:rsidP="00340395">
            <w:pPr>
              <w:spacing w:before="40" w:after="40" w:line="228" w:lineRule="auto"/>
              <w:ind w:right="-20"/>
              <w:jc w:val="center"/>
            </w:pPr>
          </w:p>
        </w:tc>
        <w:tc>
          <w:tcPr>
            <w:tcW w:w="1305" w:type="dxa"/>
            <w:tcBorders>
              <w:top w:val="single" w:sz="12" w:space="0" w:color="000000"/>
              <w:left w:val="nil"/>
              <w:bottom w:val="single" w:sz="6" w:space="0" w:color="000000"/>
              <w:right w:val="nil"/>
            </w:tcBorders>
            <w:shd w:val="clear" w:color="auto" w:fill="auto"/>
            <w:tcMar>
              <w:top w:w="0" w:type="dxa"/>
              <w:left w:w="0" w:type="dxa"/>
              <w:bottom w:w="0" w:type="dxa"/>
              <w:right w:w="0" w:type="dxa"/>
            </w:tcMar>
            <w:vAlign w:val="center"/>
          </w:tcPr>
          <w:p w14:paraId="0C4913DB" w14:textId="77777777" w:rsidR="004F2309" w:rsidRDefault="00000000" w:rsidP="00340395">
            <w:pPr>
              <w:spacing w:before="40" w:after="40" w:line="228" w:lineRule="auto"/>
              <w:ind w:left="-20" w:right="-20"/>
              <w:jc w:val="center"/>
              <w:rPr>
                <w:b/>
              </w:rPr>
            </w:pPr>
            <w:r>
              <w:rPr>
                <w:b/>
              </w:rPr>
              <w:t>Anaerobic digestion</w:t>
            </w:r>
          </w:p>
        </w:tc>
        <w:tc>
          <w:tcPr>
            <w:tcW w:w="1215" w:type="dxa"/>
            <w:tcBorders>
              <w:top w:val="single" w:sz="12" w:space="0" w:color="000000"/>
              <w:left w:val="nil"/>
              <w:bottom w:val="single" w:sz="6" w:space="0" w:color="000000"/>
              <w:right w:val="nil"/>
            </w:tcBorders>
            <w:shd w:val="clear" w:color="auto" w:fill="auto"/>
            <w:tcMar>
              <w:top w:w="0" w:type="dxa"/>
              <w:left w:w="0" w:type="dxa"/>
              <w:bottom w:w="0" w:type="dxa"/>
              <w:right w:w="0" w:type="dxa"/>
            </w:tcMar>
            <w:vAlign w:val="center"/>
          </w:tcPr>
          <w:p w14:paraId="6A8B7639" w14:textId="77777777" w:rsidR="004F2309" w:rsidRDefault="00000000" w:rsidP="00340395">
            <w:pPr>
              <w:spacing w:before="40" w:after="40" w:line="228" w:lineRule="auto"/>
              <w:ind w:left="-20" w:right="-20"/>
              <w:jc w:val="center"/>
              <w:rPr>
                <w:b/>
              </w:rPr>
            </w:pPr>
            <w:r>
              <w:rPr>
                <w:b/>
              </w:rPr>
              <w:t>Thermal drying</w:t>
            </w:r>
          </w:p>
        </w:tc>
        <w:tc>
          <w:tcPr>
            <w:tcW w:w="1260" w:type="dxa"/>
            <w:tcBorders>
              <w:top w:val="single" w:sz="12" w:space="0" w:color="000000"/>
              <w:left w:val="nil"/>
              <w:bottom w:val="single" w:sz="6" w:space="0" w:color="000000"/>
              <w:right w:val="nil"/>
            </w:tcBorders>
            <w:shd w:val="clear" w:color="auto" w:fill="auto"/>
            <w:tcMar>
              <w:top w:w="0" w:type="dxa"/>
              <w:left w:w="0" w:type="dxa"/>
              <w:bottom w:w="0" w:type="dxa"/>
              <w:right w:w="0" w:type="dxa"/>
            </w:tcMar>
            <w:vAlign w:val="center"/>
          </w:tcPr>
          <w:p w14:paraId="0343555B" w14:textId="77777777" w:rsidR="004F2309" w:rsidRDefault="00000000" w:rsidP="00340395">
            <w:pPr>
              <w:spacing w:before="40" w:after="40" w:line="228" w:lineRule="auto"/>
              <w:ind w:left="-20" w:right="-20"/>
              <w:jc w:val="center"/>
              <w:rPr>
                <w:b/>
              </w:rPr>
            </w:pPr>
            <w:r>
              <w:rPr>
                <w:b/>
              </w:rPr>
              <w:t>Aerobic digestion</w:t>
            </w:r>
          </w:p>
          <w:p w14:paraId="492E4612" w14:textId="77777777" w:rsidR="004F2309" w:rsidRDefault="004F2309" w:rsidP="00340395">
            <w:pPr>
              <w:spacing w:before="40" w:after="40" w:line="228" w:lineRule="auto"/>
              <w:ind w:left="-20" w:right="-20"/>
              <w:jc w:val="center"/>
              <w:rPr>
                <w:b/>
              </w:rPr>
            </w:pPr>
          </w:p>
        </w:tc>
        <w:tc>
          <w:tcPr>
            <w:tcW w:w="1305" w:type="dxa"/>
            <w:tcBorders>
              <w:top w:val="single" w:sz="12" w:space="0" w:color="000000"/>
              <w:left w:val="nil"/>
              <w:bottom w:val="single" w:sz="6" w:space="0" w:color="000000"/>
              <w:right w:val="nil"/>
            </w:tcBorders>
            <w:shd w:val="clear" w:color="auto" w:fill="auto"/>
            <w:tcMar>
              <w:top w:w="0" w:type="dxa"/>
              <w:left w:w="0" w:type="dxa"/>
              <w:bottom w:w="0" w:type="dxa"/>
              <w:right w:w="0" w:type="dxa"/>
            </w:tcMar>
            <w:vAlign w:val="center"/>
          </w:tcPr>
          <w:p w14:paraId="0F42FB5C" w14:textId="77777777" w:rsidR="004F2309" w:rsidRDefault="00000000" w:rsidP="00340395">
            <w:pPr>
              <w:spacing w:before="40" w:after="40" w:line="228" w:lineRule="auto"/>
              <w:ind w:left="-20" w:right="-20"/>
              <w:jc w:val="center"/>
              <w:rPr>
                <w:b/>
              </w:rPr>
            </w:pPr>
            <w:r>
              <w:rPr>
                <w:b/>
              </w:rPr>
              <w:t>Chemical treatment</w:t>
            </w:r>
          </w:p>
        </w:tc>
        <w:tc>
          <w:tcPr>
            <w:tcW w:w="1185" w:type="dxa"/>
            <w:tcBorders>
              <w:top w:val="single" w:sz="12" w:space="0" w:color="000000"/>
              <w:left w:val="nil"/>
              <w:bottom w:val="single" w:sz="6" w:space="0" w:color="000000"/>
              <w:right w:val="nil"/>
            </w:tcBorders>
            <w:shd w:val="clear" w:color="auto" w:fill="auto"/>
            <w:tcMar>
              <w:top w:w="0" w:type="dxa"/>
              <w:left w:w="0" w:type="dxa"/>
              <w:bottom w:w="0" w:type="dxa"/>
              <w:right w:w="0" w:type="dxa"/>
            </w:tcMar>
            <w:vAlign w:val="center"/>
          </w:tcPr>
          <w:p w14:paraId="17B1A23C" w14:textId="77777777" w:rsidR="004F2309" w:rsidRDefault="00000000" w:rsidP="00340395">
            <w:pPr>
              <w:spacing w:before="40" w:after="40" w:line="228" w:lineRule="auto"/>
              <w:ind w:left="-20" w:right="-20"/>
              <w:jc w:val="center"/>
              <w:rPr>
                <w:b/>
              </w:rPr>
            </w:pPr>
            <w:r>
              <w:rPr>
                <w:b/>
              </w:rPr>
              <w:t>Composting</w:t>
            </w:r>
          </w:p>
        </w:tc>
      </w:tr>
      <w:tr w:rsidR="004F2309" w14:paraId="13F82428" w14:textId="77777777" w:rsidTr="00340395">
        <w:trPr>
          <w:trHeight w:val="450"/>
        </w:trPr>
        <w:tc>
          <w:tcPr>
            <w:tcW w:w="1175" w:type="dxa"/>
            <w:tcBorders>
              <w:top w:val="single" w:sz="6" w:space="0" w:color="000000"/>
              <w:left w:val="nil"/>
              <w:bottom w:val="single" w:sz="6" w:space="0" w:color="000000"/>
              <w:right w:val="nil"/>
            </w:tcBorders>
            <w:shd w:val="clear" w:color="auto" w:fill="auto"/>
            <w:tcMar>
              <w:top w:w="0" w:type="dxa"/>
              <w:left w:w="0" w:type="dxa"/>
              <w:bottom w:w="0" w:type="dxa"/>
              <w:right w:w="0" w:type="dxa"/>
            </w:tcMar>
            <w:vAlign w:val="center"/>
          </w:tcPr>
          <w:p w14:paraId="495BF690" w14:textId="77777777" w:rsidR="004F2309" w:rsidRDefault="00000000" w:rsidP="00340395">
            <w:pPr>
              <w:spacing w:before="40" w:after="40" w:line="228" w:lineRule="auto"/>
              <w:ind w:left="-20" w:right="-20"/>
              <w:jc w:val="center"/>
            </w:pPr>
            <w:r>
              <w:t>Bulgaria</w:t>
            </w:r>
          </w:p>
        </w:tc>
        <w:tc>
          <w:tcPr>
            <w:tcW w:w="1305" w:type="dxa"/>
            <w:tcBorders>
              <w:top w:val="single" w:sz="6" w:space="0" w:color="000000"/>
              <w:left w:val="nil"/>
              <w:bottom w:val="single" w:sz="6" w:space="0" w:color="000000"/>
              <w:right w:val="nil"/>
            </w:tcBorders>
            <w:shd w:val="clear" w:color="auto" w:fill="auto"/>
            <w:tcMar>
              <w:top w:w="0" w:type="dxa"/>
              <w:left w:w="0" w:type="dxa"/>
              <w:bottom w:w="0" w:type="dxa"/>
              <w:right w:w="0" w:type="dxa"/>
            </w:tcMar>
            <w:vAlign w:val="center"/>
          </w:tcPr>
          <w:p w14:paraId="680EDCEF" w14:textId="77777777" w:rsidR="004F2309" w:rsidRDefault="00000000" w:rsidP="00340395">
            <w:pPr>
              <w:spacing w:before="40" w:after="40" w:line="228" w:lineRule="auto"/>
              <w:ind w:left="-20" w:right="-20"/>
              <w:jc w:val="center"/>
            </w:pPr>
            <w:r>
              <w:t>nda</w:t>
            </w:r>
            <w:r>
              <w:rPr>
                <w:vertAlign w:val="superscript"/>
              </w:rPr>
              <w:t>5</w:t>
            </w:r>
          </w:p>
        </w:tc>
        <w:tc>
          <w:tcPr>
            <w:tcW w:w="1215" w:type="dxa"/>
            <w:tcBorders>
              <w:top w:val="single" w:sz="6" w:space="0" w:color="000000"/>
              <w:left w:val="nil"/>
              <w:bottom w:val="single" w:sz="6" w:space="0" w:color="000000"/>
              <w:right w:val="nil"/>
            </w:tcBorders>
            <w:shd w:val="clear" w:color="auto" w:fill="auto"/>
            <w:tcMar>
              <w:top w:w="0" w:type="dxa"/>
              <w:left w:w="0" w:type="dxa"/>
              <w:bottom w:w="0" w:type="dxa"/>
              <w:right w:w="0" w:type="dxa"/>
            </w:tcMar>
            <w:vAlign w:val="center"/>
          </w:tcPr>
          <w:p w14:paraId="1D3EA8E0" w14:textId="77777777" w:rsidR="004F2309" w:rsidRDefault="00000000" w:rsidP="00340395">
            <w:pPr>
              <w:spacing w:before="40" w:after="40" w:line="228" w:lineRule="auto"/>
              <w:ind w:left="-20" w:right="-20"/>
              <w:jc w:val="center"/>
            </w:pPr>
            <w:r>
              <w:t>nda</w:t>
            </w:r>
            <w:r>
              <w:rPr>
                <w:vertAlign w:val="superscript"/>
              </w:rPr>
              <w:t>1</w:t>
            </w:r>
          </w:p>
        </w:tc>
        <w:tc>
          <w:tcPr>
            <w:tcW w:w="1260" w:type="dxa"/>
            <w:tcBorders>
              <w:top w:val="single" w:sz="6" w:space="0" w:color="000000"/>
              <w:left w:val="nil"/>
              <w:bottom w:val="single" w:sz="6" w:space="0" w:color="000000"/>
              <w:right w:val="nil"/>
            </w:tcBorders>
            <w:shd w:val="clear" w:color="auto" w:fill="auto"/>
            <w:tcMar>
              <w:top w:w="0" w:type="dxa"/>
              <w:left w:w="0" w:type="dxa"/>
              <w:bottom w:w="0" w:type="dxa"/>
              <w:right w:w="0" w:type="dxa"/>
            </w:tcMar>
            <w:vAlign w:val="center"/>
          </w:tcPr>
          <w:p w14:paraId="07E14A02" w14:textId="77777777" w:rsidR="004F2309" w:rsidRDefault="00000000" w:rsidP="00340395">
            <w:pPr>
              <w:spacing w:before="40" w:after="40" w:line="228" w:lineRule="auto"/>
              <w:ind w:left="-20" w:right="-20"/>
              <w:jc w:val="center"/>
            </w:pPr>
            <w:r>
              <w:t>nda1</w:t>
            </w:r>
          </w:p>
        </w:tc>
        <w:tc>
          <w:tcPr>
            <w:tcW w:w="1305" w:type="dxa"/>
            <w:tcBorders>
              <w:top w:val="single" w:sz="6" w:space="0" w:color="000000"/>
              <w:left w:val="nil"/>
              <w:bottom w:val="single" w:sz="6" w:space="0" w:color="000000"/>
              <w:right w:val="nil"/>
            </w:tcBorders>
            <w:shd w:val="clear" w:color="auto" w:fill="auto"/>
            <w:tcMar>
              <w:top w:w="0" w:type="dxa"/>
              <w:left w:w="0" w:type="dxa"/>
              <w:bottom w:w="0" w:type="dxa"/>
              <w:right w:w="0" w:type="dxa"/>
            </w:tcMar>
            <w:vAlign w:val="center"/>
          </w:tcPr>
          <w:p w14:paraId="68E0DDC8" w14:textId="77777777" w:rsidR="004F2309" w:rsidRDefault="00000000" w:rsidP="00340395">
            <w:pPr>
              <w:spacing w:before="40" w:after="40" w:line="228" w:lineRule="auto"/>
              <w:ind w:left="-20" w:right="-20"/>
              <w:jc w:val="center"/>
            </w:pPr>
            <w:r>
              <w:t>nda1</w:t>
            </w:r>
          </w:p>
        </w:tc>
        <w:tc>
          <w:tcPr>
            <w:tcW w:w="1185" w:type="dxa"/>
            <w:tcBorders>
              <w:top w:val="single" w:sz="6" w:space="0" w:color="000000"/>
              <w:left w:val="nil"/>
              <w:bottom w:val="single" w:sz="6" w:space="0" w:color="000000"/>
              <w:right w:val="nil"/>
            </w:tcBorders>
            <w:shd w:val="clear" w:color="auto" w:fill="auto"/>
            <w:tcMar>
              <w:top w:w="0" w:type="dxa"/>
              <w:left w:w="0" w:type="dxa"/>
              <w:bottom w:w="0" w:type="dxa"/>
              <w:right w:w="0" w:type="dxa"/>
            </w:tcMar>
            <w:vAlign w:val="center"/>
          </w:tcPr>
          <w:p w14:paraId="15A91E32" w14:textId="77777777" w:rsidR="004F2309" w:rsidRDefault="00000000" w:rsidP="00340395">
            <w:pPr>
              <w:spacing w:before="40" w:after="40" w:line="228" w:lineRule="auto"/>
              <w:ind w:left="-20" w:right="-20"/>
              <w:jc w:val="center"/>
            </w:pPr>
            <w:r>
              <w:t>42%</w:t>
            </w:r>
            <w:r>
              <w:rPr>
                <w:vertAlign w:val="superscript"/>
              </w:rPr>
              <w:t>6</w:t>
            </w:r>
          </w:p>
        </w:tc>
      </w:tr>
      <w:tr w:rsidR="004F2309" w14:paraId="1D1BD84C" w14:textId="77777777" w:rsidTr="00340395">
        <w:trPr>
          <w:trHeight w:val="450"/>
        </w:trPr>
        <w:tc>
          <w:tcPr>
            <w:tcW w:w="1175" w:type="dxa"/>
            <w:tcBorders>
              <w:top w:val="single" w:sz="6" w:space="0" w:color="000000"/>
              <w:left w:val="nil"/>
              <w:bottom w:val="single" w:sz="6" w:space="0" w:color="000000"/>
              <w:right w:val="nil"/>
            </w:tcBorders>
            <w:shd w:val="clear" w:color="auto" w:fill="auto"/>
            <w:tcMar>
              <w:top w:w="0" w:type="dxa"/>
              <w:left w:w="0" w:type="dxa"/>
              <w:bottom w:w="0" w:type="dxa"/>
              <w:right w:w="0" w:type="dxa"/>
            </w:tcMar>
            <w:vAlign w:val="center"/>
          </w:tcPr>
          <w:p w14:paraId="318FCAA7" w14:textId="77777777" w:rsidR="004F2309" w:rsidRDefault="00000000" w:rsidP="00340395">
            <w:pPr>
              <w:spacing w:before="40" w:after="40" w:line="228" w:lineRule="auto"/>
              <w:ind w:left="-20" w:right="-20"/>
              <w:jc w:val="center"/>
            </w:pPr>
            <w:r>
              <w:t>Germany</w:t>
            </w:r>
          </w:p>
        </w:tc>
        <w:tc>
          <w:tcPr>
            <w:tcW w:w="1305" w:type="dxa"/>
            <w:tcBorders>
              <w:top w:val="single" w:sz="6" w:space="0" w:color="000000"/>
              <w:left w:val="nil"/>
              <w:bottom w:val="single" w:sz="6" w:space="0" w:color="000000"/>
              <w:right w:val="nil"/>
            </w:tcBorders>
            <w:shd w:val="clear" w:color="auto" w:fill="auto"/>
            <w:tcMar>
              <w:top w:w="0" w:type="dxa"/>
              <w:left w:w="0" w:type="dxa"/>
              <w:bottom w:w="0" w:type="dxa"/>
              <w:right w:w="0" w:type="dxa"/>
            </w:tcMar>
            <w:vAlign w:val="center"/>
          </w:tcPr>
          <w:p w14:paraId="745E4461" w14:textId="77777777" w:rsidR="004F2309" w:rsidRDefault="00000000" w:rsidP="00340395">
            <w:pPr>
              <w:spacing w:before="40" w:after="40" w:line="228" w:lineRule="auto"/>
              <w:ind w:left="-20" w:right="-20"/>
              <w:jc w:val="center"/>
            </w:pPr>
            <w:r>
              <w:t>nda</w:t>
            </w:r>
            <w:r>
              <w:rPr>
                <w:vertAlign w:val="superscript"/>
              </w:rPr>
              <w:t>1</w:t>
            </w:r>
          </w:p>
        </w:tc>
        <w:tc>
          <w:tcPr>
            <w:tcW w:w="1215" w:type="dxa"/>
            <w:tcBorders>
              <w:top w:val="single" w:sz="6" w:space="0" w:color="000000"/>
              <w:left w:val="nil"/>
              <w:bottom w:val="single" w:sz="6" w:space="0" w:color="000000"/>
              <w:right w:val="nil"/>
            </w:tcBorders>
            <w:shd w:val="clear" w:color="auto" w:fill="auto"/>
            <w:tcMar>
              <w:top w:w="0" w:type="dxa"/>
              <w:left w:w="0" w:type="dxa"/>
              <w:bottom w:w="0" w:type="dxa"/>
              <w:right w:w="0" w:type="dxa"/>
            </w:tcMar>
            <w:vAlign w:val="center"/>
          </w:tcPr>
          <w:p w14:paraId="5F7223AA" w14:textId="77777777" w:rsidR="004F2309" w:rsidRDefault="00000000" w:rsidP="00340395">
            <w:pPr>
              <w:spacing w:before="40" w:after="40" w:line="228" w:lineRule="auto"/>
              <w:ind w:left="-20" w:right="-20"/>
              <w:jc w:val="center"/>
            </w:pPr>
            <w:r>
              <w:t>nda</w:t>
            </w:r>
            <w:r>
              <w:rPr>
                <w:vertAlign w:val="superscript"/>
              </w:rPr>
              <w:t>1</w:t>
            </w:r>
          </w:p>
        </w:tc>
        <w:tc>
          <w:tcPr>
            <w:tcW w:w="1260" w:type="dxa"/>
            <w:tcBorders>
              <w:top w:val="single" w:sz="6" w:space="0" w:color="000000"/>
              <w:left w:val="nil"/>
              <w:bottom w:val="single" w:sz="6" w:space="0" w:color="000000"/>
              <w:right w:val="nil"/>
            </w:tcBorders>
            <w:shd w:val="clear" w:color="auto" w:fill="auto"/>
            <w:tcMar>
              <w:top w:w="0" w:type="dxa"/>
              <w:left w:w="0" w:type="dxa"/>
              <w:bottom w:w="0" w:type="dxa"/>
              <w:right w:w="0" w:type="dxa"/>
            </w:tcMar>
            <w:vAlign w:val="center"/>
          </w:tcPr>
          <w:p w14:paraId="38CF1649" w14:textId="77777777" w:rsidR="004F2309" w:rsidRDefault="00000000" w:rsidP="00340395">
            <w:pPr>
              <w:spacing w:before="40" w:after="40" w:line="228" w:lineRule="auto"/>
              <w:ind w:left="-20" w:right="-20"/>
              <w:jc w:val="center"/>
            </w:pPr>
            <w:r>
              <w:t>nda</w:t>
            </w:r>
            <w:r>
              <w:rPr>
                <w:vertAlign w:val="superscript"/>
              </w:rPr>
              <w:t>1</w:t>
            </w:r>
          </w:p>
        </w:tc>
        <w:tc>
          <w:tcPr>
            <w:tcW w:w="1305" w:type="dxa"/>
            <w:tcBorders>
              <w:top w:val="single" w:sz="6" w:space="0" w:color="000000"/>
              <w:left w:val="nil"/>
              <w:bottom w:val="single" w:sz="6" w:space="0" w:color="000000"/>
              <w:right w:val="nil"/>
            </w:tcBorders>
            <w:shd w:val="clear" w:color="auto" w:fill="auto"/>
            <w:tcMar>
              <w:top w:w="0" w:type="dxa"/>
              <w:left w:w="0" w:type="dxa"/>
              <w:bottom w:w="0" w:type="dxa"/>
              <w:right w:w="0" w:type="dxa"/>
            </w:tcMar>
            <w:vAlign w:val="center"/>
          </w:tcPr>
          <w:p w14:paraId="7B96CD13" w14:textId="77777777" w:rsidR="004F2309" w:rsidRDefault="00000000" w:rsidP="00340395">
            <w:pPr>
              <w:spacing w:before="40" w:after="40" w:line="228" w:lineRule="auto"/>
              <w:ind w:left="-20" w:right="-20"/>
              <w:jc w:val="center"/>
            </w:pPr>
            <w:r>
              <w:t>nda</w:t>
            </w:r>
            <w:r>
              <w:rPr>
                <w:vertAlign w:val="superscript"/>
              </w:rPr>
              <w:t>1</w:t>
            </w:r>
          </w:p>
        </w:tc>
        <w:tc>
          <w:tcPr>
            <w:tcW w:w="1185" w:type="dxa"/>
            <w:tcBorders>
              <w:top w:val="single" w:sz="6" w:space="0" w:color="000000"/>
              <w:left w:val="nil"/>
              <w:bottom w:val="single" w:sz="6" w:space="0" w:color="000000"/>
              <w:right w:val="nil"/>
            </w:tcBorders>
            <w:shd w:val="clear" w:color="auto" w:fill="auto"/>
            <w:tcMar>
              <w:top w:w="0" w:type="dxa"/>
              <w:left w:w="0" w:type="dxa"/>
              <w:bottom w:w="0" w:type="dxa"/>
              <w:right w:w="0" w:type="dxa"/>
            </w:tcMar>
            <w:vAlign w:val="center"/>
          </w:tcPr>
          <w:p w14:paraId="63465AF2" w14:textId="77777777" w:rsidR="004F2309" w:rsidRDefault="00000000" w:rsidP="00340395">
            <w:pPr>
              <w:spacing w:before="40" w:after="40" w:line="228" w:lineRule="auto"/>
              <w:ind w:left="-20" w:right="-20"/>
              <w:jc w:val="center"/>
            </w:pPr>
            <w:r>
              <w:t>8%</w:t>
            </w:r>
            <w:r>
              <w:rPr>
                <w:vertAlign w:val="superscript"/>
              </w:rPr>
              <w:t>2</w:t>
            </w:r>
          </w:p>
        </w:tc>
      </w:tr>
      <w:tr w:rsidR="004F2309" w14:paraId="08CFC87A" w14:textId="77777777" w:rsidTr="00340395">
        <w:trPr>
          <w:trHeight w:val="450"/>
        </w:trPr>
        <w:tc>
          <w:tcPr>
            <w:tcW w:w="1175" w:type="dxa"/>
            <w:tcBorders>
              <w:top w:val="single" w:sz="6" w:space="0" w:color="000000"/>
              <w:left w:val="nil"/>
              <w:bottom w:val="single" w:sz="6" w:space="0" w:color="000000"/>
              <w:right w:val="nil"/>
            </w:tcBorders>
            <w:shd w:val="clear" w:color="auto" w:fill="auto"/>
            <w:tcMar>
              <w:top w:w="0" w:type="dxa"/>
              <w:left w:w="0" w:type="dxa"/>
              <w:bottom w:w="0" w:type="dxa"/>
              <w:right w:w="0" w:type="dxa"/>
            </w:tcMar>
            <w:vAlign w:val="center"/>
          </w:tcPr>
          <w:p w14:paraId="5045A20B" w14:textId="77777777" w:rsidR="004F2309" w:rsidRDefault="00000000" w:rsidP="00340395">
            <w:pPr>
              <w:spacing w:before="40" w:after="40" w:line="228" w:lineRule="auto"/>
              <w:ind w:left="-20" w:right="-20"/>
              <w:jc w:val="center"/>
            </w:pPr>
            <w:r>
              <w:t>Croatia</w:t>
            </w:r>
          </w:p>
        </w:tc>
        <w:tc>
          <w:tcPr>
            <w:tcW w:w="1305" w:type="dxa"/>
            <w:tcBorders>
              <w:top w:val="single" w:sz="6" w:space="0" w:color="000000"/>
              <w:left w:val="nil"/>
              <w:bottom w:val="single" w:sz="6" w:space="0" w:color="000000"/>
              <w:right w:val="nil"/>
            </w:tcBorders>
            <w:shd w:val="clear" w:color="auto" w:fill="auto"/>
            <w:tcMar>
              <w:top w:w="0" w:type="dxa"/>
              <w:left w:w="0" w:type="dxa"/>
              <w:bottom w:w="0" w:type="dxa"/>
              <w:right w:w="0" w:type="dxa"/>
            </w:tcMar>
            <w:vAlign w:val="center"/>
          </w:tcPr>
          <w:p w14:paraId="1A664FF2" w14:textId="77777777" w:rsidR="004F2309" w:rsidRDefault="00000000" w:rsidP="00340395">
            <w:pPr>
              <w:spacing w:before="40" w:after="40" w:line="228" w:lineRule="auto"/>
              <w:ind w:left="-20" w:right="-20"/>
              <w:jc w:val="center"/>
            </w:pPr>
            <w:r>
              <w:t>nda</w:t>
            </w:r>
            <w:r>
              <w:rPr>
                <w:vertAlign w:val="superscript"/>
              </w:rPr>
              <w:t>1</w:t>
            </w:r>
          </w:p>
        </w:tc>
        <w:tc>
          <w:tcPr>
            <w:tcW w:w="1215" w:type="dxa"/>
            <w:tcBorders>
              <w:top w:val="single" w:sz="6" w:space="0" w:color="000000"/>
              <w:left w:val="nil"/>
              <w:bottom w:val="single" w:sz="6" w:space="0" w:color="000000"/>
              <w:right w:val="nil"/>
            </w:tcBorders>
            <w:shd w:val="clear" w:color="auto" w:fill="auto"/>
            <w:tcMar>
              <w:top w:w="0" w:type="dxa"/>
              <w:left w:w="0" w:type="dxa"/>
              <w:bottom w:w="0" w:type="dxa"/>
              <w:right w:w="0" w:type="dxa"/>
            </w:tcMar>
            <w:vAlign w:val="center"/>
          </w:tcPr>
          <w:p w14:paraId="6215C97C" w14:textId="77777777" w:rsidR="004F2309" w:rsidRDefault="00000000" w:rsidP="00340395">
            <w:pPr>
              <w:spacing w:before="40" w:after="40" w:line="228" w:lineRule="auto"/>
              <w:ind w:left="-20" w:right="-20"/>
              <w:jc w:val="center"/>
            </w:pPr>
            <w:r>
              <w:t>nda</w:t>
            </w:r>
            <w:r>
              <w:rPr>
                <w:vertAlign w:val="superscript"/>
              </w:rPr>
              <w:t>1</w:t>
            </w:r>
          </w:p>
        </w:tc>
        <w:tc>
          <w:tcPr>
            <w:tcW w:w="1260" w:type="dxa"/>
            <w:tcBorders>
              <w:top w:val="single" w:sz="6" w:space="0" w:color="000000"/>
              <w:left w:val="nil"/>
              <w:bottom w:val="single" w:sz="6" w:space="0" w:color="000000"/>
              <w:right w:val="nil"/>
            </w:tcBorders>
            <w:shd w:val="clear" w:color="auto" w:fill="auto"/>
            <w:tcMar>
              <w:top w:w="0" w:type="dxa"/>
              <w:left w:w="0" w:type="dxa"/>
              <w:bottom w:w="0" w:type="dxa"/>
              <w:right w:w="0" w:type="dxa"/>
            </w:tcMar>
            <w:vAlign w:val="center"/>
          </w:tcPr>
          <w:p w14:paraId="78DF7A54" w14:textId="77777777" w:rsidR="004F2309" w:rsidRDefault="00000000" w:rsidP="00340395">
            <w:pPr>
              <w:spacing w:before="40" w:after="40" w:line="228" w:lineRule="auto"/>
              <w:ind w:left="-20" w:right="-20"/>
              <w:jc w:val="center"/>
            </w:pPr>
            <w:r>
              <w:t>nda</w:t>
            </w:r>
            <w:r>
              <w:rPr>
                <w:vertAlign w:val="superscript"/>
              </w:rPr>
              <w:t>1</w:t>
            </w:r>
          </w:p>
        </w:tc>
        <w:tc>
          <w:tcPr>
            <w:tcW w:w="1305" w:type="dxa"/>
            <w:tcBorders>
              <w:top w:val="single" w:sz="6" w:space="0" w:color="000000"/>
              <w:left w:val="nil"/>
              <w:bottom w:val="single" w:sz="6" w:space="0" w:color="000000"/>
              <w:right w:val="nil"/>
            </w:tcBorders>
            <w:shd w:val="clear" w:color="auto" w:fill="auto"/>
            <w:tcMar>
              <w:top w:w="0" w:type="dxa"/>
              <w:left w:w="0" w:type="dxa"/>
              <w:bottom w:w="0" w:type="dxa"/>
              <w:right w:w="0" w:type="dxa"/>
            </w:tcMar>
            <w:vAlign w:val="center"/>
          </w:tcPr>
          <w:p w14:paraId="3064D204" w14:textId="77777777" w:rsidR="004F2309" w:rsidRDefault="00000000" w:rsidP="00340395">
            <w:pPr>
              <w:spacing w:before="40" w:after="40" w:line="228" w:lineRule="auto"/>
              <w:ind w:left="-20" w:right="-20"/>
              <w:jc w:val="center"/>
            </w:pPr>
            <w:r>
              <w:t>nda</w:t>
            </w:r>
            <w:r>
              <w:rPr>
                <w:vertAlign w:val="superscript"/>
              </w:rPr>
              <w:t>1</w:t>
            </w:r>
          </w:p>
        </w:tc>
        <w:tc>
          <w:tcPr>
            <w:tcW w:w="1185" w:type="dxa"/>
            <w:tcBorders>
              <w:top w:val="single" w:sz="6" w:space="0" w:color="000000"/>
              <w:left w:val="nil"/>
              <w:bottom w:val="single" w:sz="6" w:space="0" w:color="000000"/>
              <w:right w:val="nil"/>
            </w:tcBorders>
            <w:shd w:val="clear" w:color="auto" w:fill="auto"/>
            <w:tcMar>
              <w:top w:w="0" w:type="dxa"/>
              <w:left w:w="0" w:type="dxa"/>
              <w:bottom w:w="0" w:type="dxa"/>
              <w:right w:w="0" w:type="dxa"/>
            </w:tcMar>
            <w:vAlign w:val="center"/>
          </w:tcPr>
          <w:p w14:paraId="26D9B3B4" w14:textId="77777777" w:rsidR="004F2309" w:rsidRDefault="00000000" w:rsidP="00340395">
            <w:pPr>
              <w:spacing w:before="40" w:after="40" w:line="228" w:lineRule="auto"/>
              <w:ind w:left="-20" w:right="-20"/>
              <w:jc w:val="center"/>
            </w:pPr>
            <w:r>
              <w:t>26%</w:t>
            </w:r>
            <w:r>
              <w:rPr>
                <w:vertAlign w:val="superscript"/>
              </w:rPr>
              <w:t>2</w:t>
            </w:r>
          </w:p>
        </w:tc>
      </w:tr>
      <w:tr w:rsidR="004F2309" w14:paraId="26DF0667" w14:textId="77777777" w:rsidTr="00340395">
        <w:trPr>
          <w:trHeight w:val="450"/>
        </w:trPr>
        <w:tc>
          <w:tcPr>
            <w:tcW w:w="1175" w:type="dxa"/>
            <w:tcBorders>
              <w:top w:val="single" w:sz="6" w:space="0" w:color="000000"/>
              <w:left w:val="nil"/>
              <w:bottom w:val="single" w:sz="6" w:space="0" w:color="000000"/>
              <w:right w:val="nil"/>
            </w:tcBorders>
            <w:shd w:val="clear" w:color="auto" w:fill="auto"/>
            <w:tcMar>
              <w:top w:w="0" w:type="dxa"/>
              <w:left w:w="0" w:type="dxa"/>
              <w:bottom w:w="0" w:type="dxa"/>
              <w:right w:w="0" w:type="dxa"/>
            </w:tcMar>
            <w:vAlign w:val="center"/>
          </w:tcPr>
          <w:p w14:paraId="264A99C2" w14:textId="77777777" w:rsidR="004F2309" w:rsidRDefault="00000000" w:rsidP="00340395">
            <w:pPr>
              <w:spacing w:before="40" w:after="40" w:line="228" w:lineRule="auto"/>
              <w:ind w:left="-20" w:right="-20"/>
              <w:jc w:val="center"/>
            </w:pPr>
            <w:r>
              <w:t>Luxemburg</w:t>
            </w:r>
          </w:p>
        </w:tc>
        <w:tc>
          <w:tcPr>
            <w:tcW w:w="1305" w:type="dxa"/>
            <w:tcBorders>
              <w:top w:val="single" w:sz="6" w:space="0" w:color="000000"/>
              <w:left w:val="nil"/>
              <w:bottom w:val="single" w:sz="6" w:space="0" w:color="000000"/>
              <w:right w:val="nil"/>
            </w:tcBorders>
            <w:shd w:val="clear" w:color="auto" w:fill="auto"/>
            <w:tcMar>
              <w:top w:w="0" w:type="dxa"/>
              <w:left w:w="0" w:type="dxa"/>
              <w:bottom w:w="0" w:type="dxa"/>
              <w:right w:w="0" w:type="dxa"/>
            </w:tcMar>
            <w:vAlign w:val="center"/>
          </w:tcPr>
          <w:p w14:paraId="16F96C1D" w14:textId="77777777" w:rsidR="004F2309" w:rsidRDefault="00000000" w:rsidP="00340395">
            <w:pPr>
              <w:spacing w:before="40" w:after="40" w:line="228" w:lineRule="auto"/>
              <w:ind w:left="-20" w:right="-20"/>
              <w:jc w:val="center"/>
            </w:pPr>
            <w:r>
              <w:t>89%</w:t>
            </w:r>
          </w:p>
        </w:tc>
        <w:tc>
          <w:tcPr>
            <w:tcW w:w="1215" w:type="dxa"/>
            <w:tcBorders>
              <w:top w:val="single" w:sz="6" w:space="0" w:color="000000"/>
              <w:left w:val="nil"/>
              <w:bottom w:val="single" w:sz="6" w:space="0" w:color="000000"/>
              <w:right w:val="nil"/>
            </w:tcBorders>
            <w:shd w:val="clear" w:color="auto" w:fill="auto"/>
            <w:tcMar>
              <w:top w:w="0" w:type="dxa"/>
              <w:left w:w="0" w:type="dxa"/>
              <w:bottom w:w="0" w:type="dxa"/>
              <w:right w:w="0" w:type="dxa"/>
            </w:tcMar>
            <w:vAlign w:val="center"/>
          </w:tcPr>
          <w:p w14:paraId="79B556B2" w14:textId="77777777" w:rsidR="004F2309" w:rsidRDefault="00000000" w:rsidP="00340395">
            <w:pPr>
              <w:spacing w:before="40" w:after="40" w:line="228" w:lineRule="auto"/>
              <w:ind w:left="-20" w:right="-20"/>
              <w:jc w:val="center"/>
            </w:pPr>
            <w:r>
              <w:t>0%</w:t>
            </w:r>
          </w:p>
        </w:tc>
        <w:tc>
          <w:tcPr>
            <w:tcW w:w="1260" w:type="dxa"/>
            <w:tcBorders>
              <w:top w:val="single" w:sz="6" w:space="0" w:color="000000"/>
              <w:left w:val="nil"/>
              <w:bottom w:val="single" w:sz="6" w:space="0" w:color="000000"/>
              <w:right w:val="nil"/>
            </w:tcBorders>
            <w:shd w:val="clear" w:color="auto" w:fill="auto"/>
            <w:tcMar>
              <w:top w:w="0" w:type="dxa"/>
              <w:left w:w="0" w:type="dxa"/>
              <w:bottom w:w="0" w:type="dxa"/>
              <w:right w:w="0" w:type="dxa"/>
            </w:tcMar>
            <w:vAlign w:val="center"/>
          </w:tcPr>
          <w:p w14:paraId="3CCBD36A" w14:textId="77777777" w:rsidR="004F2309" w:rsidRDefault="00000000" w:rsidP="00340395">
            <w:pPr>
              <w:spacing w:before="40" w:after="40" w:line="228" w:lineRule="auto"/>
              <w:ind w:left="-20" w:right="-20"/>
              <w:jc w:val="center"/>
            </w:pPr>
            <w:r>
              <w:t>0%</w:t>
            </w:r>
          </w:p>
        </w:tc>
        <w:tc>
          <w:tcPr>
            <w:tcW w:w="1305" w:type="dxa"/>
            <w:tcBorders>
              <w:top w:val="single" w:sz="6" w:space="0" w:color="000000"/>
              <w:left w:val="nil"/>
              <w:bottom w:val="single" w:sz="6" w:space="0" w:color="000000"/>
              <w:right w:val="nil"/>
            </w:tcBorders>
            <w:shd w:val="clear" w:color="auto" w:fill="auto"/>
            <w:tcMar>
              <w:top w:w="0" w:type="dxa"/>
              <w:left w:w="0" w:type="dxa"/>
              <w:bottom w:w="0" w:type="dxa"/>
              <w:right w:w="0" w:type="dxa"/>
            </w:tcMar>
            <w:vAlign w:val="center"/>
          </w:tcPr>
          <w:p w14:paraId="727A60F2" w14:textId="77777777" w:rsidR="004F2309" w:rsidRDefault="00000000" w:rsidP="00340395">
            <w:pPr>
              <w:spacing w:before="40" w:after="40" w:line="228" w:lineRule="auto"/>
              <w:ind w:left="-20" w:right="-20"/>
              <w:jc w:val="center"/>
            </w:pPr>
            <w:r>
              <w:t>0%</w:t>
            </w:r>
          </w:p>
        </w:tc>
        <w:tc>
          <w:tcPr>
            <w:tcW w:w="1185" w:type="dxa"/>
            <w:tcBorders>
              <w:top w:val="single" w:sz="6" w:space="0" w:color="000000"/>
              <w:left w:val="nil"/>
              <w:bottom w:val="single" w:sz="6" w:space="0" w:color="000000"/>
              <w:right w:val="nil"/>
            </w:tcBorders>
            <w:shd w:val="clear" w:color="auto" w:fill="auto"/>
            <w:tcMar>
              <w:top w:w="0" w:type="dxa"/>
              <w:left w:w="0" w:type="dxa"/>
              <w:bottom w:w="0" w:type="dxa"/>
              <w:right w:w="0" w:type="dxa"/>
            </w:tcMar>
            <w:vAlign w:val="center"/>
          </w:tcPr>
          <w:p w14:paraId="5BE62324" w14:textId="77777777" w:rsidR="004F2309" w:rsidRDefault="00000000" w:rsidP="00340395">
            <w:pPr>
              <w:spacing w:before="40" w:after="40" w:line="228" w:lineRule="auto"/>
              <w:ind w:left="-20" w:right="-20"/>
              <w:jc w:val="center"/>
            </w:pPr>
            <w:r>
              <w:t>11%</w:t>
            </w:r>
            <w:r>
              <w:rPr>
                <w:vertAlign w:val="superscript"/>
              </w:rPr>
              <w:t>2</w:t>
            </w:r>
          </w:p>
        </w:tc>
      </w:tr>
      <w:tr w:rsidR="004F2309" w14:paraId="721C3981" w14:textId="77777777" w:rsidTr="00340395">
        <w:trPr>
          <w:trHeight w:val="450"/>
        </w:trPr>
        <w:tc>
          <w:tcPr>
            <w:tcW w:w="1175" w:type="dxa"/>
            <w:tcBorders>
              <w:top w:val="single" w:sz="6" w:space="0" w:color="000000"/>
              <w:left w:val="nil"/>
              <w:bottom w:val="single" w:sz="6" w:space="0" w:color="000000"/>
              <w:right w:val="nil"/>
            </w:tcBorders>
            <w:shd w:val="clear" w:color="auto" w:fill="auto"/>
            <w:tcMar>
              <w:top w:w="0" w:type="dxa"/>
              <w:left w:w="0" w:type="dxa"/>
              <w:bottom w:w="0" w:type="dxa"/>
              <w:right w:w="0" w:type="dxa"/>
            </w:tcMar>
            <w:vAlign w:val="center"/>
          </w:tcPr>
          <w:p w14:paraId="55056D97" w14:textId="77777777" w:rsidR="004F2309" w:rsidRDefault="00000000" w:rsidP="00340395">
            <w:pPr>
              <w:spacing w:before="40" w:after="40" w:line="228" w:lineRule="auto"/>
              <w:ind w:left="-20" w:right="-20"/>
              <w:jc w:val="center"/>
            </w:pPr>
            <w:r>
              <w:t>Hungary</w:t>
            </w:r>
          </w:p>
        </w:tc>
        <w:tc>
          <w:tcPr>
            <w:tcW w:w="1305" w:type="dxa"/>
            <w:tcBorders>
              <w:top w:val="single" w:sz="6" w:space="0" w:color="000000"/>
              <w:left w:val="nil"/>
              <w:bottom w:val="single" w:sz="6" w:space="0" w:color="000000"/>
              <w:right w:val="nil"/>
            </w:tcBorders>
            <w:shd w:val="clear" w:color="auto" w:fill="auto"/>
            <w:tcMar>
              <w:top w:w="0" w:type="dxa"/>
              <w:left w:w="0" w:type="dxa"/>
              <w:bottom w:w="0" w:type="dxa"/>
              <w:right w:w="0" w:type="dxa"/>
            </w:tcMar>
            <w:vAlign w:val="center"/>
          </w:tcPr>
          <w:p w14:paraId="4C4A2155" w14:textId="77777777" w:rsidR="004F2309" w:rsidRDefault="00000000" w:rsidP="00340395">
            <w:pPr>
              <w:spacing w:before="40" w:after="40" w:line="228" w:lineRule="auto"/>
              <w:ind w:left="-20" w:right="-20"/>
              <w:jc w:val="center"/>
            </w:pPr>
            <w:r>
              <w:t>19%</w:t>
            </w:r>
          </w:p>
        </w:tc>
        <w:tc>
          <w:tcPr>
            <w:tcW w:w="1215" w:type="dxa"/>
            <w:tcBorders>
              <w:top w:val="single" w:sz="6" w:space="0" w:color="000000"/>
              <w:left w:val="nil"/>
              <w:bottom w:val="single" w:sz="6" w:space="0" w:color="000000"/>
              <w:right w:val="nil"/>
            </w:tcBorders>
            <w:shd w:val="clear" w:color="auto" w:fill="auto"/>
            <w:tcMar>
              <w:top w:w="0" w:type="dxa"/>
              <w:left w:w="0" w:type="dxa"/>
              <w:bottom w:w="0" w:type="dxa"/>
              <w:right w:w="0" w:type="dxa"/>
            </w:tcMar>
            <w:vAlign w:val="center"/>
          </w:tcPr>
          <w:p w14:paraId="52ED8DCC" w14:textId="77777777" w:rsidR="004F2309" w:rsidRDefault="00000000" w:rsidP="00340395">
            <w:pPr>
              <w:spacing w:before="40" w:after="40" w:line="228" w:lineRule="auto"/>
              <w:ind w:left="-20" w:right="-20"/>
              <w:jc w:val="center"/>
            </w:pPr>
            <w:r>
              <w:t>0%</w:t>
            </w:r>
          </w:p>
        </w:tc>
        <w:tc>
          <w:tcPr>
            <w:tcW w:w="1260" w:type="dxa"/>
            <w:tcBorders>
              <w:top w:val="single" w:sz="6" w:space="0" w:color="000000"/>
              <w:left w:val="nil"/>
              <w:bottom w:val="single" w:sz="6" w:space="0" w:color="000000"/>
              <w:right w:val="nil"/>
            </w:tcBorders>
            <w:shd w:val="clear" w:color="auto" w:fill="auto"/>
            <w:tcMar>
              <w:top w:w="0" w:type="dxa"/>
              <w:left w:w="0" w:type="dxa"/>
              <w:bottom w:w="0" w:type="dxa"/>
              <w:right w:w="0" w:type="dxa"/>
            </w:tcMar>
            <w:vAlign w:val="center"/>
          </w:tcPr>
          <w:p w14:paraId="7E65B5BB" w14:textId="77777777" w:rsidR="004F2309" w:rsidRDefault="00000000" w:rsidP="00340395">
            <w:pPr>
              <w:spacing w:before="40" w:after="40" w:line="228" w:lineRule="auto"/>
              <w:ind w:left="-20" w:right="-20"/>
              <w:jc w:val="center"/>
            </w:pPr>
            <w:r>
              <w:t>0%</w:t>
            </w:r>
          </w:p>
        </w:tc>
        <w:tc>
          <w:tcPr>
            <w:tcW w:w="1305" w:type="dxa"/>
            <w:tcBorders>
              <w:top w:val="single" w:sz="6" w:space="0" w:color="000000"/>
              <w:left w:val="nil"/>
              <w:bottom w:val="single" w:sz="6" w:space="0" w:color="000000"/>
              <w:right w:val="nil"/>
            </w:tcBorders>
            <w:shd w:val="clear" w:color="auto" w:fill="auto"/>
            <w:tcMar>
              <w:top w:w="0" w:type="dxa"/>
              <w:left w:w="0" w:type="dxa"/>
              <w:bottom w:w="0" w:type="dxa"/>
              <w:right w:w="0" w:type="dxa"/>
            </w:tcMar>
            <w:vAlign w:val="center"/>
          </w:tcPr>
          <w:p w14:paraId="1EF9B2FC" w14:textId="77777777" w:rsidR="004F2309" w:rsidRDefault="00000000" w:rsidP="00340395">
            <w:pPr>
              <w:spacing w:before="40" w:after="40" w:line="228" w:lineRule="auto"/>
              <w:ind w:left="-20" w:right="-20"/>
              <w:jc w:val="center"/>
            </w:pPr>
            <w:r>
              <w:t>0%</w:t>
            </w:r>
          </w:p>
        </w:tc>
        <w:tc>
          <w:tcPr>
            <w:tcW w:w="1185" w:type="dxa"/>
            <w:tcBorders>
              <w:top w:val="single" w:sz="6" w:space="0" w:color="000000"/>
              <w:left w:val="nil"/>
              <w:bottom w:val="single" w:sz="6" w:space="0" w:color="000000"/>
              <w:right w:val="nil"/>
            </w:tcBorders>
            <w:shd w:val="clear" w:color="auto" w:fill="auto"/>
            <w:tcMar>
              <w:top w:w="0" w:type="dxa"/>
              <w:left w:w="0" w:type="dxa"/>
              <w:bottom w:w="0" w:type="dxa"/>
              <w:right w:w="0" w:type="dxa"/>
            </w:tcMar>
            <w:vAlign w:val="center"/>
          </w:tcPr>
          <w:p w14:paraId="6C541E53" w14:textId="77777777" w:rsidR="004F2309" w:rsidRDefault="00000000" w:rsidP="00340395">
            <w:pPr>
              <w:spacing w:before="40" w:after="40" w:line="228" w:lineRule="auto"/>
              <w:ind w:left="-20" w:right="-20"/>
              <w:jc w:val="center"/>
            </w:pPr>
            <w:r>
              <w:t>81%</w:t>
            </w:r>
            <w:r>
              <w:rPr>
                <w:vertAlign w:val="superscript"/>
              </w:rPr>
              <w:t>2</w:t>
            </w:r>
          </w:p>
        </w:tc>
      </w:tr>
      <w:tr w:rsidR="004F2309" w14:paraId="11660BB2" w14:textId="77777777" w:rsidTr="00340395">
        <w:trPr>
          <w:trHeight w:val="450"/>
        </w:trPr>
        <w:tc>
          <w:tcPr>
            <w:tcW w:w="1175" w:type="dxa"/>
            <w:tcBorders>
              <w:top w:val="single" w:sz="6" w:space="0" w:color="000000"/>
              <w:left w:val="nil"/>
              <w:bottom w:val="single" w:sz="6" w:space="0" w:color="000000"/>
              <w:right w:val="nil"/>
            </w:tcBorders>
            <w:shd w:val="clear" w:color="auto" w:fill="auto"/>
            <w:tcMar>
              <w:top w:w="0" w:type="dxa"/>
              <w:left w:w="0" w:type="dxa"/>
              <w:bottom w:w="0" w:type="dxa"/>
              <w:right w:w="0" w:type="dxa"/>
            </w:tcMar>
            <w:vAlign w:val="center"/>
          </w:tcPr>
          <w:p w14:paraId="3FD704AC" w14:textId="77777777" w:rsidR="004F2309" w:rsidRDefault="00000000" w:rsidP="00340395">
            <w:pPr>
              <w:spacing w:before="40" w:after="40" w:line="228" w:lineRule="auto"/>
              <w:ind w:left="-20" w:right="-20"/>
              <w:jc w:val="center"/>
            </w:pPr>
            <w:r>
              <w:t>Austria</w:t>
            </w:r>
          </w:p>
        </w:tc>
        <w:tc>
          <w:tcPr>
            <w:tcW w:w="1305" w:type="dxa"/>
            <w:tcBorders>
              <w:top w:val="single" w:sz="6" w:space="0" w:color="000000"/>
              <w:left w:val="nil"/>
              <w:bottom w:val="single" w:sz="6" w:space="0" w:color="000000"/>
              <w:right w:val="nil"/>
            </w:tcBorders>
            <w:shd w:val="clear" w:color="auto" w:fill="auto"/>
            <w:tcMar>
              <w:top w:w="0" w:type="dxa"/>
              <w:left w:w="0" w:type="dxa"/>
              <w:bottom w:w="0" w:type="dxa"/>
              <w:right w:w="0" w:type="dxa"/>
            </w:tcMar>
            <w:vAlign w:val="center"/>
          </w:tcPr>
          <w:p w14:paraId="36DB093C" w14:textId="77777777" w:rsidR="004F2309" w:rsidRDefault="00000000" w:rsidP="00340395">
            <w:pPr>
              <w:spacing w:before="40" w:after="40" w:line="228" w:lineRule="auto"/>
              <w:ind w:left="-20" w:right="-20"/>
              <w:jc w:val="center"/>
            </w:pPr>
            <w:r>
              <w:t>nda</w:t>
            </w:r>
            <w:r>
              <w:rPr>
                <w:vertAlign w:val="superscript"/>
              </w:rPr>
              <w:t>1</w:t>
            </w:r>
          </w:p>
        </w:tc>
        <w:tc>
          <w:tcPr>
            <w:tcW w:w="1215" w:type="dxa"/>
            <w:tcBorders>
              <w:top w:val="single" w:sz="6" w:space="0" w:color="000000"/>
              <w:left w:val="nil"/>
              <w:bottom w:val="single" w:sz="6" w:space="0" w:color="000000"/>
              <w:right w:val="nil"/>
            </w:tcBorders>
            <w:shd w:val="clear" w:color="auto" w:fill="auto"/>
            <w:tcMar>
              <w:top w:w="0" w:type="dxa"/>
              <w:left w:w="0" w:type="dxa"/>
              <w:bottom w:w="0" w:type="dxa"/>
              <w:right w:w="0" w:type="dxa"/>
            </w:tcMar>
            <w:vAlign w:val="center"/>
          </w:tcPr>
          <w:p w14:paraId="0BFE18F8" w14:textId="77777777" w:rsidR="004F2309" w:rsidRDefault="00000000" w:rsidP="00340395">
            <w:pPr>
              <w:spacing w:before="40" w:after="40" w:line="228" w:lineRule="auto"/>
              <w:ind w:left="-20" w:right="-20"/>
              <w:jc w:val="center"/>
            </w:pPr>
            <w:r>
              <w:t>nda</w:t>
            </w:r>
            <w:r>
              <w:rPr>
                <w:vertAlign w:val="superscript"/>
              </w:rPr>
              <w:t>1</w:t>
            </w:r>
          </w:p>
        </w:tc>
        <w:tc>
          <w:tcPr>
            <w:tcW w:w="1260" w:type="dxa"/>
            <w:tcBorders>
              <w:top w:val="single" w:sz="6" w:space="0" w:color="000000"/>
              <w:left w:val="nil"/>
              <w:bottom w:val="single" w:sz="6" w:space="0" w:color="000000"/>
              <w:right w:val="nil"/>
            </w:tcBorders>
            <w:shd w:val="clear" w:color="auto" w:fill="auto"/>
            <w:tcMar>
              <w:top w:w="0" w:type="dxa"/>
              <w:left w:w="0" w:type="dxa"/>
              <w:bottom w:w="0" w:type="dxa"/>
              <w:right w:w="0" w:type="dxa"/>
            </w:tcMar>
            <w:vAlign w:val="center"/>
          </w:tcPr>
          <w:p w14:paraId="2E10913A" w14:textId="77777777" w:rsidR="004F2309" w:rsidRDefault="00000000" w:rsidP="00340395">
            <w:pPr>
              <w:spacing w:before="40" w:after="40" w:line="228" w:lineRule="auto"/>
              <w:ind w:left="-20" w:right="-20"/>
              <w:jc w:val="center"/>
            </w:pPr>
            <w:r>
              <w:t>nda</w:t>
            </w:r>
            <w:r>
              <w:rPr>
                <w:vertAlign w:val="superscript"/>
              </w:rPr>
              <w:t>1</w:t>
            </w:r>
          </w:p>
        </w:tc>
        <w:tc>
          <w:tcPr>
            <w:tcW w:w="1305" w:type="dxa"/>
            <w:tcBorders>
              <w:top w:val="single" w:sz="6" w:space="0" w:color="000000"/>
              <w:left w:val="nil"/>
              <w:bottom w:val="single" w:sz="6" w:space="0" w:color="000000"/>
              <w:right w:val="nil"/>
            </w:tcBorders>
            <w:shd w:val="clear" w:color="auto" w:fill="auto"/>
            <w:tcMar>
              <w:top w:w="0" w:type="dxa"/>
              <w:left w:w="0" w:type="dxa"/>
              <w:bottom w:w="0" w:type="dxa"/>
              <w:right w:w="0" w:type="dxa"/>
            </w:tcMar>
            <w:vAlign w:val="center"/>
          </w:tcPr>
          <w:p w14:paraId="4CA01B36" w14:textId="77777777" w:rsidR="004F2309" w:rsidRDefault="00000000" w:rsidP="00340395">
            <w:pPr>
              <w:spacing w:before="40" w:after="40" w:line="228" w:lineRule="auto"/>
              <w:ind w:left="-20" w:right="-20"/>
              <w:jc w:val="center"/>
            </w:pPr>
            <w:r>
              <w:t>nda</w:t>
            </w:r>
            <w:r>
              <w:rPr>
                <w:vertAlign w:val="superscript"/>
              </w:rPr>
              <w:t>1</w:t>
            </w:r>
          </w:p>
        </w:tc>
        <w:tc>
          <w:tcPr>
            <w:tcW w:w="1185" w:type="dxa"/>
            <w:tcBorders>
              <w:top w:val="single" w:sz="6" w:space="0" w:color="000000"/>
              <w:left w:val="nil"/>
              <w:bottom w:val="single" w:sz="6" w:space="0" w:color="000000"/>
              <w:right w:val="nil"/>
            </w:tcBorders>
            <w:shd w:val="clear" w:color="auto" w:fill="auto"/>
            <w:tcMar>
              <w:top w:w="0" w:type="dxa"/>
              <w:left w:w="0" w:type="dxa"/>
              <w:bottom w:w="0" w:type="dxa"/>
              <w:right w:w="0" w:type="dxa"/>
            </w:tcMar>
            <w:vAlign w:val="center"/>
          </w:tcPr>
          <w:p w14:paraId="3540C8D9" w14:textId="77777777" w:rsidR="004F2309" w:rsidRDefault="00000000" w:rsidP="00340395">
            <w:pPr>
              <w:spacing w:before="40" w:after="40" w:line="228" w:lineRule="auto"/>
              <w:ind w:left="-20" w:right="-20"/>
              <w:jc w:val="center"/>
            </w:pPr>
            <w:r>
              <w:t>18%</w:t>
            </w:r>
            <w:r>
              <w:rPr>
                <w:vertAlign w:val="superscript"/>
              </w:rPr>
              <w:t>2</w:t>
            </w:r>
          </w:p>
        </w:tc>
      </w:tr>
      <w:tr w:rsidR="004F2309" w14:paraId="4A780F5D" w14:textId="77777777" w:rsidTr="00340395">
        <w:trPr>
          <w:trHeight w:val="450"/>
        </w:trPr>
        <w:tc>
          <w:tcPr>
            <w:tcW w:w="1175" w:type="dxa"/>
            <w:tcBorders>
              <w:top w:val="single" w:sz="6" w:space="0" w:color="000000"/>
              <w:left w:val="nil"/>
              <w:bottom w:val="single" w:sz="6" w:space="0" w:color="000000"/>
              <w:right w:val="nil"/>
            </w:tcBorders>
            <w:shd w:val="clear" w:color="auto" w:fill="auto"/>
            <w:tcMar>
              <w:top w:w="0" w:type="dxa"/>
              <w:left w:w="0" w:type="dxa"/>
              <w:bottom w:w="0" w:type="dxa"/>
              <w:right w:w="0" w:type="dxa"/>
            </w:tcMar>
            <w:vAlign w:val="center"/>
          </w:tcPr>
          <w:p w14:paraId="12DB5D7F" w14:textId="77777777" w:rsidR="004F2309" w:rsidRDefault="00000000" w:rsidP="00340395">
            <w:pPr>
              <w:spacing w:before="40" w:after="40" w:line="228" w:lineRule="auto"/>
              <w:ind w:left="-20" w:right="-20"/>
              <w:jc w:val="center"/>
            </w:pPr>
            <w:r>
              <w:t>Poland</w:t>
            </w:r>
          </w:p>
        </w:tc>
        <w:tc>
          <w:tcPr>
            <w:tcW w:w="1305" w:type="dxa"/>
            <w:tcBorders>
              <w:top w:val="single" w:sz="6" w:space="0" w:color="000000"/>
              <w:left w:val="nil"/>
              <w:bottom w:val="single" w:sz="6" w:space="0" w:color="000000"/>
              <w:right w:val="nil"/>
            </w:tcBorders>
            <w:shd w:val="clear" w:color="auto" w:fill="auto"/>
            <w:tcMar>
              <w:top w:w="0" w:type="dxa"/>
              <w:left w:w="0" w:type="dxa"/>
              <w:bottom w:w="0" w:type="dxa"/>
              <w:right w:w="0" w:type="dxa"/>
            </w:tcMar>
            <w:vAlign w:val="center"/>
          </w:tcPr>
          <w:p w14:paraId="049E7C99" w14:textId="77777777" w:rsidR="004F2309" w:rsidRDefault="00000000" w:rsidP="00340395">
            <w:pPr>
              <w:spacing w:before="40" w:after="40" w:line="228" w:lineRule="auto"/>
              <w:ind w:left="-20" w:right="-20"/>
              <w:jc w:val="center"/>
            </w:pPr>
            <w:r>
              <w:t>nda</w:t>
            </w:r>
            <w:r>
              <w:rPr>
                <w:vertAlign w:val="superscript"/>
              </w:rPr>
              <w:t>1</w:t>
            </w:r>
          </w:p>
        </w:tc>
        <w:tc>
          <w:tcPr>
            <w:tcW w:w="1215" w:type="dxa"/>
            <w:tcBorders>
              <w:top w:val="single" w:sz="6" w:space="0" w:color="000000"/>
              <w:left w:val="nil"/>
              <w:bottom w:val="single" w:sz="6" w:space="0" w:color="000000"/>
              <w:right w:val="nil"/>
            </w:tcBorders>
            <w:shd w:val="clear" w:color="auto" w:fill="auto"/>
            <w:tcMar>
              <w:top w:w="0" w:type="dxa"/>
              <w:left w:w="0" w:type="dxa"/>
              <w:bottom w:w="0" w:type="dxa"/>
              <w:right w:w="0" w:type="dxa"/>
            </w:tcMar>
            <w:vAlign w:val="center"/>
          </w:tcPr>
          <w:p w14:paraId="4F1EBA8B" w14:textId="77777777" w:rsidR="004F2309" w:rsidRDefault="00000000" w:rsidP="00340395">
            <w:pPr>
              <w:spacing w:before="40" w:after="40" w:line="228" w:lineRule="auto"/>
              <w:ind w:left="-20" w:right="-20"/>
              <w:jc w:val="center"/>
            </w:pPr>
            <w:r>
              <w:t>0%</w:t>
            </w:r>
          </w:p>
        </w:tc>
        <w:tc>
          <w:tcPr>
            <w:tcW w:w="1260" w:type="dxa"/>
            <w:tcBorders>
              <w:top w:val="single" w:sz="6" w:space="0" w:color="000000"/>
              <w:left w:val="nil"/>
              <w:bottom w:val="single" w:sz="6" w:space="0" w:color="000000"/>
              <w:right w:val="nil"/>
            </w:tcBorders>
            <w:shd w:val="clear" w:color="auto" w:fill="auto"/>
            <w:tcMar>
              <w:top w:w="0" w:type="dxa"/>
              <w:left w:w="0" w:type="dxa"/>
              <w:bottom w:w="0" w:type="dxa"/>
              <w:right w:w="0" w:type="dxa"/>
            </w:tcMar>
            <w:vAlign w:val="center"/>
          </w:tcPr>
          <w:p w14:paraId="68E752D7" w14:textId="77777777" w:rsidR="004F2309" w:rsidRDefault="00000000" w:rsidP="00340395">
            <w:pPr>
              <w:spacing w:before="40" w:after="40" w:line="228" w:lineRule="auto"/>
              <w:ind w:left="-20" w:right="-20"/>
              <w:jc w:val="center"/>
            </w:pPr>
            <w:r>
              <w:t>nda</w:t>
            </w:r>
            <w:r>
              <w:rPr>
                <w:vertAlign w:val="superscript"/>
              </w:rPr>
              <w:t>1</w:t>
            </w:r>
          </w:p>
        </w:tc>
        <w:tc>
          <w:tcPr>
            <w:tcW w:w="1305" w:type="dxa"/>
            <w:tcBorders>
              <w:top w:val="single" w:sz="6" w:space="0" w:color="000000"/>
              <w:left w:val="nil"/>
              <w:bottom w:val="single" w:sz="6" w:space="0" w:color="000000"/>
              <w:right w:val="nil"/>
            </w:tcBorders>
            <w:shd w:val="clear" w:color="auto" w:fill="auto"/>
            <w:tcMar>
              <w:top w:w="0" w:type="dxa"/>
              <w:left w:w="0" w:type="dxa"/>
              <w:bottom w:w="0" w:type="dxa"/>
              <w:right w:w="0" w:type="dxa"/>
            </w:tcMar>
            <w:vAlign w:val="center"/>
          </w:tcPr>
          <w:p w14:paraId="0D61F4F9" w14:textId="77777777" w:rsidR="004F2309" w:rsidRDefault="00000000" w:rsidP="00340395">
            <w:pPr>
              <w:spacing w:before="40" w:after="40" w:line="228" w:lineRule="auto"/>
              <w:ind w:left="-20" w:right="-20"/>
              <w:jc w:val="center"/>
            </w:pPr>
            <w:r>
              <w:t>nda</w:t>
            </w:r>
            <w:r>
              <w:rPr>
                <w:vertAlign w:val="superscript"/>
              </w:rPr>
              <w:t>1</w:t>
            </w:r>
          </w:p>
        </w:tc>
        <w:tc>
          <w:tcPr>
            <w:tcW w:w="1185" w:type="dxa"/>
            <w:tcBorders>
              <w:top w:val="single" w:sz="6" w:space="0" w:color="000000"/>
              <w:left w:val="nil"/>
              <w:bottom w:val="single" w:sz="6" w:space="0" w:color="000000"/>
              <w:right w:val="nil"/>
            </w:tcBorders>
            <w:shd w:val="clear" w:color="auto" w:fill="auto"/>
            <w:tcMar>
              <w:top w:w="0" w:type="dxa"/>
              <w:left w:w="0" w:type="dxa"/>
              <w:bottom w:w="0" w:type="dxa"/>
              <w:right w:w="0" w:type="dxa"/>
            </w:tcMar>
            <w:vAlign w:val="center"/>
          </w:tcPr>
          <w:p w14:paraId="01FFB965" w14:textId="77777777" w:rsidR="004F2309" w:rsidRDefault="00000000" w:rsidP="00340395">
            <w:pPr>
              <w:spacing w:before="40" w:after="40" w:line="228" w:lineRule="auto"/>
              <w:ind w:left="-20" w:right="-20"/>
              <w:jc w:val="center"/>
            </w:pPr>
            <w:r>
              <w:t>4%</w:t>
            </w:r>
            <w:r>
              <w:rPr>
                <w:vertAlign w:val="superscript"/>
              </w:rPr>
              <w:t>2</w:t>
            </w:r>
          </w:p>
        </w:tc>
      </w:tr>
      <w:tr w:rsidR="004F2309" w14:paraId="37CE4CC7" w14:textId="77777777" w:rsidTr="00340395">
        <w:trPr>
          <w:trHeight w:val="450"/>
        </w:trPr>
        <w:tc>
          <w:tcPr>
            <w:tcW w:w="1175" w:type="dxa"/>
            <w:tcBorders>
              <w:top w:val="single" w:sz="6" w:space="0" w:color="000000"/>
              <w:left w:val="nil"/>
              <w:bottom w:val="single" w:sz="6" w:space="0" w:color="000000"/>
              <w:right w:val="nil"/>
            </w:tcBorders>
            <w:shd w:val="clear" w:color="auto" w:fill="auto"/>
            <w:tcMar>
              <w:top w:w="0" w:type="dxa"/>
              <w:left w:w="0" w:type="dxa"/>
              <w:bottom w:w="0" w:type="dxa"/>
              <w:right w:w="0" w:type="dxa"/>
            </w:tcMar>
            <w:vAlign w:val="center"/>
          </w:tcPr>
          <w:p w14:paraId="7AF23B0D" w14:textId="77777777" w:rsidR="004F2309" w:rsidRDefault="00000000" w:rsidP="00340395">
            <w:pPr>
              <w:spacing w:before="40" w:after="40" w:line="228" w:lineRule="auto"/>
              <w:ind w:left="-20" w:right="-20"/>
              <w:jc w:val="center"/>
            </w:pPr>
            <w:r>
              <w:t>Slovenia</w:t>
            </w:r>
          </w:p>
        </w:tc>
        <w:tc>
          <w:tcPr>
            <w:tcW w:w="1305" w:type="dxa"/>
            <w:tcBorders>
              <w:top w:val="single" w:sz="6" w:space="0" w:color="000000"/>
              <w:left w:val="nil"/>
              <w:bottom w:val="single" w:sz="6" w:space="0" w:color="000000"/>
              <w:right w:val="nil"/>
            </w:tcBorders>
            <w:shd w:val="clear" w:color="auto" w:fill="auto"/>
            <w:tcMar>
              <w:top w:w="0" w:type="dxa"/>
              <w:left w:w="0" w:type="dxa"/>
              <w:bottom w:w="0" w:type="dxa"/>
              <w:right w:w="0" w:type="dxa"/>
            </w:tcMar>
            <w:vAlign w:val="center"/>
          </w:tcPr>
          <w:p w14:paraId="39D05184" w14:textId="77777777" w:rsidR="004F2309" w:rsidRDefault="00000000" w:rsidP="00340395">
            <w:pPr>
              <w:spacing w:before="40" w:after="40" w:line="228" w:lineRule="auto"/>
              <w:ind w:left="-20" w:right="-20"/>
              <w:jc w:val="center"/>
            </w:pPr>
            <w:r>
              <w:t>nda</w:t>
            </w:r>
            <w:r>
              <w:rPr>
                <w:vertAlign w:val="superscript"/>
              </w:rPr>
              <w:t>1</w:t>
            </w:r>
          </w:p>
        </w:tc>
        <w:tc>
          <w:tcPr>
            <w:tcW w:w="1215" w:type="dxa"/>
            <w:tcBorders>
              <w:top w:val="single" w:sz="6" w:space="0" w:color="000000"/>
              <w:left w:val="nil"/>
              <w:bottom w:val="single" w:sz="6" w:space="0" w:color="000000"/>
              <w:right w:val="nil"/>
            </w:tcBorders>
            <w:shd w:val="clear" w:color="auto" w:fill="auto"/>
            <w:tcMar>
              <w:top w:w="0" w:type="dxa"/>
              <w:left w:w="0" w:type="dxa"/>
              <w:bottom w:w="0" w:type="dxa"/>
              <w:right w:w="0" w:type="dxa"/>
            </w:tcMar>
            <w:vAlign w:val="center"/>
          </w:tcPr>
          <w:p w14:paraId="07D40F18" w14:textId="77777777" w:rsidR="004F2309" w:rsidRDefault="00000000" w:rsidP="00340395">
            <w:pPr>
              <w:spacing w:before="40" w:after="40" w:line="228" w:lineRule="auto"/>
              <w:ind w:left="-20" w:right="-20"/>
              <w:jc w:val="center"/>
            </w:pPr>
            <w:r>
              <w:t>nda</w:t>
            </w:r>
            <w:r>
              <w:rPr>
                <w:vertAlign w:val="superscript"/>
              </w:rPr>
              <w:t>1</w:t>
            </w:r>
          </w:p>
        </w:tc>
        <w:tc>
          <w:tcPr>
            <w:tcW w:w="1260" w:type="dxa"/>
            <w:tcBorders>
              <w:top w:val="single" w:sz="6" w:space="0" w:color="000000"/>
              <w:left w:val="nil"/>
              <w:bottom w:val="single" w:sz="6" w:space="0" w:color="000000"/>
              <w:right w:val="nil"/>
            </w:tcBorders>
            <w:shd w:val="clear" w:color="auto" w:fill="auto"/>
            <w:tcMar>
              <w:top w:w="0" w:type="dxa"/>
              <w:left w:w="0" w:type="dxa"/>
              <w:bottom w:w="0" w:type="dxa"/>
              <w:right w:w="0" w:type="dxa"/>
            </w:tcMar>
            <w:vAlign w:val="center"/>
          </w:tcPr>
          <w:p w14:paraId="6D53D2E6" w14:textId="77777777" w:rsidR="004F2309" w:rsidRDefault="00000000" w:rsidP="00340395">
            <w:pPr>
              <w:spacing w:before="40" w:after="40" w:line="228" w:lineRule="auto"/>
              <w:ind w:left="-20" w:right="-20"/>
              <w:jc w:val="center"/>
            </w:pPr>
            <w:r>
              <w:t>nda</w:t>
            </w:r>
            <w:r>
              <w:rPr>
                <w:vertAlign w:val="superscript"/>
              </w:rPr>
              <w:t>1</w:t>
            </w:r>
          </w:p>
        </w:tc>
        <w:tc>
          <w:tcPr>
            <w:tcW w:w="1305" w:type="dxa"/>
            <w:tcBorders>
              <w:top w:val="single" w:sz="6" w:space="0" w:color="000000"/>
              <w:left w:val="nil"/>
              <w:bottom w:val="single" w:sz="6" w:space="0" w:color="000000"/>
              <w:right w:val="nil"/>
            </w:tcBorders>
            <w:shd w:val="clear" w:color="auto" w:fill="auto"/>
            <w:tcMar>
              <w:top w:w="0" w:type="dxa"/>
              <w:left w:w="0" w:type="dxa"/>
              <w:bottom w:w="0" w:type="dxa"/>
              <w:right w:w="0" w:type="dxa"/>
            </w:tcMar>
            <w:vAlign w:val="center"/>
          </w:tcPr>
          <w:p w14:paraId="43CEB0D3" w14:textId="77777777" w:rsidR="004F2309" w:rsidRDefault="00000000" w:rsidP="00340395">
            <w:pPr>
              <w:spacing w:before="40" w:after="40" w:line="228" w:lineRule="auto"/>
              <w:ind w:left="-20" w:right="-20"/>
              <w:jc w:val="center"/>
            </w:pPr>
            <w:r>
              <w:t>nda</w:t>
            </w:r>
            <w:r>
              <w:rPr>
                <w:vertAlign w:val="superscript"/>
              </w:rPr>
              <w:t>1</w:t>
            </w:r>
          </w:p>
        </w:tc>
        <w:tc>
          <w:tcPr>
            <w:tcW w:w="1185" w:type="dxa"/>
            <w:tcBorders>
              <w:top w:val="single" w:sz="6" w:space="0" w:color="000000"/>
              <w:left w:val="nil"/>
              <w:bottom w:val="single" w:sz="6" w:space="0" w:color="000000"/>
              <w:right w:val="nil"/>
            </w:tcBorders>
            <w:shd w:val="clear" w:color="auto" w:fill="auto"/>
            <w:tcMar>
              <w:top w:w="0" w:type="dxa"/>
              <w:left w:w="0" w:type="dxa"/>
              <w:bottom w:w="0" w:type="dxa"/>
              <w:right w:w="0" w:type="dxa"/>
            </w:tcMar>
            <w:vAlign w:val="center"/>
          </w:tcPr>
          <w:p w14:paraId="6B625E73" w14:textId="77777777" w:rsidR="004F2309" w:rsidRDefault="00000000" w:rsidP="00340395">
            <w:pPr>
              <w:spacing w:before="40" w:after="40" w:line="228" w:lineRule="auto"/>
              <w:ind w:left="-20" w:right="-20"/>
              <w:jc w:val="center"/>
            </w:pPr>
            <w:r>
              <w:t>4.6%</w:t>
            </w:r>
            <w:r>
              <w:rPr>
                <w:vertAlign w:val="superscript"/>
              </w:rPr>
              <w:t>2</w:t>
            </w:r>
          </w:p>
        </w:tc>
      </w:tr>
      <w:tr w:rsidR="004F2309" w14:paraId="4D82A9B0" w14:textId="77777777" w:rsidTr="00340395">
        <w:trPr>
          <w:trHeight w:val="390"/>
        </w:trPr>
        <w:tc>
          <w:tcPr>
            <w:tcW w:w="1175" w:type="dxa"/>
            <w:tcBorders>
              <w:top w:val="single" w:sz="6" w:space="0" w:color="000000"/>
              <w:left w:val="nil"/>
              <w:bottom w:val="single" w:sz="12" w:space="0" w:color="000000"/>
              <w:right w:val="nil"/>
            </w:tcBorders>
            <w:shd w:val="clear" w:color="auto" w:fill="auto"/>
            <w:tcMar>
              <w:top w:w="0" w:type="dxa"/>
              <w:left w:w="0" w:type="dxa"/>
              <w:bottom w:w="0" w:type="dxa"/>
              <w:right w:w="0" w:type="dxa"/>
            </w:tcMar>
            <w:vAlign w:val="center"/>
          </w:tcPr>
          <w:p w14:paraId="00643075" w14:textId="77777777" w:rsidR="004F2309" w:rsidRDefault="00000000" w:rsidP="00340395">
            <w:pPr>
              <w:spacing w:before="40" w:after="40" w:line="228" w:lineRule="auto"/>
              <w:ind w:left="-20" w:right="-20"/>
              <w:jc w:val="center"/>
            </w:pPr>
            <w:r>
              <w:t>Slovakia</w:t>
            </w:r>
          </w:p>
        </w:tc>
        <w:tc>
          <w:tcPr>
            <w:tcW w:w="1305" w:type="dxa"/>
            <w:tcBorders>
              <w:top w:val="single" w:sz="6" w:space="0" w:color="000000"/>
              <w:left w:val="nil"/>
              <w:bottom w:val="single" w:sz="12" w:space="0" w:color="000000"/>
              <w:right w:val="nil"/>
            </w:tcBorders>
            <w:shd w:val="clear" w:color="auto" w:fill="auto"/>
            <w:tcMar>
              <w:top w:w="0" w:type="dxa"/>
              <w:left w:w="0" w:type="dxa"/>
              <w:bottom w:w="0" w:type="dxa"/>
              <w:right w:w="0" w:type="dxa"/>
            </w:tcMar>
            <w:vAlign w:val="center"/>
          </w:tcPr>
          <w:p w14:paraId="1EA3BAE5" w14:textId="77777777" w:rsidR="004F2309" w:rsidRDefault="00000000" w:rsidP="00340395">
            <w:pPr>
              <w:spacing w:before="40" w:after="40" w:line="228" w:lineRule="auto"/>
              <w:ind w:left="-20" w:right="-20"/>
              <w:jc w:val="center"/>
            </w:pPr>
            <w:r>
              <w:t>57%</w:t>
            </w:r>
          </w:p>
        </w:tc>
        <w:tc>
          <w:tcPr>
            <w:tcW w:w="1215" w:type="dxa"/>
            <w:tcBorders>
              <w:top w:val="single" w:sz="6" w:space="0" w:color="000000"/>
              <w:left w:val="nil"/>
              <w:bottom w:val="single" w:sz="12" w:space="0" w:color="000000"/>
              <w:right w:val="nil"/>
            </w:tcBorders>
            <w:shd w:val="clear" w:color="auto" w:fill="auto"/>
            <w:tcMar>
              <w:top w:w="0" w:type="dxa"/>
              <w:left w:w="0" w:type="dxa"/>
              <w:bottom w:w="0" w:type="dxa"/>
              <w:right w:w="0" w:type="dxa"/>
            </w:tcMar>
            <w:vAlign w:val="center"/>
          </w:tcPr>
          <w:p w14:paraId="0A459420" w14:textId="77777777" w:rsidR="004F2309" w:rsidRDefault="00000000" w:rsidP="00340395">
            <w:pPr>
              <w:spacing w:before="40" w:after="40" w:line="228" w:lineRule="auto"/>
              <w:ind w:left="-20" w:right="-20"/>
              <w:jc w:val="center"/>
            </w:pPr>
            <w:r>
              <w:t>0%</w:t>
            </w:r>
          </w:p>
        </w:tc>
        <w:tc>
          <w:tcPr>
            <w:tcW w:w="1260" w:type="dxa"/>
            <w:tcBorders>
              <w:top w:val="single" w:sz="6" w:space="0" w:color="000000"/>
              <w:left w:val="nil"/>
              <w:bottom w:val="single" w:sz="12" w:space="0" w:color="000000"/>
              <w:right w:val="nil"/>
            </w:tcBorders>
            <w:shd w:val="clear" w:color="auto" w:fill="auto"/>
            <w:tcMar>
              <w:top w:w="0" w:type="dxa"/>
              <w:left w:w="0" w:type="dxa"/>
              <w:bottom w:w="0" w:type="dxa"/>
              <w:right w:w="0" w:type="dxa"/>
            </w:tcMar>
            <w:vAlign w:val="center"/>
          </w:tcPr>
          <w:p w14:paraId="2A504294" w14:textId="77777777" w:rsidR="004F2309" w:rsidRDefault="00000000" w:rsidP="00340395">
            <w:pPr>
              <w:spacing w:before="40" w:after="40" w:line="228" w:lineRule="auto"/>
              <w:ind w:left="-20" w:right="-20"/>
              <w:jc w:val="center"/>
            </w:pPr>
            <w:r>
              <w:t>34%</w:t>
            </w:r>
          </w:p>
        </w:tc>
        <w:tc>
          <w:tcPr>
            <w:tcW w:w="1305" w:type="dxa"/>
            <w:tcBorders>
              <w:top w:val="single" w:sz="6" w:space="0" w:color="000000"/>
              <w:left w:val="nil"/>
              <w:bottom w:val="single" w:sz="12" w:space="0" w:color="000000"/>
              <w:right w:val="nil"/>
            </w:tcBorders>
            <w:shd w:val="clear" w:color="auto" w:fill="auto"/>
            <w:tcMar>
              <w:top w:w="0" w:type="dxa"/>
              <w:left w:w="0" w:type="dxa"/>
              <w:bottom w:w="0" w:type="dxa"/>
              <w:right w:w="0" w:type="dxa"/>
            </w:tcMar>
            <w:vAlign w:val="center"/>
          </w:tcPr>
          <w:p w14:paraId="6416EF05" w14:textId="77777777" w:rsidR="004F2309" w:rsidRDefault="00000000" w:rsidP="00340395">
            <w:pPr>
              <w:spacing w:before="40" w:after="40" w:line="228" w:lineRule="auto"/>
              <w:ind w:left="-20" w:right="-20"/>
              <w:jc w:val="center"/>
            </w:pPr>
            <w:r>
              <w:t>4.5%</w:t>
            </w:r>
          </w:p>
        </w:tc>
        <w:tc>
          <w:tcPr>
            <w:tcW w:w="1185" w:type="dxa"/>
            <w:tcBorders>
              <w:top w:val="single" w:sz="6" w:space="0" w:color="000000"/>
              <w:left w:val="nil"/>
              <w:bottom w:val="single" w:sz="12" w:space="0" w:color="000000"/>
              <w:right w:val="nil"/>
            </w:tcBorders>
            <w:shd w:val="clear" w:color="auto" w:fill="auto"/>
            <w:tcMar>
              <w:top w:w="0" w:type="dxa"/>
              <w:left w:w="0" w:type="dxa"/>
              <w:bottom w:w="0" w:type="dxa"/>
              <w:right w:w="0" w:type="dxa"/>
            </w:tcMar>
            <w:vAlign w:val="center"/>
          </w:tcPr>
          <w:p w14:paraId="5EDC890D" w14:textId="77777777" w:rsidR="004F2309" w:rsidRDefault="00000000" w:rsidP="00340395">
            <w:pPr>
              <w:spacing w:before="40" w:after="40" w:line="228" w:lineRule="auto"/>
              <w:ind w:left="-20" w:right="-20"/>
              <w:jc w:val="center"/>
            </w:pPr>
            <w:r>
              <w:t>4.5%</w:t>
            </w:r>
          </w:p>
        </w:tc>
      </w:tr>
      <w:tr w:rsidR="004F2309" w14:paraId="42490F75" w14:textId="77777777" w:rsidTr="00340395">
        <w:trPr>
          <w:trHeight w:val="390"/>
        </w:trPr>
        <w:tc>
          <w:tcPr>
            <w:tcW w:w="1175" w:type="dxa"/>
            <w:tcBorders>
              <w:top w:val="single" w:sz="12" w:space="0" w:color="000000"/>
              <w:left w:val="nil"/>
              <w:bottom w:val="single" w:sz="12" w:space="0" w:color="000000"/>
              <w:right w:val="nil"/>
            </w:tcBorders>
            <w:shd w:val="clear" w:color="auto" w:fill="auto"/>
            <w:tcMar>
              <w:top w:w="0" w:type="dxa"/>
              <w:left w:w="0" w:type="dxa"/>
              <w:bottom w:w="0" w:type="dxa"/>
              <w:right w:w="0" w:type="dxa"/>
            </w:tcMar>
            <w:vAlign w:val="center"/>
          </w:tcPr>
          <w:p w14:paraId="28B4A958" w14:textId="77777777" w:rsidR="004F2309" w:rsidRDefault="00000000" w:rsidP="00340395">
            <w:pPr>
              <w:spacing w:before="40" w:after="40" w:line="228" w:lineRule="auto"/>
              <w:ind w:left="-20" w:right="-20"/>
              <w:jc w:val="center"/>
            </w:pPr>
            <w:r>
              <w:rPr>
                <w:b/>
              </w:rPr>
              <w:t>Central region</w:t>
            </w:r>
          </w:p>
        </w:tc>
        <w:tc>
          <w:tcPr>
            <w:tcW w:w="1305" w:type="dxa"/>
            <w:tcBorders>
              <w:top w:val="single" w:sz="12" w:space="0" w:color="000000"/>
              <w:left w:val="nil"/>
              <w:bottom w:val="single" w:sz="12" w:space="0" w:color="000000"/>
              <w:right w:val="nil"/>
            </w:tcBorders>
            <w:shd w:val="clear" w:color="auto" w:fill="auto"/>
            <w:tcMar>
              <w:top w:w="0" w:type="dxa"/>
              <w:left w:w="0" w:type="dxa"/>
              <w:bottom w:w="0" w:type="dxa"/>
              <w:right w:w="0" w:type="dxa"/>
            </w:tcMar>
            <w:vAlign w:val="center"/>
          </w:tcPr>
          <w:p w14:paraId="35D157BB" w14:textId="77777777" w:rsidR="004F2309" w:rsidRDefault="00000000" w:rsidP="00340395">
            <w:pPr>
              <w:spacing w:before="40" w:after="40" w:line="228" w:lineRule="auto"/>
              <w:ind w:left="-20" w:right="-20"/>
              <w:jc w:val="center"/>
            </w:pPr>
            <w:r>
              <w:rPr>
                <w:b/>
              </w:rPr>
              <w:t>39.4%</w:t>
            </w:r>
          </w:p>
        </w:tc>
        <w:tc>
          <w:tcPr>
            <w:tcW w:w="1215" w:type="dxa"/>
            <w:tcBorders>
              <w:top w:val="single" w:sz="12" w:space="0" w:color="000000"/>
              <w:left w:val="nil"/>
              <w:bottom w:val="single" w:sz="12" w:space="0" w:color="000000"/>
              <w:right w:val="nil"/>
            </w:tcBorders>
            <w:shd w:val="clear" w:color="auto" w:fill="auto"/>
            <w:tcMar>
              <w:top w:w="0" w:type="dxa"/>
              <w:left w:w="0" w:type="dxa"/>
              <w:bottom w:w="0" w:type="dxa"/>
              <w:right w:w="0" w:type="dxa"/>
            </w:tcMar>
            <w:vAlign w:val="center"/>
          </w:tcPr>
          <w:p w14:paraId="3B1F74B4" w14:textId="77777777" w:rsidR="004F2309" w:rsidRDefault="00000000" w:rsidP="00340395">
            <w:pPr>
              <w:spacing w:before="40" w:after="40" w:line="228" w:lineRule="auto"/>
              <w:ind w:left="-20" w:right="-20"/>
              <w:jc w:val="center"/>
            </w:pPr>
            <w:r>
              <w:rPr>
                <w:b/>
              </w:rPr>
              <w:t>5.3%</w:t>
            </w:r>
          </w:p>
        </w:tc>
        <w:tc>
          <w:tcPr>
            <w:tcW w:w="1260" w:type="dxa"/>
            <w:tcBorders>
              <w:top w:val="single" w:sz="12" w:space="0" w:color="000000"/>
              <w:left w:val="nil"/>
              <w:bottom w:val="single" w:sz="12" w:space="0" w:color="000000"/>
              <w:right w:val="nil"/>
            </w:tcBorders>
            <w:shd w:val="clear" w:color="auto" w:fill="auto"/>
            <w:tcMar>
              <w:top w:w="0" w:type="dxa"/>
              <w:left w:w="0" w:type="dxa"/>
              <w:bottom w:w="0" w:type="dxa"/>
              <w:right w:w="0" w:type="dxa"/>
            </w:tcMar>
            <w:vAlign w:val="center"/>
          </w:tcPr>
          <w:p w14:paraId="40CCFA14" w14:textId="77777777" w:rsidR="004F2309" w:rsidRDefault="00000000" w:rsidP="00340395">
            <w:pPr>
              <w:spacing w:before="40" w:after="40" w:line="228" w:lineRule="auto"/>
              <w:ind w:left="-20" w:right="-20"/>
              <w:jc w:val="center"/>
            </w:pPr>
            <w:r>
              <w:rPr>
                <w:b/>
              </w:rPr>
              <w:t>34%</w:t>
            </w:r>
          </w:p>
        </w:tc>
        <w:tc>
          <w:tcPr>
            <w:tcW w:w="1305" w:type="dxa"/>
            <w:tcBorders>
              <w:top w:val="single" w:sz="12" w:space="0" w:color="000000"/>
              <w:left w:val="nil"/>
              <w:bottom w:val="single" w:sz="12" w:space="0" w:color="000000"/>
              <w:right w:val="nil"/>
            </w:tcBorders>
            <w:shd w:val="clear" w:color="auto" w:fill="auto"/>
            <w:tcMar>
              <w:top w:w="0" w:type="dxa"/>
              <w:left w:w="0" w:type="dxa"/>
              <w:bottom w:w="0" w:type="dxa"/>
              <w:right w:w="0" w:type="dxa"/>
            </w:tcMar>
            <w:vAlign w:val="center"/>
          </w:tcPr>
          <w:p w14:paraId="12A29F32" w14:textId="77777777" w:rsidR="004F2309" w:rsidRDefault="00000000" w:rsidP="00340395">
            <w:pPr>
              <w:spacing w:before="40" w:after="40" w:line="228" w:lineRule="auto"/>
              <w:ind w:left="-20" w:right="-20"/>
              <w:jc w:val="center"/>
            </w:pPr>
            <w:r>
              <w:rPr>
                <w:b/>
              </w:rPr>
              <w:t>5.3%</w:t>
            </w:r>
          </w:p>
        </w:tc>
        <w:tc>
          <w:tcPr>
            <w:tcW w:w="1185" w:type="dxa"/>
            <w:tcBorders>
              <w:top w:val="single" w:sz="12" w:space="0" w:color="000000"/>
              <w:left w:val="nil"/>
              <w:bottom w:val="single" w:sz="12" w:space="0" w:color="000000"/>
              <w:right w:val="nil"/>
            </w:tcBorders>
            <w:shd w:val="clear" w:color="auto" w:fill="auto"/>
            <w:tcMar>
              <w:top w:w="0" w:type="dxa"/>
              <w:left w:w="0" w:type="dxa"/>
              <w:bottom w:w="0" w:type="dxa"/>
              <w:right w:w="0" w:type="dxa"/>
            </w:tcMar>
            <w:vAlign w:val="center"/>
          </w:tcPr>
          <w:p w14:paraId="03C1F10C" w14:textId="77777777" w:rsidR="004F2309" w:rsidRDefault="00000000" w:rsidP="00340395">
            <w:pPr>
              <w:spacing w:before="40" w:after="40" w:line="228" w:lineRule="auto"/>
              <w:ind w:left="-20" w:right="-20"/>
              <w:jc w:val="center"/>
            </w:pPr>
            <w:r>
              <w:rPr>
                <w:b/>
              </w:rPr>
              <w:t>15.9%</w:t>
            </w:r>
          </w:p>
        </w:tc>
      </w:tr>
    </w:tbl>
    <w:p w14:paraId="19911D45" w14:textId="77777777" w:rsidR="007A2BBB" w:rsidRDefault="007A2BBB">
      <w:pPr>
        <w:shd w:val="clear" w:color="auto" w:fill="FFFFFF"/>
        <w:spacing w:before="240" w:after="240" w:line="228" w:lineRule="auto"/>
        <w:ind w:left="2551"/>
        <w:rPr>
          <w:i/>
        </w:rPr>
      </w:pPr>
    </w:p>
    <w:p w14:paraId="40C71363" w14:textId="77777777" w:rsidR="007A2BBB" w:rsidRDefault="007A2BBB">
      <w:pPr>
        <w:shd w:val="clear" w:color="auto" w:fill="FFFFFF"/>
        <w:spacing w:before="240" w:after="240" w:line="228" w:lineRule="auto"/>
        <w:ind w:left="2551"/>
        <w:rPr>
          <w:i/>
        </w:rPr>
      </w:pPr>
    </w:p>
    <w:p w14:paraId="68EFEDDA" w14:textId="77777777" w:rsidR="007A2BBB" w:rsidRDefault="007A2BBB">
      <w:pPr>
        <w:shd w:val="clear" w:color="auto" w:fill="FFFFFF"/>
        <w:spacing w:before="240" w:after="240" w:line="228" w:lineRule="auto"/>
        <w:ind w:left="2551"/>
        <w:rPr>
          <w:i/>
        </w:rPr>
      </w:pPr>
    </w:p>
    <w:p w14:paraId="07E2DAE4" w14:textId="6C894383" w:rsidR="004F2309" w:rsidRDefault="00000000">
      <w:pPr>
        <w:shd w:val="clear" w:color="auto" w:fill="FFFFFF"/>
        <w:spacing w:before="240" w:after="240" w:line="228" w:lineRule="auto"/>
        <w:ind w:left="2551"/>
        <w:rPr>
          <w:i/>
        </w:rPr>
      </w:pPr>
      <w:r>
        <w:rPr>
          <w:i/>
        </w:rPr>
        <w:t>1.2. Mediterranean region</w:t>
      </w:r>
    </w:p>
    <w:p w14:paraId="24F41913" w14:textId="77777777" w:rsidR="004F2309" w:rsidRDefault="00000000" w:rsidP="007A2BBB">
      <w:pPr>
        <w:shd w:val="clear" w:color="auto" w:fill="FFFFFF"/>
        <w:spacing w:before="240" w:after="240" w:line="228" w:lineRule="auto"/>
        <w:ind w:left="2551" w:firstLine="329"/>
      </w:pPr>
      <w:r>
        <w:lastRenderedPageBreak/>
        <w:t xml:space="preserve">For this region, it was possible to obtain sludge production data for all countries, but not for the same time series. In this sense, for Greece, Malta and Cyprus data was available for 2021, while for Spain, France, Portugal, and Italy data was available for 2018, 2017, 2016 and 2010, respectively. The data of the sludge production per country was collected from Eurostat database </w:t>
      </w:r>
      <w:r w:rsidR="00E86D38">
        <w:t>[1]</w:t>
      </w:r>
      <w:r>
        <w:t xml:space="preserve"> </w:t>
      </w:r>
    </w:p>
    <w:p w14:paraId="4372A2E0" w14:textId="77777777" w:rsidR="004F2309" w:rsidRDefault="00000000">
      <w:pPr>
        <w:shd w:val="clear" w:color="auto" w:fill="FFFFFF"/>
        <w:spacing w:before="240" w:after="240" w:line="228" w:lineRule="auto"/>
        <w:ind w:left="2551"/>
      </w:pPr>
      <w:r>
        <w:t>As mentioned before, there are different types of stabilisation methods. The distribution of their utilisation varies from country to country. For the Mediterranean region, it was possible to obtain information from l</w:t>
      </w:r>
      <w:r w:rsidRPr="00E86D38">
        <w:t xml:space="preserve">iterature </w:t>
      </w:r>
      <w:r w:rsidR="00E86D38">
        <w:t xml:space="preserve">[4] </w:t>
      </w:r>
      <w:r w:rsidRPr="00E86D38">
        <w:t xml:space="preserve">only for Spain </w:t>
      </w:r>
      <w:r>
        <w:t>and only for anaerobic and aerobic digestion. For the rest of the stabilisation methods, an estimation was made assigning the remaining percentage (once the two types of digestion were subtracted) equally among the 3 processes left. Table S2 shows the distribution of the methods.</w:t>
      </w:r>
    </w:p>
    <w:p w14:paraId="1FDF5553" w14:textId="77777777" w:rsidR="004F2309" w:rsidRDefault="00000000">
      <w:pPr>
        <w:spacing w:line="228" w:lineRule="auto"/>
        <w:ind w:left="2160" w:firstLine="720"/>
        <w:jc w:val="left"/>
      </w:pPr>
      <w:r>
        <w:rPr>
          <w:b/>
        </w:rPr>
        <w:t>Table S2.</w:t>
      </w:r>
      <w:r>
        <w:t xml:space="preserve"> Stabilisation method distribution for the Mediterranean region for sludge </w:t>
      </w:r>
    </w:p>
    <w:tbl>
      <w:tblPr>
        <w:tblStyle w:val="a1"/>
        <w:tblW w:w="7665" w:type="dxa"/>
        <w:tblInd w:w="2514" w:type="dxa"/>
        <w:tblLayout w:type="fixed"/>
        <w:tblLook w:val="0600" w:firstRow="0" w:lastRow="0" w:firstColumn="0" w:lastColumn="0" w:noHBand="1" w:noVBand="1"/>
      </w:tblPr>
      <w:tblGrid>
        <w:gridCol w:w="1455"/>
        <w:gridCol w:w="1290"/>
        <w:gridCol w:w="1095"/>
        <w:gridCol w:w="1200"/>
        <w:gridCol w:w="1395"/>
        <w:gridCol w:w="1230"/>
      </w:tblGrid>
      <w:tr w:rsidR="004F2309" w14:paraId="5249EE41" w14:textId="77777777" w:rsidTr="00340395">
        <w:trPr>
          <w:trHeight w:val="750"/>
        </w:trPr>
        <w:tc>
          <w:tcPr>
            <w:tcW w:w="1455" w:type="dxa"/>
            <w:tcBorders>
              <w:top w:val="single" w:sz="12" w:space="0" w:color="000000"/>
              <w:left w:val="nil"/>
              <w:bottom w:val="single" w:sz="6" w:space="0" w:color="000000"/>
              <w:right w:val="nil"/>
            </w:tcBorders>
            <w:shd w:val="clear" w:color="auto" w:fill="auto"/>
            <w:tcMar>
              <w:top w:w="0" w:type="dxa"/>
              <w:left w:w="0" w:type="dxa"/>
              <w:bottom w:w="0" w:type="dxa"/>
              <w:right w:w="0" w:type="dxa"/>
            </w:tcMar>
            <w:vAlign w:val="center"/>
          </w:tcPr>
          <w:p w14:paraId="55D924D9" w14:textId="77777777" w:rsidR="004F2309" w:rsidRDefault="004F2309" w:rsidP="00340395">
            <w:pPr>
              <w:spacing w:before="40" w:after="40" w:line="228" w:lineRule="auto"/>
              <w:ind w:right="-20"/>
              <w:jc w:val="center"/>
            </w:pPr>
          </w:p>
        </w:tc>
        <w:tc>
          <w:tcPr>
            <w:tcW w:w="1290" w:type="dxa"/>
            <w:tcBorders>
              <w:top w:val="single" w:sz="12" w:space="0" w:color="000000"/>
              <w:left w:val="nil"/>
              <w:bottom w:val="single" w:sz="6" w:space="0" w:color="000000"/>
              <w:right w:val="nil"/>
            </w:tcBorders>
            <w:shd w:val="clear" w:color="auto" w:fill="auto"/>
            <w:tcMar>
              <w:top w:w="0" w:type="dxa"/>
              <w:left w:w="0" w:type="dxa"/>
              <w:bottom w:w="0" w:type="dxa"/>
              <w:right w:w="0" w:type="dxa"/>
            </w:tcMar>
            <w:vAlign w:val="center"/>
          </w:tcPr>
          <w:p w14:paraId="06676E8E" w14:textId="77777777" w:rsidR="004F2309" w:rsidRDefault="00000000" w:rsidP="00340395">
            <w:pPr>
              <w:spacing w:before="40" w:after="40" w:line="228" w:lineRule="auto"/>
              <w:ind w:left="-20" w:right="-20"/>
              <w:jc w:val="center"/>
              <w:rPr>
                <w:b/>
              </w:rPr>
            </w:pPr>
            <w:r>
              <w:rPr>
                <w:b/>
              </w:rPr>
              <w:t>Anaerobic digestion</w:t>
            </w:r>
          </w:p>
        </w:tc>
        <w:tc>
          <w:tcPr>
            <w:tcW w:w="1095" w:type="dxa"/>
            <w:tcBorders>
              <w:top w:val="single" w:sz="12" w:space="0" w:color="000000"/>
              <w:left w:val="nil"/>
              <w:bottom w:val="single" w:sz="6" w:space="0" w:color="000000"/>
              <w:right w:val="nil"/>
            </w:tcBorders>
            <w:shd w:val="clear" w:color="auto" w:fill="auto"/>
            <w:tcMar>
              <w:top w:w="0" w:type="dxa"/>
              <w:left w:w="0" w:type="dxa"/>
              <w:bottom w:w="0" w:type="dxa"/>
              <w:right w:w="0" w:type="dxa"/>
            </w:tcMar>
            <w:vAlign w:val="center"/>
          </w:tcPr>
          <w:p w14:paraId="4908E945" w14:textId="77777777" w:rsidR="004F2309" w:rsidRDefault="00000000" w:rsidP="00340395">
            <w:pPr>
              <w:spacing w:before="40" w:after="40" w:line="228" w:lineRule="auto"/>
              <w:ind w:left="-20" w:right="-20"/>
              <w:jc w:val="center"/>
              <w:rPr>
                <w:b/>
              </w:rPr>
            </w:pPr>
            <w:r>
              <w:rPr>
                <w:b/>
              </w:rPr>
              <w:t>Thermal drying</w:t>
            </w:r>
          </w:p>
        </w:tc>
        <w:tc>
          <w:tcPr>
            <w:tcW w:w="1200" w:type="dxa"/>
            <w:tcBorders>
              <w:top w:val="single" w:sz="12" w:space="0" w:color="000000"/>
              <w:left w:val="nil"/>
              <w:bottom w:val="single" w:sz="6" w:space="0" w:color="000000"/>
              <w:right w:val="nil"/>
            </w:tcBorders>
            <w:shd w:val="clear" w:color="auto" w:fill="auto"/>
            <w:tcMar>
              <w:top w:w="0" w:type="dxa"/>
              <w:left w:w="0" w:type="dxa"/>
              <w:bottom w:w="0" w:type="dxa"/>
              <w:right w:w="0" w:type="dxa"/>
            </w:tcMar>
            <w:vAlign w:val="center"/>
          </w:tcPr>
          <w:p w14:paraId="75E9D1EE" w14:textId="77777777" w:rsidR="004F2309" w:rsidRDefault="00000000" w:rsidP="00340395">
            <w:pPr>
              <w:spacing w:before="40" w:after="40" w:line="228" w:lineRule="auto"/>
              <w:ind w:left="-20" w:right="-20"/>
              <w:jc w:val="center"/>
              <w:rPr>
                <w:b/>
              </w:rPr>
            </w:pPr>
            <w:r>
              <w:rPr>
                <w:b/>
              </w:rPr>
              <w:t>Aerobic digestion</w:t>
            </w:r>
          </w:p>
        </w:tc>
        <w:tc>
          <w:tcPr>
            <w:tcW w:w="1395" w:type="dxa"/>
            <w:tcBorders>
              <w:top w:val="single" w:sz="12" w:space="0" w:color="000000"/>
              <w:left w:val="nil"/>
              <w:bottom w:val="single" w:sz="6" w:space="0" w:color="000000"/>
              <w:right w:val="nil"/>
            </w:tcBorders>
            <w:shd w:val="clear" w:color="auto" w:fill="auto"/>
            <w:tcMar>
              <w:top w:w="0" w:type="dxa"/>
              <w:left w:w="0" w:type="dxa"/>
              <w:bottom w:w="0" w:type="dxa"/>
              <w:right w:w="0" w:type="dxa"/>
            </w:tcMar>
            <w:vAlign w:val="center"/>
          </w:tcPr>
          <w:p w14:paraId="26279DCF" w14:textId="77777777" w:rsidR="004F2309" w:rsidRDefault="00000000" w:rsidP="00340395">
            <w:pPr>
              <w:spacing w:before="40" w:after="40" w:line="228" w:lineRule="auto"/>
              <w:ind w:left="-20" w:right="-20"/>
              <w:jc w:val="center"/>
              <w:rPr>
                <w:b/>
              </w:rPr>
            </w:pPr>
            <w:r>
              <w:rPr>
                <w:b/>
              </w:rPr>
              <w:t>Chemical treatment</w:t>
            </w:r>
          </w:p>
        </w:tc>
        <w:tc>
          <w:tcPr>
            <w:tcW w:w="1230" w:type="dxa"/>
            <w:tcBorders>
              <w:top w:val="single" w:sz="12" w:space="0" w:color="000000"/>
              <w:left w:val="nil"/>
              <w:bottom w:val="single" w:sz="6" w:space="0" w:color="000000"/>
              <w:right w:val="nil"/>
            </w:tcBorders>
            <w:shd w:val="clear" w:color="auto" w:fill="auto"/>
            <w:tcMar>
              <w:top w:w="0" w:type="dxa"/>
              <w:left w:w="0" w:type="dxa"/>
              <w:bottom w:w="0" w:type="dxa"/>
              <w:right w:w="0" w:type="dxa"/>
            </w:tcMar>
            <w:vAlign w:val="center"/>
          </w:tcPr>
          <w:p w14:paraId="58DDDBE6" w14:textId="77777777" w:rsidR="004F2309" w:rsidRDefault="00000000" w:rsidP="00340395">
            <w:pPr>
              <w:spacing w:before="40" w:after="40" w:line="228" w:lineRule="auto"/>
              <w:ind w:left="-20" w:right="-20"/>
              <w:jc w:val="center"/>
              <w:rPr>
                <w:b/>
              </w:rPr>
            </w:pPr>
            <w:r>
              <w:rPr>
                <w:b/>
              </w:rPr>
              <w:t>Composting</w:t>
            </w:r>
          </w:p>
        </w:tc>
      </w:tr>
      <w:tr w:rsidR="004F2309" w14:paraId="11546635" w14:textId="77777777" w:rsidTr="00340395">
        <w:trPr>
          <w:trHeight w:val="450"/>
        </w:trPr>
        <w:tc>
          <w:tcPr>
            <w:tcW w:w="1455" w:type="dxa"/>
            <w:tcBorders>
              <w:top w:val="single" w:sz="6" w:space="0" w:color="000000"/>
              <w:left w:val="nil"/>
              <w:bottom w:val="single" w:sz="12" w:space="0" w:color="000000"/>
              <w:right w:val="nil"/>
            </w:tcBorders>
            <w:shd w:val="clear" w:color="auto" w:fill="auto"/>
            <w:tcMar>
              <w:top w:w="0" w:type="dxa"/>
              <w:left w:w="0" w:type="dxa"/>
              <w:bottom w:w="0" w:type="dxa"/>
              <w:right w:w="0" w:type="dxa"/>
            </w:tcMar>
            <w:vAlign w:val="center"/>
          </w:tcPr>
          <w:p w14:paraId="79461C6F" w14:textId="77777777" w:rsidR="004F2309" w:rsidRDefault="00000000" w:rsidP="00340395">
            <w:pPr>
              <w:spacing w:before="40" w:after="40" w:line="228" w:lineRule="auto"/>
              <w:ind w:left="-20" w:right="-20"/>
              <w:jc w:val="center"/>
            </w:pPr>
            <w:r>
              <w:t>Spain</w:t>
            </w:r>
          </w:p>
        </w:tc>
        <w:tc>
          <w:tcPr>
            <w:tcW w:w="1290" w:type="dxa"/>
            <w:tcBorders>
              <w:top w:val="single" w:sz="6" w:space="0" w:color="000000"/>
              <w:left w:val="nil"/>
              <w:bottom w:val="single" w:sz="12" w:space="0" w:color="000000"/>
              <w:right w:val="nil"/>
            </w:tcBorders>
            <w:shd w:val="clear" w:color="auto" w:fill="auto"/>
            <w:tcMar>
              <w:top w:w="0" w:type="dxa"/>
              <w:left w:w="0" w:type="dxa"/>
              <w:bottom w:w="0" w:type="dxa"/>
              <w:right w:w="0" w:type="dxa"/>
            </w:tcMar>
            <w:vAlign w:val="center"/>
          </w:tcPr>
          <w:p w14:paraId="11BDD2F3" w14:textId="77777777" w:rsidR="004F2309" w:rsidRDefault="00000000" w:rsidP="00340395">
            <w:pPr>
              <w:spacing w:before="40" w:after="40" w:line="228" w:lineRule="auto"/>
              <w:ind w:left="-20" w:right="-20"/>
              <w:jc w:val="center"/>
            </w:pPr>
            <w:r>
              <w:t>68.2%</w:t>
            </w:r>
          </w:p>
        </w:tc>
        <w:tc>
          <w:tcPr>
            <w:tcW w:w="1095" w:type="dxa"/>
            <w:tcBorders>
              <w:top w:val="single" w:sz="6" w:space="0" w:color="000000"/>
              <w:left w:val="nil"/>
              <w:bottom w:val="single" w:sz="12" w:space="0" w:color="000000"/>
              <w:right w:val="nil"/>
            </w:tcBorders>
            <w:shd w:val="clear" w:color="auto" w:fill="auto"/>
            <w:tcMar>
              <w:top w:w="0" w:type="dxa"/>
              <w:left w:w="0" w:type="dxa"/>
              <w:bottom w:w="0" w:type="dxa"/>
              <w:right w:w="0" w:type="dxa"/>
            </w:tcMar>
            <w:vAlign w:val="center"/>
          </w:tcPr>
          <w:p w14:paraId="3A527B3C" w14:textId="77777777" w:rsidR="004F2309" w:rsidRDefault="00000000" w:rsidP="00340395">
            <w:pPr>
              <w:spacing w:before="40" w:after="40" w:line="228" w:lineRule="auto"/>
              <w:ind w:left="-20" w:right="-20"/>
              <w:jc w:val="center"/>
            </w:pPr>
            <w:r>
              <w:t>nda%</w:t>
            </w:r>
          </w:p>
        </w:tc>
        <w:tc>
          <w:tcPr>
            <w:tcW w:w="1200" w:type="dxa"/>
            <w:tcBorders>
              <w:top w:val="single" w:sz="6" w:space="0" w:color="000000"/>
              <w:left w:val="nil"/>
              <w:bottom w:val="single" w:sz="12" w:space="0" w:color="000000"/>
              <w:right w:val="nil"/>
            </w:tcBorders>
            <w:shd w:val="clear" w:color="auto" w:fill="auto"/>
            <w:tcMar>
              <w:top w:w="0" w:type="dxa"/>
              <w:left w:w="0" w:type="dxa"/>
              <w:bottom w:w="0" w:type="dxa"/>
              <w:right w:w="0" w:type="dxa"/>
            </w:tcMar>
            <w:vAlign w:val="center"/>
          </w:tcPr>
          <w:p w14:paraId="094E872A" w14:textId="77777777" w:rsidR="004F2309" w:rsidRDefault="00000000" w:rsidP="00340395">
            <w:pPr>
              <w:spacing w:before="40" w:after="40" w:line="228" w:lineRule="auto"/>
              <w:ind w:left="-20" w:right="-20"/>
              <w:jc w:val="center"/>
            </w:pPr>
            <w:r>
              <w:t>13.7%</w:t>
            </w:r>
          </w:p>
        </w:tc>
        <w:tc>
          <w:tcPr>
            <w:tcW w:w="1395" w:type="dxa"/>
            <w:tcBorders>
              <w:top w:val="single" w:sz="6" w:space="0" w:color="000000"/>
              <w:left w:val="nil"/>
              <w:bottom w:val="single" w:sz="12" w:space="0" w:color="000000"/>
              <w:right w:val="nil"/>
            </w:tcBorders>
            <w:shd w:val="clear" w:color="auto" w:fill="auto"/>
            <w:tcMar>
              <w:top w:w="0" w:type="dxa"/>
              <w:left w:w="0" w:type="dxa"/>
              <w:bottom w:w="0" w:type="dxa"/>
              <w:right w:w="0" w:type="dxa"/>
            </w:tcMar>
            <w:vAlign w:val="center"/>
          </w:tcPr>
          <w:p w14:paraId="24A40BFC" w14:textId="77777777" w:rsidR="004F2309" w:rsidRDefault="00000000" w:rsidP="00340395">
            <w:pPr>
              <w:spacing w:before="40" w:after="40" w:line="228" w:lineRule="auto"/>
              <w:ind w:left="-20" w:right="-20"/>
              <w:jc w:val="center"/>
            </w:pPr>
            <w:r>
              <w:t>nda</w:t>
            </w:r>
          </w:p>
        </w:tc>
        <w:tc>
          <w:tcPr>
            <w:tcW w:w="1230" w:type="dxa"/>
            <w:tcBorders>
              <w:top w:val="single" w:sz="6" w:space="0" w:color="000000"/>
              <w:left w:val="nil"/>
              <w:bottom w:val="single" w:sz="12" w:space="0" w:color="000000"/>
              <w:right w:val="nil"/>
            </w:tcBorders>
            <w:shd w:val="clear" w:color="auto" w:fill="auto"/>
            <w:tcMar>
              <w:top w:w="0" w:type="dxa"/>
              <w:left w:w="0" w:type="dxa"/>
              <w:bottom w:w="0" w:type="dxa"/>
              <w:right w:w="0" w:type="dxa"/>
            </w:tcMar>
            <w:vAlign w:val="center"/>
          </w:tcPr>
          <w:p w14:paraId="446C7F17" w14:textId="77777777" w:rsidR="004F2309" w:rsidRDefault="00000000" w:rsidP="00340395">
            <w:pPr>
              <w:spacing w:before="40" w:after="40" w:line="228" w:lineRule="auto"/>
              <w:ind w:left="-20" w:right="-20"/>
              <w:jc w:val="center"/>
            </w:pPr>
            <w:r>
              <w:t>nda</w:t>
            </w:r>
          </w:p>
        </w:tc>
      </w:tr>
      <w:tr w:rsidR="004F2309" w14:paraId="4675831B" w14:textId="77777777" w:rsidTr="00340395">
        <w:trPr>
          <w:trHeight w:val="390"/>
        </w:trPr>
        <w:tc>
          <w:tcPr>
            <w:tcW w:w="1455" w:type="dxa"/>
            <w:tcBorders>
              <w:top w:val="single" w:sz="12" w:space="0" w:color="000000"/>
              <w:left w:val="nil"/>
              <w:bottom w:val="single" w:sz="12" w:space="0" w:color="000000"/>
              <w:right w:val="nil"/>
            </w:tcBorders>
            <w:shd w:val="clear" w:color="auto" w:fill="auto"/>
            <w:tcMar>
              <w:top w:w="0" w:type="dxa"/>
              <w:left w:w="0" w:type="dxa"/>
              <w:bottom w:w="0" w:type="dxa"/>
              <w:right w:w="0" w:type="dxa"/>
            </w:tcMar>
            <w:vAlign w:val="center"/>
          </w:tcPr>
          <w:p w14:paraId="6DE1B25A" w14:textId="77777777" w:rsidR="004F2309" w:rsidRDefault="00000000" w:rsidP="00340395">
            <w:pPr>
              <w:spacing w:before="40" w:after="40" w:line="228" w:lineRule="auto"/>
              <w:ind w:left="-20" w:right="-20"/>
              <w:jc w:val="center"/>
            </w:pPr>
            <w:r>
              <w:rPr>
                <w:b/>
              </w:rPr>
              <w:t>Mediterranean region</w:t>
            </w:r>
          </w:p>
        </w:tc>
        <w:tc>
          <w:tcPr>
            <w:tcW w:w="1290" w:type="dxa"/>
            <w:tcBorders>
              <w:top w:val="single" w:sz="12" w:space="0" w:color="000000"/>
              <w:left w:val="nil"/>
              <w:bottom w:val="single" w:sz="12" w:space="0" w:color="000000"/>
              <w:right w:val="nil"/>
            </w:tcBorders>
            <w:shd w:val="clear" w:color="auto" w:fill="auto"/>
            <w:tcMar>
              <w:top w:w="0" w:type="dxa"/>
              <w:left w:w="0" w:type="dxa"/>
              <w:bottom w:w="0" w:type="dxa"/>
              <w:right w:w="0" w:type="dxa"/>
            </w:tcMar>
            <w:vAlign w:val="center"/>
          </w:tcPr>
          <w:p w14:paraId="06842242" w14:textId="77777777" w:rsidR="004F2309" w:rsidRDefault="00000000" w:rsidP="00340395">
            <w:pPr>
              <w:spacing w:before="40" w:after="40" w:line="228" w:lineRule="auto"/>
              <w:ind w:left="-20" w:right="-20"/>
              <w:jc w:val="center"/>
            </w:pPr>
            <w:r>
              <w:rPr>
                <w:b/>
              </w:rPr>
              <w:t>68.2%</w:t>
            </w:r>
          </w:p>
        </w:tc>
        <w:tc>
          <w:tcPr>
            <w:tcW w:w="1095" w:type="dxa"/>
            <w:tcBorders>
              <w:top w:val="single" w:sz="12" w:space="0" w:color="000000"/>
              <w:left w:val="nil"/>
              <w:bottom w:val="single" w:sz="12" w:space="0" w:color="000000"/>
              <w:right w:val="nil"/>
            </w:tcBorders>
            <w:shd w:val="clear" w:color="auto" w:fill="auto"/>
            <w:tcMar>
              <w:top w:w="0" w:type="dxa"/>
              <w:left w:w="0" w:type="dxa"/>
              <w:bottom w:w="0" w:type="dxa"/>
              <w:right w:w="0" w:type="dxa"/>
            </w:tcMar>
            <w:vAlign w:val="center"/>
          </w:tcPr>
          <w:p w14:paraId="1622DF53" w14:textId="77777777" w:rsidR="004F2309" w:rsidRDefault="00000000" w:rsidP="00340395">
            <w:pPr>
              <w:spacing w:before="40" w:after="40" w:line="228" w:lineRule="auto"/>
              <w:ind w:left="-20" w:right="-20"/>
              <w:jc w:val="center"/>
            </w:pPr>
            <w:r>
              <w:rPr>
                <w:b/>
              </w:rPr>
              <w:t>6%</w:t>
            </w:r>
          </w:p>
        </w:tc>
        <w:tc>
          <w:tcPr>
            <w:tcW w:w="1200" w:type="dxa"/>
            <w:tcBorders>
              <w:top w:val="single" w:sz="12" w:space="0" w:color="000000"/>
              <w:left w:val="nil"/>
              <w:bottom w:val="single" w:sz="12" w:space="0" w:color="000000"/>
              <w:right w:val="nil"/>
            </w:tcBorders>
            <w:shd w:val="clear" w:color="auto" w:fill="auto"/>
            <w:tcMar>
              <w:top w:w="0" w:type="dxa"/>
              <w:left w:w="0" w:type="dxa"/>
              <w:bottom w:w="0" w:type="dxa"/>
              <w:right w:w="0" w:type="dxa"/>
            </w:tcMar>
            <w:vAlign w:val="center"/>
          </w:tcPr>
          <w:p w14:paraId="52DE201C" w14:textId="77777777" w:rsidR="004F2309" w:rsidRDefault="00000000" w:rsidP="00340395">
            <w:pPr>
              <w:spacing w:before="40" w:after="40" w:line="228" w:lineRule="auto"/>
              <w:ind w:left="-20" w:right="-20"/>
              <w:jc w:val="center"/>
            </w:pPr>
            <w:r>
              <w:rPr>
                <w:b/>
              </w:rPr>
              <w:t>13.7%</w:t>
            </w:r>
          </w:p>
        </w:tc>
        <w:tc>
          <w:tcPr>
            <w:tcW w:w="1395" w:type="dxa"/>
            <w:tcBorders>
              <w:top w:val="single" w:sz="12" w:space="0" w:color="000000"/>
              <w:left w:val="nil"/>
              <w:bottom w:val="single" w:sz="12" w:space="0" w:color="000000"/>
              <w:right w:val="nil"/>
            </w:tcBorders>
            <w:shd w:val="clear" w:color="auto" w:fill="auto"/>
            <w:tcMar>
              <w:top w:w="0" w:type="dxa"/>
              <w:left w:w="0" w:type="dxa"/>
              <w:bottom w:w="0" w:type="dxa"/>
              <w:right w:w="0" w:type="dxa"/>
            </w:tcMar>
            <w:vAlign w:val="center"/>
          </w:tcPr>
          <w:p w14:paraId="2E82AB6A" w14:textId="77777777" w:rsidR="004F2309" w:rsidRDefault="00000000" w:rsidP="00340395">
            <w:pPr>
              <w:spacing w:before="40" w:after="40" w:line="228" w:lineRule="auto"/>
              <w:ind w:left="-20" w:right="-20"/>
              <w:jc w:val="center"/>
            </w:pPr>
            <w:r>
              <w:rPr>
                <w:b/>
              </w:rPr>
              <w:t>6%</w:t>
            </w:r>
          </w:p>
        </w:tc>
        <w:tc>
          <w:tcPr>
            <w:tcW w:w="1230" w:type="dxa"/>
            <w:tcBorders>
              <w:top w:val="single" w:sz="12" w:space="0" w:color="000000"/>
              <w:left w:val="nil"/>
              <w:bottom w:val="single" w:sz="12" w:space="0" w:color="000000"/>
              <w:right w:val="nil"/>
            </w:tcBorders>
            <w:shd w:val="clear" w:color="auto" w:fill="auto"/>
            <w:tcMar>
              <w:top w:w="0" w:type="dxa"/>
              <w:left w:w="0" w:type="dxa"/>
              <w:bottom w:w="0" w:type="dxa"/>
              <w:right w:w="0" w:type="dxa"/>
            </w:tcMar>
            <w:vAlign w:val="center"/>
          </w:tcPr>
          <w:p w14:paraId="65F6C1CB" w14:textId="77777777" w:rsidR="004F2309" w:rsidRDefault="00000000" w:rsidP="00340395">
            <w:pPr>
              <w:spacing w:before="40" w:after="40" w:line="228" w:lineRule="auto"/>
              <w:ind w:left="-20" w:right="-20"/>
              <w:jc w:val="center"/>
            </w:pPr>
            <w:r>
              <w:rPr>
                <w:b/>
              </w:rPr>
              <w:t>6%</w:t>
            </w:r>
          </w:p>
        </w:tc>
      </w:tr>
    </w:tbl>
    <w:p w14:paraId="25336E0A" w14:textId="77777777" w:rsidR="004F2309" w:rsidRDefault="004F2309" w:rsidP="00E86D38">
      <w:pPr>
        <w:shd w:val="clear" w:color="auto" w:fill="FFFFFF"/>
        <w:spacing w:before="240" w:after="240" w:line="228" w:lineRule="auto"/>
        <w:rPr>
          <w:i/>
        </w:rPr>
      </w:pPr>
    </w:p>
    <w:p w14:paraId="41113732" w14:textId="77777777" w:rsidR="004F2309" w:rsidRDefault="00000000">
      <w:pPr>
        <w:shd w:val="clear" w:color="auto" w:fill="FFFFFF"/>
        <w:spacing w:before="240" w:after="240" w:line="228" w:lineRule="auto"/>
        <w:ind w:left="2551"/>
        <w:rPr>
          <w:i/>
        </w:rPr>
      </w:pPr>
      <w:r>
        <w:rPr>
          <w:i/>
        </w:rPr>
        <w:t>1.3. Northern region</w:t>
      </w:r>
    </w:p>
    <w:p w14:paraId="4C7F5088" w14:textId="77777777" w:rsidR="004F2309" w:rsidRDefault="00000000" w:rsidP="007A2BBB">
      <w:pPr>
        <w:shd w:val="clear" w:color="auto" w:fill="FFFFFF"/>
        <w:spacing w:before="240" w:after="240" w:line="228" w:lineRule="auto"/>
        <w:ind w:left="2551" w:firstLine="329"/>
      </w:pPr>
      <w:r>
        <w:t xml:space="preserve">For the northern region, it was possible to obtain sludge production data for all countries, but not for the same time series. In this sense, for Estonia, Ireland, Latvia, Lithuania, </w:t>
      </w:r>
      <w:proofErr w:type="gramStart"/>
      <w:r>
        <w:t>Sweden</w:t>
      </w:r>
      <w:proofErr w:type="gramEnd"/>
      <w:r>
        <w:t xml:space="preserve"> and Norway data was available for 2021, while for Finland and Denmark data was available for 2020 and 2010, respectively. The data of the sludge production per country was collected from Eurostat database </w:t>
      </w:r>
      <w:r w:rsidR="00E86D38">
        <w:t>[1].</w:t>
      </w:r>
      <w:r>
        <w:t xml:space="preserve"> </w:t>
      </w:r>
    </w:p>
    <w:p w14:paraId="4B41434D" w14:textId="77777777" w:rsidR="004F2309" w:rsidRDefault="00000000" w:rsidP="007A2BBB">
      <w:pPr>
        <w:shd w:val="clear" w:color="auto" w:fill="FFFFFF"/>
        <w:spacing w:before="240" w:after="240" w:line="228" w:lineRule="auto"/>
        <w:ind w:left="2551" w:firstLine="329"/>
      </w:pPr>
      <w:r>
        <w:t xml:space="preserve">For the northern region it was possible to obtain information from literature </w:t>
      </w:r>
      <w:r w:rsidR="00E86D38">
        <w:t xml:space="preserve">[5] </w:t>
      </w:r>
      <w:r>
        <w:t>and only for Ireland. Table S3 shows the distribution of the methods. The process mix of Ireland was applied for the entire northern region.</w:t>
      </w:r>
    </w:p>
    <w:p w14:paraId="21BFCF45" w14:textId="77777777" w:rsidR="004F2309" w:rsidRDefault="00000000">
      <w:pPr>
        <w:spacing w:line="228" w:lineRule="auto"/>
        <w:ind w:left="2160" w:firstLine="720"/>
        <w:jc w:val="left"/>
      </w:pPr>
      <w:r>
        <w:rPr>
          <w:b/>
        </w:rPr>
        <w:t>Table S3.</w:t>
      </w:r>
      <w:r>
        <w:t xml:space="preserve"> Stabilisation method distribution for the Mediterranean region for sludge </w:t>
      </w:r>
    </w:p>
    <w:tbl>
      <w:tblPr>
        <w:tblStyle w:val="a2"/>
        <w:tblW w:w="7473" w:type="dxa"/>
        <w:tblInd w:w="2694" w:type="dxa"/>
        <w:tblLayout w:type="fixed"/>
        <w:tblLook w:val="0600" w:firstRow="0" w:lastRow="0" w:firstColumn="0" w:lastColumn="0" w:noHBand="1" w:noVBand="1"/>
      </w:tblPr>
      <w:tblGrid>
        <w:gridCol w:w="1263"/>
        <w:gridCol w:w="1290"/>
        <w:gridCol w:w="1095"/>
        <w:gridCol w:w="1200"/>
        <w:gridCol w:w="1395"/>
        <w:gridCol w:w="1230"/>
      </w:tblGrid>
      <w:tr w:rsidR="004F2309" w14:paraId="105468AE" w14:textId="77777777" w:rsidTr="00340395">
        <w:trPr>
          <w:trHeight w:val="750"/>
        </w:trPr>
        <w:tc>
          <w:tcPr>
            <w:tcW w:w="1263" w:type="dxa"/>
            <w:tcBorders>
              <w:top w:val="single" w:sz="12" w:space="0" w:color="000000"/>
              <w:left w:val="nil"/>
              <w:bottom w:val="single" w:sz="6" w:space="0" w:color="000000"/>
              <w:right w:val="nil"/>
            </w:tcBorders>
            <w:shd w:val="clear" w:color="auto" w:fill="auto"/>
            <w:tcMar>
              <w:top w:w="0" w:type="dxa"/>
              <w:left w:w="0" w:type="dxa"/>
              <w:bottom w:w="0" w:type="dxa"/>
              <w:right w:w="0" w:type="dxa"/>
            </w:tcMar>
            <w:vAlign w:val="center"/>
          </w:tcPr>
          <w:p w14:paraId="567F4BED" w14:textId="77777777" w:rsidR="004F2309" w:rsidRDefault="004F2309" w:rsidP="00340395">
            <w:pPr>
              <w:spacing w:before="40" w:after="40" w:line="228" w:lineRule="auto"/>
              <w:ind w:right="-20"/>
              <w:jc w:val="center"/>
            </w:pPr>
          </w:p>
        </w:tc>
        <w:tc>
          <w:tcPr>
            <w:tcW w:w="1290" w:type="dxa"/>
            <w:tcBorders>
              <w:top w:val="single" w:sz="12" w:space="0" w:color="000000"/>
              <w:left w:val="nil"/>
              <w:bottom w:val="single" w:sz="6" w:space="0" w:color="000000"/>
              <w:right w:val="nil"/>
            </w:tcBorders>
            <w:shd w:val="clear" w:color="auto" w:fill="auto"/>
            <w:tcMar>
              <w:top w:w="0" w:type="dxa"/>
              <w:left w:w="0" w:type="dxa"/>
              <w:bottom w:w="0" w:type="dxa"/>
              <w:right w:w="0" w:type="dxa"/>
            </w:tcMar>
            <w:vAlign w:val="center"/>
          </w:tcPr>
          <w:p w14:paraId="6C90B656" w14:textId="77777777" w:rsidR="004F2309" w:rsidRDefault="00000000" w:rsidP="00340395">
            <w:pPr>
              <w:spacing w:before="40" w:after="40" w:line="228" w:lineRule="auto"/>
              <w:ind w:left="-20" w:right="-20"/>
              <w:jc w:val="center"/>
              <w:rPr>
                <w:b/>
              </w:rPr>
            </w:pPr>
            <w:r>
              <w:rPr>
                <w:b/>
              </w:rPr>
              <w:t>Anaerobic digestion</w:t>
            </w:r>
          </w:p>
        </w:tc>
        <w:tc>
          <w:tcPr>
            <w:tcW w:w="1095" w:type="dxa"/>
            <w:tcBorders>
              <w:top w:val="single" w:sz="12" w:space="0" w:color="000000"/>
              <w:left w:val="nil"/>
              <w:bottom w:val="single" w:sz="6" w:space="0" w:color="000000"/>
              <w:right w:val="nil"/>
            </w:tcBorders>
            <w:shd w:val="clear" w:color="auto" w:fill="auto"/>
            <w:tcMar>
              <w:top w:w="0" w:type="dxa"/>
              <w:left w:w="0" w:type="dxa"/>
              <w:bottom w:w="0" w:type="dxa"/>
              <w:right w:w="0" w:type="dxa"/>
            </w:tcMar>
            <w:vAlign w:val="center"/>
          </w:tcPr>
          <w:p w14:paraId="06AFE906" w14:textId="77777777" w:rsidR="004F2309" w:rsidRDefault="00000000" w:rsidP="00340395">
            <w:pPr>
              <w:spacing w:before="40" w:after="40" w:line="228" w:lineRule="auto"/>
              <w:ind w:left="-20" w:right="-20"/>
              <w:jc w:val="center"/>
              <w:rPr>
                <w:b/>
              </w:rPr>
            </w:pPr>
            <w:r>
              <w:rPr>
                <w:b/>
              </w:rPr>
              <w:t>Thermal drying</w:t>
            </w:r>
          </w:p>
        </w:tc>
        <w:tc>
          <w:tcPr>
            <w:tcW w:w="1200" w:type="dxa"/>
            <w:tcBorders>
              <w:top w:val="single" w:sz="12" w:space="0" w:color="000000"/>
              <w:left w:val="nil"/>
              <w:bottom w:val="single" w:sz="6" w:space="0" w:color="000000"/>
              <w:right w:val="nil"/>
            </w:tcBorders>
            <w:shd w:val="clear" w:color="auto" w:fill="auto"/>
            <w:tcMar>
              <w:top w:w="0" w:type="dxa"/>
              <w:left w:w="0" w:type="dxa"/>
              <w:bottom w:w="0" w:type="dxa"/>
              <w:right w:w="0" w:type="dxa"/>
            </w:tcMar>
            <w:vAlign w:val="center"/>
          </w:tcPr>
          <w:p w14:paraId="258B2E53" w14:textId="77777777" w:rsidR="004F2309" w:rsidRDefault="00000000" w:rsidP="00340395">
            <w:pPr>
              <w:spacing w:before="40" w:after="40" w:line="228" w:lineRule="auto"/>
              <w:ind w:left="-20" w:right="-20"/>
              <w:jc w:val="center"/>
              <w:rPr>
                <w:b/>
              </w:rPr>
            </w:pPr>
            <w:r>
              <w:rPr>
                <w:b/>
              </w:rPr>
              <w:t>Aerobic digestion</w:t>
            </w:r>
          </w:p>
        </w:tc>
        <w:tc>
          <w:tcPr>
            <w:tcW w:w="1395" w:type="dxa"/>
            <w:tcBorders>
              <w:top w:val="single" w:sz="12" w:space="0" w:color="000000"/>
              <w:left w:val="nil"/>
              <w:bottom w:val="single" w:sz="6" w:space="0" w:color="000000"/>
              <w:right w:val="nil"/>
            </w:tcBorders>
            <w:shd w:val="clear" w:color="auto" w:fill="auto"/>
            <w:tcMar>
              <w:top w:w="0" w:type="dxa"/>
              <w:left w:w="0" w:type="dxa"/>
              <w:bottom w:w="0" w:type="dxa"/>
              <w:right w:w="0" w:type="dxa"/>
            </w:tcMar>
            <w:vAlign w:val="center"/>
          </w:tcPr>
          <w:p w14:paraId="677CE0E5" w14:textId="77777777" w:rsidR="004F2309" w:rsidRDefault="00000000" w:rsidP="00340395">
            <w:pPr>
              <w:spacing w:before="40" w:after="40" w:line="228" w:lineRule="auto"/>
              <w:ind w:left="-20" w:right="-20"/>
              <w:jc w:val="center"/>
              <w:rPr>
                <w:b/>
              </w:rPr>
            </w:pPr>
            <w:r>
              <w:rPr>
                <w:b/>
              </w:rPr>
              <w:t>Chemical treatment</w:t>
            </w:r>
          </w:p>
        </w:tc>
        <w:tc>
          <w:tcPr>
            <w:tcW w:w="1230" w:type="dxa"/>
            <w:tcBorders>
              <w:top w:val="single" w:sz="12" w:space="0" w:color="000000"/>
              <w:left w:val="nil"/>
              <w:bottom w:val="single" w:sz="6" w:space="0" w:color="000000"/>
              <w:right w:val="nil"/>
            </w:tcBorders>
            <w:shd w:val="clear" w:color="auto" w:fill="auto"/>
            <w:tcMar>
              <w:top w:w="0" w:type="dxa"/>
              <w:left w:w="0" w:type="dxa"/>
              <w:bottom w:w="0" w:type="dxa"/>
              <w:right w:w="0" w:type="dxa"/>
            </w:tcMar>
            <w:vAlign w:val="center"/>
          </w:tcPr>
          <w:p w14:paraId="3CCC9A9E" w14:textId="77777777" w:rsidR="004F2309" w:rsidRDefault="00000000" w:rsidP="00340395">
            <w:pPr>
              <w:spacing w:before="40" w:after="40" w:line="228" w:lineRule="auto"/>
              <w:ind w:left="-20" w:right="-20"/>
              <w:jc w:val="center"/>
              <w:rPr>
                <w:b/>
              </w:rPr>
            </w:pPr>
            <w:r>
              <w:rPr>
                <w:b/>
              </w:rPr>
              <w:t>Composting</w:t>
            </w:r>
          </w:p>
        </w:tc>
      </w:tr>
      <w:tr w:rsidR="004F2309" w14:paraId="5C8BFA9B" w14:textId="77777777" w:rsidTr="00340395">
        <w:trPr>
          <w:trHeight w:val="450"/>
        </w:trPr>
        <w:tc>
          <w:tcPr>
            <w:tcW w:w="1263" w:type="dxa"/>
            <w:tcBorders>
              <w:top w:val="single" w:sz="6" w:space="0" w:color="000000"/>
              <w:left w:val="nil"/>
              <w:bottom w:val="single" w:sz="12" w:space="0" w:color="000000"/>
              <w:right w:val="nil"/>
            </w:tcBorders>
            <w:shd w:val="clear" w:color="auto" w:fill="auto"/>
            <w:tcMar>
              <w:top w:w="0" w:type="dxa"/>
              <w:left w:w="0" w:type="dxa"/>
              <w:bottom w:w="0" w:type="dxa"/>
              <w:right w:w="0" w:type="dxa"/>
            </w:tcMar>
            <w:vAlign w:val="center"/>
          </w:tcPr>
          <w:p w14:paraId="1140A76B" w14:textId="77777777" w:rsidR="004F2309" w:rsidRDefault="00000000" w:rsidP="00340395">
            <w:pPr>
              <w:spacing w:before="40" w:after="40" w:line="228" w:lineRule="auto"/>
              <w:ind w:left="-20" w:right="-20"/>
              <w:jc w:val="center"/>
            </w:pPr>
            <w:r>
              <w:t>Ireland</w:t>
            </w:r>
          </w:p>
        </w:tc>
        <w:tc>
          <w:tcPr>
            <w:tcW w:w="1290" w:type="dxa"/>
            <w:tcBorders>
              <w:top w:val="single" w:sz="6" w:space="0" w:color="000000"/>
              <w:left w:val="nil"/>
              <w:bottom w:val="single" w:sz="12" w:space="0" w:color="000000"/>
              <w:right w:val="nil"/>
            </w:tcBorders>
            <w:shd w:val="clear" w:color="auto" w:fill="auto"/>
            <w:tcMar>
              <w:top w:w="0" w:type="dxa"/>
              <w:left w:w="0" w:type="dxa"/>
              <w:bottom w:w="0" w:type="dxa"/>
              <w:right w:w="0" w:type="dxa"/>
            </w:tcMar>
            <w:vAlign w:val="center"/>
          </w:tcPr>
          <w:p w14:paraId="78635CEE" w14:textId="77777777" w:rsidR="004F2309" w:rsidRDefault="00000000" w:rsidP="00340395">
            <w:pPr>
              <w:spacing w:before="40" w:after="40" w:line="228" w:lineRule="auto"/>
              <w:ind w:left="-20" w:right="-20"/>
              <w:jc w:val="center"/>
            </w:pPr>
            <w:r>
              <w:t>10.80%</w:t>
            </w:r>
          </w:p>
        </w:tc>
        <w:tc>
          <w:tcPr>
            <w:tcW w:w="1095" w:type="dxa"/>
            <w:tcBorders>
              <w:top w:val="single" w:sz="6" w:space="0" w:color="000000"/>
              <w:left w:val="nil"/>
              <w:bottom w:val="single" w:sz="12" w:space="0" w:color="000000"/>
              <w:right w:val="nil"/>
            </w:tcBorders>
            <w:shd w:val="clear" w:color="auto" w:fill="auto"/>
            <w:tcMar>
              <w:top w:w="0" w:type="dxa"/>
              <w:left w:w="0" w:type="dxa"/>
              <w:bottom w:w="0" w:type="dxa"/>
              <w:right w:w="0" w:type="dxa"/>
            </w:tcMar>
            <w:vAlign w:val="center"/>
          </w:tcPr>
          <w:p w14:paraId="16F104FC" w14:textId="77777777" w:rsidR="004F2309" w:rsidRDefault="00000000" w:rsidP="00340395">
            <w:pPr>
              <w:spacing w:before="40" w:after="40" w:line="228" w:lineRule="auto"/>
              <w:ind w:left="-20" w:right="-20"/>
              <w:jc w:val="center"/>
            </w:pPr>
            <w:r>
              <w:t>39.70%</w:t>
            </w:r>
          </w:p>
        </w:tc>
        <w:tc>
          <w:tcPr>
            <w:tcW w:w="1200" w:type="dxa"/>
            <w:tcBorders>
              <w:top w:val="single" w:sz="6" w:space="0" w:color="000000"/>
              <w:left w:val="nil"/>
              <w:bottom w:val="single" w:sz="12" w:space="0" w:color="000000"/>
              <w:right w:val="nil"/>
            </w:tcBorders>
            <w:shd w:val="clear" w:color="auto" w:fill="auto"/>
            <w:tcMar>
              <w:top w:w="0" w:type="dxa"/>
              <w:left w:w="0" w:type="dxa"/>
              <w:bottom w:w="0" w:type="dxa"/>
              <w:right w:w="0" w:type="dxa"/>
            </w:tcMar>
            <w:vAlign w:val="center"/>
          </w:tcPr>
          <w:p w14:paraId="3758E807" w14:textId="77777777" w:rsidR="004F2309" w:rsidRDefault="00000000" w:rsidP="00340395">
            <w:pPr>
              <w:spacing w:before="40" w:after="40" w:line="228" w:lineRule="auto"/>
              <w:ind w:left="-20" w:right="-20"/>
              <w:jc w:val="center"/>
            </w:pPr>
            <w:r>
              <w:t>1.80%</w:t>
            </w:r>
          </w:p>
        </w:tc>
        <w:tc>
          <w:tcPr>
            <w:tcW w:w="1395" w:type="dxa"/>
            <w:tcBorders>
              <w:top w:val="single" w:sz="6" w:space="0" w:color="000000"/>
              <w:left w:val="nil"/>
              <w:bottom w:val="single" w:sz="12" w:space="0" w:color="000000"/>
              <w:right w:val="nil"/>
            </w:tcBorders>
            <w:shd w:val="clear" w:color="auto" w:fill="auto"/>
            <w:tcMar>
              <w:top w:w="0" w:type="dxa"/>
              <w:left w:w="0" w:type="dxa"/>
              <w:bottom w:w="0" w:type="dxa"/>
              <w:right w:w="0" w:type="dxa"/>
            </w:tcMar>
            <w:vAlign w:val="center"/>
          </w:tcPr>
          <w:p w14:paraId="68CA1C06" w14:textId="77777777" w:rsidR="004F2309" w:rsidRDefault="00000000" w:rsidP="00340395">
            <w:pPr>
              <w:spacing w:before="40" w:after="40" w:line="228" w:lineRule="auto"/>
              <w:ind w:left="-20" w:right="-20"/>
              <w:jc w:val="center"/>
            </w:pPr>
            <w:r>
              <w:t>36.10%</w:t>
            </w:r>
          </w:p>
        </w:tc>
        <w:tc>
          <w:tcPr>
            <w:tcW w:w="1230" w:type="dxa"/>
            <w:tcBorders>
              <w:top w:val="single" w:sz="6" w:space="0" w:color="000000"/>
              <w:left w:val="nil"/>
              <w:bottom w:val="single" w:sz="12" w:space="0" w:color="000000"/>
              <w:right w:val="nil"/>
            </w:tcBorders>
            <w:shd w:val="clear" w:color="auto" w:fill="auto"/>
            <w:tcMar>
              <w:top w:w="0" w:type="dxa"/>
              <w:left w:w="0" w:type="dxa"/>
              <w:bottom w:w="0" w:type="dxa"/>
              <w:right w:w="0" w:type="dxa"/>
            </w:tcMar>
            <w:vAlign w:val="center"/>
          </w:tcPr>
          <w:p w14:paraId="2CA1F6F6" w14:textId="77777777" w:rsidR="004F2309" w:rsidRDefault="00000000" w:rsidP="00340395">
            <w:pPr>
              <w:spacing w:before="40" w:after="40" w:line="228" w:lineRule="auto"/>
              <w:ind w:left="-20" w:right="-20"/>
              <w:jc w:val="center"/>
            </w:pPr>
            <w:r>
              <w:t>11.60%</w:t>
            </w:r>
          </w:p>
        </w:tc>
      </w:tr>
      <w:tr w:rsidR="004F2309" w14:paraId="139ED2F8" w14:textId="77777777" w:rsidTr="00340395">
        <w:trPr>
          <w:trHeight w:val="390"/>
        </w:trPr>
        <w:tc>
          <w:tcPr>
            <w:tcW w:w="1263" w:type="dxa"/>
            <w:tcBorders>
              <w:top w:val="single" w:sz="12" w:space="0" w:color="000000"/>
              <w:left w:val="nil"/>
              <w:bottom w:val="single" w:sz="12" w:space="0" w:color="000000"/>
              <w:right w:val="nil"/>
            </w:tcBorders>
            <w:shd w:val="clear" w:color="auto" w:fill="auto"/>
            <w:tcMar>
              <w:top w:w="0" w:type="dxa"/>
              <w:left w:w="0" w:type="dxa"/>
              <w:bottom w:w="0" w:type="dxa"/>
              <w:right w:w="0" w:type="dxa"/>
            </w:tcMar>
            <w:vAlign w:val="center"/>
          </w:tcPr>
          <w:p w14:paraId="0119F1D7" w14:textId="77777777" w:rsidR="004F2309" w:rsidRDefault="00000000" w:rsidP="00340395">
            <w:pPr>
              <w:spacing w:before="40" w:after="40" w:line="228" w:lineRule="auto"/>
              <w:ind w:left="-20" w:right="-20"/>
              <w:jc w:val="center"/>
            </w:pPr>
            <w:r>
              <w:rPr>
                <w:b/>
              </w:rPr>
              <w:t>Northern region</w:t>
            </w:r>
          </w:p>
        </w:tc>
        <w:tc>
          <w:tcPr>
            <w:tcW w:w="1290" w:type="dxa"/>
            <w:tcBorders>
              <w:top w:val="single" w:sz="12" w:space="0" w:color="000000"/>
              <w:left w:val="nil"/>
              <w:bottom w:val="single" w:sz="12" w:space="0" w:color="000000"/>
              <w:right w:val="nil"/>
            </w:tcBorders>
            <w:shd w:val="clear" w:color="auto" w:fill="auto"/>
            <w:tcMar>
              <w:top w:w="0" w:type="dxa"/>
              <w:left w:w="0" w:type="dxa"/>
              <w:bottom w:w="0" w:type="dxa"/>
              <w:right w:w="0" w:type="dxa"/>
            </w:tcMar>
            <w:vAlign w:val="center"/>
          </w:tcPr>
          <w:p w14:paraId="5B5F7D4D" w14:textId="77777777" w:rsidR="004F2309" w:rsidRDefault="00000000" w:rsidP="00340395">
            <w:pPr>
              <w:spacing w:before="40" w:after="40" w:line="228" w:lineRule="auto"/>
              <w:ind w:left="-20" w:right="-20"/>
              <w:jc w:val="center"/>
            </w:pPr>
            <w:r>
              <w:rPr>
                <w:b/>
              </w:rPr>
              <w:t>10.80%</w:t>
            </w:r>
          </w:p>
        </w:tc>
        <w:tc>
          <w:tcPr>
            <w:tcW w:w="1095" w:type="dxa"/>
            <w:tcBorders>
              <w:top w:val="single" w:sz="12" w:space="0" w:color="000000"/>
              <w:left w:val="nil"/>
              <w:bottom w:val="single" w:sz="12" w:space="0" w:color="000000"/>
              <w:right w:val="nil"/>
            </w:tcBorders>
            <w:shd w:val="clear" w:color="auto" w:fill="auto"/>
            <w:tcMar>
              <w:top w:w="0" w:type="dxa"/>
              <w:left w:w="0" w:type="dxa"/>
              <w:bottom w:w="0" w:type="dxa"/>
              <w:right w:w="0" w:type="dxa"/>
            </w:tcMar>
            <w:vAlign w:val="center"/>
          </w:tcPr>
          <w:p w14:paraId="7956D5A7" w14:textId="77777777" w:rsidR="004F2309" w:rsidRDefault="00000000" w:rsidP="00340395">
            <w:pPr>
              <w:spacing w:before="40" w:after="40" w:line="228" w:lineRule="auto"/>
              <w:ind w:left="-20" w:right="-20"/>
              <w:jc w:val="center"/>
            </w:pPr>
            <w:r>
              <w:rPr>
                <w:b/>
              </w:rPr>
              <w:t>39.70%</w:t>
            </w:r>
          </w:p>
        </w:tc>
        <w:tc>
          <w:tcPr>
            <w:tcW w:w="1200" w:type="dxa"/>
            <w:tcBorders>
              <w:top w:val="single" w:sz="12" w:space="0" w:color="000000"/>
              <w:left w:val="nil"/>
              <w:bottom w:val="single" w:sz="12" w:space="0" w:color="000000"/>
              <w:right w:val="nil"/>
            </w:tcBorders>
            <w:shd w:val="clear" w:color="auto" w:fill="auto"/>
            <w:tcMar>
              <w:top w:w="0" w:type="dxa"/>
              <w:left w:w="0" w:type="dxa"/>
              <w:bottom w:w="0" w:type="dxa"/>
              <w:right w:w="0" w:type="dxa"/>
            </w:tcMar>
            <w:vAlign w:val="center"/>
          </w:tcPr>
          <w:p w14:paraId="134F5571" w14:textId="77777777" w:rsidR="004F2309" w:rsidRDefault="00000000" w:rsidP="00340395">
            <w:pPr>
              <w:spacing w:before="40" w:after="40" w:line="228" w:lineRule="auto"/>
              <w:ind w:left="-20" w:right="-20"/>
              <w:jc w:val="center"/>
            </w:pPr>
            <w:r>
              <w:rPr>
                <w:b/>
              </w:rPr>
              <w:t>1.80%</w:t>
            </w:r>
          </w:p>
        </w:tc>
        <w:tc>
          <w:tcPr>
            <w:tcW w:w="1395" w:type="dxa"/>
            <w:tcBorders>
              <w:top w:val="single" w:sz="12" w:space="0" w:color="000000"/>
              <w:left w:val="nil"/>
              <w:bottom w:val="single" w:sz="12" w:space="0" w:color="000000"/>
              <w:right w:val="nil"/>
            </w:tcBorders>
            <w:shd w:val="clear" w:color="auto" w:fill="auto"/>
            <w:tcMar>
              <w:top w:w="0" w:type="dxa"/>
              <w:left w:w="0" w:type="dxa"/>
              <w:bottom w:w="0" w:type="dxa"/>
              <w:right w:w="0" w:type="dxa"/>
            </w:tcMar>
            <w:vAlign w:val="center"/>
          </w:tcPr>
          <w:p w14:paraId="658D8792" w14:textId="77777777" w:rsidR="004F2309" w:rsidRDefault="00000000" w:rsidP="00340395">
            <w:pPr>
              <w:spacing w:before="40" w:after="40" w:line="228" w:lineRule="auto"/>
              <w:ind w:left="-20" w:right="-20"/>
              <w:jc w:val="center"/>
            </w:pPr>
            <w:r>
              <w:rPr>
                <w:b/>
              </w:rPr>
              <w:t>36.10%</w:t>
            </w:r>
          </w:p>
        </w:tc>
        <w:tc>
          <w:tcPr>
            <w:tcW w:w="1230" w:type="dxa"/>
            <w:tcBorders>
              <w:top w:val="single" w:sz="12" w:space="0" w:color="000000"/>
              <w:left w:val="nil"/>
              <w:bottom w:val="single" w:sz="12" w:space="0" w:color="000000"/>
              <w:right w:val="nil"/>
            </w:tcBorders>
            <w:shd w:val="clear" w:color="auto" w:fill="auto"/>
            <w:tcMar>
              <w:top w:w="0" w:type="dxa"/>
              <w:left w:w="0" w:type="dxa"/>
              <w:bottom w:w="0" w:type="dxa"/>
              <w:right w:w="0" w:type="dxa"/>
            </w:tcMar>
            <w:vAlign w:val="center"/>
          </w:tcPr>
          <w:p w14:paraId="0196DCBC" w14:textId="77777777" w:rsidR="004F2309" w:rsidRDefault="00000000" w:rsidP="00340395">
            <w:pPr>
              <w:spacing w:before="40" w:after="40" w:line="228" w:lineRule="auto"/>
              <w:ind w:left="-20" w:right="-20"/>
              <w:jc w:val="center"/>
            </w:pPr>
            <w:r>
              <w:rPr>
                <w:b/>
              </w:rPr>
              <w:t>11.60%</w:t>
            </w:r>
          </w:p>
        </w:tc>
      </w:tr>
    </w:tbl>
    <w:p w14:paraId="4F103030" w14:textId="77777777" w:rsidR="004F2309" w:rsidRDefault="004F2309">
      <w:pPr>
        <w:shd w:val="clear" w:color="auto" w:fill="FFFFFF"/>
        <w:spacing w:before="240" w:after="240" w:line="228" w:lineRule="auto"/>
      </w:pPr>
    </w:p>
    <w:p w14:paraId="6467FD8C" w14:textId="77777777" w:rsidR="007A2BBB" w:rsidRDefault="007A2BBB">
      <w:pPr>
        <w:shd w:val="clear" w:color="auto" w:fill="FFFFFF"/>
        <w:spacing w:before="240" w:after="240" w:line="228" w:lineRule="auto"/>
      </w:pPr>
    </w:p>
    <w:p w14:paraId="017DD00E" w14:textId="77777777" w:rsidR="007A2BBB" w:rsidRDefault="007A2BBB">
      <w:pPr>
        <w:shd w:val="clear" w:color="auto" w:fill="FFFFFF"/>
        <w:spacing w:before="240" w:after="240" w:line="228" w:lineRule="auto"/>
      </w:pPr>
    </w:p>
    <w:p w14:paraId="4FE0EBD5" w14:textId="77777777" w:rsidR="007A2BBB" w:rsidRDefault="007A2BBB">
      <w:pPr>
        <w:shd w:val="clear" w:color="auto" w:fill="FFFFFF"/>
        <w:spacing w:before="240" w:after="240" w:line="228" w:lineRule="auto"/>
      </w:pPr>
    </w:p>
    <w:p w14:paraId="3B157A57" w14:textId="302F1B61" w:rsidR="004F2309" w:rsidRPr="007A2BBB" w:rsidRDefault="00000000">
      <w:pPr>
        <w:shd w:val="clear" w:color="auto" w:fill="FFFFFF"/>
        <w:spacing w:before="240" w:after="240" w:line="228" w:lineRule="auto"/>
        <w:ind w:left="2551"/>
        <w:rPr>
          <w:b/>
          <w:bCs/>
          <w:iCs/>
          <w:sz w:val="24"/>
          <w:szCs w:val="24"/>
        </w:rPr>
      </w:pPr>
      <w:r w:rsidRPr="007A2BBB">
        <w:rPr>
          <w:b/>
          <w:bCs/>
          <w:iCs/>
          <w:sz w:val="24"/>
          <w:szCs w:val="24"/>
        </w:rPr>
        <w:t xml:space="preserve">2. </w:t>
      </w:r>
      <w:r w:rsidR="007A2BBB" w:rsidRPr="007A2BBB">
        <w:rPr>
          <w:b/>
          <w:bCs/>
          <w:iCs/>
          <w:sz w:val="24"/>
          <w:szCs w:val="24"/>
        </w:rPr>
        <w:t>Environmental performance</w:t>
      </w:r>
    </w:p>
    <w:p w14:paraId="4203361E" w14:textId="77777777" w:rsidR="00BF024F" w:rsidRDefault="00BF024F" w:rsidP="00BF024F">
      <w:pPr>
        <w:spacing w:before="240" w:after="60" w:line="228" w:lineRule="auto"/>
        <w:ind w:left="2608"/>
        <w:rPr>
          <w:sz w:val="18"/>
          <w:szCs w:val="18"/>
        </w:rPr>
      </w:pPr>
      <w:r w:rsidRPr="007A2BBB">
        <w:rPr>
          <w:b/>
          <w:bCs/>
          <w:sz w:val="18"/>
          <w:szCs w:val="18"/>
        </w:rPr>
        <w:lastRenderedPageBreak/>
        <w:t>Table S4.</w:t>
      </w:r>
      <w:r>
        <w:rPr>
          <w:sz w:val="18"/>
          <w:szCs w:val="18"/>
        </w:rPr>
        <w:t xml:space="preserve"> Characterisation results</w:t>
      </w:r>
      <w:r w:rsidR="00E86D38">
        <w:rPr>
          <w:sz w:val="18"/>
          <w:szCs w:val="18"/>
        </w:rPr>
        <w:t xml:space="preserve"> </w:t>
      </w:r>
      <w:r w:rsidR="00E86D38">
        <w:t>of circular fertiliser for each European region per FU.</w:t>
      </w:r>
    </w:p>
    <w:tbl>
      <w:tblPr>
        <w:tblW w:w="7950" w:type="dxa"/>
        <w:tblInd w:w="2505" w:type="dxa"/>
        <w:tblLayout w:type="fixed"/>
        <w:tblLook w:val="0600" w:firstRow="0" w:lastRow="0" w:firstColumn="0" w:lastColumn="0" w:noHBand="1" w:noVBand="1"/>
      </w:tblPr>
      <w:tblGrid>
        <w:gridCol w:w="1425"/>
        <w:gridCol w:w="1500"/>
        <w:gridCol w:w="1110"/>
        <w:gridCol w:w="1455"/>
        <w:gridCol w:w="1110"/>
        <w:gridCol w:w="1350"/>
      </w:tblGrid>
      <w:tr w:rsidR="00BF024F" w14:paraId="603ED210" w14:textId="77777777" w:rsidTr="003A7828">
        <w:trPr>
          <w:trHeight w:val="375"/>
        </w:trPr>
        <w:tc>
          <w:tcPr>
            <w:tcW w:w="1425" w:type="dxa"/>
            <w:tcBorders>
              <w:top w:val="single" w:sz="4" w:space="0" w:color="000000"/>
              <w:left w:val="nil"/>
              <w:bottom w:val="single" w:sz="8" w:space="0" w:color="000000"/>
              <w:right w:val="nil"/>
            </w:tcBorders>
            <w:shd w:val="clear" w:color="auto" w:fill="auto"/>
            <w:tcMar>
              <w:top w:w="0" w:type="dxa"/>
              <w:left w:w="0" w:type="dxa"/>
              <w:bottom w:w="0" w:type="dxa"/>
              <w:right w:w="0" w:type="dxa"/>
            </w:tcMar>
            <w:vAlign w:val="center"/>
          </w:tcPr>
          <w:p w14:paraId="104006ED" w14:textId="77777777" w:rsidR="00BF024F" w:rsidRDefault="00BF024F" w:rsidP="003A7828">
            <w:pPr>
              <w:spacing w:line="228" w:lineRule="auto"/>
              <w:ind w:left="-20" w:right="-20"/>
              <w:rPr>
                <w:b/>
              </w:rPr>
            </w:pPr>
            <w:r>
              <w:rPr>
                <w:b/>
              </w:rPr>
              <w:t>Impact category</w:t>
            </w:r>
          </w:p>
        </w:tc>
        <w:tc>
          <w:tcPr>
            <w:tcW w:w="1500" w:type="dxa"/>
            <w:tcBorders>
              <w:top w:val="single" w:sz="4" w:space="0" w:color="000000"/>
              <w:left w:val="nil"/>
              <w:bottom w:val="single" w:sz="8" w:space="0" w:color="000000"/>
              <w:right w:val="nil"/>
            </w:tcBorders>
            <w:shd w:val="clear" w:color="auto" w:fill="auto"/>
            <w:tcMar>
              <w:top w:w="0" w:type="dxa"/>
              <w:left w:w="0" w:type="dxa"/>
              <w:bottom w:w="0" w:type="dxa"/>
              <w:right w:w="0" w:type="dxa"/>
            </w:tcMar>
            <w:vAlign w:val="center"/>
          </w:tcPr>
          <w:p w14:paraId="03566667" w14:textId="77777777" w:rsidR="00BF024F" w:rsidRDefault="00BF024F" w:rsidP="003A7828">
            <w:pPr>
              <w:spacing w:line="228" w:lineRule="auto"/>
              <w:ind w:left="-20" w:right="-20"/>
              <w:jc w:val="center"/>
              <w:rPr>
                <w:b/>
              </w:rPr>
            </w:pPr>
            <w:r>
              <w:rPr>
                <w:b/>
              </w:rPr>
              <w:t>Region</w:t>
            </w:r>
          </w:p>
        </w:tc>
        <w:tc>
          <w:tcPr>
            <w:tcW w:w="1110" w:type="dxa"/>
            <w:tcBorders>
              <w:top w:val="single" w:sz="4" w:space="0" w:color="000000"/>
              <w:left w:val="nil"/>
              <w:bottom w:val="single" w:sz="4" w:space="0" w:color="auto"/>
              <w:right w:val="nil"/>
            </w:tcBorders>
            <w:shd w:val="clear" w:color="auto" w:fill="auto"/>
            <w:tcMar>
              <w:top w:w="0" w:type="dxa"/>
              <w:left w:w="0" w:type="dxa"/>
              <w:bottom w:w="0" w:type="dxa"/>
              <w:right w:w="0" w:type="dxa"/>
            </w:tcMar>
            <w:vAlign w:val="center"/>
          </w:tcPr>
          <w:p w14:paraId="24A328A7" w14:textId="77777777" w:rsidR="00BF024F" w:rsidRDefault="00BF024F" w:rsidP="003A7828">
            <w:pPr>
              <w:spacing w:line="228" w:lineRule="auto"/>
              <w:ind w:left="-20" w:right="-20"/>
              <w:jc w:val="center"/>
              <w:rPr>
                <w:b/>
              </w:rPr>
            </w:pPr>
            <w:r>
              <w:rPr>
                <w:b/>
              </w:rPr>
              <w:t>Anaerobic digestion</w:t>
            </w:r>
          </w:p>
        </w:tc>
        <w:tc>
          <w:tcPr>
            <w:tcW w:w="1455" w:type="dxa"/>
            <w:tcBorders>
              <w:top w:val="single" w:sz="4" w:space="0" w:color="000000"/>
              <w:left w:val="nil"/>
              <w:bottom w:val="single" w:sz="4" w:space="0" w:color="auto"/>
              <w:right w:val="nil"/>
            </w:tcBorders>
            <w:shd w:val="clear" w:color="auto" w:fill="auto"/>
            <w:tcMar>
              <w:top w:w="0" w:type="dxa"/>
              <w:left w:w="0" w:type="dxa"/>
              <w:bottom w:w="0" w:type="dxa"/>
              <w:right w:w="0" w:type="dxa"/>
            </w:tcMar>
            <w:vAlign w:val="center"/>
          </w:tcPr>
          <w:p w14:paraId="225B6117" w14:textId="77777777" w:rsidR="00BF024F" w:rsidRDefault="00BF024F" w:rsidP="003A7828">
            <w:pPr>
              <w:spacing w:line="228" w:lineRule="auto"/>
              <w:ind w:left="-20" w:right="-20"/>
              <w:jc w:val="center"/>
              <w:rPr>
                <w:b/>
              </w:rPr>
            </w:pPr>
            <w:r>
              <w:rPr>
                <w:b/>
              </w:rPr>
              <w:t>Chemical treatment</w:t>
            </w:r>
          </w:p>
        </w:tc>
        <w:tc>
          <w:tcPr>
            <w:tcW w:w="1110" w:type="dxa"/>
            <w:tcBorders>
              <w:top w:val="single" w:sz="4" w:space="0" w:color="000000"/>
              <w:left w:val="nil"/>
              <w:bottom w:val="single" w:sz="4" w:space="0" w:color="auto"/>
              <w:right w:val="nil"/>
            </w:tcBorders>
            <w:shd w:val="clear" w:color="auto" w:fill="auto"/>
            <w:tcMar>
              <w:top w:w="0" w:type="dxa"/>
              <w:left w:w="0" w:type="dxa"/>
              <w:bottom w:w="0" w:type="dxa"/>
              <w:right w:w="0" w:type="dxa"/>
            </w:tcMar>
            <w:vAlign w:val="center"/>
          </w:tcPr>
          <w:p w14:paraId="26A881B4" w14:textId="77777777" w:rsidR="00BF024F" w:rsidRDefault="00BF024F" w:rsidP="003A7828">
            <w:pPr>
              <w:spacing w:line="228" w:lineRule="auto"/>
              <w:ind w:left="-20" w:right="-20"/>
              <w:jc w:val="center"/>
              <w:rPr>
                <w:b/>
              </w:rPr>
            </w:pPr>
            <w:r>
              <w:rPr>
                <w:b/>
              </w:rPr>
              <w:t>Thermal drying</w:t>
            </w:r>
          </w:p>
        </w:tc>
        <w:tc>
          <w:tcPr>
            <w:tcW w:w="1350" w:type="dxa"/>
            <w:tcBorders>
              <w:top w:val="single" w:sz="4" w:space="0" w:color="000000"/>
              <w:left w:val="nil"/>
              <w:bottom w:val="single" w:sz="4" w:space="0" w:color="auto"/>
              <w:right w:val="nil"/>
            </w:tcBorders>
            <w:shd w:val="clear" w:color="auto" w:fill="auto"/>
            <w:tcMar>
              <w:top w:w="0" w:type="dxa"/>
              <w:left w:w="0" w:type="dxa"/>
              <w:bottom w:w="0" w:type="dxa"/>
              <w:right w:w="0" w:type="dxa"/>
            </w:tcMar>
            <w:vAlign w:val="center"/>
          </w:tcPr>
          <w:p w14:paraId="2984A1C5" w14:textId="77777777" w:rsidR="00BF024F" w:rsidRDefault="00BF024F" w:rsidP="003A7828">
            <w:pPr>
              <w:spacing w:line="228" w:lineRule="auto"/>
              <w:ind w:left="-20" w:right="-20"/>
              <w:jc w:val="center"/>
              <w:rPr>
                <w:b/>
              </w:rPr>
            </w:pPr>
            <w:r>
              <w:rPr>
                <w:b/>
              </w:rPr>
              <w:t>Composting</w:t>
            </w:r>
          </w:p>
        </w:tc>
      </w:tr>
      <w:tr w:rsidR="00BF024F" w14:paraId="0AA9228D" w14:textId="77777777" w:rsidTr="003A7828">
        <w:trPr>
          <w:trHeight w:val="375"/>
        </w:trPr>
        <w:tc>
          <w:tcPr>
            <w:tcW w:w="1425" w:type="dxa"/>
            <w:vMerge w:val="restart"/>
            <w:tcBorders>
              <w:top w:val="single" w:sz="4" w:space="0" w:color="000000"/>
              <w:left w:val="nil"/>
              <w:bottom w:val="single" w:sz="8" w:space="0" w:color="000000"/>
              <w:right w:val="nil"/>
            </w:tcBorders>
            <w:shd w:val="clear" w:color="auto" w:fill="auto"/>
            <w:tcMar>
              <w:top w:w="0" w:type="dxa"/>
              <w:left w:w="0" w:type="dxa"/>
              <w:bottom w:w="0" w:type="dxa"/>
              <w:right w:w="0" w:type="dxa"/>
            </w:tcMar>
            <w:vAlign w:val="center"/>
          </w:tcPr>
          <w:p w14:paraId="650DA54C" w14:textId="77777777" w:rsidR="00BF024F" w:rsidRDefault="00BF024F" w:rsidP="003A7828">
            <w:pPr>
              <w:spacing w:line="228" w:lineRule="auto"/>
              <w:ind w:left="-20" w:right="-20"/>
              <w:jc w:val="left"/>
              <w:rPr>
                <w:b/>
              </w:rPr>
            </w:pPr>
            <w:r>
              <w:rPr>
                <w:b/>
              </w:rPr>
              <w:t>Acidification</w:t>
            </w:r>
          </w:p>
        </w:tc>
        <w:tc>
          <w:tcPr>
            <w:tcW w:w="1500" w:type="dxa"/>
            <w:tcBorders>
              <w:top w:val="single" w:sz="4" w:space="0" w:color="000000"/>
              <w:left w:val="nil"/>
              <w:bottom w:val="single" w:sz="8" w:space="0" w:color="000000"/>
            </w:tcBorders>
            <w:shd w:val="clear" w:color="auto" w:fill="auto"/>
            <w:tcMar>
              <w:top w:w="0" w:type="dxa"/>
              <w:left w:w="0" w:type="dxa"/>
              <w:bottom w:w="0" w:type="dxa"/>
              <w:right w:w="0" w:type="dxa"/>
            </w:tcMar>
            <w:vAlign w:val="center"/>
          </w:tcPr>
          <w:p w14:paraId="578B4D9E" w14:textId="77777777" w:rsidR="00BF024F" w:rsidRDefault="00BF024F" w:rsidP="003A7828">
            <w:pPr>
              <w:spacing w:line="228" w:lineRule="auto"/>
              <w:ind w:left="-20" w:right="-20"/>
              <w:jc w:val="center"/>
            </w:pPr>
            <w:r>
              <w:t>Central</w:t>
            </w:r>
          </w:p>
        </w:tc>
        <w:tc>
          <w:tcPr>
            <w:tcW w:w="1110" w:type="dxa"/>
            <w:tcBorders>
              <w:top w:val="single" w:sz="4" w:space="0" w:color="auto"/>
              <w:bottom w:val="single" w:sz="4" w:space="0" w:color="auto"/>
              <w:right w:val="nil"/>
            </w:tcBorders>
            <w:shd w:val="clear" w:color="auto" w:fill="auto"/>
            <w:tcMar>
              <w:top w:w="0" w:type="dxa"/>
              <w:left w:w="0" w:type="dxa"/>
              <w:bottom w:w="0" w:type="dxa"/>
              <w:right w:w="0" w:type="dxa"/>
            </w:tcMar>
          </w:tcPr>
          <w:p w14:paraId="162D8DA7"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1,25E-01</w:t>
            </w:r>
          </w:p>
        </w:tc>
        <w:tc>
          <w:tcPr>
            <w:tcW w:w="1455" w:type="dxa"/>
            <w:tcBorders>
              <w:top w:val="single" w:sz="4" w:space="0" w:color="auto"/>
              <w:left w:val="nil"/>
              <w:bottom w:val="single" w:sz="4" w:space="0" w:color="auto"/>
              <w:right w:val="nil"/>
            </w:tcBorders>
            <w:shd w:val="clear" w:color="auto" w:fill="auto"/>
            <w:tcMar>
              <w:top w:w="0" w:type="dxa"/>
              <w:left w:w="0" w:type="dxa"/>
              <w:bottom w:w="0" w:type="dxa"/>
              <w:right w:w="0" w:type="dxa"/>
            </w:tcMar>
          </w:tcPr>
          <w:p w14:paraId="6C9FFEAE"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1,94E-02</w:t>
            </w:r>
          </w:p>
        </w:tc>
        <w:tc>
          <w:tcPr>
            <w:tcW w:w="1110" w:type="dxa"/>
            <w:tcBorders>
              <w:top w:val="single" w:sz="4" w:space="0" w:color="auto"/>
              <w:left w:val="nil"/>
              <w:bottom w:val="single" w:sz="4" w:space="0" w:color="auto"/>
              <w:right w:val="nil"/>
            </w:tcBorders>
            <w:shd w:val="clear" w:color="auto" w:fill="auto"/>
            <w:tcMar>
              <w:top w:w="0" w:type="dxa"/>
              <w:left w:w="0" w:type="dxa"/>
              <w:bottom w:w="0" w:type="dxa"/>
              <w:right w:w="0" w:type="dxa"/>
            </w:tcMar>
          </w:tcPr>
          <w:p w14:paraId="50FA5032"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2,11E-02</w:t>
            </w:r>
          </w:p>
        </w:tc>
        <w:tc>
          <w:tcPr>
            <w:tcW w:w="1350" w:type="dxa"/>
            <w:tcBorders>
              <w:top w:val="single" w:sz="4" w:space="0" w:color="auto"/>
              <w:left w:val="nil"/>
              <w:bottom w:val="single" w:sz="4" w:space="0" w:color="auto"/>
            </w:tcBorders>
            <w:shd w:val="clear" w:color="auto" w:fill="auto"/>
            <w:tcMar>
              <w:top w:w="0" w:type="dxa"/>
              <w:left w:w="0" w:type="dxa"/>
              <w:bottom w:w="0" w:type="dxa"/>
              <w:right w:w="0" w:type="dxa"/>
            </w:tcMar>
          </w:tcPr>
          <w:p w14:paraId="2DE37917"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8,66E-02</w:t>
            </w:r>
          </w:p>
        </w:tc>
      </w:tr>
      <w:tr w:rsidR="00BF024F" w14:paraId="23E5AEF6" w14:textId="77777777" w:rsidTr="003A7828">
        <w:trPr>
          <w:trHeight w:val="375"/>
        </w:trPr>
        <w:tc>
          <w:tcPr>
            <w:tcW w:w="1425" w:type="dxa"/>
            <w:vMerge/>
            <w:tcBorders>
              <w:top w:val="single" w:sz="4" w:space="0" w:color="000000"/>
              <w:left w:val="nil"/>
              <w:bottom w:val="single" w:sz="8" w:space="0" w:color="000000"/>
              <w:right w:val="nil"/>
            </w:tcBorders>
            <w:shd w:val="clear" w:color="auto" w:fill="auto"/>
            <w:tcMar>
              <w:top w:w="0" w:type="dxa"/>
              <w:left w:w="0" w:type="dxa"/>
              <w:bottom w:w="0" w:type="dxa"/>
              <w:right w:w="0" w:type="dxa"/>
            </w:tcMar>
            <w:vAlign w:val="center"/>
          </w:tcPr>
          <w:p w14:paraId="159F41BC" w14:textId="77777777" w:rsidR="00BF024F" w:rsidRDefault="00BF024F" w:rsidP="003A7828">
            <w:pPr>
              <w:ind w:right="-20"/>
            </w:pPr>
          </w:p>
        </w:tc>
        <w:tc>
          <w:tcPr>
            <w:tcW w:w="1500" w:type="dxa"/>
            <w:tcBorders>
              <w:top w:val="single" w:sz="4" w:space="0" w:color="000000"/>
              <w:left w:val="nil"/>
              <w:bottom w:val="single" w:sz="8" w:space="0" w:color="000000"/>
            </w:tcBorders>
            <w:shd w:val="clear" w:color="auto" w:fill="auto"/>
            <w:tcMar>
              <w:top w:w="0" w:type="dxa"/>
              <w:left w:w="0" w:type="dxa"/>
              <w:bottom w:w="0" w:type="dxa"/>
              <w:right w:w="0" w:type="dxa"/>
            </w:tcMar>
            <w:vAlign w:val="center"/>
          </w:tcPr>
          <w:p w14:paraId="19A979DA" w14:textId="77777777" w:rsidR="00BF024F" w:rsidRDefault="00BF024F" w:rsidP="003A7828">
            <w:pPr>
              <w:spacing w:line="228" w:lineRule="auto"/>
              <w:ind w:left="-20" w:right="-20"/>
              <w:jc w:val="center"/>
            </w:pPr>
            <w:r>
              <w:t>Mediterranean</w:t>
            </w:r>
          </w:p>
        </w:tc>
        <w:tc>
          <w:tcPr>
            <w:tcW w:w="1110" w:type="dxa"/>
            <w:tcBorders>
              <w:top w:val="single" w:sz="4" w:space="0" w:color="auto"/>
              <w:bottom w:val="single" w:sz="4" w:space="0" w:color="auto"/>
              <w:right w:val="nil"/>
            </w:tcBorders>
            <w:shd w:val="clear" w:color="auto" w:fill="auto"/>
            <w:tcMar>
              <w:top w:w="0" w:type="dxa"/>
              <w:left w:w="0" w:type="dxa"/>
              <w:bottom w:w="0" w:type="dxa"/>
              <w:right w:w="0" w:type="dxa"/>
            </w:tcMar>
          </w:tcPr>
          <w:p w14:paraId="15B46EA6"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-7,04E-02</w:t>
            </w:r>
          </w:p>
        </w:tc>
        <w:tc>
          <w:tcPr>
            <w:tcW w:w="1455" w:type="dxa"/>
            <w:tcBorders>
              <w:top w:val="single" w:sz="4" w:space="0" w:color="auto"/>
              <w:left w:val="nil"/>
              <w:bottom w:val="single" w:sz="4" w:space="0" w:color="auto"/>
              <w:right w:val="nil"/>
            </w:tcBorders>
            <w:shd w:val="clear" w:color="auto" w:fill="auto"/>
            <w:tcMar>
              <w:top w:w="0" w:type="dxa"/>
              <w:left w:w="0" w:type="dxa"/>
              <w:bottom w:w="0" w:type="dxa"/>
              <w:right w:w="0" w:type="dxa"/>
            </w:tcMar>
          </w:tcPr>
          <w:p w14:paraId="46059099"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1,79E-02</w:t>
            </w:r>
          </w:p>
        </w:tc>
        <w:tc>
          <w:tcPr>
            <w:tcW w:w="1110" w:type="dxa"/>
            <w:tcBorders>
              <w:top w:val="single" w:sz="4" w:space="0" w:color="auto"/>
              <w:left w:val="nil"/>
              <w:bottom w:val="single" w:sz="4" w:space="0" w:color="auto"/>
              <w:right w:val="nil"/>
            </w:tcBorders>
            <w:shd w:val="clear" w:color="auto" w:fill="auto"/>
            <w:tcMar>
              <w:top w:w="0" w:type="dxa"/>
              <w:left w:w="0" w:type="dxa"/>
              <w:bottom w:w="0" w:type="dxa"/>
              <w:right w:w="0" w:type="dxa"/>
            </w:tcMar>
          </w:tcPr>
          <w:p w14:paraId="5E89238F"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1,93E-02</w:t>
            </w:r>
          </w:p>
        </w:tc>
        <w:tc>
          <w:tcPr>
            <w:tcW w:w="1350" w:type="dxa"/>
            <w:tcBorders>
              <w:top w:val="single" w:sz="4" w:space="0" w:color="auto"/>
              <w:left w:val="nil"/>
              <w:bottom w:val="single" w:sz="4" w:space="0" w:color="auto"/>
            </w:tcBorders>
            <w:shd w:val="clear" w:color="auto" w:fill="auto"/>
            <w:tcMar>
              <w:top w:w="0" w:type="dxa"/>
              <w:left w:w="0" w:type="dxa"/>
              <w:bottom w:w="0" w:type="dxa"/>
              <w:right w:w="0" w:type="dxa"/>
            </w:tcMar>
          </w:tcPr>
          <w:p w14:paraId="4E2606F4"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2,40E-02</w:t>
            </w:r>
          </w:p>
        </w:tc>
      </w:tr>
      <w:tr w:rsidR="00BF024F" w14:paraId="0CB24981" w14:textId="77777777" w:rsidTr="003A7828">
        <w:trPr>
          <w:trHeight w:val="375"/>
        </w:trPr>
        <w:tc>
          <w:tcPr>
            <w:tcW w:w="1425" w:type="dxa"/>
            <w:vMerge/>
            <w:tcBorders>
              <w:top w:val="single" w:sz="8" w:space="0" w:color="000000"/>
              <w:left w:val="nil"/>
              <w:bottom w:val="single" w:sz="8" w:space="0" w:color="000000"/>
              <w:right w:val="nil"/>
            </w:tcBorders>
            <w:shd w:val="clear" w:color="auto" w:fill="auto"/>
            <w:tcMar>
              <w:top w:w="0" w:type="dxa"/>
              <w:left w:w="0" w:type="dxa"/>
              <w:bottom w:w="0" w:type="dxa"/>
              <w:right w:w="0" w:type="dxa"/>
            </w:tcMar>
            <w:vAlign w:val="center"/>
          </w:tcPr>
          <w:p w14:paraId="3D75D18F" w14:textId="77777777" w:rsidR="00BF024F" w:rsidRDefault="00BF024F" w:rsidP="003A7828">
            <w:pPr>
              <w:ind w:right="-20"/>
            </w:pPr>
          </w:p>
        </w:tc>
        <w:tc>
          <w:tcPr>
            <w:tcW w:w="1500" w:type="dxa"/>
            <w:tcBorders>
              <w:top w:val="single" w:sz="8" w:space="0" w:color="000000"/>
              <w:left w:val="nil"/>
              <w:bottom w:val="single" w:sz="8" w:space="0" w:color="000000"/>
            </w:tcBorders>
            <w:shd w:val="clear" w:color="auto" w:fill="auto"/>
            <w:tcMar>
              <w:top w:w="0" w:type="dxa"/>
              <w:left w:w="0" w:type="dxa"/>
              <w:bottom w:w="0" w:type="dxa"/>
              <w:right w:w="0" w:type="dxa"/>
            </w:tcMar>
            <w:vAlign w:val="center"/>
          </w:tcPr>
          <w:p w14:paraId="6BF52BA5" w14:textId="77777777" w:rsidR="00BF024F" w:rsidRDefault="00BF024F" w:rsidP="003A7828">
            <w:pPr>
              <w:spacing w:line="228" w:lineRule="auto"/>
              <w:ind w:left="-20" w:right="-20"/>
              <w:jc w:val="center"/>
            </w:pPr>
            <w:r>
              <w:t>Northern</w:t>
            </w:r>
          </w:p>
        </w:tc>
        <w:tc>
          <w:tcPr>
            <w:tcW w:w="1110" w:type="dxa"/>
            <w:tcBorders>
              <w:top w:val="single" w:sz="4" w:space="0" w:color="auto"/>
              <w:bottom w:val="single" w:sz="4" w:space="0" w:color="auto"/>
              <w:right w:val="nil"/>
            </w:tcBorders>
            <w:shd w:val="clear" w:color="auto" w:fill="auto"/>
            <w:tcMar>
              <w:top w:w="0" w:type="dxa"/>
              <w:left w:w="0" w:type="dxa"/>
              <w:bottom w:w="0" w:type="dxa"/>
              <w:right w:w="0" w:type="dxa"/>
            </w:tcMar>
          </w:tcPr>
          <w:p w14:paraId="37984AD5"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4,03E-03</w:t>
            </w:r>
          </w:p>
        </w:tc>
        <w:tc>
          <w:tcPr>
            <w:tcW w:w="1455" w:type="dxa"/>
            <w:tcBorders>
              <w:top w:val="single" w:sz="4" w:space="0" w:color="auto"/>
              <w:left w:val="nil"/>
              <w:bottom w:val="single" w:sz="4" w:space="0" w:color="auto"/>
              <w:right w:val="nil"/>
            </w:tcBorders>
            <w:shd w:val="clear" w:color="auto" w:fill="auto"/>
            <w:tcMar>
              <w:top w:w="0" w:type="dxa"/>
              <w:left w:w="0" w:type="dxa"/>
              <w:bottom w:w="0" w:type="dxa"/>
              <w:right w:w="0" w:type="dxa"/>
            </w:tcMar>
          </w:tcPr>
          <w:p w14:paraId="687BAAD0"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5,84E-02</w:t>
            </w:r>
          </w:p>
        </w:tc>
        <w:tc>
          <w:tcPr>
            <w:tcW w:w="1110" w:type="dxa"/>
            <w:tcBorders>
              <w:top w:val="single" w:sz="4" w:space="0" w:color="auto"/>
              <w:left w:val="nil"/>
              <w:bottom w:val="single" w:sz="4" w:space="0" w:color="auto"/>
              <w:right w:val="nil"/>
            </w:tcBorders>
            <w:shd w:val="clear" w:color="auto" w:fill="auto"/>
            <w:tcMar>
              <w:top w:w="0" w:type="dxa"/>
              <w:left w:w="0" w:type="dxa"/>
              <w:bottom w:w="0" w:type="dxa"/>
              <w:right w:w="0" w:type="dxa"/>
            </w:tcMar>
          </w:tcPr>
          <w:p w14:paraId="6B54DACE"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8,43E-02</w:t>
            </w:r>
          </w:p>
        </w:tc>
        <w:tc>
          <w:tcPr>
            <w:tcW w:w="1350" w:type="dxa"/>
            <w:tcBorders>
              <w:top w:val="single" w:sz="4" w:space="0" w:color="auto"/>
              <w:left w:val="nil"/>
              <w:bottom w:val="single" w:sz="4" w:space="0" w:color="auto"/>
            </w:tcBorders>
            <w:shd w:val="clear" w:color="auto" w:fill="auto"/>
            <w:tcMar>
              <w:top w:w="0" w:type="dxa"/>
              <w:left w:w="0" w:type="dxa"/>
              <w:bottom w:w="0" w:type="dxa"/>
              <w:right w:w="0" w:type="dxa"/>
            </w:tcMar>
          </w:tcPr>
          <w:p w14:paraId="315B0A98"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2,71E-02</w:t>
            </w:r>
          </w:p>
        </w:tc>
      </w:tr>
      <w:tr w:rsidR="00BF024F" w14:paraId="7B4BCFE9" w14:textId="77777777" w:rsidTr="003A7828">
        <w:trPr>
          <w:trHeight w:val="375"/>
        </w:trPr>
        <w:tc>
          <w:tcPr>
            <w:tcW w:w="1425" w:type="dxa"/>
            <w:vMerge w:val="restart"/>
            <w:tcBorders>
              <w:top w:val="single" w:sz="8" w:space="0" w:color="000000"/>
              <w:left w:val="nil"/>
              <w:bottom w:val="single" w:sz="8" w:space="0" w:color="000000"/>
              <w:right w:val="nil"/>
            </w:tcBorders>
            <w:shd w:val="clear" w:color="auto" w:fill="auto"/>
            <w:tcMar>
              <w:top w:w="0" w:type="dxa"/>
              <w:left w:w="0" w:type="dxa"/>
              <w:bottom w:w="0" w:type="dxa"/>
              <w:right w:w="0" w:type="dxa"/>
            </w:tcMar>
            <w:vAlign w:val="center"/>
          </w:tcPr>
          <w:p w14:paraId="2EBA9D00" w14:textId="77777777" w:rsidR="00BF024F" w:rsidRDefault="00BF024F" w:rsidP="003A7828">
            <w:pPr>
              <w:spacing w:line="228" w:lineRule="auto"/>
              <w:ind w:left="-20" w:right="-20"/>
              <w:jc w:val="left"/>
              <w:rPr>
                <w:b/>
              </w:rPr>
            </w:pPr>
            <w:r>
              <w:rPr>
                <w:b/>
              </w:rPr>
              <w:t>Climate change</w:t>
            </w:r>
          </w:p>
        </w:tc>
        <w:tc>
          <w:tcPr>
            <w:tcW w:w="1500" w:type="dxa"/>
            <w:tcBorders>
              <w:top w:val="single" w:sz="4" w:space="0" w:color="000000"/>
              <w:left w:val="nil"/>
              <w:bottom w:val="single" w:sz="8" w:space="0" w:color="000000"/>
            </w:tcBorders>
            <w:shd w:val="clear" w:color="auto" w:fill="auto"/>
            <w:tcMar>
              <w:top w:w="0" w:type="dxa"/>
              <w:left w:w="0" w:type="dxa"/>
              <w:bottom w:w="0" w:type="dxa"/>
              <w:right w:w="0" w:type="dxa"/>
            </w:tcMar>
            <w:vAlign w:val="center"/>
          </w:tcPr>
          <w:p w14:paraId="4825D93F" w14:textId="77777777" w:rsidR="00BF024F" w:rsidRDefault="00BF024F" w:rsidP="003A7828">
            <w:pPr>
              <w:spacing w:line="228" w:lineRule="auto"/>
              <w:ind w:left="-20" w:right="-20"/>
              <w:jc w:val="center"/>
            </w:pPr>
            <w:r>
              <w:t>Central</w:t>
            </w:r>
          </w:p>
        </w:tc>
        <w:tc>
          <w:tcPr>
            <w:tcW w:w="1110" w:type="dxa"/>
            <w:tcBorders>
              <w:top w:val="single" w:sz="4" w:space="0" w:color="auto"/>
              <w:bottom w:val="single" w:sz="4" w:space="0" w:color="auto"/>
              <w:right w:val="nil"/>
            </w:tcBorders>
            <w:shd w:val="clear" w:color="auto" w:fill="auto"/>
            <w:tcMar>
              <w:top w:w="0" w:type="dxa"/>
              <w:left w:w="0" w:type="dxa"/>
              <w:bottom w:w="0" w:type="dxa"/>
              <w:right w:w="0" w:type="dxa"/>
            </w:tcMar>
          </w:tcPr>
          <w:p w14:paraId="6F0C3454"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3,80E+01</w:t>
            </w:r>
          </w:p>
        </w:tc>
        <w:tc>
          <w:tcPr>
            <w:tcW w:w="1455" w:type="dxa"/>
            <w:tcBorders>
              <w:top w:val="single" w:sz="4" w:space="0" w:color="auto"/>
              <w:left w:val="nil"/>
              <w:bottom w:val="single" w:sz="4" w:space="0" w:color="auto"/>
              <w:right w:val="nil"/>
            </w:tcBorders>
            <w:shd w:val="clear" w:color="auto" w:fill="auto"/>
            <w:tcMar>
              <w:top w:w="0" w:type="dxa"/>
              <w:left w:w="0" w:type="dxa"/>
              <w:bottom w:w="0" w:type="dxa"/>
              <w:right w:w="0" w:type="dxa"/>
            </w:tcMar>
          </w:tcPr>
          <w:p w14:paraId="424070AD"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1,27E+01</w:t>
            </w:r>
          </w:p>
        </w:tc>
        <w:tc>
          <w:tcPr>
            <w:tcW w:w="1110" w:type="dxa"/>
            <w:tcBorders>
              <w:top w:val="single" w:sz="4" w:space="0" w:color="auto"/>
              <w:left w:val="nil"/>
              <w:bottom w:val="single" w:sz="4" w:space="0" w:color="auto"/>
              <w:right w:val="nil"/>
            </w:tcBorders>
            <w:shd w:val="clear" w:color="auto" w:fill="auto"/>
            <w:tcMar>
              <w:top w:w="0" w:type="dxa"/>
              <w:left w:w="0" w:type="dxa"/>
              <w:bottom w:w="0" w:type="dxa"/>
              <w:right w:w="0" w:type="dxa"/>
            </w:tcMar>
          </w:tcPr>
          <w:p w14:paraId="3D2F87EC"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4,84E+00</w:t>
            </w:r>
          </w:p>
        </w:tc>
        <w:tc>
          <w:tcPr>
            <w:tcW w:w="1350" w:type="dxa"/>
            <w:tcBorders>
              <w:top w:val="single" w:sz="4" w:space="0" w:color="auto"/>
              <w:left w:val="nil"/>
              <w:bottom w:val="single" w:sz="4" w:space="0" w:color="auto"/>
            </w:tcBorders>
            <w:shd w:val="clear" w:color="auto" w:fill="auto"/>
            <w:tcMar>
              <w:top w:w="0" w:type="dxa"/>
              <w:left w:w="0" w:type="dxa"/>
              <w:bottom w:w="0" w:type="dxa"/>
              <w:right w:w="0" w:type="dxa"/>
            </w:tcMar>
          </w:tcPr>
          <w:p w14:paraId="637E31DD"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1,79E+01</w:t>
            </w:r>
          </w:p>
        </w:tc>
      </w:tr>
      <w:tr w:rsidR="00BF024F" w14:paraId="529A03C6" w14:textId="77777777" w:rsidTr="003A7828">
        <w:trPr>
          <w:trHeight w:val="375"/>
        </w:trPr>
        <w:tc>
          <w:tcPr>
            <w:tcW w:w="1425" w:type="dxa"/>
            <w:vMerge/>
            <w:tcBorders>
              <w:top w:val="single" w:sz="8" w:space="0" w:color="000000"/>
              <w:left w:val="nil"/>
              <w:bottom w:val="single" w:sz="8" w:space="0" w:color="000000"/>
              <w:right w:val="nil"/>
            </w:tcBorders>
            <w:shd w:val="clear" w:color="auto" w:fill="auto"/>
            <w:tcMar>
              <w:top w:w="0" w:type="dxa"/>
              <w:left w:w="0" w:type="dxa"/>
              <w:bottom w:w="0" w:type="dxa"/>
              <w:right w:w="0" w:type="dxa"/>
            </w:tcMar>
            <w:vAlign w:val="center"/>
          </w:tcPr>
          <w:p w14:paraId="26741BAD" w14:textId="77777777" w:rsidR="00BF024F" w:rsidRDefault="00BF024F" w:rsidP="003A7828">
            <w:pPr>
              <w:ind w:right="-20"/>
            </w:pPr>
          </w:p>
        </w:tc>
        <w:tc>
          <w:tcPr>
            <w:tcW w:w="1500" w:type="dxa"/>
            <w:tcBorders>
              <w:top w:val="single" w:sz="4" w:space="0" w:color="000000"/>
              <w:left w:val="nil"/>
              <w:bottom w:val="single" w:sz="8" w:space="0" w:color="000000"/>
            </w:tcBorders>
            <w:shd w:val="clear" w:color="auto" w:fill="auto"/>
            <w:tcMar>
              <w:top w:w="0" w:type="dxa"/>
              <w:left w:w="0" w:type="dxa"/>
              <w:bottom w:w="0" w:type="dxa"/>
              <w:right w:w="0" w:type="dxa"/>
            </w:tcMar>
            <w:vAlign w:val="center"/>
          </w:tcPr>
          <w:p w14:paraId="4F568367" w14:textId="77777777" w:rsidR="00BF024F" w:rsidRDefault="00BF024F" w:rsidP="003A7828">
            <w:pPr>
              <w:spacing w:line="228" w:lineRule="auto"/>
              <w:ind w:left="-20" w:right="-20"/>
              <w:jc w:val="center"/>
            </w:pPr>
            <w:r>
              <w:t>Mediterranean</w:t>
            </w:r>
          </w:p>
        </w:tc>
        <w:tc>
          <w:tcPr>
            <w:tcW w:w="1110" w:type="dxa"/>
            <w:tcBorders>
              <w:top w:val="single" w:sz="4" w:space="0" w:color="auto"/>
              <w:bottom w:val="single" w:sz="4" w:space="0" w:color="auto"/>
              <w:right w:val="nil"/>
            </w:tcBorders>
            <w:shd w:val="clear" w:color="auto" w:fill="auto"/>
            <w:tcMar>
              <w:top w:w="0" w:type="dxa"/>
              <w:left w:w="0" w:type="dxa"/>
              <w:bottom w:w="0" w:type="dxa"/>
              <w:right w:w="0" w:type="dxa"/>
            </w:tcMar>
          </w:tcPr>
          <w:p w14:paraId="44FBF22A"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1,82E+00</w:t>
            </w:r>
          </w:p>
        </w:tc>
        <w:tc>
          <w:tcPr>
            <w:tcW w:w="1455" w:type="dxa"/>
            <w:tcBorders>
              <w:top w:val="single" w:sz="4" w:space="0" w:color="auto"/>
              <w:left w:val="nil"/>
              <w:bottom w:val="single" w:sz="4" w:space="0" w:color="auto"/>
              <w:right w:val="nil"/>
            </w:tcBorders>
            <w:shd w:val="clear" w:color="auto" w:fill="auto"/>
            <w:tcMar>
              <w:top w:w="0" w:type="dxa"/>
              <w:left w:w="0" w:type="dxa"/>
              <w:bottom w:w="0" w:type="dxa"/>
              <w:right w:w="0" w:type="dxa"/>
            </w:tcMar>
          </w:tcPr>
          <w:p w14:paraId="108616BE"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1,30E+01</w:t>
            </w:r>
          </w:p>
        </w:tc>
        <w:tc>
          <w:tcPr>
            <w:tcW w:w="1110" w:type="dxa"/>
            <w:tcBorders>
              <w:top w:val="single" w:sz="4" w:space="0" w:color="auto"/>
              <w:left w:val="nil"/>
              <w:bottom w:val="single" w:sz="4" w:space="0" w:color="auto"/>
              <w:right w:val="nil"/>
            </w:tcBorders>
            <w:shd w:val="clear" w:color="auto" w:fill="auto"/>
            <w:tcMar>
              <w:top w:w="0" w:type="dxa"/>
              <w:left w:w="0" w:type="dxa"/>
              <w:bottom w:w="0" w:type="dxa"/>
              <w:right w:w="0" w:type="dxa"/>
            </w:tcMar>
          </w:tcPr>
          <w:p w14:paraId="03233691"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4,32E+00</w:t>
            </w:r>
          </w:p>
        </w:tc>
        <w:tc>
          <w:tcPr>
            <w:tcW w:w="1350" w:type="dxa"/>
            <w:tcBorders>
              <w:top w:val="single" w:sz="4" w:space="0" w:color="auto"/>
              <w:left w:val="nil"/>
              <w:bottom w:val="single" w:sz="4" w:space="0" w:color="auto"/>
            </w:tcBorders>
            <w:shd w:val="clear" w:color="auto" w:fill="auto"/>
            <w:tcMar>
              <w:top w:w="0" w:type="dxa"/>
              <w:left w:w="0" w:type="dxa"/>
              <w:bottom w:w="0" w:type="dxa"/>
              <w:right w:w="0" w:type="dxa"/>
            </w:tcMar>
          </w:tcPr>
          <w:p w14:paraId="78F10D59"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4,49E+00</w:t>
            </w:r>
          </w:p>
        </w:tc>
      </w:tr>
      <w:tr w:rsidR="00BF024F" w14:paraId="6D38E8C0" w14:textId="77777777" w:rsidTr="003A7828">
        <w:trPr>
          <w:trHeight w:val="375"/>
        </w:trPr>
        <w:tc>
          <w:tcPr>
            <w:tcW w:w="1425" w:type="dxa"/>
            <w:vMerge/>
            <w:tcBorders>
              <w:top w:val="single" w:sz="8" w:space="0" w:color="000000"/>
              <w:left w:val="nil"/>
              <w:bottom w:val="single" w:sz="8" w:space="0" w:color="000000"/>
              <w:right w:val="nil"/>
            </w:tcBorders>
            <w:shd w:val="clear" w:color="auto" w:fill="auto"/>
            <w:tcMar>
              <w:top w:w="0" w:type="dxa"/>
              <w:left w:w="0" w:type="dxa"/>
              <w:bottom w:w="0" w:type="dxa"/>
              <w:right w:w="0" w:type="dxa"/>
            </w:tcMar>
            <w:vAlign w:val="center"/>
          </w:tcPr>
          <w:p w14:paraId="798F97D2" w14:textId="77777777" w:rsidR="00BF024F" w:rsidRDefault="00BF024F" w:rsidP="003A7828">
            <w:pPr>
              <w:ind w:right="-20"/>
            </w:pPr>
          </w:p>
        </w:tc>
        <w:tc>
          <w:tcPr>
            <w:tcW w:w="1500" w:type="dxa"/>
            <w:tcBorders>
              <w:top w:val="single" w:sz="8" w:space="0" w:color="000000"/>
              <w:left w:val="nil"/>
              <w:bottom w:val="single" w:sz="8" w:space="0" w:color="000000"/>
            </w:tcBorders>
            <w:shd w:val="clear" w:color="auto" w:fill="auto"/>
            <w:tcMar>
              <w:top w:w="0" w:type="dxa"/>
              <w:left w:w="0" w:type="dxa"/>
              <w:bottom w:w="0" w:type="dxa"/>
              <w:right w:w="0" w:type="dxa"/>
            </w:tcMar>
            <w:vAlign w:val="center"/>
          </w:tcPr>
          <w:p w14:paraId="14C04BC7" w14:textId="77777777" w:rsidR="00BF024F" w:rsidRDefault="00BF024F" w:rsidP="003A7828">
            <w:pPr>
              <w:spacing w:line="228" w:lineRule="auto"/>
              <w:ind w:left="-20" w:right="-20"/>
              <w:jc w:val="center"/>
            </w:pPr>
            <w:r>
              <w:t>Northern</w:t>
            </w:r>
          </w:p>
        </w:tc>
        <w:tc>
          <w:tcPr>
            <w:tcW w:w="1110" w:type="dxa"/>
            <w:tcBorders>
              <w:top w:val="single" w:sz="4" w:space="0" w:color="auto"/>
              <w:bottom w:val="single" w:sz="4" w:space="0" w:color="auto"/>
              <w:right w:val="nil"/>
            </w:tcBorders>
            <w:shd w:val="clear" w:color="auto" w:fill="auto"/>
            <w:tcMar>
              <w:top w:w="0" w:type="dxa"/>
              <w:left w:w="0" w:type="dxa"/>
              <w:bottom w:w="0" w:type="dxa"/>
              <w:right w:w="0" w:type="dxa"/>
            </w:tcMar>
          </w:tcPr>
          <w:p w14:paraId="3027C7C4"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2,39E+00</w:t>
            </w:r>
          </w:p>
        </w:tc>
        <w:tc>
          <w:tcPr>
            <w:tcW w:w="1455" w:type="dxa"/>
            <w:tcBorders>
              <w:top w:val="single" w:sz="4" w:space="0" w:color="auto"/>
              <w:left w:val="nil"/>
              <w:bottom w:val="single" w:sz="4" w:space="0" w:color="auto"/>
              <w:right w:val="nil"/>
            </w:tcBorders>
            <w:shd w:val="clear" w:color="auto" w:fill="auto"/>
            <w:tcMar>
              <w:top w:w="0" w:type="dxa"/>
              <w:left w:w="0" w:type="dxa"/>
              <w:bottom w:w="0" w:type="dxa"/>
              <w:right w:w="0" w:type="dxa"/>
            </w:tcMar>
          </w:tcPr>
          <w:p w14:paraId="01278612"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5,23E+01</w:t>
            </w:r>
          </w:p>
        </w:tc>
        <w:tc>
          <w:tcPr>
            <w:tcW w:w="1110" w:type="dxa"/>
            <w:tcBorders>
              <w:top w:val="single" w:sz="4" w:space="0" w:color="auto"/>
              <w:left w:val="nil"/>
              <w:bottom w:val="single" w:sz="4" w:space="0" w:color="auto"/>
              <w:right w:val="nil"/>
            </w:tcBorders>
            <w:shd w:val="clear" w:color="auto" w:fill="auto"/>
            <w:tcMar>
              <w:top w:w="0" w:type="dxa"/>
              <w:left w:w="0" w:type="dxa"/>
              <w:bottom w:w="0" w:type="dxa"/>
              <w:right w:w="0" w:type="dxa"/>
            </w:tcMar>
          </w:tcPr>
          <w:p w14:paraId="644F082D"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1,92E+01</w:t>
            </w:r>
          </w:p>
        </w:tc>
        <w:tc>
          <w:tcPr>
            <w:tcW w:w="1350" w:type="dxa"/>
            <w:tcBorders>
              <w:top w:val="single" w:sz="4" w:space="0" w:color="auto"/>
              <w:left w:val="nil"/>
              <w:bottom w:val="single" w:sz="4" w:space="0" w:color="auto"/>
            </w:tcBorders>
            <w:shd w:val="clear" w:color="auto" w:fill="auto"/>
            <w:tcMar>
              <w:top w:w="0" w:type="dxa"/>
              <w:left w:w="0" w:type="dxa"/>
              <w:bottom w:w="0" w:type="dxa"/>
              <w:right w:w="0" w:type="dxa"/>
            </w:tcMar>
          </w:tcPr>
          <w:p w14:paraId="46F9838F"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5,07E+00</w:t>
            </w:r>
          </w:p>
        </w:tc>
      </w:tr>
      <w:tr w:rsidR="00BF024F" w14:paraId="62E5E3A7" w14:textId="77777777" w:rsidTr="003A7828">
        <w:trPr>
          <w:trHeight w:val="375"/>
        </w:trPr>
        <w:tc>
          <w:tcPr>
            <w:tcW w:w="1425" w:type="dxa"/>
            <w:vMerge w:val="restart"/>
            <w:tcBorders>
              <w:top w:val="single" w:sz="8" w:space="0" w:color="000000"/>
              <w:left w:val="nil"/>
              <w:bottom w:val="single" w:sz="8" w:space="0" w:color="000000"/>
              <w:right w:val="nil"/>
            </w:tcBorders>
            <w:shd w:val="clear" w:color="auto" w:fill="auto"/>
            <w:tcMar>
              <w:top w:w="0" w:type="dxa"/>
              <w:left w:w="0" w:type="dxa"/>
              <w:bottom w:w="0" w:type="dxa"/>
              <w:right w:w="0" w:type="dxa"/>
            </w:tcMar>
            <w:vAlign w:val="center"/>
          </w:tcPr>
          <w:p w14:paraId="3B460BDB" w14:textId="77777777" w:rsidR="00BF024F" w:rsidRDefault="00BF024F" w:rsidP="003A7828">
            <w:pPr>
              <w:spacing w:line="228" w:lineRule="auto"/>
              <w:ind w:left="-20" w:right="-20"/>
              <w:jc w:val="left"/>
              <w:rPr>
                <w:b/>
              </w:rPr>
            </w:pPr>
            <w:r>
              <w:rPr>
                <w:b/>
              </w:rPr>
              <w:t>Eutrophication, marine</w:t>
            </w:r>
          </w:p>
        </w:tc>
        <w:tc>
          <w:tcPr>
            <w:tcW w:w="1500" w:type="dxa"/>
            <w:tcBorders>
              <w:top w:val="single" w:sz="4" w:space="0" w:color="000000"/>
              <w:left w:val="nil"/>
              <w:bottom w:val="single" w:sz="8" w:space="0" w:color="000000"/>
            </w:tcBorders>
            <w:shd w:val="clear" w:color="auto" w:fill="auto"/>
            <w:tcMar>
              <w:top w:w="0" w:type="dxa"/>
              <w:left w:w="0" w:type="dxa"/>
              <w:bottom w:w="0" w:type="dxa"/>
              <w:right w:w="0" w:type="dxa"/>
            </w:tcMar>
            <w:vAlign w:val="center"/>
          </w:tcPr>
          <w:p w14:paraId="09419F03" w14:textId="77777777" w:rsidR="00BF024F" w:rsidRDefault="00BF024F" w:rsidP="003A7828">
            <w:pPr>
              <w:spacing w:line="228" w:lineRule="auto"/>
              <w:ind w:left="-20" w:right="-20"/>
              <w:jc w:val="center"/>
            </w:pPr>
            <w:r>
              <w:t>Central</w:t>
            </w:r>
          </w:p>
        </w:tc>
        <w:tc>
          <w:tcPr>
            <w:tcW w:w="1110" w:type="dxa"/>
            <w:tcBorders>
              <w:top w:val="single" w:sz="4" w:space="0" w:color="auto"/>
              <w:bottom w:val="single" w:sz="4" w:space="0" w:color="auto"/>
              <w:right w:val="nil"/>
            </w:tcBorders>
            <w:shd w:val="clear" w:color="auto" w:fill="auto"/>
            <w:tcMar>
              <w:top w:w="0" w:type="dxa"/>
              <w:left w:w="0" w:type="dxa"/>
              <w:bottom w:w="0" w:type="dxa"/>
              <w:right w:w="0" w:type="dxa"/>
            </w:tcMar>
          </w:tcPr>
          <w:p w14:paraId="357DF063"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1,08E-01</w:t>
            </w:r>
          </w:p>
        </w:tc>
        <w:tc>
          <w:tcPr>
            <w:tcW w:w="1455" w:type="dxa"/>
            <w:tcBorders>
              <w:top w:val="single" w:sz="4" w:space="0" w:color="auto"/>
              <w:left w:val="nil"/>
              <w:bottom w:val="single" w:sz="4" w:space="0" w:color="auto"/>
              <w:right w:val="nil"/>
            </w:tcBorders>
            <w:shd w:val="clear" w:color="auto" w:fill="auto"/>
            <w:tcMar>
              <w:top w:w="0" w:type="dxa"/>
              <w:left w:w="0" w:type="dxa"/>
              <w:bottom w:w="0" w:type="dxa"/>
              <w:right w:w="0" w:type="dxa"/>
            </w:tcMar>
          </w:tcPr>
          <w:p w14:paraId="3B7BC594"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1,17E-02</w:t>
            </w:r>
          </w:p>
        </w:tc>
        <w:tc>
          <w:tcPr>
            <w:tcW w:w="1110" w:type="dxa"/>
            <w:tcBorders>
              <w:top w:val="single" w:sz="4" w:space="0" w:color="auto"/>
              <w:left w:val="nil"/>
              <w:bottom w:val="single" w:sz="4" w:space="0" w:color="auto"/>
              <w:right w:val="nil"/>
            </w:tcBorders>
            <w:shd w:val="clear" w:color="auto" w:fill="auto"/>
            <w:tcMar>
              <w:top w:w="0" w:type="dxa"/>
              <w:left w:w="0" w:type="dxa"/>
              <w:bottom w:w="0" w:type="dxa"/>
              <w:right w:w="0" w:type="dxa"/>
            </w:tcMar>
          </w:tcPr>
          <w:p w14:paraId="1657A0C6"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1,11E-02</w:t>
            </w:r>
          </w:p>
        </w:tc>
        <w:tc>
          <w:tcPr>
            <w:tcW w:w="1350" w:type="dxa"/>
            <w:tcBorders>
              <w:top w:val="single" w:sz="4" w:space="0" w:color="auto"/>
              <w:left w:val="nil"/>
              <w:bottom w:val="single" w:sz="4" w:space="0" w:color="auto"/>
            </w:tcBorders>
            <w:shd w:val="clear" w:color="auto" w:fill="auto"/>
            <w:tcMar>
              <w:top w:w="0" w:type="dxa"/>
              <w:left w:w="0" w:type="dxa"/>
              <w:bottom w:w="0" w:type="dxa"/>
              <w:right w:w="0" w:type="dxa"/>
            </w:tcMar>
          </w:tcPr>
          <w:p w14:paraId="3ABF95E2"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3,14E-02</w:t>
            </w:r>
          </w:p>
        </w:tc>
      </w:tr>
      <w:tr w:rsidR="00BF024F" w14:paraId="63FEF02D" w14:textId="77777777" w:rsidTr="003A7828">
        <w:trPr>
          <w:trHeight w:val="349"/>
        </w:trPr>
        <w:tc>
          <w:tcPr>
            <w:tcW w:w="1425" w:type="dxa"/>
            <w:vMerge/>
            <w:tcBorders>
              <w:top w:val="single" w:sz="8" w:space="0" w:color="000000"/>
              <w:left w:val="nil"/>
              <w:bottom w:val="single" w:sz="8" w:space="0" w:color="000000"/>
              <w:right w:val="nil"/>
            </w:tcBorders>
            <w:shd w:val="clear" w:color="auto" w:fill="auto"/>
            <w:tcMar>
              <w:top w:w="0" w:type="dxa"/>
              <w:left w:w="0" w:type="dxa"/>
              <w:bottom w:w="0" w:type="dxa"/>
              <w:right w:w="0" w:type="dxa"/>
            </w:tcMar>
            <w:vAlign w:val="center"/>
          </w:tcPr>
          <w:p w14:paraId="285B74BB" w14:textId="77777777" w:rsidR="00BF024F" w:rsidRDefault="00BF024F" w:rsidP="003A7828">
            <w:pPr>
              <w:ind w:right="-20"/>
            </w:pPr>
          </w:p>
        </w:tc>
        <w:tc>
          <w:tcPr>
            <w:tcW w:w="1500" w:type="dxa"/>
            <w:tcBorders>
              <w:top w:val="single" w:sz="4" w:space="0" w:color="000000"/>
              <w:left w:val="nil"/>
              <w:bottom w:val="single" w:sz="8" w:space="0" w:color="000000"/>
            </w:tcBorders>
            <w:shd w:val="clear" w:color="auto" w:fill="auto"/>
            <w:tcMar>
              <w:top w:w="0" w:type="dxa"/>
              <w:left w:w="0" w:type="dxa"/>
              <w:bottom w:w="0" w:type="dxa"/>
              <w:right w:w="0" w:type="dxa"/>
            </w:tcMar>
            <w:vAlign w:val="center"/>
          </w:tcPr>
          <w:p w14:paraId="5799F576" w14:textId="77777777" w:rsidR="00BF024F" w:rsidRDefault="00BF024F" w:rsidP="003A7828">
            <w:pPr>
              <w:spacing w:line="228" w:lineRule="auto"/>
              <w:ind w:left="-20" w:right="-20"/>
              <w:jc w:val="center"/>
            </w:pPr>
            <w:r>
              <w:t>Mediterranean</w:t>
            </w:r>
          </w:p>
        </w:tc>
        <w:tc>
          <w:tcPr>
            <w:tcW w:w="1110" w:type="dxa"/>
            <w:tcBorders>
              <w:top w:val="single" w:sz="4" w:space="0" w:color="auto"/>
              <w:bottom w:val="single" w:sz="4" w:space="0" w:color="auto"/>
              <w:right w:val="nil"/>
            </w:tcBorders>
            <w:shd w:val="clear" w:color="auto" w:fill="auto"/>
            <w:tcMar>
              <w:top w:w="0" w:type="dxa"/>
              <w:left w:w="0" w:type="dxa"/>
              <w:bottom w:w="0" w:type="dxa"/>
              <w:right w:w="0" w:type="dxa"/>
            </w:tcMar>
          </w:tcPr>
          <w:p w14:paraId="486A8D4D"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1,28E-01</w:t>
            </w:r>
          </w:p>
        </w:tc>
        <w:tc>
          <w:tcPr>
            <w:tcW w:w="1455" w:type="dxa"/>
            <w:tcBorders>
              <w:top w:val="single" w:sz="4" w:space="0" w:color="auto"/>
              <w:left w:val="nil"/>
              <w:bottom w:val="single" w:sz="4" w:space="0" w:color="auto"/>
              <w:right w:val="nil"/>
            </w:tcBorders>
            <w:shd w:val="clear" w:color="auto" w:fill="auto"/>
            <w:tcMar>
              <w:top w:w="0" w:type="dxa"/>
              <w:left w:w="0" w:type="dxa"/>
              <w:bottom w:w="0" w:type="dxa"/>
              <w:right w:w="0" w:type="dxa"/>
            </w:tcMar>
          </w:tcPr>
          <w:p w14:paraId="3ABBB038"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1,20E-02</w:t>
            </w:r>
          </w:p>
        </w:tc>
        <w:tc>
          <w:tcPr>
            <w:tcW w:w="1110" w:type="dxa"/>
            <w:tcBorders>
              <w:top w:val="single" w:sz="4" w:space="0" w:color="auto"/>
              <w:left w:val="nil"/>
              <w:bottom w:val="single" w:sz="4" w:space="0" w:color="auto"/>
              <w:right w:val="nil"/>
            </w:tcBorders>
            <w:shd w:val="clear" w:color="auto" w:fill="auto"/>
            <w:tcMar>
              <w:top w:w="0" w:type="dxa"/>
              <w:left w:w="0" w:type="dxa"/>
              <w:bottom w:w="0" w:type="dxa"/>
              <w:right w:w="0" w:type="dxa"/>
            </w:tcMar>
          </w:tcPr>
          <w:p w14:paraId="4D6427BD"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1,11E-02</w:t>
            </w:r>
          </w:p>
        </w:tc>
        <w:tc>
          <w:tcPr>
            <w:tcW w:w="1350" w:type="dxa"/>
            <w:tcBorders>
              <w:top w:val="single" w:sz="4" w:space="0" w:color="auto"/>
              <w:left w:val="nil"/>
              <w:bottom w:val="single" w:sz="4" w:space="0" w:color="auto"/>
            </w:tcBorders>
            <w:shd w:val="clear" w:color="auto" w:fill="auto"/>
            <w:tcMar>
              <w:top w:w="0" w:type="dxa"/>
              <w:left w:w="0" w:type="dxa"/>
              <w:bottom w:w="0" w:type="dxa"/>
              <w:right w:w="0" w:type="dxa"/>
            </w:tcMar>
          </w:tcPr>
          <w:p w14:paraId="16555DDF"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9,81E-03</w:t>
            </w:r>
          </w:p>
        </w:tc>
      </w:tr>
      <w:tr w:rsidR="00BF024F" w14:paraId="7DE318BC" w14:textId="77777777" w:rsidTr="003A7828">
        <w:trPr>
          <w:trHeight w:val="300"/>
        </w:trPr>
        <w:tc>
          <w:tcPr>
            <w:tcW w:w="1425" w:type="dxa"/>
            <w:vMerge/>
            <w:tcBorders>
              <w:top w:val="single" w:sz="8" w:space="0" w:color="000000"/>
              <w:left w:val="nil"/>
              <w:bottom w:val="single" w:sz="8" w:space="0" w:color="000000"/>
              <w:right w:val="nil"/>
            </w:tcBorders>
            <w:shd w:val="clear" w:color="auto" w:fill="auto"/>
            <w:tcMar>
              <w:top w:w="0" w:type="dxa"/>
              <w:left w:w="0" w:type="dxa"/>
              <w:bottom w:w="0" w:type="dxa"/>
              <w:right w:w="0" w:type="dxa"/>
            </w:tcMar>
            <w:vAlign w:val="center"/>
          </w:tcPr>
          <w:p w14:paraId="4650E915" w14:textId="77777777" w:rsidR="00BF024F" w:rsidRDefault="00BF024F" w:rsidP="003A7828">
            <w:pPr>
              <w:ind w:right="-20"/>
            </w:pPr>
          </w:p>
        </w:tc>
        <w:tc>
          <w:tcPr>
            <w:tcW w:w="1500" w:type="dxa"/>
            <w:tcBorders>
              <w:top w:val="single" w:sz="8" w:space="0" w:color="000000"/>
              <w:left w:val="nil"/>
              <w:bottom w:val="single" w:sz="8" w:space="0" w:color="000000"/>
            </w:tcBorders>
            <w:shd w:val="clear" w:color="auto" w:fill="auto"/>
            <w:tcMar>
              <w:top w:w="0" w:type="dxa"/>
              <w:left w:w="0" w:type="dxa"/>
              <w:bottom w:w="0" w:type="dxa"/>
              <w:right w:w="0" w:type="dxa"/>
            </w:tcMar>
            <w:vAlign w:val="center"/>
          </w:tcPr>
          <w:p w14:paraId="290A9256" w14:textId="77777777" w:rsidR="00BF024F" w:rsidRDefault="00BF024F" w:rsidP="003A7828">
            <w:pPr>
              <w:spacing w:line="228" w:lineRule="auto"/>
              <w:ind w:left="-20" w:right="-20"/>
              <w:jc w:val="center"/>
            </w:pPr>
            <w:r>
              <w:t>Northern</w:t>
            </w:r>
          </w:p>
        </w:tc>
        <w:tc>
          <w:tcPr>
            <w:tcW w:w="1110" w:type="dxa"/>
            <w:tcBorders>
              <w:top w:val="single" w:sz="4" w:space="0" w:color="auto"/>
              <w:bottom w:val="single" w:sz="4" w:space="0" w:color="auto"/>
              <w:right w:val="nil"/>
            </w:tcBorders>
            <w:shd w:val="clear" w:color="auto" w:fill="auto"/>
            <w:tcMar>
              <w:top w:w="0" w:type="dxa"/>
              <w:left w:w="0" w:type="dxa"/>
              <w:bottom w:w="0" w:type="dxa"/>
              <w:right w:w="0" w:type="dxa"/>
            </w:tcMar>
          </w:tcPr>
          <w:p w14:paraId="159CC091"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1,62E-02</w:t>
            </w:r>
          </w:p>
        </w:tc>
        <w:tc>
          <w:tcPr>
            <w:tcW w:w="1455" w:type="dxa"/>
            <w:tcBorders>
              <w:top w:val="single" w:sz="4" w:space="0" w:color="auto"/>
              <w:left w:val="nil"/>
              <w:bottom w:val="single" w:sz="4" w:space="0" w:color="auto"/>
              <w:right w:val="nil"/>
            </w:tcBorders>
            <w:shd w:val="clear" w:color="auto" w:fill="auto"/>
            <w:tcMar>
              <w:top w:w="0" w:type="dxa"/>
              <w:left w:w="0" w:type="dxa"/>
              <w:bottom w:w="0" w:type="dxa"/>
              <w:right w:w="0" w:type="dxa"/>
            </w:tcMar>
          </w:tcPr>
          <w:p w14:paraId="39942D8E"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4,61E-02</w:t>
            </w:r>
          </w:p>
        </w:tc>
        <w:tc>
          <w:tcPr>
            <w:tcW w:w="1110" w:type="dxa"/>
            <w:tcBorders>
              <w:top w:val="single" w:sz="4" w:space="0" w:color="auto"/>
              <w:left w:val="nil"/>
              <w:bottom w:val="single" w:sz="4" w:space="0" w:color="auto"/>
              <w:right w:val="nil"/>
            </w:tcBorders>
            <w:shd w:val="clear" w:color="auto" w:fill="auto"/>
            <w:tcMar>
              <w:top w:w="0" w:type="dxa"/>
              <w:left w:w="0" w:type="dxa"/>
              <w:bottom w:w="0" w:type="dxa"/>
              <w:right w:w="0" w:type="dxa"/>
            </w:tcMar>
          </w:tcPr>
          <w:p w14:paraId="04A460E1"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5,19E-02</w:t>
            </w:r>
          </w:p>
        </w:tc>
        <w:tc>
          <w:tcPr>
            <w:tcW w:w="1350" w:type="dxa"/>
            <w:tcBorders>
              <w:top w:val="single" w:sz="4" w:space="0" w:color="auto"/>
              <w:left w:val="nil"/>
              <w:bottom w:val="single" w:sz="4" w:space="0" w:color="auto"/>
            </w:tcBorders>
            <w:shd w:val="clear" w:color="auto" w:fill="auto"/>
            <w:tcMar>
              <w:top w:w="0" w:type="dxa"/>
              <w:left w:w="0" w:type="dxa"/>
              <w:bottom w:w="0" w:type="dxa"/>
              <w:right w:w="0" w:type="dxa"/>
            </w:tcMar>
          </w:tcPr>
          <w:p w14:paraId="3125455F"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1,26E-02</w:t>
            </w:r>
          </w:p>
        </w:tc>
      </w:tr>
      <w:tr w:rsidR="00BF024F" w14:paraId="7FC55918" w14:textId="77777777" w:rsidTr="003A7828">
        <w:trPr>
          <w:trHeight w:val="375"/>
        </w:trPr>
        <w:tc>
          <w:tcPr>
            <w:tcW w:w="1425" w:type="dxa"/>
            <w:vMerge w:val="restart"/>
            <w:tcBorders>
              <w:top w:val="single" w:sz="8" w:space="0" w:color="000000"/>
              <w:left w:val="nil"/>
              <w:bottom w:val="single" w:sz="8" w:space="0" w:color="000000"/>
              <w:right w:val="nil"/>
            </w:tcBorders>
            <w:shd w:val="clear" w:color="auto" w:fill="auto"/>
            <w:tcMar>
              <w:top w:w="0" w:type="dxa"/>
              <w:left w:w="0" w:type="dxa"/>
              <w:bottom w:w="0" w:type="dxa"/>
              <w:right w:w="0" w:type="dxa"/>
            </w:tcMar>
            <w:vAlign w:val="center"/>
          </w:tcPr>
          <w:p w14:paraId="0C38F297" w14:textId="77777777" w:rsidR="00BF024F" w:rsidRDefault="00BF024F" w:rsidP="003A7828">
            <w:pPr>
              <w:spacing w:line="228" w:lineRule="auto"/>
              <w:ind w:left="-20" w:right="-20"/>
              <w:jc w:val="left"/>
              <w:rPr>
                <w:b/>
              </w:rPr>
            </w:pPr>
            <w:r>
              <w:rPr>
                <w:b/>
              </w:rPr>
              <w:t>Eutrophication, freshwater</w:t>
            </w:r>
          </w:p>
        </w:tc>
        <w:tc>
          <w:tcPr>
            <w:tcW w:w="1500" w:type="dxa"/>
            <w:tcBorders>
              <w:top w:val="single" w:sz="4" w:space="0" w:color="000000"/>
              <w:left w:val="nil"/>
              <w:bottom w:val="single" w:sz="8" w:space="0" w:color="000000"/>
            </w:tcBorders>
            <w:shd w:val="clear" w:color="auto" w:fill="auto"/>
            <w:tcMar>
              <w:top w:w="0" w:type="dxa"/>
              <w:left w:w="0" w:type="dxa"/>
              <w:bottom w:w="0" w:type="dxa"/>
              <w:right w:w="0" w:type="dxa"/>
            </w:tcMar>
            <w:vAlign w:val="center"/>
          </w:tcPr>
          <w:p w14:paraId="7FBF3BEE" w14:textId="77777777" w:rsidR="00BF024F" w:rsidRDefault="00BF024F" w:rsidP="003A7828">
            <w:pPr>
              <w:spacing w:line="228" w:lineRule="auto"/>
              <w:ind w:left="-20" w:right="-20"/>
              <w:jc w:val="center"/>
            </w:pPr>
            <w:r>
              <w:t>Central</w:t>
            </w:r>
          </w:p>
        </w:tc>
        <w:tc>
          <w:tcPr>
            <w:tcW w:w="1110" w:type="dxa"/>
            <w:tcBorders>
              <w:top w:val="single" w:sz="4" w:space="0" w:color="auto"/>
              <w:bottom w:val="single" w:sz="4" w:space="0" w:color="auto"/>
              <w:right w:val="nil"/>
            </w:tcBorders>
            <w:shd w:val="clear" w:color="auto" w:fill="auto"/>
            <w:tcMar>
              <w:top w:w="0" w:type="dxa"/>
              <w:left w:w="0" w:type="dxa"/>
              <w:bottom w:w="0" w:type="dxa"/>
              <w:right w:w="0" w:type="dxa"/>
            </w:tcMar>
          </w:tcPr>
          <w:p w14:paraId="666B18B0"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1,27E-02</w:t>
            </w:r>
          </w:p>
        </w:tc>
        <w:tc>
          <w:tcPr>
            <w:tcW w:w="1455" w:type="dxa"/>
            <w:tcBorders>
              <w:top w:val="single" w:sz="4" w:space="0" w:color="auto"/>
              <w:left w:val="nil"/>
              <w:bottom w:val="single" w:sz="4" w:space="0" w:color="auto"/>
              <w:right w:val="nil"/>
            </w:tcBorders>
            <w:shd w:val="clear" w:color="auto" w:fill="auto"/>
            <w:tcMar>
              <w:top w:w="0" w:type="dxa"/>
              <w:left w:w="0" w:type="dxa"/>
              <w:bottom w:w="0" w:type="dxa"/>
              <w:right w:w="0" w:type="dxa"/>
            </w:tcMar>
          </w:tcPr>
          <w:p w14:paraId="359F0243"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2,64E-03</w:t>
            </w:r>
          </w:p>
        </w:tc>
        <w:tc>
          <w:tcPr>
            <w:tcW w:w="1110" w:type="dxa"/>
            <w:tcBorders>
              <w:top w:val="single" w:sz="4" w:space="0" w:color="auto"/>
              <w:left w:val="nil"/>
              <w:bottom w:val="single" w:sz="4" w:space="0" w:color="auto"/>
              <w:right w:val="nil"/>
            </w:tcBorders>
            <w:shd w:val="clear" w:color="auto" w:fill="auto"/>
            <w:tcMar>
              <w:top w:w="0" w:type="dxa"/>
              <w:left w:w="0" w:type="dxa"/>
              <w:bottom w:w="0" w:type="dxa"/>
              <w:right w:w="0" w:type="dxa"/>
            </w:tcMar>
          </w:tcPr>
          <w:p w14:paraId="30269484"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2,47E-03</w:t>
            </w:r>
          </w:p>
        </w:tc>
        <w:tc>
          <w:tcPr>
            <w:tcW w:w="1350" w:type="dxa"/>
            <w:tcBorders>
              <w:top w:val="single" w:sz="4" w:space="0" w:color="auto"/>
              <w:left w:val="nil"/>
              <w:bottom w:val="single" w:sz="4" w:space="0" w:color="auto"/>
            </w:tcBorders>
            <w:shd w:val="clear" w:color="auto" w:fill="auto"/>
            <w:tcMar>
              <w:top w:w="0" w:type="dxa"/>
              <w:left w:w="0" w:type="dxa"/>
              <w:bottom w:w="0" w:type="dxa"/>
              <w:right w:w="0" w:type="dxa"/>
            </w:tcMar>
          </w:tcPr>
          <w:p w14:paraId="531C4D11"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1,57E-02</w:t>
            </w:r>
          </w:p>
        </w:tc>
      </w:tr>
      <w:tr w:rsidR="00BF024F" w14:paraId="057872E3" w14:textId="77777777" w:rsidTr="003A7828">
        <w:trPr>
          <w:trHeight w:val="300"/>
        </w:trPr>
        <w:tc>
          <w:tcPr>
            <w:tcW w:w="1425" w:type="dxa"/>
            <w:vMerge/>
            <w:tcBorders>
              <w:top w:val="single" w:sz="8" w:space="0" w:color="000000"/>
              <w:left w:val="nil"/>
              <w:bottom w:val="single" w:sz="8" w:space="0" w:color="000000"/>
              <w:right w:val="nil"/>
            </w:tcBorders>
            <w:shd w:val="clear" w:color="auto" w:fill="auto"/>
            <w:tcMar>
              <w:top w:w="0" w:type="dxa"/>
              <w:left w:w="0" w:type="dxa"/>
              <w:bottom w:w="0" w:type="dxa"/>
              <w:right w:w="0" w:type="dxa"/>
            </w:tcMar>
            <w:vAlign w:val="center"/>
          </w:tcPr>
          <w:p w14:paraId="50F7D857" w14:textId="77777777" w:rsidR="00BF024F" w:rsidRDefault="00BF024F" w:rsidP="003A7828">
            <w:pPr>
              <w:spacing w:line="228" w:lineRule="auto"/>
              <w:ind w:left="-20" w:right="-20"/>
            </w:pPr>
          </w:p>
        </w:tc>
        <w:tc>
          <w:tcPr>
            <w:tcW w:w="1500" w:type="dxa"/>
            <w:tcBorders>
              <w:top w:val="single" w:sz="4" w:space="0" w:color="000000"/>
              <w:left w:val="nil"/>
              <w:bottom w:val="single" w:sz="8" w:space="0" w:color="000000"/>
            </w:tcBorders>
            <w:shd w:val="clear" w:color="auto" w:fill="auto"/>
            <w:tcMar>
              <w:top w:w="0" w:type="dxa"/>
              <w:left w:w="0" w:type="dxa"/>
              <w:bottom w:w="0" w:type="dxa"/>
              <w:right w:w="0" w:type="dxa"/>
            </w:tcMar>
            <w:vAlign w:val="center"/>
          </w:tcPr>
          <w:p w14:paraId="4F336DBA" w14:textId="77777777" w:rsidR="00BF024F" w:rsidRDefault="00BF024F" w:rsidP="003A7828">
            <w:pPr>
              <w:spacing w:line="228" w:lineRule="auto"/>
              <w:ind w:left="-20" w:right="-20"/>
              <w:jc w:val="center"/>
            </w:pPr>
            <w:r>
              <w:t>Mediterranean</w:t>
            </w:r>
          </w:p>
        </w:tc>
        <w:tc>
          <w:tcPr>
            <w:tcW w:w="1110" w:type="dxa"/>
            <w:tcBorders>
              <w:top w:val="single" w:sz="4" w:space="0" w:color="auto"/>
              <w:bottom w:val="single" w:sz="4" w:space="0" w:color="auto"/>
              <w:right w:val="nil"/>
            </w:tcBorders>
            <w:shd w:val="clear" w:color="auto" w:fill="auto"/>
            <w:tcMar>
              <w:top w:w="0" w:type="dxa"/>
              <w:left w:w="0" w:type="dxa"/>
              <w:bottom w:w="0" w:type="dxa"/>
              <w:right w:w="0" w:type="dxa"/>
            </w:tcMar>
          </w:tcPr>
          <w:p w14:paraId="03055689"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-1,33E-02</w:t>
            </w:r>
          </w:p>
        </w:tc>
        <w:tc>
          <w:tcPr>
            <w:tcW w:w="1455" w:type="dxa"/>
            <w:tcBorders>
              <w:top w:val="single" w:sz="4" w:space="0" w:color="auto"/>
              <w:left w:val="nil"/>
              <w:bottom w:val="single" w:sz="4" w:space="0" w:color="auto"/>
              <w:right w:val="nil"/>
            </w:tcBorders>
            <w:shd w:val="clear" w:color="auto" w:fill="auto"/>
            <w:tcMar>
              <w:top w:w="0" w:type="dxa"/>
              <w:left w:w="0" w:type="dxa"/>
              <w:bottom w:w="0" w:type="dxa"/>
              <w:right w:w="0" w:type="dxa"/>
            </w:tcMar>
          </w:tcPr>
          <w:p w14:paraId="7ED570B3"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1,07E-03</w:t>
            </w:r>
          </w:p>
        </w:tc>
        <w:tc>
          <w:tcPr>
            <w:tcW w:w="1110" w:type="dxa"/>
            <w:tcBorders>
              <w:top w:val="single" w:sz="4" w:space="0" w:color="auto"/>
              <w:left w:val="nil"/>
              <w:bottom w:val="single" w:sz="4" w:space="0" w:color="auto"/>
              <w:right w:val="nil"/>
            </w:tcBorders>
            <w:shd w:val="clear" w:color="auto" w:fill="auto"/>
            <w:tcMar>
              <w:top w:w="0" w:type="dxa"/>
              <w:left w:w="0" w:type="dxa"/>
              <w:bottom w:w="0" w:type="dxa"/>
              <w:right w:w="0" w:type="dxa"/>
            </w:tcMar>
          </w:tcPr>
          <w:p w14:paraId="5D51864D"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1,01E-03</w:t>
            </w:r>
          </w:p>
        </w:tc>
        <w:tc>
          <w:tcPr>
            <w:tcW w:w="1350" w:type="dxa"/>
            <w:tcBorders>
              <w:top w:val="single" w:sz="4" w:space="0" w:color="auto"/>
              <w:left w:val="nil"/>
              <w:bottom w:val="single" w:sz="4" w:space="0" w:color="auto"/>
            </w:tcBorders>
            <w:shd w:val="clear" w:color="auto" w:fill="auto"/>
            <w:tcMar>
              <w:top w:w="0" w:type="dxa"/>
              <w:left w:w="0" w:type="dxa"/>
              <w:bottom w:w="0" w:type="dxa"/>
              <w:right w:w="0" w:type="dxa"/>
            </w:tcMar>
          </w:tcPr>
          <w:p w14:paraId="1B9A31E2"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1,35E-03</w:t>
            </w:r>
          </w:p>
        </w:tc>
      </w:tr>
      <w:tr w:rsidR="00BF024F" w14:paraId="6597A9B5" w14:textId="77777777" w:rsidTr="003A7828">
        <w:trPr>
          <w:trHeight w:val="338"/>
        </w:trPr>
        <w:tc>
          <w:tcPr>
            <w:tcW w:w="1425" w:type="dxa"/>
            <w:vMerge/>
            <w:tcBorders>
              <w:top w:val="single" w:sz="8" w:space="0" w:color="000000"/>
              <w:left w:val="nil"/>
              <w:bottom w:val="single" w:sz="8" w:space="0" w:color="000000"/>
              <w:right w:val="nil"/>
            </w:tcBorders>
            <w:shd w:val="clear" w:color="auto" w:fill="auto"/>
            <w:tcMar>
              <w:top w:w="0" w:type="dxa"/>
              <w:left w:w="0" w:type="dxa"/>
              <w:bottom w:w="0" w:type="dxa"/>
              <w:right w:w="0" w:type="dxa"/>
            </w:tcMar>
            <w:vAlign w:val="center"/>
          </w:tcPr>
          <w:p w14:paraId="78DC2263" w14:textId="77777777" w:rsidR="00BF024F" w:rsidRDefault="00BF024F" w:rsidP="003A7828">
            <w:pPr>
              <w:spacing w:line="228" w:lineRule="auto"/>
              <w:ind w:left="-20" w:right="-20"/>
            </w:pPr>
          </w:p>
        </w:tc>
        <w:tc>
          <w:tcPr>
            <w:tcW w:w="1500" w:type="dxa"/>
            <w:tcBorders>
              <w:top w:val="single" w:sz="8" w:space="0" w:color="000000"/>
              <w:left w:val="nil"/>
              <w:bottom w:val="single" w:sz="8" w:space="0" w:color="000000"/>
            </w:tcBorders>
            <w:shd w:val="clear" w:color="auto" w:fill="auto"/>
            <w:tcMar>
              <w:top w:w="0" w:type="dxa"/>
              <w:left w:w="0" w:type="dxa"/>
              <w:bottom w:w="0" w:type="dxa"/>
              <w:right w:w="0" w:type="dxa"/>
            </w:tcMar>
            <w:vAlign w:val="center"/>
          </w:tcPr>
          <w:p w14:paraId="30202B73" w14:textId="77777777" w:rsidR="00BF024F" w:rsidRDefault="00BF024F" w:rsidP="003A7828">
            <w:pPr>
              <w:spacing w:line="228" w:lineRule="auto"/>
              <w:ind w:left="-20" w:right="-20"/>
              <w:jc w:val="center"/>
            </w:pPr>
            <w:r>
              <w:t>Northern</w:t>
            </w:r>
          </w:p>
        </w:tc>
        <w:tc>
          <w:tcPr>
            <w:tcW w:w="1110" w:type="dxa"/>
            <w:tcBorders>
              <w:top w:val="single" w:sz="4" w:space="0" w:color="auto"/>
              <w:bottom w:val="single" w:sz="4" w:space="0" w:color="auto"/>
              <w:right w:val="nil"/>
            </w:tcBorders>
            <w:shd w:val="clear" w:color="auto" w:fill="auto"/>
            <w:tcMar>
              <w:top w:w="0" w:type="dxa"/>
              <w:left w:w="0" w:type="dxa"/>
              <w:bottom w:w="0" w:type="dxa"/>
              <w:right w:w="0" w:type="dxa"/>
            </w:tcMar>
          </w:tcPr>
          <w:p w14:paraId="5D2F9B70"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-3,58E-04</w:t>
            </w:r>
          </w:p>
        </w:tc>
        <w:tc>
          <w:tcPr>
            <w:tcW w:w="1455" w:type="dxa"/>
            <w:tcBorders>
              <w:top w:val="single" w:sz="4" w:space="0" w:color="auto"/>
              <w:left w:val="nil"/>
              <w:bottom w:val="single" w:sz="4" w:space="0" w:color="auto"/>
              <w:right w:val="nil"/>
            </w:tcBorders>
            <w:shd w:val="clear" w:color="auto" w:fill="auto"/>
            <w:tcMar>
              <w:top w:w="0" w:type="dxa"/>
              <w:left w:w="0" w:type="dxa"/>
              <w:bottom w:w="0" w:type="dxa"/>
              <w:right w:w="0" w:type="dxa"/>
            </w:tcMar>
          </w:tcPr>
          <w:p w14:paraId="066B0E87"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3,61E-03</w:t>
            </w:r>
          </w:p>
        </w:tc>
        <w:tc>
          <w:tcPr>
            <w:tcW w:w="1110" w:type="dxa"/>
            <w:tcBorders>
              <w:top w:val="single" w:sz="4" w:space="0" w:color="auto"/>
              <w:left w:val="nil"/>
              <w:bottom w:val="single" w:sz="4" w:space="0" w:color="auto"/>
              <w:right w:val="nil"/>
            </w:tcBorders>
            <w:shd w:val="clear" w:color="auto" w:fill="auto"/>
            <w:tcMar>
              <w:top w:w="0" w:type="dxa"/>
              <w:left w:w="0" w:type="dxa"/>
              <w:bottom w:w="0" w:type="dxa"/>
              <w:right w:w="0" w:type="dxa"/>
            </w:tcMar>
          </w:tcPr>
          <w:p w14:paraId="541907AA"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4,06E-03</w:t>
            </w:r>
          </w:p>
        </w:tc>
        <w:tc>
          <w:tcPr>
            <w:tcW w:w="1350" w:type="dxa"/>
            <w:tcBorders>
              <w:top w:val="single" w:sz="4" w:space="0" w:color="auto"/>
              <w:left w:val="nil"/>
              <w:bottom w:val="single" w:sz="4" w:space="0" w:color="auto"/>
            </w:tcBorders>
            <w:shd w:val="clear" w:color="auto" w:fill="auto"/>
            <w:tcMar>
              <w:top w:w="0" w:type="dxa"/>
              <w:left w:w="0" w:type="dxa"/>
              <w:bottom w:w="0" w:type="dxa"/>
              <w:right w:w="0" w:type="dxa"/>
            </w:tcMar>
          </w:tcPr>
          <w:p w14:paraId="5F47EE8E"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1,29E-03</w:t>
            </w:r>
          </w:p>
        </w:tc>
      </w:tr>
      <w:tr w:rsidR="00BF024F" w14:paraId="2D8B0D96" w14:textId="77777777" w:rsidTr="003A7828">
        <w:trPr>
          <w:trHeight w:val="300"/>
        </w:trPr>
        <w:tc>
          <w:tcPr>
            <w:tcW w:w="1425" w:type="dxa"/>
            <w:vMerge w:val="restart"/>
            <w:tcBorders>
              <w:top w:val="single" w:sz="8" w:space="0" w:color="000000"/>
              <w:left w:val="nil"/>
              <w:bottom w:val="single" w:sz="8" w:space="0" w:color="000000"/>
              <w:right w:val="nil"/>
            </w:tcBorders>
            <w:shd w:val="clear" w:color="auto" w:fill="auto"/>
            <w:tcMar>
              <w:top w:w="0" w:type="dxa"/>
              <w:left w:w="0" w:type="dxa"/>
              <w:bottom w:w="0" w:type="dxa"/>
              <w:right w:w="0" w:type="dxa"/>
            </w:tcMar>
            <w:vAlign w:val="center"/>
          </w:tcPr>
          <w:p w14:paraId="065662B8" w14:textId="77777777" w:rsidR="00BF024F" w:rsidRDefault="00BF024F" w:rsidP="003A7828">
            <w:pPr>
              <w:spacing w:line="228" w:lineRule="auto"/>
              <w:ind w:left="-20" w:right="-20"/>
              <w:jc w:val="left"/>
              <w:rPr>
                <w:b/>
              </w:rPr>
            </w:pPr>
            <w:r>
              <w:rPr>
                <w:b/>
              </w:rPr>
              <w:t>Photochemical ozone formation</w:t>
            </w:r>
          </w:p>
        </w:tc>
        <w:tc>
          <w:tcPr>
            <w:tcW w:w="1500" w:type="dxa"/>
            <w:tcBorders>
              <w:top w:val="single" w:sz="4" w:space="0" w:color="000000"/>
              <w:left w:val="nil"/>
              <w:bottom w:val="single" w:sz="8" w:space="0" w:color="000000"/>
            </w:tcBorders>
            <w:shd w:val="clear" w:color="auto" w:fill="auto"/>
            <w:tcMar>
              <w:top w:w="0" w:type="dxa"/>
              <w:left w:w="0" w:type="dxa"/>
              <w:bottom w:w="0" w:type="dxa"/>
              <w:right w:w="0" w:type="dxa"/>
            </w:tcMar>
            <w:vAlign w:val="center"/>
          </w:tcPr>
          <w:p w14:paraId="3B15D7C7" w14:textId="77777777" w:rsidR="00BF024F" w:rsidRDefault="00BF024F" w:rsidP="003A7828">
            <w:pPr>
              <w:spacing w:line="228" w:lineRule="auto"/>
              <w:ind w:left="-20" w:right="-20"/>
              <w:jc w:val="center"/>
            </w:pPr>
            <w:r>
              <w:t>Central</w:t>
            </w:r>
          </w:p>
        </w:tc>
        <w:tc>
          <w:tcPr>
            <w:tcW w:w="1110" w:type="dxa"/>
            <w:tcBorders>
              <w:top w:val="single" w:sz="4" w:space="0" w:color="auto"/>
              <w:bottom w:val="single" w:sz="4" w:space="0" w:color="auto"/>
              <w:right w:val="nil"/>
            </w:tcBorders>
            <w:shd w:val="clear" w:color="auto" w:fill="auto"/>
            <w:tcMar>
              <w:top w:w="0" w:type="dxa"/>
              <w:left w:w="0" w:type="dxa"/>
              <w:bottom w:w="0" w:type="dxa"/>
              <w:right w:w="0" w:type="dxa"/>
            </w:tcMar>
          </w:tcPr>
          <w:p w14:paraId="5003CA34"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1,44E-01</w:t>
            </w:r>
          </w:p>
        </w:tc>
        <w:tc>
          <w:tcPr>
            <w:tcW w:w="1455" w:type="dxa"/>
            <w:tcBorders>
              <w:top w:val="single" w:sz="4" w:space="0" w:color="auto"/>
              <w:left w:val="nil"/>
              <w:bottom w:val="single" w:sz="4" w:space="0" w:color="auto"/>
              <w:right w:val="nil"/>
            </w:tcBorders>
            <w:shd w:val="clear" w:color="auto" w:fill="auto"/>
            <w:tcMar>
              <w:top w:w="0" w:type="dxa"/>
              <w:left w:w="0" w:type="dxa"/>
              <w:bottom w:w="0" w:type="dxa"/>
              <w:right w:w="0" w:type="dxa"/>
            </w:tcMar>
          </w:tcPr>
          <w:p w14:paraId="3C710FB9"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2,31E-02</w:t>
            </w:r>
          </w:p>
        </w:tc>
        <w:tc>
          <w:tcPr>
            <w:tcW w:w="1110" w:type="dxa"/>
            <w:tcBorders>
              <w:top w:val="single" w:sz="4" w:space="0" w:color="auto"/>
              <w:left w:val="nil"/>
              <w:bottom w:val="single" w:sz="4" w:space="0" w:color="auto"/>
              <w:right w:val="nil"/>
            </w:tcBorders>
            <w:shd w:val="clear" w:color="auto" w:fill="auto"/>
            <w:tcMar>
              <w:top w:w="0" w:type="dxa"/>
              <w:left w:w="0" w:type="dxa"/>
              <w:bottom w:w="0" w:type="dxa"/>
              <w:right w:w="0" w:type="dxa"/>
            </w:tcMar>
          </w:tcPr>
          <w:p w14:paraId="5874F616"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3,29E-02</w:t>
            </w:r>
          </w:p>
        </w:tc>
        <w:tc>
          <w:tcPr>
            <w:tcW w:w="1350" w:type="dxa"/>
            <w:tcBorders>
              <w:top w:val="single" w:sz="4" w:space="0" w:color="auto"/>
              <w:left w:val="nil"/>
              <w:bottom w:val="single" w:sz="4" w:space="0" w:color="auto"/>
            </w:tcBorders>
            <w:shd w:val="clear" w:color="auto" w:fill="auto"/>
            <w:tcMar>
              <w:top w:w="0" w:type="dxa"/>
              <w:left w:w="0" w:type="dxa"/>
              <w:bottom w:w="0" w:type="dxa"/>
              <w:right w:w="0" w:type="dxa"/>
            </w:tcMar>
          </w:tcPr>
          <w:p w14:paraId="1A118795"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2,33E-02</w:t>
            </w:r>
          </w:p>
        </w:tc>
      </w:tr>
      <w:tr w:rsidR="00BF024F" w14:paraId="7C7C4745" w14:textId="77777777" w:rsidTr="003A7828">
        <w:trPr>
          <w:trHeight w:val="345"/>
        </w:trPr>
        <w:tc>
          <w:tcPr>
            <w:tcW w:w="1425" w:type="dxa"/>
            <w:vMerge/>
            <w:tcBorders>
              <w:top w:val="single" w:sz="8" w:space="0" w:color="000000"/>
              <w:left w:val="nil"/>
              <w:bottom w:val="single" w:sz="8" w:space="0" w:color="000000"/>
              <w:right w:val="nil"/>
            </w:tcBorders>
            <w:shd w:val="clear" w:color="auto" w:fill="auto"/>
            <w:tcMar>
              <w:top w:w="0" w:type="dxa"/>
              <w:left w:w="0" w:type="dxa"/>
              <w:bottom w:w="0" w:type="dxa"/>
              <w:right w:w="0" w:type="dxa"/>
            </w:tcMar>
            <w:vAlign w:val="center"/>
          </w:tcPr>
          <w:p w14:paraId="4A94FEA5" w14:textId="77777777" w:rsidR="00BF024F" w:rsidRDefault="00BF024F" w:rsidP="003A7828">
            <w:pPr>
              <w:spacing w:line="228" w:lineRule="auto"/>
              <w:ind w:left="-20" w:right="-20"/>
            </w:pPr>
          </w:p>
        </w:tc>
        <w:tc>
          <w:tcPr>
            <w:tcW w:w="1500" w:type="dxa"/>
            <w:tcBorders>
              <w:top w:val="single" w:sz="4" w:space="0" w:color="000000"/>
              <w:left w:val="nil"/>
              <w:bottom w:val="single" w:sz="8" w:space="0" w:color="000000"/>
            </w:tcBorders>
            <w:shd w:val="clear" w:color="auto" w:fill="auto"/>
            <w:tcMar>
              <w:top w:w="0" w:type="dxa"/>
              <w:left w:w="0" w:type="dxa"/>
              <w:bottom w:w="0" w:type="dxa"/>
              <w:right w:w="0" w:type="dxa"/>
            </w:tcMar>
            <w:vAlign w:val="center"/>
          </w:tcPr>
          <w:p w14:paraId="50F9E0E6" w14:textId="77777777" w:rsidR="00BF024F" w:rsidRDefault="00BF024F" w:rsidP="003A7828">
            <w:pPr>
              <w:spacing w:line="228" w:lineRule="auto"/>
              <w:ind w:left="-20" w:right="-20"/>
              <w:jc w:val="center"/>
            </w:pPr>
            <w:r>
              <w:t>Mediterranean</w:t>
            </w:r>
          </w:p>
        </w:tc>
        <w:tc>
          <w:tcPr>
            <w:tcW w:w="1110" w:type="dxa"/>
            <w:tcBorders>
              <w:top w:val="single" w:sz="4" w:space="0" w:color="auto"/>
              <w:bottom w:val="single" w:sz="4" w:space="0" w:color="auto"/>
              <w:right w:val="nil"/>
            </w:tcBorders>
            <w:shd w:val="clear" w:color="auto" w:fill="auto"/>
            <w:tcMar>
              <w:top w:w="0" w:type="dxa"/>
              <w:left w:w="0" w:type="dxa"/>
              <w:bottom w:w="0" w:type="dxa"/>
              <w:right w:w="0" w:type="dxa"/>
            </w:tcMar>
          </w:tcPr>
          <w:p w14:paraId="1D35B30B"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6,22E-02</w:t>
            </w:r>
          </w:p>
        </w:tc>
        <w:tc>
          <w:tcPr>
            <w:tcW w:w="1455" w:type="dxa"/>
            <w:tcBorders>
              <w:top w:val="single" w:sz="4" w:space="0" w:color="auto"/>
              <w:left w:val="nil"/>
              <w:bottom w:val="single" w:sz="4" w:space="0" w:color="auto"/>
              <w:right w:val="nil"/>
            </w:tcBorders>
            <w:shd w:val="clear" w:color="auto" w:fill="auto"/>
            <w:tcMar>
              <w:top w:w="0" w:type="dxa"/>
              <w:left w:w="0" w:type="dxa"/>
              <w:bottom w:w="0" w:type="dxa"/>
              <w:right w:w="0" w:type="dxa"/>
            </w:tcMar>
          </w:tcPr>
          <w:p w14:paraId="30227E85"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2,46E-02</w:t>
            </w:r>
          </w:p>
        </w:tc>
        <w:tc>
          <w:tcPr>
            <w:tcW w:w="1110" w:type="dxa"/>
            <w:tcBorders>
              <w:top w:val="single" w:sz="4" w:space="0" w:color="auto"/>
              <w:left w:val="nil"/>
              <w:bottom w:val="single" w:sz="4" w:space="0" w:color="auto"/>
              <w:right w:val="nil"/>
            </w:tcBorders>
            <w:shd w:val="clear" w:color="auto" w:fill="auto"/>
            <w:tcMar>
              <w:top w:w="0" w:type="dxa"/>
              <w:left w:w="0" w:type="dxa"/>
              <w:bottom w:w="0" w:type="dxa"/>
              <w:right w:w="0" w:type="dxa"/>
            </w:tcMar>
          </w:tcPr>
          <w:p w14:paraId="365C7FC5"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3,42E-02</w:t>
            </w:r>
          </w:p>
        </w:tc>
        <w:tc>
          <w:tcPr>
            <w:tcW w:w="1350" w:type="dxa"/>
            <w:tcBorders>
              <w:top w:val="single" w:sz="4" w:space="0" w:color="auto"/>
              <w:left w:val="nil"/>
              <w:bottom w:val="single" w:sz="4" w:space="0" w:color="auto"/>
            </w:tcBorders>
            <w:shd w:val="clear" w:color="auto" w:fill="auto"/>
            <w:tcMar>
              <w:top w:w="0" w:type="dxa"/>
              <w:left w:w="0" w:type="dxa"/>
              <w:bottom w:w="0" w:type="dxa"/>
              <w:right w:w="0" w:type="dxa"/>
            </w:tcMar>
          </w:tcPr>
          <w:p w14:paraId="159E7F09"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6,91E-03</w:t>
            </w:r>
          </w:p>
        </w:tc>
      </w:tr>
      <w:tr w:rsidR="00BF024F" w14:paraId="6A9622ED" w14:textId="77777777" w:rsidTr="003A7828">
        <w:trPr>
          <w:trHeight w:val="375"/>
        </w:trPr>
        <w:tc>
          <w:tcPr>
            <w:tcW w:w="1425" w:type="dxa"/>
            <w:vMerge/>
            <w:tcBorders>
              <w:top w:val="single" w:sz="8" w:space="0" w:color="000000"/>
              <w:left w:val="nil"/>
              <w:bottom w:val="single" w:sz="8" w:space="0" w:color="000000"/>
              <w:right w:val="nil"/>
            </w:tcBorders>
            <w:shd w:val="clear" w:color="auto" w:fill="auto"/>
            <w:tcMar>
              <w:top w:w="0" w:type="dxa"/>
              <w:left w:w="0" w:type="dxa"/>
              <w:bottom w:w="0" w:type="dxa"/>
              <w:right w:w="0" w:type="dxa"/>
            </w:tcMar>
            <w:vAlign w:val="center"/>
          </w:tcPr>
          <w:p w14:paraId="46C71B73" w14:textId="77777777" w:rsidR="00BF024F" w:rsidRDefault="00BF024F" w:rsidP="003A7828">
            <w:pPr>
              <w:spacing w:line="228" w:lineRule="auto"/>
              <w:ind w:left="-20" w:right="-20"/>
            </w:pPr>
          </w:p>
        </w:tc>
        <w:tc>
          <w:tcPr>
            <w:tcW w:w="1500" w:type="dxa"/>
            <w:tcBorders>
              <w:top w:val="single" w:sz="8" w:space="0" w:color="000000"/>
              <w:left w:val="nil"/>
              <w:bottom w:val="single" w:sz="8" w:space="0" w:color="000000"/>
            </w:tcBorders>
            <w:shd w:val="clear" w:color="auto" w:fill="auto"/>
            <w:tcMar>
              <w:top w:w="0" w:type="dxa"/>
              <w:left w:w="0" w:type="dxa"/>
              <w:bottom w:w="0" w:type="dxa"/>
              <w:right w:w="0" w:type="dxa"/>
            </w:tcMar>
            <w:vAlign w:val="center"/>
          </w:tcPr>
          <w:p w14:paraId="5F74EE81" w14:textId="77777777" w:rsidR="00BF024F" w:rsidRDefault="00BF024F" w:rsidP="003A7828">
            <w:pPr>
              <w:spacing w:line="228" w:lineRule="auto"/>
              <w:ind w:left="-20" w:right="-20"/>
              <w:jc w:val="center"/>
            </w:pPr>
            <w:r>
              <w:t>Northern</w:t>
            </w:r>
          </w:p>
        </w:tc>
        <w:tc>
          <w:tcPr>
            <w:tcW w:w="1110" w:type="dxa"/>
            <w:tcBorders>
              <w:top w:val="single" w:sz="4" w:space="0" w:color="auto"/>
              <w:bottom w:val="single" w:sz="4" w:space="0" w:color="auto"/>
              <w:right w:val="nil"/>
            </w:tcBorders>
            <w:shd w:val="clear" w:color="auto" w:fill="auto"/>
            <w:tcMar>
              <w:top w:w="0" w:type="dxa"/>
              <w:left w:w="0" w:type="dxa"/>
              <w:bottom w:w="0" w:type="dxa"/>
              <w:right w:w="0" w:type="dxa"/>
            </w:tcMar>
          </w:tcPr>
          <w:p w14:paraId="23EEC200"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1,46E-02</w:t>
            </w:r>
          </w:p>
        </w:tc>
        <w:tc>
          <w:tcPr>
            <w:tcW w:w="1455" w:type="dxa"/>
            <w:tcBorders>
              <w:top w:val="single" w:sz="4" w:space="0" w:color="auto"/>
              <w:left w:val="nil"/>
              <w:bottom w:val="single" w:sz="4" w:space="0" w:color="auto"/>
              <w:right w:val="nil"/>
            </w:tcBorders>
            <w:shd w:val="clear" w:color="auto" w:fill="auto"/>
            <w:tcMar>
              <w:top w:w="0" w:type="dxa"/>
              <w:left w:w="0" w:type="dxa"/>
              <w:bottom w:w="0" w:type="dxa"/>
              <w:right w:w="0" w:type="dxa"/>
            </w:tcMar>
          </w:tcPr>
          <w:p w14:paraId="19954C80"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8,56E-02</w:t>
            </w:r>
          </w:p>
        </w:tc>
        <w:tc>
          <w:tcPr>
            <w:tcW w:w="1110" w:type="dxa"/>
            <w:tcBorders>
              <w:top w:val="single" w:sz="4" w:space="0" w:color="auto"/>
              <w:left w:val="nil"/>
              <w:bottom w:val="single" w:sz="4" w:space="0" w:color="auto"/>
              <w:right w:val="nil"/>
            </w:tcBorders>
            <w:shd w:val="clear" w:color="auto" w:fill="auto"/>
            <w:tcMar>
              <w:top w:w="0" w:type="dxa"/>
              <w:left w:w="0" w:type="dxa"/>
              <w:bottom w:w="0" w:type="dxa"/>
              <w:right w:w="0" w:type="dxa"/>
            </w:tcMar>
          </w:tcPr>
          <w:p w14:paraId="0FA47D74"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1,56E-01</w:t>
            </w:r>
          </w:p>
        </w:tc>
        <w:tc>
          <w:tcPr>
            <w:tcW w:w="1350" w:type="dxa"/>
            <w:tcBorders>
              <w:top w:val="single" w:sz="4" w:space="0" w:color="auto"/>
              <w:left w:val="nil"/>
              <w:bottom w:val="single" w:sz="4" w:space="0" w:color="auto"/>
            </w:tcBorders>
            <w:shd w:val="clear" w:color="auto" w:fill="auto"/>
            <w:tcMar>
              <w:top w:w="0" w:type="dxa"/>
              <w:left w:w="0" w:type="dxa"/>
              <w:bottom w:w="0" w:type="dxa"/>
              <w:right w:w="0" w:type="dxa"/>
            </w:tcMar>
          </w:tcPr>
          <w:p w14:paraId="346D9266"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5,77E-03</w:t>
            </w:r>
          </w:p>
        </w:tc>
      </w:tr>
      <w:tr w:rsidR="00BF024F" w14:paraId="1077B06C" w14:textId="77777777" w:rsidTr="003A7828">
        <w:trPr>
          <w:trHeight w:val="375"/>
        </w:trPr>
        <w:tc>
          <w:tcPr>
            <w:tcW w:w="1425" w:type="dxa"/>
            <w:vMerge w:val="restart"/>
            <w:tcBorders>
              <w:top w:val="single" w:sz="8" w:space="0" w:color="000000"/>
              <w:left w:val="nil"/>
              <w:bottom w:val="single" w:sz="8" w:space="0" w:color="000000"/>
              <w:right w:val="nil"/>
            </w:tcBorders>
            <w:shd w:val="clear" w:color="auto" w:fill="auto"/>
            <w:tcMar>
              <w:top w:w="0" w:type="dxa"/>
              <w:left w:w="0" w:type="dxa"/>
              <w:bottom w:w="0" w:type="dxa"/>
              <w:right w:w="0" w:type="dxa"/>
            </w:tcMar>
            <w:vAlign w:val="center"/>
          </w:tcPr>
          <w:p w14:paraId="1CC6D011" w14:textId="77777777" w:rsidR="00BF024F" w:rsidRDefault="00BF024F" w:rsidP="003A7828">
            <w:pPr>
              <w:spacing w:line="228" w:lineRule="auto"/>
              <w:ind w:left="-20" w:right="-20"/>
              <w:jc w:val="left"/>
              <w:rPr>
                <w:b/>
              </w:rPr>
            </w:pPr>
            <w:r>
              <w:rPr>
                <w:b/>
              </w:rPr>
              <w:t>Resource use, fossils</w:t>
            </w:r>
          </w:p>
        </w:tc>
        <w:tc>
          <w:tcPr>
            <w:tcW w:w="1500" w:type="dxa"/>
            <w:tcBorders>
              <w:top w:val="single" w:sz="4" w:space="0" w:color="000000"/>
              <w:left w:val="nil"/>
              <w:bottom w:val="single" w:sz="8" w:space="0" w:color="000000"/>
            </w:tcBorders>
            <w:shd w:val="clear" w:color="auto" w:fill="auto"/>
            <w:tcMar>
              <w:top w:w="0" w:type="dxa"/>
              <w:left w:w="0" w:type="dxa"/>
              <w:bottom w:w="0" w:type="dxa"/>
              <w:right w:w="0" w:type="dxa"/>
            </w:tcMar>
            <w:vAlign w:val="center"/>
          </w:tcPr>
          <w:p w14:paraId="1228DA38" w14:textId="77777777" w:rsidR="00BF024F" w:rsidRDefault="00BF024F" w:rsidP="003A7828">
            <w:pPr>
              <w:spacing w:line="228" w:lineRule="auto"/>
              <w:ind w:left="-20" w:right="-20"/>
              <w:jc w:val="center"/>
            </w:pPr>
            <w:r>
              <w:t>Central</w:t>
            </w:r>
          </w:p>
        </w:tc>
        <w:tc>
          <w:tcPr>
            <w:tcW w:w="1110" w:type="dxa"/>
            <w:tcBorders>
              <w:top w:val="single" w:sz="4" w:space="0" w:color="auto"/>
              <w:bottom w:val="single" w:sz="4" w:space="0" w:color="auto"/>
              <w:right w:val="nil"/>
            </w:tcBorders>
            <w:shd w:val="clear" w:color="auto" w:fill="auto"/>
            <w:tcMar>
              <w:top w:w="0" w:type="dxa"/>
              <w:left w:w="0" w:type="dxa"/>
              <w:bottom w:w="0" w:type="dxa"/>
              <w:right w:w="0" w:type="dxa"/>
            </w:tcMar>
          </w:tcPr>
          <w:p w14:paraId="4448591B"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1,21E+02</w:t>
            </w:r>
          </w:p>
        </w:tc>
        <w:tc>
          <w:tcPr>
            <w:tcW w:w="1455" w:type="dxa"/>
            <w:tcBorders>
              <w:top w:val="single" w:sz="4" w:space="0" w:color="auto"/>
              <w:left w:val="nil"/>
              <w:bottom w:val="single" w:sz="4" w:space="0" w:color="auto"/>
              <w:right w:val="nil"/>
            </w:tcBorders>
            <w:shd w:val="clear" w:color="auto" w:fill="auto"/>
            <w:tcMar>
              <w:top w:w="0" w:type="dxa"/>
              <w:left w:w="0" w:type="dxa"/>
              <w:bottom w:w="0" w:type="dxa"/>
              <w:right w:w="0" w:type="dxa"/>
            </w:tcMar>
          </w:tcPr>
          <w:p w14:paraId="268F3495"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7,53E+01</w:t>
            </w:r>
          </w:p>
        </w:tc>
        <w:tc>
          <w:tcPr>
            <w:tcW w:w="1110" w:type="dxa"/>
            <w:tcBorders>
              <w:top w:val="single" w:sz="4" w:space="0" w:color="auto"/>
              <w:left w:val="nil"/>
              <w:bottom w:val="single" w:sz="4" w:space="0" w:color="auto"/>
              <w:right w:val="nil"/>
            </w:tcBorders>
            <w:shd w:val="clear" w:color="auto" w:fill="auto"/>
            <w:tcMar>
              <w:top w:w="0" w:type="dxa"/>
              <w:left w:w="0" w:type="dxa"/>
              <w:bottom w:w="0" w:type="dxa"/>
              <w:right w:w="0" w:type="dxa"/>
            </w:tcMar>
          </w:tcPr>
          <w:p w14:paraId="5EE0EE73"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2,26E+02</w:t>
            </w:r>
          </w:p>
        </w:tc>
        <w:tc>
          <w:tcPr>
            <w:tcW w:w="1350" w:type="dxa"/>
            <w:tcBorders>
              <w:top w:val="single" w:sz="4" w:space="0" w:color="auto"/>
              <w:left w:val="nil"/>
              <w:bottom w:val="single" w:sz="4" w:space="0" w:color="auto"/>
            </w:tcBorders>
            <w:shd w:val="clear" w:color="auto" w:fill="auto"/>
            <w:tcMar>
              <w:top w:w="0" w:type="dxa"/>
              <w:left w:w="0" w:type="dxa"/>
              <w:bottom w:w="0" w:type="dxa"/>
              <w:right w:w="0" w:type="dxa"/>
            </w:tcMar>
          </w:tcPr>
          <w:p w14:paraId="7628A610"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1,85E+02</w:t>
            </w:r>
          </w:p>
        </w:tc>
      </w:tr>
      <w:tr w:rsidR="00BF024F" w14:paraId="32738195" w14:textId="77777777" w:rsidTr="003A7828">
        <w:trPr>
          <w:trHeight w:val="375"/>
        </w:trPr>
        <w:tc>
          <w:tcPr>
            <w:tcW w:w="1425" w:type="dxa"/>
            <w:vMerge/>
            <w:tcBorders>
              <w:top w:val="single" w:sz="8" w:space="0" w:color="000000"/>
              <w:left w:val="nil"/>
              <w:bottom w:val="single" w:sz="8" w:space="0" w:color="000000"/>
              <w:right w:val="nil"/>
            </w:tcBorders>
            <w:shd w:val="clear" w:color="auto" w:fill="auto"/>
            <w:tcMar>
              <w:top w:w="0" w:type="dxa"/>
              <w:left w:w="0" w:type="dxa"/>
              <w:bottom w:w="0" w:type="dxa"/>
              <w:right w:w="0" w:type="dxa"/>
            </w:tcMar>
            <w:vAlign w:val="center"/>
          </w:tcPr>
          <w:p w14:paraId="5AB7D568" w14:textId="77777777" w:rsidR="00BF024F" w:rsidRDefault="00BF024F" w:rsidP="003A7828">
            <w:pPr>
              <w:spacing w:line="228" w:lineRule="auto"/>
              <w:ind w:left="-20" w:right="-20"/>
            </w:pPr>
          </w:p>
        </w:tc>
        <w:tc>
          <w:tcPr>
            <w:tcW w:w="1500" w:type="dxa"/>
            <w:tcBorders>
              <w:top w:val="single" w:sz="4" w:space="0" w:color="000000"/>
              <w:left w:val="nil"/>
              <w:bottom w:val="single" w:sz="4" w:space="0" w:color="auto"/>
            </w:tcBorders>
            <w:shd w:val="clear" w:color="auto" w:fill="auto"/>
            <w:tcMar>
              <w:top w:w="0" w:type="dxa"/>
              <w:left w:w="0" w:type="dxa"/>
              <w:bottom w:w="0" w:type="dxa"/>
              <w:right w:w="0" w:type="dxa"/>
            </w:tcMar>
            <w:vAlign w:val="center"/>
          </w:tcPr>
          <w:p w14:paraId="5982DD22" w14:textId="77777777" w:rsidR="00BF024F" w:rsidRDefault="00BF024F" w:rsidP="003A7828">
            <w:pPr>
              <w:spacing w:line="228" w:lineRule="auto"/>
              <w:ind w:left="-20" w:right="-20"/>
              <w:jc w:val="center"/>
            </w:pPr>
            <w:r>
              <w:t>Mediterranean</w:t>
            </w:r>
          </w:p>
        </w:tc>
        <w:tc>
          <w:tcPr>
            <w:tcW w:w="1110" w:type="dxa"/>
            <w:tcBorders>
              <w:top w:val="single" w:sz="4" w:space="0" w:color="auto"/>
              <w:bottom w:val="single" w:sz="4" w:space="0" w:color="auto"/>
              <w:right w:val="nil"/>
            </w:tcBorders>
            <w:shd w:val="clear" w:color="auto" w:fill="auto"/>
            <w:tcMar>
              <w:top w:w="0" w:type="dxa"/>
              <w:left w:w="0" w:type="dxa"/>
              <w:bottom w:w="0" w:type="dxa"/>
              <w:right w:w="0" w:type="dxa"/>
            </w:tcMar>
          </w:tcPr>
          <w:p w14:paraId="0C6A3FD7"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-1,75E+03</w:t>
            </w:r>
          </w:p>
        </w:tc>
        <w:tc>
          <w:tcPr>
            <w:tcW w:w="1455" w:type="dxa"/>
            <w:tcBorders>
              <w:top w:val="single" w:sz="4" w:space="0" w:color="auto"/>
              <w:left w:val="nil"/>
              <w:bottom w:val="single" w:sz="4" w:space="0" w:color="auto"/>
              <w:right w:val="nil"/>
            </w:tcBorders>
            <w:shd w:val="clear" w:color="auto" w:fill="auto"/>
            <w:tcMar>
              <w:top w:w="0" w:type="dxa"/>
              <w:left w:w="0" w:type="dxa"/>
              <w:bottom w:w="0" w:type="dxa"/>
              <w:right w:w="0" w:type="dxa"/>
            </w:tcMar>
          </w:tcPr>
          <w:p w14:paraId="631FD074"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8,45E+01</w:t>
            </w:r>
          </w:p>
        </w:tc>
        <w:tc>
          <w:tcPr>
            <w:tcW w:w="1110" w:type="dxa"/>
            <w:tcBorders>
              <w:top w:val="single" w:sz="4" w:space="0" w:color="auto"/>
              <w:left w:val="nil"/>
              <w:bottom w:val="single" w:sz="4" w:space="0" w:color="auto"/>
              <w:right w:val="nil"/>
            </w:tcBorders>
            <w:shd w:val="clear" w:color="auto" w:fill="auto"/>
            <w:tcMar>
              <w:top w:w="0" w:type="dxa"/>
              <w:left w:w="0" w:type="dxa"/>
              <w:bottom w:w="0" w:type="dxa"/>
              <w:right w:w="0" w:type="dxa"/>
            </w:tcMar>
          </w:tcPr>
          <w:p w14:paraId="568CD891"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2,41E+02</w:t>
            </w:r>
          </w:p>
        </w:tc>
        <w:tc>
          <w:tcPr>
            <w:tcW w:w="1350" w:type="dxa"/>
            <w:tcBorders>
              <w:top w:val="single" w:sz="4" w:space="0" w:color="auto"/>
              <w:left w:val="nil"/>
              <w:bottom w:val="single" w:sz="4" w:space="0" w:color="auto"/>
            </w:tcBorders>
            <w:shd w:val="clear" w:color="auto" w:fill="auto"/>
            <w:tcMar>
              <w:top w:w="0" w:type="dxa"/>
              <w:left w:w="0" w:type="dxa"/>
              <w:bottom w:w="0" w:type="dxa"/>
              <w:right w:w="0" w:type="dxa"/>
            </w:tcMar>
          </w:tcPr>
          <w:p w14:paraId="745D1820"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7,36E+01</w:t>
            </w:r>
          </w:p>
        </w:tc>
      </w:tr>
      <w:tr w:rsidR="00BF024F" w14:paraId="3056E642" w14:textId="77777777" w:rsidTr="003A7828">
        <w:trPr>
          <w:trHeight w:val="450"/>
        </w:trPr>
        <w:tc>
          <w:tcPr>
            <w:tcW w:w="1425" w:type="dxa"/>
            <w:vMerge/>
            <w:tcBorders>
              <w:top w:val="single" w:sz="8" w:space="0" w:color="000000"/>
              <w:left w:val="nil"/>
              <w:bottom w:val="single" w:sz="8" w:space="0" w:color="000000"/>
              <w:right w:val="nil"/>
            </w:tcBorders>
            <w:shd w:val="clear" w:color="auto" w:fill="auto"/>
            <w:tcMar>
              <w:top w:w="0" w:type="dxa"/>
              <w:left w:w="0" w:type="dxa"/>
              <w:bottom w:w="0" w:type="dxa"/>
              <w:right w:w="0" w:type="dxa"/>
            </w:tcMar>
            <w:vAlign w:val="center"/>
          </w:tcPr>
          <w:p w14:paraId="143EF1A5" w14:textId="77777777" w:rsidR="00BF024F" w:rsidRDefault="00BF024F" w:rsidP="003A7828">
            <w:pPr>
              <w:spacing w:line="228" w:lineRule="auto"/>
              <w:ind w:left="-20" w:right="-20"/>
            </w:pPr>
          </w:p>
        </w:tc>
        <w:tc>
          <w:tcPr>
            <w:tcW w:w="1500" w:type="dxa"/>
            <w:tcBorders>
              <w:top w:val="single" w:sz="4" w:space="0" w:color="auto"/>
              <w:left w:val="nil"/>
              <w:bottom w:val="single" w:sz="8" w:space="0" w:color="000000"/>
            </w:tcBorders>
            <w:shd w:val="clear" w:color="auto" w:fill="auto"/>
            <w:tcMar>
              <w:top w:w="0" w:type="dxa"/>
              <w:left w:w="0" w:type="dxa"/>
              <w:bottom w:w="0" w:type="dxa"/>
              <w:right w:w="0" w:type="dxa"/>
            </w:tcMar>
            <w:vAlign w:val="center"/>
          </w:tcPr>
          <w:p w14:paraId="4DC9097A" w14:textId="77777777" w:rsidR="00BF024F" w:rsidRDefault="00BF024F" w:rsidP="003A7828">
            <w:pPr>
              <w:spacing w:line="228" w:lineRule="auto"/>
              <w:ind w:left="-20" w:right="-20"/>
              <w:jc w:val="center"/>
            </w:pPr>
            <w:r>
              <w:t>Northern</w:t>
            </w:r>
          </w:p>
        </w:tc>
        <w:tc>
          <w:tcPr>
            <w:tcW w:w="1110" w:type="dxa"/>
            <w:tcBorders>
              <w:top w:val="single" w:sz="4" w:space="0" w:color="auto"/>
              <w:bottom w:val="single" w:sz="4" w:space="0" w:color="auto"/>
              <w:right w:val="nil"/>
            </w:tcBorders>
            <w:shd w:val="clear" w:color="auto" w:fill="auto"/>
            <w:tcMar>
              <w:top w:w="0" w:type="dxa"/>
              <w:left w:w="0" w:type="dxa"/>
              <w:bottom w:w="0" w:type="dxa"/>
              <w:right w:w="0" w:type="dxa"/>
            </w:tcMar>
          </w:tcPr>
          <w:p w14:paraId="347D728D"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-1,34E+02</w:t>
            </w:r>
          </w:p>
        </w:tc>
        <w:tc>
          <w:tcPr>
            <w:tcW w:w="1455" w:type="dxa"/>
            <w:tcBorders>
              <w:top w:val="single" w:sz="4" w:space="0" w:color="auto"/>
              <w:left w:val="nil"/>
              <w:bottom w:val="single" w:sz="4" w:space="0" w:color="auto"/>
              <w:right w:val="nil"/>
            </w:tcBorders>
            <w:shd w:val="clear" w:color="auto" w:fill="auto"/>
            <w:tcMar>
              <w:top w:w="0" w:type="dxa"/>
              <w:left w:w="0" w:type="dxa"/>
              <w:bottom w:w="0" w:type="dxa"/>
              <w:right w:w="0" w:type="dxa"/>
            </w:tcMar>
          </w:tcPr>
          <w:p w14:paraId="4BA04DE9"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2,99E+02</w:t>
            </w:r>
          </w:p>
        </w:tc>
        <w:tc>
          <w:tcPr>
            <w:tcW w:w="1110" w:type="dxa"/>
            <w:tcBorders>
              <w:top w:val="single" w:sz="4" w:space="0" w:color="auto"/>
              <w:left w:val="nil"/>
              <w:bottom w:val="single" w:sz="4" w:space="0" w:color="auto"/>
              <w:right w:val="nil"/>
            </w:tcBorders>
            <w:shd w:val="clear" w:color="auto" w:fill="auto"/>
            <w:tcMar>
              <w:top w:w="0" w:type="dxa"/>
              <w:left w:w="0" w:type="dxa"/>
              <w:bottom w:w="0" w:type="dxa"/>
              <w:right w:w="0" w:type="dxa"/>
            </w:tcMar>
          </w:tcPr>
          <w:p w14:paraId="5FD9B072"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1,10E+03</w:t>
            </w:r>
          </w:p>
        </w:tc>
        <w:tc>
          <w:tcPr>
            <w:tcW w:w="1350" w:type="dxa"/>
            <w:tcBorders>
              <w:top w:val="single" w:sz="4" w:space="0" w:color="auto"/>
              <w:left w:val="nil"/>
              <w:bottom w:val="single" w:sz="4" w:space="0" w:color="auto"/>
            </w:tcBorders>
            <w:shd w:val="clear" w:color="auto" w:fill="auto"/>
            <w:tcMar>
              <w:top w:w="0" w:type="dxa"/>
              <w:left w:w="0" w:type="dxa"/>
              <w:bottom w:w="0" w:type="dxa"/>
              <w:right w:w="0" w:type="dxa"/>
            </w:tcMar>
          </w:tcPr>
          <w:p w14:paraId="3D52E639"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7,01E+01</w:t>
            </w:r>
          </w:p>
        </w:tc>
      </w:tr>
      <w:tr w:rsidR="00BF024F" w14:paraId="41E07F94" w14:textId="77777777" w:rsidTr="003A7828">
        <w:trPr>
          <w:trHeight w:val="375"/>
        </w:trPr>
        <w:tc>
          <w:tcPr>
            <w:tcW w:w="1425" w:type="dxa"/>
            <w:vMerge w:val="restart"/>
            <w:tcBorders>
              <w:top w:val="single" w:sz="8" w:space="0" w:color="000000"/>
              <w:left w:val="nil"/>
              <w:bottom w:val="single" w:sz="8" w:space="0" w:color="000000"/>
              <w:right w:val="nil"/>
            </w:tcBorders>
            <w:shd w:val="clear" w:color="auto" w:fill="auto"/>
            <w:tcMar>
              <w:top w:w="0" w:type="dxa"/>
              <w:left w:w="0" w:type="dxa"/>
              <w:bottom w:w="0" w:type="dxa"/>
              <w:right w:w="0" w:type="dxa"/>
            </w:tcMar>
            <w:vAlign w:val="center"/>
          </w:tcPr>
          <w:p w14:paraId="10CC4BBE" w14:textId="77777777" w:rsidR="00BF024F" w:rsidRDefault="00BF024F" w:rsidP="003A7828">
            <w:pPr>
              <w:spacing w:line="228" w:lineRule="auto"/>
              <w:ind w:left="-20" w:right="-20"/>
              <w:jc w:val="left"/>
              <w:rPr>
                <w:b/>
              </w:rPr>
            </w:pPr>
            <w:r>
              <w:rPr>
                <w:b/>
              </w:rPr>
              <w:t xml:space="preserve">Resource use, </w:t>
            </w:r>
            <w:proofErr w:type="gramStart"/>
            <w:r>
              <w:rPr>
                <w:b/>
              </w:rPr>
              <w:t>minerals</w:t>
            </w:r>
            <w:proofErr w:type="gramEnd"/>
            <w:r>
              <w:rPr>
                <w:b/>
              </w:rPr>
              <w:t xml:space="preserve"> and metals</w:t>
            </w:r>
          </w:p>
        </w:tc>
        <w:tc>
          <w:tcPr>
            <w:tcW w:w="1500" w:type="dxa"/>
            <w:tcBorders>
              <w:top w:val="single" w:sz="4" w:space="0" w:color="000000"/>
              <w:left w:val="nil"/>
              <w:bottom w:val="single" w:sz="8" w:space="0" w:color="000000"/>
            </w:tcBorders>
            <w:shd w:val="clear" w:color="auto" w:fill="auto"/>
            <w:tcMar>
              <w:top w:w="0" w:type="dxa"/>
              <w:left w:w="0" w:type="dxa"/>
              <w:bottom w:w="0" w:type="dxa"/>
              <w:right w:w="0" w:type="dxa"/>
            </w:tcMar>
            <w:vAlign w:val="center"/>
          </w:tcPr>
          <w:p w14:paraId="088282BB" w14:textId="77777777" w:rsidR="00BF024F" w:rsidRDefault="00BF024F" w:rsidP="003A7828">
            <w:pPr>
              <w:spacing w:line="228" w:lineRule="auto"/>
              <w:ind w:left="-20" w:right="-20"/>
              <w:jc w:val="center"/>
            </w:pPr>
            <w:r>
              <w:t>Central</w:t>
            </w:r>
          </w:p>
        </w:tc>
        <w:tc>
          <w:tcPr>
            <w:tcW w:w="1110" w:type="dxa"/>
            <w:tcBorders>
              <w:top w:val="single" w:sz="4" w:space="0" w:color="auto"/>
              <w:bottom w:val="single" w:sz="4" w:space="0" w:color="auto"/>
              <w:right w:val="nil"/>
            </w:tcBorders>
            <w:shd w:val="clear" w:color="auto" w:fill="auto"/>
            <w:tcMar>
              <w:top w:w="0" w:type="dxa"/>
              <w:left w:w="0" w:type="dxa"/>
              <w:bottom w:w="0" w:type="dxa"/>
              <w:right w:w="0" w:type="dxa"/>
            </w:tcMar>
          </w:tcPr>
          <w:p w14:paraId="11DDF715"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1,55E-05</w:t>
            </w:r>
          </w:p>
        </w:tc>
        <w:tc>
          <w:tcPr>
            <w:tcW w:w="1455" w:type="dxa"/>
            <w:tcBorders>
              <w:top w:val="single" w:sz="4" w:space="0" w:color="auto"/>
              <w:left w:val="nil"/>
              <w:bottom w:val="single" w:sz="4" w:space="0" w:color="auto"/>
              <w:right w:val="nil"/>
            </w:tcBorders>
            <w:shd w:val="clear" w:color="auto" w:fill="auto"/>
            <w:tcMar>
              <w:top w:w="0" w:type="dxa"/>
              <w:left w:w="0" w:type="dxa"/>
              <w:bottom w:w="0" w:type="dxa"/>
              <w:right w:w="0" w:type="dxa"/>
            </w:tcMar>
          </w:tcPr>
          <w:p w14:paraId="0B5CAE7C"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5,45E-06</w:t>
            </w:r>
          </w:p>
        </w:tc>
        <w:tc>
          <w:tcPr>
            <w:tcW w:w="1110" w:type="dxa"/>
            <w:tcBorders>
              <w:top w:val="single" w:sz="4" w:space="0" w:color="auto"/>
              <w:left w:val="nil"/>
              <w:bottom w:val="single" w:sz="4" w:space="0" w:color="auto"/>
              <w:right w:val="nil"/>
            </w:tcBorders>
            <w:shd w:val="clear" w:color="auto" w:fill="auto"/>
            <w:tcMar>
              <w:top w:w="0" w:type="dxa"/>
              <w:left w:w="0" w:type="dxa"/>
              <w:bottom w:w="0" w:type="dxa"/>
              <w:right w:w="0" w:type="dxa"/>
            </w:tcMar>
          </w:tcPr>
          <w:p w14:paraId="7D9E73F4"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4,81E-06</w:t>
            </w:r>
          </w:p>
        </w:tc>
        <w:tc>
          <w:tcPr>
            <w:tcW w:w="1350" w:type="dxa"/>
            <w:tcBorders>
              <w:top w:val="single" w:sz="4" w:space="0" w:color="auto"/>
              <w:left w:val="nil"/>
              <w:bottom w:val="single" w:sz="4" w:space="0" w:color="auto"/>
            </w:tcBorders>
            <w:shd w:val="clear" w:color="auto" w:fill="auto"/>
            <w:tcMar>
              <w:top w:w="0" w:type="dxa"/>
              <w:left w:w="0" w:type="dxa"/>
              <w:bottom w:w="0" w:type="dxa"/>
              <w:right w:w="0" w:type="dxa"/>
            </w:tcMar>
          </w:tcPr>
          <w:p w14:paraId="42D35E96"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1,88E-05</w:t>
            </w:r>
          </w:p>
        </w:tc>
      </w:tr>
      <w:tr w:rsidR="00BF024F" w14:paraId="54E3B9FF" w14:textId="77777777" w:rsidTr="003A7828">
        <w:trPr>
          <w:trHeight w:val="375"/>
        </w:trPr>
        <w:tc>
          <w:tcPr>
            <w:tcW w:w="1425" w:type="dxa"/>
            <w:vMerge/>
            <w:tcBorders>
              <w:top w:val="single" w:sz="8" w:space="0" w:color="000000"/>
              <w:left w:val="nil"/>
              <w:bottom w:val="single" w:sz="8" w:space="0" w:color="000000"/>
              <w:right w:val="nil"/>
            </w:tcBorders>
            <w:shd w:val="clear" w:color="auto" w:fill="auto"/>
            <w:tcMar>
              <w:top w:w="0" w:type="dxa"/>
              <w:left w:w="0" w:type="dxa"/>
              <w:bottom w:w="0" w:type="dxa"/>
              <w:right w:w="0" w:type="dxa"/>
            </w:tcMar>
            <w:vAlign w:val="center"/>
          </w:tcPr>
          <w:p w14:paraId="5C8B177F" w14:textId="77777777" w:rsidR="00BF024F" w:rsidRDefault="00BF024F" w:rsidP="003A7828">
            <w:pPr>
              <w:spacing w:line="228" w:lineRule="auto"/>
              <w:ind w:left="-20" w:right="-20"/>
            </w:pPr>
          </w:p>
        </w:tc>
        <w:tc>
          <w:tcPr>
            <w:tcW w:w="1500" w:type="dxa"/>
            <w:tcBorders>
              <w:top w:val="single" w:sz="4" w:space="0" w:color="000000"/>
              <w:left w:val="nil"/>
              <w:bottom w:val="single" w:sz="8" w:space="0" w:color="000000"/>
            </w:tcBorders>
            <w:shd w:val="clear" w:color="auto" w:fill="auto"/>
            <w:tcMar>
              <w:top w:w="0" w:type="dxa"/>
              <w:left w:w="0" w:type="dxa"/>
              <w:bottom w:w="0" w:type="dxa"/>
              <w:right w:w="0" w:type="dxa"/>
            </w:tcMar>
            <w:vAlign w:val="center"/>
          </w:tcPr>
          <w:p w14:paraId="5F114EF5" w14:textId="77777777" w:rsidR="00BF024F" w:rsidRDefault="00BF024F" w:rsidP="003A7828">
            <w:pPr>
              <w:spacing w:line="228" w:lineRule="auto"/>
              <w:ind w:left="-20" w:right="-20"/>
              <w:jc w:val="center"/>
            </w:pPr>
            <w:r>
              <w:t>Mediterranean</w:t>
            </w:r>
          </w:p>
        </w:tc>
        <w:tc>
          <w:tcPr>
            <w:tcW w:w="1110" w:type="dxa"/>
            <w:tcBorders>
              <w:top w:val="single" w:sz="4" w:space="0" w:color="auto"/>
              <w:bottom w:val="single" w:sz="4" w:space="0" w:color="auto"/>
              <w:right w:val="nil"/>
            </w:tcBorders>
            <w:shd w:val="clear" w:color="auto" w:fill="auto"/>
            <w:tcMar>
              <w:top w:w="0" w:type="dxa"/>
              <w:left w:w="0" w:type="dxa"/>
              <w:bottom w:w="0" w:type="dxa"/>
              <w:right w:w="0" w:type="dxa"/>
            </w:tcMar>
          </w:tcPr>
          <w:p w14:paraId="360EF574"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-1,26E-04</w:t>
            </w:r>
          </w:p>
        </w:tc>
        <w:tc>
          <w:tcPr>
            <w:tcW w:w="1455" w:type="dxa"/>
            <w:tcBorders>
              <w:top w:val="single" w:sz="4" w:space="0" w:color="auto"/>
              <w:left w:val="nil"/>
              <w:bottom w:val="single" w:sz="4" w:space="0" w:color="auto"/>
              <w:right w:val="nil"/>
            </w:tcBorders>
            <w:shd w:val="clear" w:color="auto" w:fill="auto"/>
            <w:tcMar>
              <w:top w:w="0" w:type="dxa"/>
              <w:left w:w="0" w:type="dxa"/>
              <w:bottom w:w="0" w:type="dxa"/>
              <w:right w:w="0" w:type="dxa"/>
            </w:tcMar>
          </w:tcPr>
          <w:p w14:paraId="76EB44EB"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5,75E-06</w:t>
            </w:r>
          </w:p>
        </w:tc>
        <w:tc>
          <w:tcPr>
            <w:tcW w:w="1110" w:type="dxa"/>
            <w:tcBorders>
              <w:top w:val="single" w:sz="4" w:space="0" w:color="auto"/>
              <w:left w:val="nil"/>
              <w:bottom w:val="single" w:sz="4" w:space="0" w:color="auto"/>
              <w:right w:val="nil"/>
            </w:tcBorders>
            <w:shd w:val="clear" w:color="auto" w:fill="auto"/>
            <w:tcMar>
              <w:top w:w="0" w:type="dxa"/>
              <w:left w:w="0" w:type="dxa"/>
              <w:bottom w:w="0" w:type="dxa"/>
              <w:right w:w="0" w:type="dxa"/>
            </w:tcMar>
          </w:tcPr>
          <w:p w14:paraId="3ABFED26"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4,69E-06</w:t>
            </w:r>
          </w:p>
        </w:tc>
        <w:tc>
          <w:tcPr>
            <w:tcW w:w="1350" w:type="dxa"/>
            <w:tcBorders>
              <w:top w:val="single" w:sz="4" w:space="0" w:color="auto"/>
              <w:left w:val="nil"/>
              <w:bottom w:val="single" w:sz="4" w:space="0" w:color="auto"/>
            </w:tcBorders>
            <w:shd w:val="clear" w:color="auto" w:fill="auto"/>
            <w:tcMar>
              <w:top w:w="0" w:type="dxa"/>
              <w:left w:w="0" w:type="dxa"/>
              <w:bottom w:w="0" w:type="dxa"/>
              <w:right w:w="0" w:type="dxa"/>
            </w:tcMar>
          </w:tcPr>
          <w:p w14:paraId="6FF9955B"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6,43E-06</w:t>
            </w:r>
          </w:p>
        </w:tc>
      </w:tr>
      <w:tr w:rsidR="00BF024F" w14:paraId="4178C9B1" w14:textId="77777777" w:rsidTr="003A7828">
        <w:trPr>
          <w:trHeight w:val="375"/>
        </w:trPr>
        <w:tc>
          <w:tcPr>
            <w:tcW w:w="1425" w:type="dxa"/>
            <w:vMerge/>
            <w:tcBorders>
              <w:top w:val="single" w:sz="8" w:space="0" w:color="000000"/>
              <w:left w:val="nil"/>
              <w:bottom w:val="single" w:sz="8" w:space="0" w:color="000000"/>
              <w:right w:val="nil"/>
            </w:tcBorders>
            <w:shd w:val="clear" w:color="auto" w:fill="auto"/>
            <w:tcMar>
              <w:top w:w="0" w:type="dxa"/>
              <w:left w:w="0" w:type="dxa"/>
              <w:bottom w:w="0" w:type="dxa"/>
              <w:right w:w="0" w:type="dxa"/>
            </w:tcMar>
            <w:vAlign w:val="center"/>
          </w:tcPr>
          <w:p w14:paraId="3F6341E1" w14:textId="77777777" w:rsidR="00BF024F" w:rsidRDefault="00BF024F" w:rsidP="003A7828">
            <w:pPr>
              <w:spacing w:line="228" w:lineRule="auto"/>
              <w:ind w:left="-20" w:right="-20"/>
            </w:pPr>
          </w:p>
        </w:tc>
        <w:tc>
          <w:tcPr>
            <w:tcW w:w="1500" w:type="dxa"/>
            <w:tcBorders>
              <w:top w:val="single" w:sz="8" w:space="0" w:color="000000"/>
              <w:left w:val="nil"/>
              <w:bottom w:val="single" w:sz="8" w:space="0" w:color="000000"/>
            </w:tcBorders>
            <w:shd w:val="clear" w:color="auto" w:fill="auto"/>
            <w:tcMar>
              <w:top w:w="0" w:type="dxa"/>
              <w:left w:w="0" w:type="dxa"/>
              <w:bottom w:w="0" w:type="dxa"/>
              <w:right w:w="0" w:type="dxa"/>
            </w:tcMar>
            <w:vAlign w:val="center"/>
          </w:tcPr>
          <w:p w14:paraId="5DE33133" w14:textId="77777777" w:rsidR="00BF024F" w:rsidRDefault="00BF024F" w:rsidP="003A7828">
            <w:pPr>
              <w:spacing w:line="228" w:lineRule="auto"/>
              <w:ind w:left="-20" w:right="-20"/>
              <w:jc w:val="center"/>
            </w:pPr>
            <w:r>
              <w:t>Northern</w:t>
            </w:r>
          </w:p>
        </w:tc>
        <w:tc>
          <w:tcPr>
            <w:tcW w:w="1110" w:type="dxa"/>
            <w:tcBorders>
              <w:top w:val="single" w:sz="4" w:space="0" w:color="auto"/>
              <w:bottom w:val="single" w:sz="4" w:space="0" w:color="auto"/>
              <w:right w:val="nil"/>
            </w:tcBorders>
            <w:shd w:val="clear" w:color="auto" w:fill="auto"/>
            <w:tcMar>
              <w:top w:w="0" w:type="dxa"/>
              <w:left w:w="0" w:type="dxa"/>
              <w:bottom w:w="0" w:type="dxa"/>
              <w:right w:w="0" w:type="dxa"/>
            </w:tcMar>
          </w:tcPr>
          <w:p w14:paraId="6FE350E9"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-1,53E-05</w:t>
            </w:r>
          </w:p>
        </w:tc>
        <w:tc>
          <w:tcPr>
            <w:tcW w:w="1455" w:type="dxa"/>
            <w:tcBorders>
              <w:top w:val="single" w:sz="4" w:space="0" w:color="auto"/>
              <w:left w:val="nil"/>
              <w:bottom w:val="single" w:sz="4" w:space="0" w:color="auto"/>
              <w:right w:val="nil"/>
            </w:tcBorders>
            <w:shd w:val="clear" w:color="auto" w:fill="auto"/>
            <w:tcMar>
              <w:top w:w="0" w:type="dxa"/>
              <w:left w:w="0" w:type="dxa"/>
              <w:bottom w:w="0" w:type="dxa"/>
              <w:right w:w="0" w:type="dxa"/>
            </w:tcMar>
          </w:tcPr>
          <w:p w14:paraId="7EA3DD3F"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2,18E-05</w:t>
            </w:r>
          </w:p>
        </w:tc>
        <w:tc>
          <w:tcPr>
            <w:tcW w:w="1110" w:type="dxa"/>
            <w:tcBorders>
              <w:top w:val="single" w:sz="4" w:space="0" w:color="auto"/>
              <w:left w:val="nil"/>
              <w:bottom w:val="single" w:sz="4" w:space="0" w:color="auto"/>
              <w:right w:val="nil"/>
            </w:tcBorders>
            <w:shd w:val="clear" w:color="auto" w:fill="auto"/>
            <w:tcMar>
              <w:top w:w="0" w:type="dxa"/>
              <w:left w:w="0" w:type="dxa"/>
              <w:bottom w:w="0" w:type="dxa"/>
              <w:right w:w="0" w:type="dxa"/>
            </w:tcMar>
          </w:tcPr>
          <w:p w14:paraId="6F6BBB96"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2,41E-05</w:t>
            </w:r>
          </w:p>
        </w:tc>
        <w:tc>
          <w:tcPr>
            <w:tcW w:w="1350" w:type="dxa"/>
            <w:tcBorders>
              <w:top w:val="single" w:sz="4" w:space="0" w:color="auto"/>
              <w:left w:val="nil"/>
              <w:bottom w:val="single" w:sz="4" w:space="0" w:color="auto"/>
            </w:tcBorders>
            <w:shd w:val="clear" w:color="auto" w:fill="auto"/>
            <w:tcMar>
              <w:top w:w="0" w:type="dxa"/>
              <w:left w:w="0" w:type="dxa"/>
              <w:bottom w:w="0" w:type="dxa"/>
              <w:right w:w="0" w:type="dxa"/>
            </w:tcMar>
          </w:tcPr>
          <w:p w14:paraId="13085385"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9,35E-06</w:t>
            </w:r>
          </w:p>
        </w:tc>
      </w:tr>
      <w:tr w:rsidR="00BF024F" w14:paraId="6C0B7D23" w14:textId="77777777" w:rsidTr="003A7828">
        <w:trPr>
          <w:trHeight w:val="375"/>
        </w:trPr>
        <w:tc>
          <w:tcPr>
            <w:tcW w:w="1425" w:type="dxa"/>
            <w:vMerge w:val="restart"/>
            <w:tcBorders>
              <w:top w:val="single" w:sz="8" w:space="0" w:color="000000"/>
              <w:left w:val="nil"/>
              <w:bottom w:val="single" w:sz="8" w:space="0" w:color="000000"/>
              <w:right w:val="nil"/>
            </w:tcBorders>
            <w:shd w:val="clear" w:color="auto" w:fill="auto"/>
            <w:tcMar>
              <w:top w:w="0" w:type="dxa"/>
              <w:left w:w="0" w:type="dxa"/>
              <w:bottom w:w="0" w:type="dxa"/>
              <w:right w:w="0" w:type="dxa"/>
            </w:tcMar>
            <w:vAlign w:val="center"/>
          </w:tcPr>
          <w:p w14:paraId="51DE63DE" w14:textId="77777777" w:rsidR="00BF024F" w:rsidRDefault="00BF024F" w:rsidP="003A7828">
            <w:pPr>
              <w:spacing w:line="228" w:lineRule="auto"/>
              <w:ind w:left="-20" w:right="-20"/>
              <w:jc w:val="left"/>
              <w:rPr>
                <w:b/>
              </w:rPr>
            </w:pPr>
            <w:r>
              <w:rPr>
                <w:b/>
              </w:rPr>
              <w:t>Water use</w:t>
            </w:r>
          </w:p>
        </w:tc>
        <w:tc>
          <w:tcPr>
            <w:tcW w:w="1500" w:type="dxa"/>
            <w:tcBorders>
              <w:top w:val="single" w:sz="4" w:space="0" w:color="000000"/>
              <w:left w:val="nil"/>
              <w:bottom w:val="single" w:sz="8" w:space="0" w:color="000000"/>
            </w:tcBorders>
            <w:shd w:val="clear" w:color="auto" w:fill="auto"/>
            <w:tcMar>
              <w:top w:w="0" w:type="dxa"/>
              <w:left w:w="0" w:type="dxa"/>
              <w:bottom w:w="0" w:type="dxa"/>
              <w:right w:w="0" w:type="dxa"/>
            </w:tcMar>
            <w:vAlign w:val="center"/>
          </w:tcPr>
          <w:p w14:paraId="5BAA09F2" w14:textId="77777777" w:rsidR="00BF024F" w:rsidRDefault="00BF024F" w:rsidP="003A7828">
            <w:pPr>
              <w:spacing w:line="228" w:lineRule="auto"/>
              <w:ind w:left="-20" w:right="-20"/>
              <w:jc w:val="center"/>
            </w:pPr>
            <w:r>
              <w:t>Central</w:t>
            </w:r>
          </w:p>
        </w:tc>
        <w:tc>
          <w:tcPr>
            <w:tcW w:w="1110" w:type="dxa"/>
            <w:tcBorders>
              <w:top w:val="single" w:sz="4" w:space="0" w:color="auto"/>
              <w:bottom w:val="single" w:sz="4" w:space="0" w:color="auto"/>
              <w:right w:val="nil"/>
            </w:tcBorders>
            <w:shd w:val="clear" w:color="auto" w:fill="auto"/>
            <w:tcMar>
              <w:top w:w="0" w:type="dxa"/>
              <w:left w:w="0" w:type="dxa"/>
              <w:bottom w:w="0" w:type="dxa"/>
              <w:right w:w="0" w:type="dxa"/>
            </w:tcMar>
          </w:tcPr>
          <w:p w14:paraId="254C8200"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-1,66E+02</w:t>
            </w:r>
          </w:p>
        </w:tc>
        <w:tc>
          <w:tcPr>
            <w:tcW w:w="1455" w:type="dxa"/>
            <w:tcBorders>
              <w:top w:val="single" w:sz="4" w:space="0" w:color="auto"/>
              <w:left w:val="nil"/>
              <w:bottom w:val="single" w:sz="4" w:space="0" w:color="auto"/>
              <w:right w:val="nil"/>
            </w:tcBorders>
            <w:shd w:val="clear" w:color="auto" w:fill="auto"/>
            <w:tcMar>
              <w:top w:w="0" w:type="dxa"/>
              <w:left w:w="0" w:type="dxa"/>
              <w:bottom w:w="0" w:type="dxa"/>
              <w:right w:w="0" w:type="dxa"/>
            </w:tcMar>
          </w:tcPr>
          <w:p w14:paraId="032401DC"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-1,93E+01</w:t>
            </w:r>
          </w:p>
        </w:tc>
        <w:tc>
          <w:tcPr>
            <w:tcW w:w="1110" w:type="dxa"/>
            <w:tcBorders>
              <w:top w:val="single" w:sz="4" w:space="0" w:color="auto"/>
              <w:left w:val="nil"/>
              <w:bottom w:val="single" w:sz="4" w:space="0" w:color="auto"/>
              <w:right w:val="nil"/>
            </w:tcBorders>
            <w:shd w:val="clear" w:color="auto" w:fill="auto"/>
            <w:tcMar>
              <w:top w:w="0" w:type="dxa"/>
              <w:left w:w="0" w:type="dxa"/>
              <w:bottom w:w="0" w:type="dxa"/>
              <w:right w:w="0" w:type="dxa"/>
            </w:tcMar>
          </w:tcPr>
          <w:p w14:paraId="17680FD1"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-1,92E+01</w:t>
            </w:r>
          </w:p>
        </w:tc>
        <w:tc>
          <w:tcPr>
            <w:tcW w:w="1350" w:type="dxa"/>
            <w:tcBorders>
              <w:top w:val="single" w:sz="4" w:space="0" w:color="auto"/>
              <w:left w:val="nil"/>
              <w:bottom w:val="single" w:sz="4" w:space="0" w:color="auto"/>
            </w:tcBorders>
            <w:shd w:val="clear" w:color="auto" w:fill="auto"/>
            <w:tcMar>
              <w:top w:w="0" w:type="dxa"/>
              <w:left w:w="0" w:type="dxa"/>
              <w:bottom w:w="0" w:type="dxa"/>
              <w:right w:w="0" w:type="dxa"/>
            </w:tcMar>
          </w:tcPr>
          <w:p w14:paraId="0E3395EE"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-5,64E+01</w:t>
            </w:r>
          </w:p>
        </w:tc>
      </w:tr>
      <w:tr w:rsidR="00BF024F" w14:paraId="20A860A5" w14:textId="77777777" w:rsidTr="003A7828">
        <w:trPr>
          <w:trHeight w:val="375"/>
        </w:trPr>
        <w:tc>
          <w:tcPr>
            <w:tcW w:w="1425" w:type="dxa"/>
            <w:vMerge/>
            <w:tcBorders>
              <w:top w:val="single" w:sz="8" w:space="0" w:color="000000"/>
              <w:left w:val="nil"/>
              <w:bottom w:val="single" w:sz="8" w:space="0" w:color="000000"/>
              <w:right w:val="nil"/>
            </w:tcBorders>
            <w:shd w:val="clear" w:color="auto" w:fill="auto"/>
            <w:tcMar>
              <w:top w:w="0" w:type="dxa"/>
              <w:left w:w="0" w:type="dxa"/>
              <w:bottom w:w="0" w:type="dxa"/>
              <w:right w:w="0" w:type="dxa"/>
            </w:tcMar>
            <w:vAlign w:val="center"/>
          </w:tcPr>
          <w:p w14:paraId="0FCC91F7" w14:textId="77777777" w:rsidR="00BF024F" w:rsidRDefault="00BF024F" w:rsidP="003A7828">
            <w:pPr>
              <w:spacing w:line="228" w:lineRule="auto"/>
              <w:ind w:left="-20" w:right="-20"/>
            </w:pPr>
          </w:p>
        </w:tc>
        <w:tc>
          <w:tcPr>
            <w:tcW w:w="1500" w:type="dxa"/>
            <w:tcBorders>
              <w:top w:val="single" w:sz="4" w:space="0" w:color="000000"/>
              <w:left w:val="nil"/>
              <w:bottom w:val="single" w:sz="8" w:space="0" w:color="000000"/>
            </w:tcBorders>
            <w:shd w:val="clear" w:color="auto" w:fill="auto"/>
            <w:tcMar>
              <w:top w:w="0" w:type="dxa"/>
              <w:left w:w="0" w:type="dxa"/>
              <w:bottom w:w="0" w:type="dxa"/>
              <w:right w:w="0" w:type="dxa"/>
            </w:tcMar>
            <w:vAlign w:val="center"/>
          </w:tcPr>
          <w:p w14:paraId="36087A16" w14:textId="77777777" w:rsidR="00BF024F" w:rsidRDefault="00BF024F" w:rsidP="003A7828">
            <w:pPr>
              <w:spacing w:line="228" w:lineRule="auto"/>
              <w:ind w:left="-20" w:right="-20"/>
              <w:jc w:val="center"/>
            </w:pPr>
            <w:r>
              <w:t>Mediterranean</w:t>
            </w:r>
          </w:p>
        </w:tc>
        <w:tc>
          <w:tcPr>
            <w:tcW w:w="1110" w:type="dxa"/>
            <w:tcBorders>
              <w:top w:val="single" w:sz="4" w:space="0" w:color="auto"/>
              <w:bottom w:val="single" w:sz="4" w:space="0" w:color="auto"/>
              <w:right w:val="nil"/>
            </w:tcBorders>
            <w:shd w:val="clear" w:color="auto" w:fill="auto"/>
            <w:tcMar>
              <w:top w:w="0" w:type="dxa"/>
              <w:left w:w="0" w:type="dxa"/>
              <w:bottom w:w="0" w:type="dxa"/>
              <w:right w:w="0" w:type="dxa"/>
            </w:tcMar>
          </w:tcPr>
          <w:p w14:paraId="7E407129"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-3,06E+02</w:t>
            </w:r>
          </w:p>
        </w:tc>
        <w:tc>
          <w:tcPr>
            <w:tcW w:w="1455" w:type="dxa"/>
            <w:tcBorders>
              <w:top w:val="single" w:sz="4" w:space="0" w:color="auto"/>
              <w:left w:val="nil"/>
              <w:bottom w:val="single" w:sz="4" w:space="0" w:color="auto"/>
              <w:right w:val="nil"/>
            </w:tcBorders>
            <w:shd w:val="clear" w:color="auto" w:fill="auto"/>
            <w:tcMar>
              <w:top w:w="0" w:type="dxa"/>
              <w:left w:w="0" w:type="dxa"/>
              <w:bottom w:w="0" w:type="dxa"/>
              <w:right w:w="0" w:type="dxa"/>
            </w:tcMar>
          </w:tcPr>
          <w:p w14:paraId="09422390"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-2,05E+01</w:t>
            </w:r>
          </w:p>
        </w:tc>
        <w:tc>
          <w:tcPr>
            <w:tcW w:w="1110" w:type="dxa"/>
            <w:tcBorders>
              <w:top w:val="single" w:sz="4" w:space="0" w:color="auto"/>
              <w:left w:val="nil"/>
              <w:bottom w:val="single" w:sz="4" w:space="0" w:color="auto"/>
              <w:right w:val="nil"/>
            </w:tcBorders>
            <w:shd w:val="clear" w:color="auto" w:fill="auto"/>
            <w:tcMar>
              <w:top w:w="0" w:type="dxa"/>
              <w:left w:w="0" w:type="dxa"/>
              <w:bottom w:w="0" w:type="dxa"/>
              <w:right w:w="0" w:type="dxa"/>
            </w:tcMar>
          </w:tcPr>
          <w:p w14:paraId="495B13EB"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-2,05E+01</w:t>
            </w:r>
          </w:p>
        </w:tc>
        <w:tc>
          <w:tcPr>
            <w:tcW w:w="1350" w:type="dxa"/>
            <w:tcBorders>
              <w:top w:val="single" w:sz="4" w:space="0" w:color="auto"/>
              <w:left w:val="nil"/>
              <w:bottom w:val="single" w:sz="4" w:space="0" w:color="auto"/>
            </w:tcBorders>
            <w:shd w:val="clear" w:color="auto" w:fill="auto"/>
            <w:tcMar>
              <w:top w:w="0" w:type="dxa"/>
              <w:left w:w="0" w:type="dxa"/>
              <w:bottom w:w="0" w:type="dxa"/>
              <w:right w:w="0" w:type="dxa"/>
            </w:tcMar>
          </w:tcPr>
          <w:p w14:paraId="4617F896"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-2,01E+01</w:t>
            </w:r>
          </w:p>
        </w:tc>
      </w:tr>
      <w:tr w:rsidR="00BF024F" w14:paraId="11C2C2BF" w14:textId="77777777" w:rsidTr="003A7828">
        <w:trPr>
          <w:trHeight w:val="375"/>
        </w:trPr>
        <w:tc>
          <w:tcPr>
            <w:tcW w:w="1425" w:type="dxa"/>
            <w:vMerge/>
            <w:tcBorders>
              <w:top w:val="single" w:sz="8" w:space="0" w:color="000000"/>
              <w:left w:val="nil"/>
              <w:bottom w:val="single" w:sz="8" w:space="0" w:color="000000"/>
              <w:right w:val="nil"/>
            </w:tcBorders>
            <w:shd w:val="clear" w:color="auto" w:fill="auto"/>
            <w:tcMar>
              <w:top w:w="0" w:type="dxa"/>
              <w:left w:w="0" w:type="dxa"/>
              <w:bottom w:w="0" w:type="dxa"/>
              <w:right w:w="0" w:type="dxa"/>
            </w:tcMar>
            <w:vAlign w:val="center"/>
          </w:tcPr>
          <w:p w14:paraId="76905EB9" w14:textId="77777777" w:rsidR="00BF024F" w:rsidRDefault="00BF024F" w:rsidP="003A7828">
            <w:pPr>
              <w:spacing w:line="228" w:lineRule="auto"/>
              <w:ind w:left="-20" w:right="-20"/>
            </w:pPr>
          </w:p>
        </w:tc>
        <w:tc>
          <w:tcPr>
            <w:tcW w:w="1500" w:type="dxa"/>
            <w:tcBorders>
              <w:top w:val="single" w:sz="8" w:space="0" w:color="000000"/>
              <w:left w:val="nil"/>
              <w:bottom w:val="single" w:sz="8" w:space="0" w:color="000000"/>
            </w:tcBorders>
            <w:shd w:val="clear" w:color="auto" w:fill="auto"/>
            <w:tcMar>
              <w:top w:w="0" w:type="dxa"/>
              <w:left w:w="0" w:type="dxa"/>
              <w:bottom w:w="0" w:type="dxa"/>
              <w:right w:w="0" w:type="dxa"/>
            </w:tcMar>
            <w:vAlign w:val="center"/>
          </w:tcPr>
          <w:p w14:paraId="1B8ED5AC" w14:textId="77777777" w:rsidR="00BF024F" w:rsidRDefault="00BF024F" w:rsidP="003A7828">
            <w:pPr>
              <w:spacing w:line="228" w:lineRule="auto"/>
              <w:ind w:left="-20" w:right="-20"/>
              <w:jc w:val="center"/>
            </w:pPr>
            <w:r>
              <w:t>Northern</w:t>
            </w:r>
          </w:p>
        </w:tc>
        <w:tc>
          <w:tcPr>
            <w:tcW w:w="1110" w:type="dxa"/>
            <w:tcBorders>
              <w:top w:val="single" w:sz="4" w:space="0" w:color="auto"/>
              <w:bottom w:val="single" w:sz="4" w:space="0" w:color="auto"/>
              <w:right w:val="nil"/>
            </w:tcBorders>
            <w:shd w:val="clear" w:color="auto" w:fill="auto"/>
            <w:tcMar>
              <w:top w:w="0" w:type="dxa"/>
              <w:left w:w="0" w:type="dxa"/>
              <w:bottom w:w="0" w:type="dxa"/>
              <w:right w:w="0" w:type="dxa"/>
            </w:tcMar>
          </w:tcPr>
          <w:p w14:paraId="51A7E1B4"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-3,30E+01</w:t>
            </w:r>
          </w:p>
        </w:tc>
        <w:tc>
          <w:tcPr>
            <w:tcW w:w="1455" w:type="dxa"/>
            <w:tcBorders>
              <w:top w:val="single" w:sz="4" w:space="0" w:color="auto"/>
              <w:left w:val="nil"/>
              <w:bottom w:val="single" w:sz="4" w:space="0" w:color="auto"/>
              <w:right w:val="nil"/>
            </w:tcBorders>
            <w:shd w:val="clear" w:color="auto" w:fill="auto"/>
            <w:tcMar>
              <w:top w:w="0" w:type="dxa"/>
              <w:left w:w="0" w:type="dxa"/>
              <w:bottom w:w="0" w:type="dxa"/>
              <w:right w:w="0" w:type="dxa"/>
            </w:tcMar>
          </w:tcPr>
          <w:p w14:paraId="308A9567"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-8,93E+01</w:t>
            </w:r>
          </w:p>
        </w:tc>
        <w:tc>
          <w:tcPr>
            <w:tcW w:w="1110" w:type="dxa"/>
            <w:tcBorders>
              <w:top w:val="single" w:sz="4" w:space="0" w:color="auto"/>
              <w:left w:val="nil"/>
              <w:bottom w:val="single" w:sz="4" w:space="0" w:color="auto"/>
              <w:right w:val="nil"/>
            </w:tcBorders>
            <w:shd w:val="clear" w:color="auto" w:fill="auto"/>
            <w:tcMar>
              <w:top w:w="0" w:type="dxa"/>
              <w:left w:w="0" w:type="dxa"/>
              <w:bottom w:w="0" w:type="dxa"/>
              <w:right w:w="0" w:type="dxa"/>
            </w:tcMar>
          </w:tcPr>
          <w:p w14:paraId="4F92502E"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-9,73E+01</w:t>
            </w:r>
          </w:p>
        </w:tc>
        <w:tc>
          <w:tcPr>
            <w:tcW w:w="1350" w:type="dxa"/>
            <w:tcBorders>
              <w:top w:val="single" w:sz="4" w:space="0" w:color="auto"/>
              <w:left w:val="nil"/>
              <w:bottom w:val="single" w:sz="4" w:space="0" w:color="auto"/>
            </w:tcBorders>
            <w:shd w:val="clear" w:color="auto" w:fill="auto"/>
            <w:tcMar>
              <w:top w:w="0" w:type="dxa"/>
              <w:left w:w="0" w:type="dxa"/>
              <w:bottom w:w="0" w:type="dxa"/>
              <w:right w:w="0" w:type="dxa"/>
            </w:tcMar>
          </w:tcPr>
          <w:p w14:paraId="3B1AE4A8" w14:textId="77777777" w:rsidR="00BF024F" w:rsidRDefault="00BF024F" w:rsidP="003A7828">
            <w:pPr>
              <w:jc w:val="center"/>
              <w:rPr>
                <w:rFonts w:ascii="Calibri" w:hAnsi="Calibri" w:cs="Calibri"/>
                <w:color w:val="000000"/>
                <w:sz w:val="22"/>
                <w:szCs w:val="22"/>
              </w:rPr>
            </w:pPr>
            <w:r>
              <w:rPr>
                <w:rFonts w:ascii="Calibri" w:hAnsi="Calibri" w:cs="Calibri"/>
                <w:color w:val="000000"/>
                <w:sz w:val="22"/>
                <w:szCs w:val="22"/>
              </w:rPr>
              <w:t>-2,81E+01</w:t>
            </w:r>
          </w:p>
        </w:tc>
      </w:tr>
    </w:tbl>
    <w:p w14:paraId="77B5D853" w14:textId="77777777" w:rsidR="00BF024F" w:rsidRDefault="00BF024F" w:rsidP="00BF024F">
      <w:pPr>
        <w:spacing w:before="240" w:after="60" w:line="228" w:lineRule="auto"/>
        <w:ind w:left="2608"/>
      </w:pPr>
    </w:p>
    <w:p w14:paraId="1638D82C" w14:textId="77777777" w:rsidR="00BF024F" w:rsidRDefault="00BF024F">
      <w:pPr>
        <w:shd w:val="clear" w:color="auto" w:fill="FFFFFF"/>
        <w:spacing w:before="240" w:after="240" w:line="228" w:lineRule="auto"/>
        <w:ind w:left="2551"/>
        <w:rPr>
          <w:i/>
        </w:rPr>
      </w:pPr>
    </w:p>
    <w:p w14:paraId="5329FCF2" w14:textId="77777777" w:rsidR="007A2BBB" w:rsidRDefault="007A2BBB">
      <w:pPr>
        <w:shd w:val="clear" w:color="auto" w:fill="FFFFFF"/>
        <w:spacing w:before="240" w:after="240" w:line="228" w:lineRule="auto"/>
        <w:ind w:left="2551"/>
        <w:rPr>
          <w:i/>
        </w:rPr>
      </w:pPr>
    </w:p>
    <w:p w14:paraId="57BC6398" w14:textId="77777777" w:rsidR="007A2BBB" w:rsidRDefault="007A2BBB">
      <w:pPr>
        <w:shd w:val="clear" w:color="auto" w:fill="FFFFFF"/>
        <w:spacing w:before="240" w:after="240" w:line="228" w:lineRule="auto"/>
        <w:ind w:left="2551"/>
        <w:rPr>
          <w:i/>
        </w:rPr>
      </w:pPr>
    </w:p>
    <w:p w14:paraId="6A7AF647" w14:textId="77777777" w:rsidR="007A2BBB" w:rsidRDefault="007A2BBB">
      <w:pPr>
        <w:shd w:val="clear" w:color="auto" w:fill="FFFFFF"/>
        <w:spacing w:before="240" w:after="240" w:line="228" w:lineRule="auto"/>
        <w:ind w:left="2551"/>
        <w:rPr>
          <w:i/>
        </w:rPr>
      </w:pPr>
    </w:p>
    <w:p w14:paraId="52729D3D" w14:textId="77777777" w:rsidR="007A2BBB" w:rsidRDefault="007A2BBB">
      <w:pPr>
        <w:shd w:val="clear" w:color="auto" w:fill="FFFFFF"/>
        <w:spacing w:before="240" w:after="240" w:line="228" w:lineRule="auto"/>
        <w:ind w:left="2551"/>
        <w:rPr>
          <w:i/>
        </w:rPr>
      </w:pPr>
    </w:p>
    <w:p w14:paraId="1DC9D8BE" w14:textId="77777777" w:rsidR="00BF024F" w:rsidRDefault="00BF024F" w:rsidP="00BF024F">
      <w:pPr>
        <w:spacing w:before="240" w:after="60" w:line="228" w:lineRule="auto"/>
        <w:ind w:left="2608"/>
        <w:rPr>
          <w:sz w:val="18"/>
          <w:szCs w:val="18"/>
        </w:rPr>
      </w:pPr>
      <w:r w:rsidRPr="007A2BBB">
        <w:rPr>
          <w:b/>
          <w:bCs/>
          <w:sz w:val="18"/>
          <w:szCs w:val="18"/>
        </w:rPr>
        <w:t xml:space="preserve">Table </w:t>
      </w:r>
      <w:r w:rsidR="00E86D38" w:rsidRPr="007A2BBB">
        <w:rPr>
          <w:b/>
          <w:bCs/>
          <w:sz w:val="18"/>
          <w:szCs w:val="18"/>
        </w:rPr>
        <w:t>S5</w:t>
      </w:r>
      <w:r w:rsidRPr="007A2BBB">
        <w:rPr>
          <w:b/>
          <w:bCs/>
          <w:sz w:val="18"/>
          <w:szCs w:val="18"/>
        </w:rPr>
        <w:t>.</w:t>
      </w:r>
      <w:r>
        <w:rPr>
          <w:sz w:val="18"/>
          <w:szCs w:val="18"/>
        </w:rPr>
        <w:t xml:space="preserve"> Normalisation</w:t>
      </w:r>
      <w:r w:rsidR="00E86D38">
        <w:rPr>
          <w:sz w:val="18"/>
          <w:szCs w:val="18"/>
        </w:rPr>
        <w:t xml:space="preserve"> of characterization results </w:t>
      </w:r>
      <w:r w:rsidR="00E86D38">
        <w:t>of circular and non-renewable fertiliser (NRF) for each European region per FU.</w:t>
      </w:r>
    </w:p>
    <w:tbl>
      <w:tblPr>
        <w:tblW w:w="7985" w:type="dxa"/>
        <w:tblInd w:w="2505" w:type="dxa"/>
        <w:tblLayout w:type="fixed"/>
        <w:tblLook w:val="0600" w:firstRow="0" w:lastRow="0" w:firstColumn="0" w:lastColumn="0" w:noHBand="1" w:noVBand="1"/>
      </w:tblPr>
      <w:tblGrid>
        <w:gridCol w:w="1748"/>
        <w:gridCol w:w="1559"/>
        <w:gridCol w:w="992"/>
        <w:gridCol w:w="993"/>
        <w:gridCol w:w="850"/>
        <w:gridCol w:w="1134"/>
        <w:gridCol w:w="709"/>
      </w:tblGrid>
      <w:tr w:rsidR="00340395" w14:paraId="2BEF3038" w14:textId="77777777" w:rsidTr="00FD7170">
        <w:trPr>
          <w:trHeight w:val="375"/>
        </w:trPr>
        <w:tc>
          <w:tcPr>
            <w:tcW w:w="1748" w:type="dxa"/>
            <w:tcBorders>
              <w:top w:val="single" w:sz="4" w:space="0" w:color="000000"/>
              <w:left w:val="nil"/>
              <w:bottom w:val="single" w:sz="8" w:space="0" w:color="000000"/>
              <w:right w:val="nil"/>
            </w:tcBorders>
            <w:shd w:val="clear" w:color="auto" w:fill="auto"/>
            <w:tcMar>
              <w:top w:w="0" w:type="dxa"/>
              <w:left w:w="0" w:type="dxa"/>
              <w:bottom w:w="0" w:type="dxa"/>
              <w:right w:w="0" w:type="dxa"/>
            </w:tcMar>
            <w:vAlign w:val="center"/>
          </w:tcPr>
          <w:p w14:paraId="638CB2CF" w14:textId="77777777" w:rsidR="00340395" w:rsidRDefault="00340395" w:rsidP="00340395">
            <w:pPr>
              <w:spacing w:line="228" w:lineRule="auto"/>
              <w:ind w:left="-20" w:right="-20"/>
              <w:jc w:val="center"/>
              <w:rPr>
                <w:b/>
              </w:rPr>
            </w:pPr>
            <w:r>
              <w:rPr>
                <w:b/>
              </w:rPr>
              <w:lastRenderedPageBreak/>
              <w:t>Impact category</w:t>
            </w:r>
          </w:p>
        </w:tc>
        <w:tc>
          <w:tcPr>
            <w:tcW w:w="1559" w:type="dxa"/>
            <w:tcBorders>
              <w:top w:val="single" w:sz="4" w:space="0" w:color="000000"/>
              <w:left w:val="nil"/>
              <w:bottom w:val="single" w:sz="8" w:space="0" w:color="000000"/>
              <w:right w:val="nil"/>
            </w:tcBorders>
            <w:shd w:val="clear" w:color="auto" w:fill="auto"/>
            <w:tcMar>
              <w:top w:w="0" w:type="dxa"/>
              <w:left w:w="0" w:type="dxa"/>
              <w:bottom w:w="0" w:type="dxa"/>
              <w:right w:w="0" w:type="dxa"/>
            </w:tcMar>
            <w:vAlign w:val="center"/>
          </w:tcPr>
          <w:p w14:paraId="27B49B79" w14:textId="77777777" w:rsidR="00340395" w:rsidRDefault="00340395" w:rsidP="00FD7170">
            <w:pPr>
              <w:spacing w:line="228" w:lineRule="auto"/>
              <w:ind w:left="-20" w:right="-20"/>
              <w:jc w:val="center"/>
              <w:rPr>
                <w:b/>
              </w:rPr>
            </w:pPr>
            <w:r>
              <w:rPr>
                <w:b/>
              </w:rPr>
              <w:t>Region</w:t>
            </w:r>
          </w:p>
        </w:tc>
        <w:tc>
          <w:tcPr>
            <w:tcW w:w="992" w:type="dxa"/>
            <w:tcBorders>
              <w:top w:val="single" w:sz="4" w:space="0" w:color="000000"/>
              <w:left w:val="nil"/>
              <w:bottom w:val="single" w:sz="4" w:space="0" w:color="auto"/>
              <w:right w:val="nil"/>
            </w:tcBorders>
            <w:shd w:val="clear" w:color="auto" w:fill="auto"/>
            <w:tcMar>
              <w:top w:w="0" w:type="dxa"/>
              <w:left w:w="0" w:type="dxa"/>
              <w:bottom w:w="0" w:type="dxa"/>
              <w:right w:w="0" w:type="dxa"/>
            </w:tcMar>
            <w:vAlign w:val="center"/>
          </w:tcPr>
          <w:p w14:paraId="56BD367D" w14:textId="77777777" w:rsidR="00340395" w:rsidRDefault="00340395" w:rsidP="00340395">
            <w:pPr>
              <w:spacing w:line="228" w:lineRule="auto"/>
              <w:ind w:left="-20" w:right="-20"/>
              <w:jc w:val="center"/>
              <w:rPr>
                <w:b/>
              </w:rPr>
            </w:pPr>
            <w:r>
              <w:rPr>
                <w:b/>
              </w:rPr>
              <w:t>Anaerobic digestion</w:t>
            </w:r>
          </w:p>
        </w:tc>
        <w:tc>
          <w:tcPr>
            <w:tcW w:w="993" w:type="dxa"/>
            <w:tcBorders>
              <w:top w:val="single" w:sz="4" w:space="0" w:color="000000"/>
              <w:left w:val="nil"/>
              <w:bottom w:val="single" w:sz="4" w:space="0" w:color="auto"/>
              <w:right w:val="nil"/>
            </w:tcBorders>
            <w:shd w:val="clear" w:color="auto" w:fill="auto"/>
            <w:tcMar>
              <w:top w:w="0" w:type="dxa"/>
              <w:left w:w="0" w:type="dxa"/>
              <w:bottom w:w="0" w:type="dxa"/>
              <w:right w:w="0" w:type="dxa"/>
            </w:tcMar>
            <w:vAlign w:val="center"/>
          </w:tcPr>
          <w:p w14:paraId="33E048D4" w14:textId="77777777" w:rsidR="00340395" w:rsidRDefault="00340395" w:rsidP="00340395">
            <w:pPr>
              <w:spacing w:line="228" w:lineRule="auto"/>
              <w:ind w:left="-20" w:right="-20"/>
              <w:jc w:val="center"/>
              <w:rPr>
                <w:b/>
              </w:rPr>
            </w:pPr>
            <w:r>
              <w:rPr>
                <w:b/>
              </w:rPr>
              <w:t>Chemical treatment</w:t>
            </w:r>
          </w:p>
        </w:tc>
        <w:tc>
          <w:tcPr>
            <w:tcW w:w="850" w:type="dxa"/>
            <w:tcBorders>
              <w:top w:val="single" w:sz="4" w:space="0" w:color="000000"/>
              <w:left w:val="nil"/>
              <w:bottom w:val="single" w:sz="4" w:space="0" w:color="auto"/>
              <w:right w:val="nil"/>
            </w:tcBorders>
            <w:shd w:val="clear" w:color="auto" w:fill="auto"/>
            <w:tcMar>
              <w:top w:w="0" w:type="dxa"/>
              <w:left w:w="0" w:type="dxa"/>
              <w:bottom w:w="0" w:type="dxa"/>
              <w:right w:w="0" w:type="dxa"/>
            </w:tcMar>
            <w:vAlign w:val="center"/>
          </w:tcPr>
          <w:p w14:paraId="3E56CAAD" w14:textId="77777777" w:rsidR="00340395" w:rsidRDefault="00340395" w:rsidP="00340395">
            <w:pPr>
              <w:spacing w:line="228" w:lineRule="auto"/>
              <w:ind w:left="-20" w:right="-20"/>
              <w:jc w:val="center"/>
              <w:rPr>
                <w:b/>
              </w:rPr>
            </w:pPr>
            <w:r>
              <w:rPr>
                <w:b/>
              </w:rPr>
              <w:t>Thermal drying</w:t>
            </w:r>
          </w:p>
        </w:tc>
        <w:tc>
          <w:tcPr>
            <w:tcW w:w="1134" w:type="dxa"/>
            <w:tcBorders>
              <w:top w:val="single" w:sz="4" w:space="0" w:color="000000"/>
              <w:left w:val="nil"/>
              <w:bottom w:val="single" w:sz="4" w:space="0" w:color="auto"/>
              <w:right w:val="nil"/>
            </w:tcBorders>
            <w:shd w:val="clear" w:color="auto" w:fill="auto"/>
            <w:tcMar>
              <w:top w:w="0" w:type="dxa"/>
              <w:left w:w="0" w:type="dxa"/>
              <w:bottom w:w="0" w:type="dxa"/>
              <w:right w:w="0" w:type="dxa"/>
            </w:tcMar>
            <w:vAlign w:val="center"/>
          </w:tcPr>
          <w:p w14:paraId="22AA2AA3" w14:textId="77777777" w:rsidR="00340395" w:rsidRDefault="00340395" w:rsidP="00340395">
            <w:pPr>
              <w:spacing w:line="228" w:lineRule="auto"/>
              <w:ind w:left="-20" w:right="-20"/>
              <w:jc w:val="center"/>
              <w:rPr>
                <w:b/>
              </w:rPr>
            </w:pPr>
            <w:r>
              <w:rPr>
                <w:b/>
              </w:rPr>
              <w:t>Composting</w:t>
            </w:r>
          </w:p>
        </w:tc>
        <w:tc>
          <w:tcPr>
            <w:tcW w:w="709" w:type="dxa"/>
            <w:tcBorders>
              <w:top w:val="single" w:sz="4" w:space="0" w:color="000000"/>
              <w:left w:val="nil"/>
              <w:bottom w:val="single" w:sz="4" w:space="0" w:color="auto"/>
              <w:right w:val="nil"/>
            </w:tcBorders>
            <w:vAlign w:val="center"/>
          </w:tcPr>
          <w:p w14:paraId="7532763E" w14:textId="77777777" w:rsidR="00340395" w:rsidRDefault="00340395" w:rsidP="00340395">
            <w:pPr>
              <w:spacing w:line="228" w:lineRule="auto"/>
              <w:ind w:left="-20" w:right="-20"/>
              <w:jc w:val="center"/>
              <w:rPr>
                <w:b/>
              </w:rPr>
            </w:pPr>
            <w:r>
              <w:rPr>
                <w:b/>
              </w:rPr>
              <w:t>NRF</w:t>
            </w:r>
          </w:p>
        </w:tc>
      </w:tr>
      <w:tr w:rsidR="00340395" w14:paraId="5E7499A0" w14:textId="77777777" w:rsidTr="00FD7170">
        <w:trPr>
          <w:trHeight w:val="375"/>
        </w:trPr>
        <w:tc>
          <w:tcPr>
            <w:tcW w:w="1748" w:type="dxa"/>
            <w:vMerge w:val="restart"/>
            <w:tcBorders>
              <w:top w:val="single" w:sz="4" w:space="0" w:color="000000"/>
              <w:left w:val="nil"/>
              <w:bottom w:val="single" w:sz="8" w:space="0" w:color="000000"/>
              <w:right w:val="nil"/>
            </w:tcBorders>
            <w:shd w:val="clear" w:color="auto" w:fill="auto"/>
            <w:tcMar>
              <w:top w:w="0" w:type="dxa"/>
              <w:left w:w="0" w:type="dxa"/>
              <w:bottom w:w="0" w:type="dxa"/>
              <w:right w:w="0" w:type="dxa"/>
            </w:tcMar>
            <w:vAlign w:val="center"/>
          </w:tcPr>
          <w:p w14:paraId="1219AC63" w14:textId="77777777" w:rsidR="00340395" w:rsidRDefault="00340395" w:rsidP="00340395">
            <w:pPr>
              <w:spacing w:line="228" w:lineRule="auto"/>
              <w:ind w:left="-20" w:right="-20"/>
              <w:jc w:val="center"/>
              <w:rPr>
                <w:b/>
              </w:rPr>
            </w:pPr>
            <w:r>
              <w:rPr>
                <w:b/>
              </w:rPr>
              <w:t>Acidification</w:t>
            </w:r>
          </w:p>
        </w:tc>
        <w:tc>
          <w:tcPr>
            <w:tcW w:w="1559" w:type="dxa"/>
            <w:tcBorders>
              <w:top w:val="single" w:sz="4" w:space="0" w:color="000000"/>
              <w:left w:val="nil"/>
              <w:bottom w:val="single" w:sz="8" w:space="0" w:color="000000"/>
            </w:tcBorders>
            <w:shd w:val="clear" w:color="auto" w:fill="auto"/>
            <w:tcMar>
              <w:top w:w="0" w:type="dxa"/>
              <w:left w:w="0" w:type="dxa"/>
              <w:bottom w:w="0" w:type="dxa"/>
              <w:right w:w="0" w:type="dxa"/>
            </w:tcMar>
            <w:vAlign w:val="center"/>
          </w:tcPr>
          <w:p w14:paraId="7DF715D9" w14:textId="77777777" w:rsidR="00340395" w:rsidRDefault="00340395" w:rsidP="00FD7170">
            <w:pPr>
              <w:spacing w:line="228" w:lineRule="auto"/>
              <w:ind w:left="-20" w:right="-20"/>
              <w:jc w:val="center"/>
            </w:pPr>
            <w:r>
              <w:t>Central</w:t>
            </w:r>
          </w:p>
        </w:tc>
        <w:tc>
          <w:tcPr>
            <w:tcW w:w="992" w:type="dxa"/>
            <w:tcBorders>
              <w:top w:val="single" w:sz="4" w:space="0" w:color="auto"/>
              <w:bottom w:val="single" w:sz="4" w:space="0" w:color="auto"/>
            </w:tcBorders>
            <w:shd w:val="clear" w:color="auto" w:fill="auto"/>
            <w:tcMar>
              <w:top w:w="0" w:type="dxa"/>
              <w:left w:w="0" w:type="dxa"/>
              <w:bottom w:w="0" w:type="dxa"/>
              <w:right w:w="0" w:type="dxa"/>
            </w:tcMar>
            <w:vAlign w:val="center"/>
          </w:tcPr>
          <w:p w14:paraId="0B0E1567"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5,1</w:t>
            </w:r>
          </w:p>
        </w:tc>
        <w:tc>
          <w:tcPr>
            <w:tcW w:w="993" w:type="dxa"/>
            <w:tcBorders>
              <w:top w:val="single" w:sz="4" w:space="0" w:color="auto"/>
              <w:bottom w:val="single" w:sz="4" w:space="0" w:color="auto"/>
            </w:tcBorders>
            <w:shd w:val="clear" w:color="auto" w:fill="auto"/>
            <w:tcMar>
              <w:top w:w="0" w:type="dxa"/>
              <w:left w:w="0" w:type="dxa"/>
              <w:bottom w:w="0" w:type="dxa"/>
              <w:right w:w="0" w:type="dxa"/>
            </w:tcMar>
            <w:vAlign w:val="center"/>
          </w:tcPr>
          <w:p w14:paraId="3657D5BA"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0,8</w:t>
            </w:r>
          </w:p>
        </w:tc>
        <w:tc>
          <w:tcPr>
            <w:tcW w:w="850" w:type="dxa"/>
            <w:tcBorders>
              <w:top w:val="single" w:sz="4" w:space="0" w:color="auto"/>
              <w:bottom w:val="single" w:sz="4" w:space="0" w:color="auto"/>
            </w:tcBorders>
            <w:shd w:val="clear" w:color="auto" w:fill="auto"/>
            <w:tcMar>
              <w:top w:w="0" w:type="dxa"/>
              <w:left w:w="0" w:type="dxa"/>
              <w:bottom w:w="0" w:type="dxa"/>
              <w:right w:w="0" w:type="dxa"/>
            </w:tcMar>
            <w:vAlign w:val="center"/>
          </w:tcPr>
          <w:p w14:paraId="62AF1B15"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0,9</w:t>
            </w:r>
          </w:p>
        </w:tc>
        <w:tc>
          <w:tcPr>
            <w:tcW w:w="1134" w:type="dxa"/>
            <w:tcBorders>
              <w:top w:val="single" w:sz="4" w:space="0" w:color="auto"/>
              <w:bottom w:val="single" w:sz="4" w:space="0" w:color="auto"/>
              <w:right w:val="nil"/>
            </w:tcBorders>
            <w:shd w:val="clear" w:color="auto" w:fill="auto"/>
            <w:tcMar>
              <w:top w:w="0" w:type="dxa"/>
              <w:left w:w="0" w:type="dxa"/>
              <w:bottom w:w="0" w:type="dxa"/>
              <w:right w:w="0" w:type="dxa"/>
            </w:tcMar>
            <w:vAlign w:val="center"/>
          </w:tcPr>
          <w:p w14:paraId="72AEDEA6"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3,5</w:t>
            </w:r>
          </w:p>
        </w:tc>
        <w:tc>
          <w:tcPr>
            <w:tcW w:w="709" w:type="dxa"/>
            <w:tcBorders>
              <w:top w:val="single" w:sz="4" w:space="0" w:color="auto"/>
              <w:bottom w:val="single" w:sz="4" w:space="0" w:color="auto"/>
              <w:right w:val="nil"/>
            </w:tcBorders>
            <w:vAlign w:val="center"/>
          </w:tcPr>
          <w:p w14:paraId="39A08755" w14:textId="7C65ADF0" w:rsidR="00340395" w:rsidRDefault="00E143CF" w:rsidP="00340395">
            <w:pPr>
              <w:jc w:val="center"/>
              <w:rPr>
                <w:rFonts w:ascii="Calibri" w:hAnsi="Calibri" w:cs="Calibri"/>
                <w:color w:val="000000"/>
                <w:sz w:val="22"/>
                <w:szCs w:val="22"/>
              </w:rPr>
            </w:pPr>
            <w:r>
              <w:rPr>
                <w:rFonts w:ascii="Calibri" w:hAnsi="Calibri" w:cs="Calibri"/>
                <w:color w:val="000000"/>
                <w:sz w:val="22"/>
                <w:szCs w:val="22"/>
              </w:rPr>
              <w:t>-</w:t>
            </w:r>
          </w:p>
        </w:tc>
      </w:tr>
      <w:tr w:rsidR="00340395" w14:paraId="779EC6F9" w14:textId="77777777" w:rsidTr="00FD7170">
        <w:trPr>
          <w:trHeight w:val="375"/>
        </w:trPr>
        <w:tc>
          <w:tcPr>
            <w:tcW w:w="1748" w:type="dxa"/>
            <w:vMerge/>
            <w:tcBorders>
              <w:top w:val="single" w:sz="4" w:space="0" w:color="000000"/>
              <w:left w:val="nil"/>
              <w:bottom w:val="single" w:sz="8" w:space="0" w:color="000000"/>
              <w:right w:val="nil"/>
            </w:tcBorders>
            <w:shd w:val="clear" w:color="auto" w:fill="auto"/>
            <w:tcMar>
              <w:top w:w="0" w:type="dxa"/>
              <w:left w:w="0" w:type="dxa"/>
              <w:bottom w:w="0" w:type="dxa"/>
              <w:right w:w="0" w:type="dxa"/>
            </w:tcMar>
            <w:vAlign w:val="center"/>
          </w:tcPr>
          <w:p w14:paraId="3A366F7C" w14:textId="77777777" w:rsidR="00340395" w:rsidRDefault="00340395" w:rsidP="00340395">
            <w:pPr>
              <w:ind w:right="-20"/>
              <w:jc w:val="center"/>
            </w:pPr>
          </w:p>
        </w:tc>
        <w:tc>
          <w:tcPr>
            <w:tcW w:w="1559" w:type="dxa"/>
            <w:tcBorders>
              <w:top w:val="single" w:sz="4" w:space="0" w:color="000000"/>
              <w:left w:val="nil"/>
              <w:bottom w:val="single" w:sz="8" w:space="0" w:color="000000"/>
            </w:tcBorders>
            <w:shd w:val="clear" w:color="auto" w:fill="auto"/>
            <w:tcMar>
              <w:top w:w="0" w:type="dxa"/>
              <w:left w:w="0" w:type="dxa"/>
              <w:bottom w:w="0" w:type="dxa"/>
              <w:right w:w="0" w:type="dxa"/>
            </w:tcMar>
            <w:vAlign w:val="center"/>
          </w:tcPr>
          <w:p w14:paraId="555FB226" w14:textId="77777777" w:rsidR="00340395" w:rsidRDefault="00340395" w:rsidP="00FD7170">
            <w:pPr>
              <w:spacing w:line="228" w:lineRule="auto"/>
              <w:ind w:left="-20" w:right="-20"/>
              <w:jc w:val="center"/>
            </w:pPr>
            <w:r>
              <w:t>Mediterranean</w:t>
            </w:r>
          </w:p>
        </w:tc>
        <w:tc>
          <w:tcPr>
            <w:tcW w:w="992" w:type="dxa"/>
            <w:tcBorders>
              <w:top w:val="single" w:sz="4" w:space="0" w:color="auto"/>
              <w:bottom w:val="single" w:sz="4" w:space="0" w:color="auto"/>
            </w:tcBorders>
            <w:shd w:val="clear" w:color="auto" w:fill="auto"/>
            <w:tcMar>
              <w:top w:w="0" w:type="dxa"/>
              <w:left w:w="0" w:type="dxa"/>
              <w:bottom w:w="0" w:type="dxa"/>
              <w:right w:w="0" w:type="dxa"/>
            </w:tcMar>
            <w:vAlign w:val="center"/>
          </w:tcPr>
          <w:p w14:paraId="53424E4B"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0,0</w:t>
            </w:r>
          </w:p>
        </w:tc>
        <w:tc>
          <w:tcPr>
            <w:tcW w:w="993" w:type="dxa"/>
            <w:tcBorders>
              <w:top w:val="single" w:sz="4" w:space="0" w:color="auto"/>
              <w:bottom w:val="single" w:sz="4" w:space="0" w:color="auto"/>
            </w:tcBorders>
            <w:shd w:val="clear" w:color="auto" w:fill="auto"/>
            <w:tcMar>
              <w:top w:w="0" w:type="dxa"/>
              <w:left w:w="0" w:type="dxa"/>
              <w:bottom w:w="0" w:type="dxa"/>
              <w:right w:w="0" w:type="dxa"/>
            </w:tcMar>
            <w:vAlign w:val="center"/>
          </w:tcPr>
          <w:p w14:paraId="31C28211"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-0,1</w:t>
            </w:r>
          </w:p>
        </w:tc>
        <w:tc>
          <w:tcPr>
            <w:tcW w:w="850" w:type="dxa"/>
            <w:tcBorders>
              <w:top w:val="single" w:sz="4" w:space="0" w:color="auto"/>
              <w:bottom w:val="single" w:sz="4" w:space="0" w:color="auto"/>
            </w:tcBorders>
            <w:shd w:val="clear" w:color="auto" w:fill="auto"/>
            <w:tcMar>
              <w:top w:w="0" w:type="dxa"/>
              <w:left w:w="0" w:type="dxa"/>
              <w:bottom w:w="0" w:type="dxa"/>
              <w:right w:w="0" w:type="dxa"/>
            </w:tcMar>
            <w:vAlign w:val="center"/>
          </w:tcPr>
          <w:p w14:paraId="0E049275"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-0,1</w:t>
            </w:r>
          </w:p>
        </w:tc>
        <w:tc>
          <w:tcPr>
            <w:tcW w:w="1134" w:type="dxa"/>
            <w:tcBorders>
              <w:top w:val="single" w:sz="4" w:space="0" w:color="auto"/>
              <w:bottom w:val="single" w:sz="4" w:space="0" w:color="auto"/>
              <w:right w:val="nil"/>
            </w:tcBorders>
            <w:shd w:val="clear" w:color="auto" w:fill="auto"/>
            <w:tcMar>
              <w:top w:w="0" w:type="dxa"/>
              <w:left w:w="0" w:type="dxa"/>
              <w:bottom w:w="0" w:type="dxa"/>
              <w:right w:w="0" w:type="dxa"/>
            </w:tcMar>
            <w:vAlign w:val="center"/>
          </w:tcPr>
          <w:p w14:paraId="60734288"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-0,1</w:t>
            </w:r>
          </w:p>
        </w:tc>
        <w:tc>
          <w:tcPr>
            <w:tcW w:w="709" w:type="dxa"/>
            <w:tcBorders>
              <w:top w:val="single" w:sz="4" w:space="0" w:color="auto"/>
              <w:bottom w:val="single" w:sz="4" w:space="0" w:color="auto"/>
              <w:right w:val="nil"/>
            </w:tcBorders>
            <w:vAlign w:val="center"/>
          </w:tcPr>
          <w:p w14:paraId="40CC45CE" w14:textId="63CEC526" w:rsidR="00340395" w:rsidRDefault="00E143CF" w:rsidP="00340395">
            <w:pPr>
              <w:jc w:val="center"/>
              <w:rPr>
                <w:rFonts w:ascii="Calibri" w:hAnsi="Calibri" w:cs="Calibri"/>
                <w:color w:val="000000"/>
                <w:sz w:val="22"/>
                <w:szCs w:val="22"/>
              </w:rPr>
            </w:pPr>
            <w:r>
              <w:rPr>
                <w:rFonts w:ascii="Calibri" w:hAnsi="Calibri" w:cs="Calibri"/>
                <w:color w:val="000000"/>
                <w:sz w:val="22"/>
                <w:szCs w:val="22"/>
              </w:rPr>
              <w:t>-</w:t>
            </w:r>
          </w:p>
        </w:tc>
      </w:tr>
      <w:tr w:rsidR="00340395" w14:paraId="3C4FC1D0" w14:textId="77777777" w:rsidTr="00FD7170">
        <w:trPr>
          <w:trHeight w:val="375"/>
        </w:trPr>
        <w:tc>
          <w:tcPr>
            <w:tcW w:w="1748" w:type="dxa"/>
            <w:vMerge/>
            <w:tcBorders>
              <w:top w:val="single" w:sz="8" w:space="0" w:color="000000"/>
              <w:left w:val="nil"/>
              <w:bottom w:val="single" w:sz="8" w:space="0" w:color="000000"/>
              <w:right w:val="nil"/>
            </w:tcBorders>
            <w:shd w:val="clear" w:color="auto" w:fill="auto"/>
            <w:tcMar>
              <w:top w:w="0" w:type="dxa"/>
              <w:left w:w="0" w:type="dxa"/>
              <w:bottom w:w="0" w:type="dxa"/>
              <w:right w:w="0" w:type="dxa"/>
            </w:tcMar>
            <w:vAlign w:val="center"/>
          </w:tcPr>
          <w:p w14:paraId="2144482D" w14:textId="77777777" w:rsidR="00340395" w:rsidRDefault="00340395" w:rsidP="00340395">
            <w:pPr>
              <w:ind w:right="-20"/>
              <w:jc w:val="center"/>
            </w:pPr>
          </w:p>
        </w:tc>
        <w:tc>
          <w:tcPr>
            <w:tcW w:w="1559" w:type="dxa"/>
            <w:tcBorders>
              <w:top w:val="single" w:sz="8" w:space="0" w:color="000000"/>
              <w:left w:val="nil"/>
              <w:bottom w:val="single" w:sz="8" w:space="0" w:color="000000"/>
            </w:tcBorders>
            <w:shd w:val="clear" w:color="auto" w:fill="auto"/>
            <w:tcMar>
              <w:top w:w="0" w:type="dxa"/>
              <w:left w:w="0" w:type="dxa"/>
              <w:bottom w:w="0" w:type="dxa"/>
              <w:right w:w="0" w:type="dxa"/>
            </w:tcMar>
            <w:vAlign w:val="center"/>
          </w:tcPr>
          <w:p w14:paraId="5391BACA" w14:textId="77777777" w:rsidR="00340395" w:rsidRDefault="00340395" w:rsidP="00FD7170">
            <w:pPr>
              <w:spacing w:line="228" w:lineRule="auto"/>
              <w:ind w:left="-20" w:right="-20"/>
              <w:jc w:val="center"/>
            </w:pPr>
            <w:r>
              <w:t>Northern</w:t>
            </w:r>
          </w:p>
        </w:tc>
        <w:tc>
          <w:tcPr>
            <w:tcW w:w="992" w:type="dxa"/>
            <w:tcBorders>
              <w:top w:val="single" w:sz="4" w:space="0" w:color="auto"/>
              <w:bottom w:val="single" w:sz="4" w:space="0" w:color="auto"/>
            </w:tcBorders>
            <w:shd w:val="clear" w:color="auto" w:fill="auto"/>
            <w:tcMar>
              <w:top w:w="0" w:type="dxa"/>
              <w:left w:w="0" w:type="dxa"/>
              <w:bottom w:w="0" w:type="dxa"/>
              <w:right w:w="0" w:type="dxa"/>
            </w:tcMar>
            <w:vAlign w:val="center"/>
          </w:tcPr>
          <w:p w14:paraId="18B7CC6C"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0,2</w:t>
            </w:r>
          </w:p>
        </w:tc>
        <w:tc>
          <w:tcPr>
            <w:tcW w:w="993" w:type="dxa"/>
            <w:tcBorders>
              <w:top w:val="single" w:sz="4" w:space="0" w:color="auto"/>
              <w:bottom w:val="single" w:sz="4" w:space="0" w:color="auto"/>
            </w:tcBorders>
            <w:shd w:val="clear" w:color="auto" w:fill="auto"/>
            <w:tcMar>
              <w:top w:w="0" w:type="dxa"/>
              <w:left w:w="0" w:type="dxa"/>
              <w:bottom w:w="0" w:type="dxa"/>
              <w:right w:w="0" w:type="dxa"/>
            </w:tcMar>
            <w:vAlign w:val="center"/>
          </w:tcPr>
          <w:p w14:paraId="5E2A1A6F"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2,4</w:t>
            </w:r>
          </w:p>
        </w:tc>
        <w:tc>
          <w:tcPr>
            <w:tcW w:w="850" w:type="dxa"/>
            <w:tcBorders>
              <w:top w:val="single" w:sz="4" w:space="0" w:color="auto"/>
              <w:bottom w:val="single" w:sz="4" w:space="0" w:color="auto"/>
            </w:tcBorders>
            <w:shd w:val="clear" w:color="auto" w:fill="auto"/>
            <w:tcMar>
              <w:top w:w="0" w:type="dxa"/>
              <w:left w:w="0" w:type="dxa"/>
              <w:bottom w:w="0" w:type="dxa"/>
              <w:right w:w="0" w:type="dxa"/>
            </w:tcMar>
            <w:vAlign w:val="center"/>
          </w:tcPr>
          <w:p w14:paraId="1044EDF1"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3,4</w:t>
            </w:r>
          </w:p>
        </w:tc>
        <w:tc>
          <w:tcPr>
            <w:tcW w:w="1134" w:type="dxa"/>
            <w:tcBorders>
              <w:top w:val="single" w:sz="4" w:space="0" w:color="auto"/>
              <w:bottom w:val="single" w:sz="4" w:space="0" w:color="auto"/>
              <w:right w:val="nil"/>
            </w:tcBorders>
            <w:shd w:val="clear" w:color="auto" w:fill="auto"/>
            <w:tcMar>
              <w:top w:w="0" w:type="dxa"/>
              <w:left w:w="0" w:type="dxa"/>
              <w:bottom w:w="0" w:type="dxa"/>
              <w:right w:w="0" w:type="dxa"/>
            </w:tcMar>
            <w:vAlign w:val="center"/>
          </w:tcPr>
          <w:p w14:paraId="3F68F351"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1,1</w:t>
            </w:r>
          </w:p>
        </w:tc>
        <w:tc>
          <w:tcPr>
            <w:tcW w:w="709" w:type="dxa"/>
            <w:tcBorders>
              <w:top w:val="single" w:sz="4" w:space="0" w:color="auto"/>
              <w:bottom w:val="single" w:sz="4" w:space="0" w:color="auto"/>
              <w:right w:val="nil"/>
            </w:tcBorders>
            <w:vAlign w:val="center"/>
          </w:tcPr>
          <w:p w14:paraId="384B502E" w14:textId="0E6E317A" w:rsidR="00340395" w:rsidRDefault="00E143CF" w:rsidP="00340395">
            <w:pPr>
              <w:jc w:val="center"/>
              <w:rPr>
                <w:rFonts w:ascii="Calibri" w:hAnsi="Calibri" w:cs="Calibri"/>
                <w:color w:val="000000"/>
                <w:sz w:val="22"/>
                <w:szCs w:val="22"/>
              </w:rPr>
            </w:pPr>
            <w:r>
              <w:rPr>
                <w:rFonts w:ascii="Calibri" w:hAnsi="Calibri" w:cs="Calibri"/>
                <w:color w:val="000000"/>
                <w:sz w:val="22"/>
                <w:szCs w:val="22"/>
              </w:rPr>
              <w:t>-</w:t>
            </w:r>
          </w:p>
        </w:tc>
      </w:tr>
      <w:tr w:rsidR="00340395" w14:paraId="66D9E956" w14:textId="77777777" w:rsidTr="00FD7170">
        <w:trPr>
          <w:trHeight w:val="375"/>
        </w:trPr>
        <w:tc>
          <w:tcPr>
            <w:tcW w:w="1748" w:type="dxa"/>
            <w:vMerge/>
            <w:tcBorders>
              <w:top w:val="single" w:sz="8" w:space="0" w:color="000000"/>
              <w:left w:val="nil"/>
              <w:bottom w:val="single" w:sz="8" w:space="0" w:color="000000"/>
              <w:right w:val="nil"/>
            </w:tcBorders>
            <w:shd w:val="clear" w:color="auto" w:fill="auto"/>
            <w:tcMar>
              <w:top w:w="0" w:type="dxa"/>
              <w:left w:w="0" w:type="dxa"/>
              <w:bottom w:w="0" w:type="dxa"/>
              <w:right w:w="0" w:type="dxa"/>
            </w:tcMar>
            <w:vAlign w:val="center"/>
          </w:tcPr>
          <w:p w14:paraId="5ACB1EE1" w14:textId="77777777" w:rsidR="00340395" w:rsidRDefault="00340395" w:rsidP="00340395">
            <w:pPr>
              <w:ind w:right="-20"/>
              <w:jc w:val="center"/>
            </w:pPr>
          </w:p>
        </w:tc>
        <w:tc>
          <w:tcPr>
            <w:tcW w:w="1559" w:type="dxa"/>
            <w:tcBorders>
              <w:top w:val="single" w:sz="8" w:space="0" w:color="000000"/>
              <w:left w:val="nil"/>
              <w:bottom w:val="single" w:sz="8" w:space="0" w:color="000000"/>
            </w:tcBorders>
            <w:shd w:val="clear" w:color="auto" w:fill="auto"/>
            <w:tcMar>
              <w:top w:w="0" w:type="dxa"/>
              <w:left w:w="0" w:type="dxa"/>
              <w:bottom w:w="0" w:type="dxa"/>
              <w:right w:w="0" w:type="dxa"/>
            </w:tcMar>
            <w:vAlign w:val="center"/>
          </w:tcPr>
          <w:p w14:paraId="3D6C812B" w14:textId="77777777" w:rsidR="00340395" w:rsidRDefault="00340395" w:rsidP="00FD7170">
            <w:pPr>
              <w:spacing w:line="228" w:lineRule="auto"/>
              <w:ind w:left="-20" w:right="-20"/>
              <w:jc w:val="center"/>
            </w:pPr>
            <w:r>
              <w:t>Non-renewable</w:t>
            </w:r>
          </w:p>
        </w:tc>
        <w:tc>
          <w:tcPr>
            <w:tcW w:w="992" w:type="dxa"/>
            <w:tcBorders>
              <w:top w:val="single" w:sz="4" w:space="0" w:color="auto"/>
              <w:bottom w:val="single" w:sz="4" w:space="0" w:color="auto"/>
            </w:tcBorders>
            <w:shd w:val="clear" w:color="auto" w:fill="auto"/>
            <w:tcMar>
              <w:top w:w="0" w:type="dxa"/>
              <w:left w:w="0" w:type="dxa"/>
              <w:bottom w:w="0" w:type="dxa"/>
              <w:right w:w="0" w:type="dxa"/>
            </w:tcMar>
            <w:vAlign w:val="center"/>
          </w:tcPr>
          <w:p w14:paraId="06A429E3"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w:t>
            </w:r>
          </w:p>
        </w:tc>
        <w:tc>
          <w:tcPr>
            <w:tcW w:w="993" w:type="dxa"/>
            <w:tcBorders>
              <w:top w:val="single" w:sz="4" w:space="0" w:color="auto"/>
              <w:bottom w:val="single" w:sz="4" w:space="0" w:color="auto"/>
            </w:tcBorders>
            <w:shd w:val="clear" w:color="auto" w:fill="auto"/>
            <w:tcMar>
              <w:top w:w="0" w:type="dxa"/>
              <w:left w:w="0" w:type="dxa"/>
              <w:bottom w:w="0" w:type="dxa"/>
              <w:right w:w="0" w:type="dxa"/>
            </w:tcMar>
            <w:vAlign w:val="center"/>
          </w:tcPr>
          <w:p w14:paraId="62E7A614"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w:t>
            </w:r>
          </w:p>
        </w:tc>
        <w:tc>
          <w:tcPr>
            <w:tcW w:w="850" w:type="dxa"/>
            <w:tcBorders>
              <w:top w:val="single" w:sz="4" w:space="0" w:color="auto"/>
              <w:bottom w:val="single" w:sz="4" w:space="0" w:color="auto"/>
            </w:tcBorders>
            <w:shd w:val="clear" w:color="auto" w:fill="auto"/>
            <w:tcMar>
              <w:top w:w="0" w:type="dxa"/>
              <w:left w:w="0" w:type="dxa"/>
              <w:bottom w:w="0" w:type="dxa"/>
              <w:right w:w="0" w:type="dxa"/>
            </w:tcMar>
            <w:vAlign w:val="center"/>
          </w:tcPr>
          <w:p w14:paraId="6BDB4B71"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w:t>
            </w:r>
          </w:p>
        </w:tc>
        <w:tc>
          <w:tcPr>
            <w:tcW w:w="1134" w:type="dxa"/>
            <w:tcBorders>
              <w:top w:val="single" w:sz="4" w:space="0" w:color="auto"/>
              <w:bottom w:val="single" w:sz="4" w:space="0" w:color="auto"/>
              <w:right w:val="nil"/>
            </w:tcBorders>
            <w:shd w:val="clear" w:color="auto" w:fill="auto"/>
            <w:tcMar>
              <w:top w:w="0" w:type="dxa"/>
              <w:left w:w="0" w:type="dxa"/>
              <w:bottom w:w="0" w:type="dxa"/>
              <w:right w:w="0" w:type="dxa"/>
            </w:tcMar>
            <w:vAlign w:val="center"/>
          </w:tcPr>
          <w:p w14:paraId="56EA29C2"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w:t>
            </w:r>
          </w:p>
        </w:tc>
        <w:tc>
          <w:tcPr>
            <w:tcW w:w="709" w:type="dxa"/>
            <w:tcBorders>
              <w:top w:val="single" w:sz="4" w:space="0" w:color="auto"/>
              <w:bottom w:val="single" w:sz="4" w:space="0" w:color="auto"/>
              <w:right w:val="nil"/>
            </w:tcBorders>
            <w:vAlign w:val="center"/>
          </w:tcPr>
          <w:p w14:paraId="7050CD1E"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100</w:t>
            </w:r>
          </w:p>
        </w:tc>
      </w:tr>
      <w:tr w:rsidR="00340395" w14:paraId="44224073" w14:textId="77777777" w:rsidTr="00FD7170">
        <w:trPr>
          <w:trHeight w:val="375"/>
        </w:trPr>
        <w:tc>
          <w:tcPr>
            <w:tcW w:w="1748" w:type="dxa"/>
            <w:vMerge w:val="restart"/>
            <w:tcBorders>
              <w:top w:val="single" w:sz="8" w:space="0" w:color="000000"/>
              <w:left w:val="nil"/>
              <w:bottom w:val="single" w:sz="8" w:space="0" w:color="000000"/>
              <w:right w:val="nil"/>
            </w:tcBorders>
            <w:shd w:val="clear" w:color="auto" w:fill="auto"/>
            <w:tcMar>
              <w:top w:w="0" w:type="dxa"/>
              <w:left w:w="0" w:type="dxa"/>
              <w:bottom w:w="0" w:type="dxa"/>
              <w:right w:w="0" w:type="dxa"/>
            </w:tcMar>
            <w:vAlign w:val="center"/>
          </w:tcPr>
          <w:p w14:paraId="50D988BE" w14:textId="77777777" w:rsidR="00340395" w:rsidRDefault="00340395" w:rsidP="00340395">
            <w:pPr>
              <w:spacing w:line="228" w:lineRule="auto"/>
              <w:ind w:left="-20" w:right="-20"/>
              <w:jc w:val="center"/>
              <w:rPr>
                <w:b/>
              </w:rPr>
            </w:pPr>
            <w:r>
              <w:rPr>
                <w:b/>
              </w:rPr>
              <w:t>Climate change</w:t>
            </w:r>
          </w:p>
        </w:tc>
        <w:tc>
          <w:tcPr>
            <w:tcW w:w="1559" w:type="dxa"/>
            <w:tcBorders>
              <w:top w:val="single" w:sz="4" w:space="0" w:color="000000"/>
              <w:left w:val="nil"/>
              <w:bottom w:val="single" w:sz="8" w:space="0" w:color="000000"/>
            </w:tcBorders>
            <w:shd w:val="clear" w:color="auto" w:fill="auto"/>
            <w:tcMar>
              <w:top w:w="0" w:type="dxa"/>
              <w:left w:w="0" w:type="dxa"/>
              <w:bottom w:w="0" w:type="dxa"/>
              <w:right w:w="0" w:type="dxa"/>
            </w:tcMar>
            <w:vAlign w:val="center"/>
          </w:tcPr>
          <w:p w14:paraId="445FCE92" w14:textId="77777777" w:rsidR="00340395" w:rsidRDefault="00340395" w:rsidP="00FD7170">
            <w:pPr>
              <w:spacing w:line="228" w:lineRule="auto"/>
              <w:ind w:left="-20" w:right="-20"/>
              <w:jc w:val="center"/>
            </w:pPr>
            <w:r>
              <w:t>Central</w:t>
            </w:r>
          </w:p>
        </w:tc>
        <w:tc>
          <w:tcPr>
            <w:tcW w:w="992" w:type="dxa"/>
            <w:tcBorders>
              <w:top w:val="single" w:sz="4" w:space="0" w:color="auto"/>
              <w:bottom w:val="single" w:sz="4" w:space="0" w:color="auto"/>
            </w:tcBorders>
            <w:shd w:val="clear" w:color="auto" w:fill="auto"/>
            <w:tcMar>
              <w:top w:w="0" w:type="dxa"/>
              <w:left w:w="0" w:type="dxa"/>
              <w:bottom w:w="0" w:type="dxa"/>
              <w:right w:w="0" w:type="dxa"/>
            </w:tcMar>
            <w:vAlign w:val="center"/>
          </w:tcPr>
          <w:p w14:paraId="2A847FF2"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14,5</w:t>
            </w:r>
          </w:p>
        </w:tc>
        <w:tc>
          <w:tcPr>
            <w:tcW w:w="993" w:type="dxa"/>
            <w:tcBorders>
              <w:top w:val="single" w:sz="4" w:space="0" w:color="auto"/>
              <w:bottom w:val="single" w:sz="4" w:space="0" w:color="auto"/>
            </w:tcBorders>
            <w:shd w:val="clear" w:color="auto" w:fill="auto"/>
            <w:tcMar>
              <w:top w:w="0" w:type="dxa"/>
              <w:left w:w="0" w:type="dxa"/>
              <w:bottom w:w="0" w:type="dxa"/>
              <w:right w:w="0" w:type="dxa"/>
            </w:tcMar>
            <w:vAlign w:val="center"/>
          </w:tcPr>
          <w:p w14:paraId="382D36A3"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4,8</w:t>
            </w:r>
          </w:p>
        </w:tc>
        <w:tc>
          <w:tcPr>
            <w:tcW w:w="850" w:type="dxa"/>
            <w:tcBorders>
              <w:top w:val="single" w:sz="4" w:space="0" w:color="auto"/>
              <w:bottom w:val="single" w:sz="4" w:space="0" w:color="auto"/>
            </w:tcBorders>
            <w:shd w:val="clear" w:color="auto" w:fill="auto"/>
            <w:tcMar>
              <w:top w:w="0" w:type="dxa"/>
              <w:left w:w="0" w:type="dxa"/>
              <w:bottom w:w="0" w:type="dxa"/>
              <w:right w:w="0" w:type="dxa"/>
            </w:tcMar>
            <w:vAlign w:val="center"/>
          </w:tcPr>
          <w:p w14:paraId="3995EF3F"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1,8</w:t>
            </w:r>
          </w:p>
        </w:tc>
        <w:tc>
          <w:tcPr>
            <w:tcW w:w="1134" w:type="dxa"/>
            <w:tcBorders>
              <w:top w:val="single" w:sz="4" w:space="0" w:color="auto"/>
              <w:bottom w:val="single" w:sz="4" w:space="0" w:color="auto"/>
              <w:right w:val="nil"/>
            </w:tcBorders>
            <w:shd w:val="clear" w:color="auto" w:fill="auto"/>
            <w:tcMar>
              <w:top w:w="0" w:type="dxa"/>
              <w:left w:w="0" w:type="dxa"/>
              <w:bottom w:w="0" w:type="dxa"/>
              <w:right w:w="0" w:type="dxa"/>
            </w:tcMar>
            <w:vAlign w:val="center"/>
          </w:tcPr>
          <w:p w14:paraId="48080A2B"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6,8</w:t>
            </w:r>
          </w:p>
        </w:tc>
        <w:tc>
          <w:tcPr>
            <w:tcW w:w="709" w:type="dxa"/>
            <w:tcBorders>
              <w:top w:val="single" w:sz="4" w:space="0" w:color="auto"/>
              <w:bottom w:val="single" w:sz="4" w:space="0" w:color="auto"/>
              <w:right w:val="nil"/>
            </w:tcBorders>
            <w:vAlign w:val="center"/>
          </w:tcPr>
          <w:p w14:paraId="777AFBFE" w14:textId="346CD3A9" w:rsidR="00340395" w:rsidRDefault="00E143CF" w:rsidP="00340395">
            <w:pPr>
              <w:jc w:val="center"/>
              <w:rPr>
                <w:rFonts w:ascii="Calibri" w:hAnsi="Calibri" w:cs="Calibri"/>
                <w:color w:val="000000"/>
                <w:sz w:val="22"/>
                <w:szCs w:val="22"/>
              </w:rPr>
            </w:pPr>
            <w:r>
              <w:rPr>
                <w:rFonts w:ascii="Calibri" w:hAnsi="Calibri" w:cs="Calibri"/>
                <w:color w:val="000000"/>
                <w:sz w:val="22"/>
                <w:szCs w:val="22"/>
              </w:rPr>
              <w:t>-</w:t>
            </w:r>
          </w:p>
        </w:tc>
      </w:tr>
      <w:tr w:rsidR="00340395" w14:paraId="353F7C7D" w14:textId="77777777" w:rsidTr="00FD7170">
        <w:trPr>
          <w:trHeight w:val="375"/>
        </w:trPr>
        <w:tc>
          <w:tcPr>
            <w:tcW w:w="1748" w:type="dxa"/>
            <w:vMerge/>
            <w:tcBorders>
              <w:top w:val="single" w:sz="8" w:space="0" w:color="000000"/>
              <w:left w:val="nil"/>
              <w:bottom w:val="single" w:sz="8" w:space="0" w:color="000000"/>
              <w:right w:val="nil"/>
            </w:tcBorders>
            <w:shd w:val="clear" w:color="auto" w:fill="auto"/>
            <w:tcMar>
              <w:top w:w="0" w:type="dxa"/>
              <w:left w:w="0" w:type="dxa"/>
              <w:bottom w:w="0" w:type="dxa"/>
              <w:right w:w="0" w:type="dxa"/>
            </w:tcMar>
            <w:vAlign w:val="center"/>
          </w:tcPr>
          <w:p w14:paraId="710F5B4F" w14:textId="77777777" w:rsidR="00340395" w:rsidRDefault="00340395" w:rsidP="00340395">
            <w:pPr>
              <w:ind w:right="-20"/>
              <w:jc w:val="center"/>
            </w:pPr>
          </w:p>
        </w:tc>
        <w:tc>
          <w:tcPr>
            <w:tcW w:w="1559" w:type="dxa"/>
            <w:tcBorders>
              <w:top w:val="single" w:sz="4" w:space="0" w:color="000000"/>
              <w:left w:val="nil"/>
              <w:bottom w:val="single" w:sz="8" w:space="0" w:color="000000"/>
            </w:tcBorders>
            <w:shd w:val="clear" w:color="auto" w:fill="auto"/>
            <w:tcMar>
              <w:top w:w="0" w:type="dxa"/>
              <w:left w:w="0" w:type="dxa"/>
              <w:bottom w:w="0" w:type="dxa"/>
              <w:right w:w="0" w:type="dxa"/>
            </w:tcMar>
            <w:vAlign w:val="center"/>
          </w:tcPr>
          <w:p w14:paraId="752ED63D" w14:textId="77777777" w:rsidR="00340395" w:rsidRDefault="00340395" w:rsidP="00FD7170">
            <w:pPr>
              <w:spacing w:line="228" w:lineRule="auto"/>
              <w:ind w:left="-20" w:right="-20"/>
              <w:jc w:val="center"/>
            </w:pPr>
            <w:r>
              <w:t>Mediterranean</w:t>
            </w:r>
          </w:p>
        </w:tc>
        <w:tc>
          <w:tcPr>
            <w:tcW w:w="992" w:type="dxa"/>
            <w:tcBorders>
              <w:top w:val="single" w:sz="4" w:space="0" w:color="auto"/>
              <w:bottom w:val="single" w:sz="4" w:space="0" w:color="auto"/>
            </w:tcBorders>
            <w:shd w:val="clear" w:color="auto" w:fill="auto"/>
            <w:tcMar>
              <w:top w:w="0" w:type="dxa"/>
              <w:left w:w="0" w:type="dxa"/>
              <w:bottom w:w="0" w:type="dxa"/>
              <w:right w:w="0" w:type="dxa"/>
            </w:tcMar>
            <w:vAlign w:val="center"/>
          </w:tcPr>
          <w:p w14:paraId="20DDDBC5"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0,7</w:t>
            </w:r>
          </w:p>
        </w:tc>
        <w:tc>
          <w:tcPr>
            <w:tcW w:w="993" w:type="dxa"/>
            <w:tcBorders>
              <w:top w:val="single" w:sz="4" w:space="0" w:color="auto"/>
              <w:bottom w:val="single" w:sz="4" w:space="0" w:color="auto"/>
            </w:tcBorders>
            <w:shd w:val="clear" w:color="auto" w:fill="auto"/>
            <w:tcMar>
              <w:top w:w="0" w:type="dxa"/>
              <w:left w:w="0" w:type="dxa"/>
              <w:bottom w:w="0" w:type="dxa"/>
              <w:right w:w="0" w:type="dxa"/>
            </w:tcMar>
            <w:vAlign w:val="center"/>
          </w:tcPr>
          <w:p w14:paraId="7A44E6E9"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5,0</w:t>
            </w:r>
          </w:p>
        </w:tc>
        <w:tc>
          <w:tcPr>
            <w:tcW w:w="850" w:type="dxa"/>
            <w:tcBorders>
              <w:top w:val="single" w:sz="4" w:space="0" w:color="auto"/>
              <w:bottom w:val="single" w:sz="4" w:space="0" w:color="auto"/>
            </w:tcBorders>
            <w:shd w:val="clear" w:color="auto" w:fill="auto"/>
            <w:tcMar>
              <w:top w:w="0" w:type="dxa"/>
              <w:left w:w="0" w:type="dxa"/>
              <w:bottom w:w="0" w:type="dxa"/>
              <w:right w:w="0" w:type="dxa"/>
            </w:tcMar>
            <w:vAlign w:val="center"/>
          </w:tcPr>
          <w:p w14:paraId="405B6A63"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1,7</w:t>
            </w:r>
          </w:p>
        </w:tc>
        <w:tc>
          <w:tcPr>
            <w:tcW w:w="1134" w:type="dxa"/>
            <w:tcBorders>
              <w:top w:val="single" w:sz="4" w:space="0" w:color="auto"/>
              <w:bottom w:val="single" w:sz="4" w:space="0" w:color="auto"/>
              <w:right w:val="nil"/>
            </w:tcBorders>
            <w:shd w:val="clear" w:color="auto" w:fill="auto"/>
            <w:tcMar>
              <w:top w:w="0" w:type="dxa"/>
              <w:left w:w="0" w:type="dxa"/>
              <w:bottom w:w="0" w:type="dxa"/>
              <w:right w:w="0" w:type="dxa"/>
            </w:tcMar>
            <w:vAlign w:val="center"/>
          </w:tcPr>
          <w:p w14:paraId="0E0D279E"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1,7</w:t>
            </w:r>
          </w:p>
        </w:tc>
        <w:tc>
          <w:tcPr>
            <w:tcW w:w="709" w:type="dxa"/>
            <w:tcBorders>
              <w:top w:val="single" w:sz="4" w:space="0" w:color="auto"/>
              <w:bottom w:val="single" w:sz="4" w:space="0" w:color="auto"/>
              <w:right w:val="nil"/>
            </w:tcBorders>
            <w:vAlign w:val="center"/>
          </w:tcPr>
          <w:p w14:paraId="29B58F19" w14:textId="4E00D907" w:rsidR="00340395" w:rsidRDefault="00E143CF" w:rsidP="00340395">
            <w:pPr>
              <w:jc w:val="center"/>
              <w:rPr>
                <w:rFonts w:ascii="Calibri" w:hAnsi="Calibri" w:cs="Calibri"/>
                <w:color w:val="000000"/>
                <w:sz w:val="22"/>
                <w:szCs w:val="22"/>
              </w:rPr>
            </w:pPr>
            <w:r>
              <w:rPr>
                <w:rFonts w:ascii="Calibri" w:hAnsi="Calibri" w:cs="Calibri"/>
                <w:color w:val="000000"/>
                <w:sz w:val="22"/>
                <w:szCs w:val="22"/>
              </w:rPr>
              <w:t>-</w:t>
            </w:r>
          </w:p>
        </w:tc>
      </w:tr>
      <w:tr w:rsidR="00340395" w14:paraId="275BF97F" w14:textId="77777777" w:rsidTr="00FD7170">
        <w:trPr>
          <w:trHeight w:val="375"/>
        </w:trPr>
        <w:tc>
          <w:tcPr>
            <w:tcW w:w="1748" w:type="dxa"/>
            <w:vMerge/>
            <w:tcBorders>
              <w:top w:val="single" w:sz="8" w:space="0" w:color="000000"/>
              <w:left w:val="nil"/>
              <w:bottom w:val="single" w:sz="8" w:space="0" w:color="000000"/>
              <w:right w:val="nil"/>
            </w:tcBorders>
            <w:shd w:val="clear" w:color="auto" w:fill="auto"/>
            <w:tcMar>
              <w:top w:w="0" w:type="dxa"/>
              <w:left w:w="0" w:type="dxa"/>
              <w:bottom w:w="0" w:type="dxa"/>
              <w:right w:w="0" w:type="dxa"/>
            </w:tcMar>
            <w:vAlign w:val="center"/>
          </w:tcPr>
          <w:p w14:paraId="5F97890C" w14:textId="77777777" w:rsidR="00340395" w:rsidRDefault="00340395" w:rsidP="00340395">
            <w:pPr>
              <w:ind w:right="-20"/>
              <w:jc w:val="center"/>
            </w:pPr>
          </w:p>
        </w:tc>
        <w:tc>
          <w:tcPr>
            <w:tcW w:w="1559" w:type="dxa"/>
            <w:tcBorders>
              <w:top w:val="single" w:sz="8" w:space="0" w:color="000000"/>
              <w:left w:val="nil"/>
              <w:bottom w:val="single" w:sz="8" w:space="0" w:color="000000"/>
            </w:tcBorders>
            <w:shd w:val="clear" w:color="auto" w:fill="auto"/>
            <w:tcMar>
              <w:top w:w="0" w:type="dxa"/>
              <w:left w:w="0" w:type="dxa"/>
              <w:bottom w:w="0" w:type="dxa"/>
              <w:right w:w="0" w:type="dxa"/>
            </w:tcMar>
            <w:vAlign w:val="center"/>
          </w:tcPr>
          <w:p w14:paraId="53716FB1" w14:textId="77777777" w:rsidR="00340395" w:rsidRDefault="00340395" w:rsidP="00FD7170">
            <w:pPr>
              <w:spacing w:line="228" w:lineRule="auto"/>
              <w:ind w:left="-20" w:right="-20"/>
              <w:jc w:val="center"/>
            </w:pPr>
            <w:r>
              <w:t>Northern</w:t>
            </w:r>
          </w:p>
        </w:tc>
        <w:tc>
          <w:tcPr>
            <w:tcW w:w="992" w:type="dxa"/>
            <w:tcBorders>
              <w:top w:val="single" w:sz="4" w:space="0" w:color="auto"/>
              <w:bottom w:val="single" w:sz="4" w:space="0" w:color="auto"/>
            </w:tcBorders>
            <w:shd w:val="clear" w:color="auto" w:fill="auto"/>
            <w:tcMar>
              <w:top w:w="0" w:type="dxa"/>
              <w:left w:w="0" w:type="dxa"/>
              <w:bottom w:w="0" w:type="dxa"/>
              <w:right w:w="0" w:type="dxa"/>
            </w:tcMar>
            <w:vAlign w:val="center"/>
          </w:tcPr>
          <w:p w14:paraId="41D6CD71"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0,9</w:t>
            </w:r>
          </w:p>
        </w:tc>
        <w:tc>
          <w:tcPr>
            <w:tcW w:w="993" w:type="dxa"/>
            <w:tcBorders>
              <w:top w:val="single" w:sz="4" w:space="0" w:color="auto"/>
              <w:bottom w:val="single" w:sz="4" w:space="0" w:color="auto"/>
            </w:tcBorders>
            <w:shd w:val="clear" w:color="auto" w:fill="auto"/>
            <w:tcMar>
              <w:top w:w="0" w:type="dxa"/>
              <w:left w:w="0" w:type="dxa"/>
              <w:bottom w:w="0" w:type="dxa"/>
              <w:right w:w="0" w:type="dxa"/>
            </w:tcMar>
            <w:vAlign w:val="center"/>
          </w:tcPr>
          <w:p w14:paraId="6894305B"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20,0</w:t>
            </w:r>
          </w:p>
        </w:tc>
        <w:tc>
          <w:tcPr>
            <w:tcW w:w="850" w:type="dxa"/>
            <w:tcBorders>
              <w:top w:val="single" w:sz="4" w:space="0" w:color="auto"/>
              <w:bottom w:val="single" w:sz="4" w:space="0" w:color="auto"/>
            </w:tcBorders>
            <w:shd w:val="clear" w:color="auto" w:fill="auto"/>
            <w:tcMar>
              <w:top w:w="0" w:type="dxa"/>
              <w:left w:w="0" w:type="dxa"/>
              <w:bottom w:w="0" w:type="dxa"/>
              <w:right w:w="0" w:type="dxa"/>
            </w:tcMar>
            <w:vAlign w:val="center"/>
          </w:tcPr>
          <w:p w14:paraId="180FF7C4"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7,3</w:t>
            </w:r>
          </w:p>
        </w:tc>
        <w:tc>
          <w:tcPr>
            <w:tcW w:w="1134" w:type="dxa"/>
            <w:tcBorders>
              <w:top w:val="single" w:sz="4" w:space="0" w:color="auto"/>
              <w:bottom w:val="single" w:sz="4" w:space="0" w:color="auto"/>
              <w:right w:val="nil"/>
            </w:tcBorders>
            <w:shd w:val="clear" w:color="auto" w:fill="auto"/>
            <w:tcMar>
              <w:top w:w="0" w:type="dxa"/>
              <w:left w:w="0" w:type="dxa"/>
              <w:bottom w:w="0" w:type="dxa"/>
              <w:right w:w="0" w:type="dxa"/>
            </w:tcMar>
            <w:vAlign w:val="center"/>
          </w:tcPr>
          <w:p w14:paraId="37A0D27A"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1,9</w:t>
            </w:r>
          </w:p>
        </w:tc>
        <w:tc>
          <w:tcPr>
            <w:tcW w:w="709" w:type="dxa"/>
            <w:tcBorders>
              <w:top w:val="single" w:sz="4" w:space="0" w:color="auto"/>
              <w:bottom w:val="single" w:sz="4" w:space="0" w:color="auto"/>
              <w:right w:val="nil"/>
            </w:tcBorders>
            <w:vAlign w:val="center"/>
          </w:tcPr>
          <w:p w14:paraId="2FB7559B" w14:textId="1192CB32" w:rsidR="00340395" w:rsidRDefault="00E143CF" w:rsidP="00340395">
            <w:pPr>
              <w:jc w:val="center"/>
              <w:rPr>
                <w:rFonts w:ascii="Calibri" w:hAnsi="Calibri" w:cs="Calibri"/>
                <w:color w:val="000000"/>
                <w:sz w:val="22"/>
                <w:szCs w:val="22"/>
              </w:rPr>
            </w:pPr>
            <w:r>
              <w:rPr>
                <w:rFonts w:ascii="Calibri" w:hAnsi="Calibri" w:cs="Calibri"/>
                <w:color w:val="000000"/>
                <w:sz w:val="22"/>
                <w:szCs w:val="22"/>
              </w:rPr>
              <w:t>-</w:t>
            </w:r>
          </w:p>
        </w:tc>
      </w:tr>
      <w:tr w:rsidR="00340395" w14:paraId="1EFA289A" w14:textId="77777777" w:rsidTr="00FD7170">
        <w:trPr>
          <w:trHeight w:val="375"/>
        </w:trPr>
        <w:tc>
          <w:tcPr>
            <w:tcW w:w="1748" w:type="dxa"/>
            <w:vMerge/>
            <w:tcBorders>
              <w:top w:val="single" w:sz="8" w:space="0" w:color="000000"/>
              <w:left w:val="nil"/>
              <w:bottom w:val="single" w:sz="8" w:space="0" w:color="000000"/>
              <w:right w:val="nil"/>
            </w:tcBorders>
            <w:shd w:val="clear" w:color="auto" w:fill="auto"/>
            <w:tcMar>
              <w:top w:w="0" w:type="dxa"/>
              <w:left w:w="0" w:type="dxa"/>
              <w:bottom w:w="0" w:type="dxa"/>
              <w:right w:w="0" w:type="dxa"/>
            </w:tcMar>
            <w:vAlign w:val="center"/>
          </w:tcPr>
          <w:p w14:paraId="0E7F3CFB" w14:textId="77777777" w:rsidR="00340395" w:rsidRDefault="00340395" w:rsidP="00340395">
            <w:pPr>
              <w:ind w:right="-20"/>
              <w:jc w:val="center"/>
            </w:pPr>
          </w:p>
        </w:tc>
        <w:tc>
          <w:tcPr>
            <w:tcW w:w="1559" w:type="dxa"/>
            <w:tcBorders>
              <w:top w:val="single" w:sz="8" w:space="0" w:color="000000"/>
              <w:left w:val="nil"/>
              <w:bottom w:val="single" w:sz="8" w:space="0" w:color="000000"/>
            </w:tcBorders>
            <w:shd w:val="clear" w:color="auto" w:fill="auto"/>
            <w:tcMar>
              <w:top w:w="0" w:type="dxa"/>
              <w:left w:w="0" w:type="dxa"/>
              <w:bottom w:w="0" w:type="dxa"/>
              <w:right w:w="0" w:type="dxa"/>
            </w:tcMar>
            <w:vAlign w:val="center"/>
          </w:tcPr>
          <w:p w14:paraId="4253135E" w14:textId="77777777" w:rsidR="00340395" w:rsidRDefault="00340395" w:rsidP="00FD7170">
            <w:pPr>
              <w:spacing w:line="228" w:lineRule="auto"/>
              <w:ind w:left="-20" w:right="-20"/>
              <w:jc w:val="center"/>
            </w:pPr>
            <w:r>
              <w:t>Non-renewable</w:t>
            </w:r>
          </w:p>
        </w:tc>
        <w:tc>
          <w:tcPr>
            <w:tcW w:w="992" w:type="dxa"/>
            <w:tcBorders>
              <w:top w:val="single" w:sz="4" w:space="0" w:color="auto"/>
              <w:bottom w:val="single" w:sz="4" w:space="0" w:color="auto"/>
            </w:tcBorders>
            <w:shd w:val="clear" w:color="auto" w:fill="auto"/>
            <w:tcMar>
              <w:top w:w="0" w:type="dxa"/>
              <w:left w:w="0" w:type="dxa"/>
              <w:bottom w:w="0" w:type="dxa"/>
              <w:right w:w="0" w:type="dxa"/>
            </w:tcMar>
            <w:vAlign w:val="center"/>
          </w:tcPr>
          <w:p w14:paraId="081AE11B"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w:t>
            </w:r>
          </w:p>
        </w:tc>
        <w:tc>
          <w:tcPr>
            <w:tcW w:w="993" w:type="dxa"/>
            <w:tcBorders>
              <w:top w:val="single" w:sz="4" w:space="0" w:color="auto"/>
              <w:bottom w:val="single" w:sz="4" w:space="0" w:color="auto"/>
            </w:tcBorders>
            <w:shd w:val="clear" w:color="auto" w:fill="auto"/>
            <w:tcMar>
              <w:top w:w="0" w:type="dxa"/>
              <w:left w:w="0" w:type="dxa"/>
              <w:bottom w:w="0" w:type="dxa"/>
              <w:right w:w="0" w:type="dxa"/>
            </w:tcMar>
            <w:vAlign w:val="center"/>
          </w:tcPr>
          <w:p w14:paraId="0A3A8820"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w:t>
            </w:r>
          </w:p>
        </w:tc>
        <w:tc>
          <w:tcPr>
            <w:tcW w:w="850" w:type="dxa"/>
            <w:tcBorders>
              <w:top w:val="single" w:sz="4" w:space="0" w:color="auto"/>
              <w:bottom w:val="single" w:sz="4" w:space="0" w:color="auto"/>
            </w:tcBorders>
            <w:shd w:val="clear" w:color="auto" w:fill="auto"/>
            <w:tcMar>
              <w:top w:w="0" w:type="dxa"/>
              <w:left w:w="0" w:type="dxa"/>
              <w:bottom w:w="0" w:type="dxa"/>
              <w:right w:w="0" w:type="dxa"/>
            </w:tcMar>
            <w:vAlign w:val="center"/>
          </w:tcPr>
          <w:p w14:paraId="0284F9C3"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w:t>
            </w:r>
          </w:p>
        </w:tc>
        <w:tc>
          <w:tcPr>
            <w:tcW w:w="1134" w:type="dxa"/>
            <w:tcBorders>
              <w:top w:val="single" w:sz="4" w:space="0" w:color="auto"/>
              <w:bottom w:val="single" w:sz="4" w:space="0" w:color="auto"/>
              <w:right w:val="nil"/>
            </w:tcBorders>
            <w:shd w:val="clear" w:color="auto" w:fill="auto"/>
            <w:tcMar>
              <w:top w:w="0" w:type="dxa"/>
              <w:left w:w="0" w:type="dxa"/>
              <w:bottom w:w="0" w:type="dxa"/>
              <w:right w:w="0" w:type="dxa"/>
            </w:tcMar>
            <w:vAlign w:val="center"/>
          </w:tcPr>
          <w:p w14:paraId="426E61EA"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w:t>
            </w:r>
          </w:p>
        </w:tc>
        <w:tc>
          <w:tcPr>
            <w:tcW w:w="709" w:type="dxa"/>
            <w:tcBorders>
              <w:top w:val="single" w:sz="4" w:space="0" w:color="auto"/>
              <w:bottom w:val="single" w:sz="4" w:space="0" w:color="auto"/>
              <w:right w:val="nil"/>
            </w:tcBorders>
            <w:vAlign w:val="center"/>
          </w:tcPr>
          <w:p w14:paraId="1FAF3111"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100</w:t>
            </w:r>
          </w:p>
        </w:tc>
      </w:tr>
      <w:tr w:rsidR="00340395" w14:paraId="132FF9DC" w14:textId="77777777" w:rsidTr="00FD7170">
        <w:trPr>
          <w:trHeight w:val="375"/>
        </w:trPr>
        <w:tc>
          <w:tcPr>
            <w:tcW w:w="1748" w:type="dxa"/>
            <w:vMerge w:val="restart"/>
            <w:tcBorders>
              <w:top w:val="single" w:sz="8" w:space="0" w:color="000000"/>
              <w:left w:val="nil"/>
              <w:bottom w:val="single" w:sz="8" w:space="0" w:color="000000"/>
              <w:right w:val="nil"/>
            </w:tcBorders>
            <w:shd w:val="clear" w:color="auto" w:fill="auto"/>
            <w:tcMar>
              <w:top w:w="0" w:type="dxa"/>
              <w:left w:w="0" w:type="dxa"/>
              <w:bottom w:w="0" w:type="dxa"/>
              <w:right w:w="0" w:type="dxa"/>
            </w:tcMar>
            <w:vAlign w:val="center"/>
          </w:tcPr>
          <w:p w14:paraId="7DF46419" w14:textId="77777777" w:rsidR="00340395" w:rsidRDefault="00340395" w:rsidP="00340395">
            <w:pPr>
              <w:spacing w:line="228" w:lineRule="auto"/>
              <w:ind w:left="-20" w:right="-20"/>
              <w:jc w:val="center"/>
              <w:rPr>
                <w:b/>
              </w:rPr>
            </w:pPr>
            <w:r>
              <w:rPr>
                <w:b/>
              </w:rPr>
              <w:t>Eutrophication, marine</w:t>
            </w:r>
          </w:p>
        </w:tc>
        <w:tc>
          <w:tcPr>
            <w:tcW w:w="1559" w:type="dxa"/>
            <w:tcBorders>
              <w:top w:val="single" w:sz="4" w:space="0" w:color="000000"/>
              <w:left w:val="nil"/>
              <w:bottom w:val="single" w:sz="8" w:space="0" w:color="000000"/>
            </w:tcBorders>
            <w:shd w:val="clear" w:color="auto" w:fill="auto"/>
            <w:tcMar>
              <w:top w:w="0" w:type="dxa"/>
              <w:left w:w="0" w:type="dxa"/>
              <w:bottom w:w="0" w:type="dxa"/>
              <w:right w:w="0" w:type="dxa"/>
            </w:tcMar>
            <w:vAlign w:val="center"/>
          </w:tcPr>
          <w:p w14:paraId="23B11037" w14:textId="77777777" w:rsidR="00340395" w:rsidRDefault="00340395" w:rsidP="00FD7170">
            <w:pPr>
              <w:spacing w:line="228" w:lineRule="auto"/>
              <w:ind w:left="-20" w:right="-20"/>
              <w:jc w:val="center"/>
            </w:pPr>
            <w:r>
              <w:t>Central</w:t>
            </w:r>
          </w:p>
        </w:tc>
        <w:tc>
          <w:tcPr>
            <w:tcW w:w="992" w:type="dxa"/>
            <w:tcBorders>
              <w:top w:val="single" w:sz="4" w:space="0" w:color="auto"/>
              <w:bottom w:val="single" w:sz="4" w:space="0" w:color="auto"/>
            </w:tcBorders>
            <w:shd w:val="clear" w:color="auto" w:fill="auto"/>
            <w:tcMar>
              <w:top w:w="0" w:type="dxa"/>
              <w:left w:w="0" w:type="dxa"/>
              <w:bottom w:w="0" w:type="dxa"/>
              <w:right w:w="0" w:type="dxa"/>
            </w:tcMar>
            <w:vAlign w:val="center"/>
          </w:tcPr>
          <w:p w14:paraId="5AC7CEA4"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44,2</w:t>
            </w:r>
          </w:p>
        </w:tc>
        <w:tc>
          <w:tcPr>
            <w:tcW w:w="993" w:type="dxa"/>
            <w:tcBorders>
              <w:top w:val="single" w:sz="4" w:space="0" w:color="auto"/>
              <w:bottom w:val="single" w:sz="4" w:space="0" w:color="auto"/>
            </w:tcBorders>
            <w:shd w:val="clear" w:color="auto" w:fill="auto"/>
            <w:tcMar>
              <w:top w:w="0" w:type="dxa"/>
              <w:left w:w="0" w:type="dxa"/>
              <w:bottom w:w="0" w:type="dxa"/>
              <w:right w:w="0" w:type="dxa"/>
            </w:tcMar>
            <w:vAlign w:val="center"/>
          </w:tcPr>
          <w:p w14:paraId="3E4F606A"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4,8</w:t>
            </w:r>
          </w:p>
        </w:tc>
        <w:tc>
          <w:tcPr>
            <w:tcW w:w="850" w:type="dxa"/>
            <w:tcBorders>
              <w:top w:val="single" w:sz="4" w:space="0" w:color="auto"/>
              <w:bottom w:val="single" w:sz="4" w:space="0" w:color="auto"/>
            </w:tcBorders>
            <w:shd w:val="clear" w:color="auto" w:fill="auto"/>
            <w:tcMar>
              <w:top w:w="0" w:type="dxa"/>
              <w:left w:w="0" w:type="dxa"/>
              <w:bottom w:w="0" w:type="dxa"/>
              <w:right w:w="0" w:type="dxa"/>
            </w:tcMar>
            <w:vAlign w:val="center"/>
          </w:tcPr>
          <w:p w14:paraId="06329F7F"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4,5</w:t>
            </w:r>
          </w:p>
        </w:tc>
        <w:tc>
          <w:tcPr>
            <w:tcW w:w="1134" w:type="dxa"/>
            <w:tcBorders>
              <w:top w:val="single" w:sz="4" w:space="0" w:color="auto"/>
              <w:bottom w:val="single" w:sz="4" w:space="0" w:color="auto"/>
              <w:right w:val="nil"/>
            </w:tcBorders>
            <w:shd w:val="clear" w:color="auto" w:fill="auto"/>
            <w:tcMar>
              <w:top w:w="0" w:type="dxa"/>
              <w:left w:w="0" w:type="dxa"/>
              <w:bottom w:w="0" w:type="dxa"/>
              <w:right w:w="0" w:type="dxa"/>
            </w:tcMar>
            <w:vAlign w:val="center"/>
          </w:tcPr>
          <w:p w14:paraId="5F1D8E92"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12,8</w:t>
            </w:r>
          </w:p>
        </w:tc>
        <w:tc>
          <w:tcPr>
            <w:tcW w:w="709" w:type="dxa"/>
            <w:tcBorders>
              <w:top w:val="single" w:sz="4" w:space="0" w:color="auto"/>
              <w:bottom w:val="single" w:sz="4" w:space="0" w:color="auto"/>
              <w:right w:val="nil"/>
            </w:tcBorders>
            <w:vAlign w:val="center"/>
          </w:tcPr>
          <w:p w14:paraId="0BF3632A" w14:textId="4789F4FC" w:rsidR="00340395" w:rsidRDefault="00E143CF" w:rsidP="00340395">
            <w:pPr>
              <w:jc w:val="center"/>
              <w:rPr>
                <w:rFonts w:ascii="Calibri" w:hAnsi="Calibri" w:cs="Calibri"/>
                <w:color w:val="000000"/>
                <w:sz w:val="22"/>
                <w:szCs w:val="22"/>
              </w:rPr>
            </w:pPr>
            <w:r>
              <w:rPr>
                <w:rFonts w:ascii="Calibri" w:hAnsi="Calibri" w:cs="Calibri"/>
                <w:color w:val="000000"/>
                <w:sz w:val="22"/>
                <w:szCs w:val="22"/>
              </w:rPr>
              <w:t>-</w:t>
            </w:r>
          </w:p>
        </w:tc>
      </w:tr>
      <w:tr w:rsidR="00340395" w14:paraId="59607CF0" w14:textId="77777777" w:rsidTr="00FD7170">
        <w:trPr>
          <w:trHeight w:val="349"/>
        </w:trPr>
        <w:tc>
          <w:tcPr>
            <w:tcW w:w="1748" w:type="dxa"/>
            <w:vMerge/>
            <w:tcBorders>
              <w:top w:val="single" w:sz="8" w:space="0" w:color="000000"/>
              <w:left w:val="nil"/>
              <w:bottom w:val="single" w:sz="8" w:space="0" w:color="000000"/>
              <w:right w:val="nil"/>
            </w:tcBorders>
            <w:shd w:val="clear" w:color="auto" w:fill="auto"/>
            <w:tcMar>
              <w:top w:w="0" w:type="dxa"/>
              <w:left w:w="0" w:type="dxa"/>
              <w:bottom w:w="0" w:type="dxa"/>
              <w:right w:w="0" w:type="dxa"/>
            </w:tcMar>
            <w:vAlign w:val="center"/>
          </w:tcPr>
          <w:p w14:paraId="329117DB" w14:textId="77777777" w:rsidR="00340395" w:rsidRDefault="00340395" w:rsidP="00340395">
            <w:pPr>
              <w:ind w:right="-20"/>
              <w:jc w:val="center"/>
            </w:pPr>
          </w:p>
        </w:tc>
        <w:tc>
          <w:tcPr>
            <w:tcW w:w="1559" w:type="dxa"/>
            <w:tcBorders>
              <w:top w:val="single" w:sz="4" w:space="0" w:color="000000"/>
              <w:left w:val="nil"/>
              <w:bottom w:val="single" w:sz="8" w:space="0" w:color="000000"/>
            </w:tcBorders>
            <w:shd w:val="clear" w:color="auto" w:fill="auto"/>
            <w:tcMar>
              <w:top w:w="0" w:type="dxa"/>
              <w:left w:w="0" w:type="dxa"/>
              <w:bottom w:w="0" w:type="dxa"/>
              <w:right w:w="0" w:type="dxa"/>
            </w:tcMar>
            <w:vAlign w:val="center"/>
          </w:tcPr>
          <w:p w14:paraId="034D0979" w14:textId="77777777" w:rsidR="00340395" w:rsidRDefault="00340395" w:rsidP="00FD7170">
            <w:pPr>
              <w:spacing w:line="228" w:lineRule="auto"/>
              <w:ind w:left="-20" w:right="-20"/>
              <w:jc w:val="center"/>
            </w:pPr>
            <w:r>
              <w:t>Mediterranean</w:t>
            </w:r>
          </w:p>
        </w:tc>
        <w:tc>
          <w:tcPr>
            <w:tcW w:w="992" w:type="dxa"/>
            <w:tcBorders>
              <w:top w:val="single" w:sz="4" w:space="0" w:color="auto"/>
              <w:bottom w:val="single" w:sz="4" w:space="0" w:color="auto"/>
            </w:tcBorders>
            <w:shd w:val="clear" w:color="auto" w:fill="auto"/>
            <w:tcMar>
              <w:top w:w="0" w:type="dxa"/>
              <w:left w:w="0" w:type="dxa"/>
              <w:bottom w:w="0" w:type="dxa"/>
              <w:right w:w="0" w:type="dxa"/>
            </w:tcMar>
            <w:vAlign w:val="center"/>
          </w:tcPr>
          <w:p w14:paraId="3D71236D"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52,5</w:t>
            </w:r>
          </w:p>
        </w:tc>
        <w:tc>
          <w:tcPr>
            <w:tcW w:w="993" w:type="dxa"/>
            <w:tcBorders>
              <w:top w:val="single" w:sz="4" w:space="0" w:color="auto"/>
              <w:bottom w:val="single" w:sz="4" w:space="0" w:color="auto"/>
            </w:tcBorders>
            <w:shd w:val="clear" w:color="auto" w:fill="auto"/>
            <w:tcMar>
              <w:top w:w="0" w:type="dxa"/>
              <w:left w:w="0" w:type="dxa"/>
              <w:bottom w:w="0" w:type="dxa"/>
              <w:right w:w="0" w:type="dxa"/>
            </w:tcMar>
            <w:vAlign w:val="center"/>
          </w:tcPr>
          <w:p w14:paraId="3868D67B"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4,9</w:t>
            </w:r>
          </w:p>
        </w:tc>
        <w:tc>
          <w:tcPr>
            <w:tcW w:w="850" w:type="dxa"/>
            <w:tcBorders>
              <w:top w:val="single" w:sz="4" w:space="0" w:color="auto"/>
              <w:bottom w:val="single" w:sz="4" w:space="0" w:color="auto"/>
            </w:tcBorders>
            <w:shd w:val="clear" w:color="auto" w:fill="auto"/>
            <w:tcMar>
              <w:top w:w="0" w:type="dxa"/>
              <w:left w:w="0" w:type="dxa"/>
              <w:bottom w:w="0" w:type="dxa"/>
              <w:right w:w="0" w:type="dxa"/>
            </w:tcMar>
            <w:vAlign w:val="center"/>
          </w:tcPr>
          <w:p w14:paraId="28F8FAE9"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4,5</w:t>
            </w:r>
          </w:p>
        </w:tc>
        <w:tc>
          <w:tcPr>
            <w:tcW w:w="1134" w:type="dxa"/>
            <w:tcBorders>
              <w:top w:val="single" w:sz="4" w:space="0" w:color="auto"/>
              <w:bottom w:val="single" w:sz="4" w:space="0" w:color="auto"/>
              <w:right w:val="nil"/>
            </w:tcBorders>
            <w:shd w:val="clear" w:color="auto" w:fill="auto"/>
            <w:tcMar>
              <w:top w:w="0" w:type="dxa"/>
              <w:left w:w="0" w:type="dxa"/>
              <w:bottom w:w="0" w:type="dxa"/>
              <w:right w:w="0" w:type="dxa"/>
            </w:tcMar>
            <w:vAlign w:val="center"/>
          </w:tcPr>
          <w:p w14:paraId="72BE8865"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4,0</w:t>
            </w:r>
          </w:p>
        </w:tc>
        <w:tc>
          <w:tcPr>
            <w:tcW w:w="709" w:type="dxa"/>
            <w:tcBorders>
              <w:top w:val="single" w:sz="4" w:space="0" w:color="auto"/>
              <w:bottom w:val="single" w:sz="4" w:space="0" w:color="auto"/>
              <w:right w:val="nil"/>
            </w:tcBorders>
            <w:vAlign w:val="center"/>
          </w:tcPr>
          <w:p w14:paraId="12837D09" w14:textId="12884DC1" w:rsidR="00340395" w:rsidRDefault="00E143CF" w:rsidP="00340395">
            <w:pPr>
              <w:jc w:val="center"/>
              <w:rPr>
                <w:rFonts w:ascii="Calibri" w:hAnsi="Calibri" w:cs="Calibri"/>
                <w:color w:val="000000"/>
                <w:sz w:val="22"/>
                <w:szCs w:val="22"/>
              </w:rPr>
            </w:pPr>
            <w:r>
              <w:rPr>
                <w:rFonts w:ascii="Calibri" w:hAnsi="Calibri" w:cs="Calibri"/>
                <w:color w:val="000000"/>
                <w:sz w:val="22"/>
                <w:szCs w:val="22"/>
              </w:rPr>
              <w:t>-</w:t>
            </w:r>
          </w:p>
        </w:tc>
      </w:tr>
      <w:tr w:rsidR="00340395" w14:paraId="3A4B2623" w14:textId="77777777" w:rsidTr="00FD7170">
        <w:trPr>
          <w:trHeight w:val="300"/>
        </w:trPr>
        <w:tc>
          <w:tcPr>
            <w:tcW w:w="1748" w:type="dxa"/>
            <w:vMerge/>
            <w:tcBorders>
              <w:top w:val="single" w:sz="8" w:space="0" w:color="000000"/>
              <w:left w:val="nil"/>
              <w:bottom w:val="single" w:sz="8" w:space="0" w:color="000000"/>
              <w:right w:val="nil"/>
            </w:tcBorders>
            <w:shd w:val="clear" w:color="auto" w:fill="auto"/>
            <w:tcMar>
              <w:top w:w="0" w:type="dxa"/>
              <w:left w:w="0" w:type="dxa"/>
              <w:bottom w:w="0" w:type="dxa"/>
              <w:right w:w="0" w:type="dxa"/>
            </w:tcMar>
            <w:vAlign w:val="center"/>
          </w:tcPr>
          <w:p w14:paraId="65A5E5A4" w14:textId="77777777" w:rsidR="00340395" w:rsidRDefault="00340395" w:rsidP="00340395">
            <w:pPr>
              <w:ind w:right="-20"/>
              <w:jc w:val="center"/>
            </w:pPr>
          </w:p>
        </w:tc>
        <w:tc>
          <w:tcPr>
            <w:tcW w:w="1559" w:type="dxa"/>
            <w:tcBorders>
              <w:top w:val="single" w:sz="8" w:space="0" w:color="000000"/>
              <w:left w:val="nil"/>
              <w:bottom w:val="single" w:sz="8" w:space="0" w:color="000000"/>
            </w:tcBorders>
            <w:shd w:val="clear" w:color="auto" w:fill="auto"/>
            <w:tcMar>
              <w:top w:w="0" w:type="dxa"/>
              <w:left w:w="0" w:type="dxa"/>
              <w:bottom w:w="0" w:type="dxa"/>
              <w:right w:w="0" w:type="dxa"/>
            </w:tcMar>
            <w:vAlign w:val="center"/>
          </w:tcPr>
          <w:p w14:paraId="2867B858" w14:textId="77777777" w:rsidR="00340395" w:rsidRDefault="00340395" w:rsidP="00FD7170">
            <w:pPr>
              <w:spacing w:line="228" w:lineRule="auto"/>
              <w:ind w:left="-20" w:right="-20"/>
              <w:jc w:val="center"/>
            </w:pPr>
            <w:r>
              <w:t>Northern</w:t>
            </w:r>
          </w:p>
        </w:tc>
        <w:tc>
          <w:tcPr>
            <w:tcW w:w="992" w:type="dxa"/>
            <w:tcBorders>
              <w:top w:val="single" w:sz="4" w:space="0" w:color="auto"/>
              <w:bottom w:val="single" w:sz="4" w:space="0" w:color="auto"/>
            </w:tcBorders>
            <w:shd w:val="clear" w:color="auto" w:fill="auto"/>
            <w:tcMar>
              <w:top w:w="0" w:type="dxa"/>
              <w:left w:w="0" w:type="dxa"/>
              <w:bottom w:w="0" w:type="dxa"/>
              <w:right w:w="0" w:type="dxa"/>
            </w:tcMar>
            <w:vAlign w:val="center"/>
          </w:tcPr>
          <w:p w14:paraId="2E17D3CC"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6,6</w:t>
            </w:r>
          </w:p>
        </w:tc>
        <w:tc>
          <w:tcPr>
            <w:tcW w:w="993" w:type="dxa"/>
            <w:tcBorders>
              <w:top w:val="single" w:sz="4" w:space="0" w:color="auto"/>
              <w:bottom w:val="single" w:sz="4" w:space="0" w:color="auto"/>
            </w:tcBorders>
            <w:shd w:val="clear" w:color="auto" w:fill="auto"/>
            <w:tcMar>
              <w:top w:w="0" w:type="dxa"/>
              <w:left w:w="0" w:type="dxa"/>
              <w:bottom w:w="0" w:type="dxa"/>
              <w:right w:w="0" w:type="dxa"/>
            </w:tcMar>
            <w:vAlign w:val="center"/>
          </w:tcPr>
          <w:p w14:paraId="63250C0E"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18,9</w:t>
            </w:r>
          </w:p>
        </w:tc>
        <w:tc>
          <w:tcPr>
            <w:tcW w:w="850" w:type="dxa"/>
            <w:tcBorders>
              <w:top w:val="single" w:sz="4" w:space="0" w:color="auto"/>
              <w:bottom w:val="single" w:sz="4" w:space="0" w:color="auto"/>
            </w:tcBorders>
            <w:shd w:val="clear" w:color="auto" w:fill="auto"/>
            <w:tcMar>
              <w:top w:w="0" w:type="dxa"/>
              <w:left w:w="0" w:type="dxa"/>
              <w:bottom w:w="0" w:type="dxa"/>
              <w:right w:w="0" w:type="dxa"/>
            </w:tcMar>
            <w:vAlign w:val="center"/>
          </w:tcPr>
          <w:p w14:paraId="1F4C51D9"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21,2</w:t>
            </w:r>
          </w:p>
        </w:tc>
        <w:tc>
          <w:tcPr>
            <w:tcW w:w="1134" w:type="dxa"/>
            <w:tcBorders>
              <w:top w:val="single" w:sz="4" w:space="0" w:color="auto"/>
              <w:bottom w:val="single" w:sz="4" w:space="0" w:color="auto"/>
              <w:right w:val="nil"/>
            </w:tcBorders>
            <w:shd w:val="clear" w:color="auto" w:fill="auto"/>
            <w:tcMar>
              <w:top w:w="0" w:type="dxa"/>
              <w:left w:w="0" w:type="dxa"/>
              <w:bottom w:w="0" w:type="dxa"/>
              <w:right w:w="0" w:type="dxa"/>
            </w:tcMar>
            <w:vAlign w:val="center"/>
          </w:tcPr>
          <w:p w14:paraId="4DECC6BA"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5,1</w:t>
            </w:r>
          </w:p>
        </w:tc>
        <w:tc>
          <w:tcPr>
            <w:tcW w:w="709" w:type="dxa"/>
            <w:tcBorders>
              <w:top w:val="single" w:sz="4" w:space="0" w:color="auto"/>
              <w:bottom w:val="single" w:sz="4" w:space="0" w:color="auto"/>
              <w:right w:val="nil"/>
            </w:tcBorders>
            <w:vAlign w:val="center"/>
          </w:tcPr>
          <w:p w14:paraId="0F909FB2" w14:textId="121B8F4D" w:rsidR="00340395" w:rsidRDefault="00E143CF" w:rsidP="00340395">
            <w:pPr>
              <w:jc w:val="center"/>
              <w:rPr>
                <w:rFonts w:ascii="Calibri" w:hAnsi="Calibri" w:cs="Calibri"/>
                <w:color w:val="000000"/>
                <w:sz w:val="22"/>
                <w:szCs w:val="22"/>
              </w:rPr>
            </w:pPr>
            <w:r>
              <w:rPr>
                <w:rFonts w:ascii="Calibri" w:hAnsi="Calibri" w:cs="Calibri"/>
                <w:color w:val="000000"/>
                <w:sz w:val="22"/>
                <w:szCs w:val="22"/>
              </w:rPr>
              <w:t>-</w:t>
            </w:r>
          </w:p>
        </w:tc>
      </w:tr>
      <w:tr w:rsidR="00340395" w14:paraId="276068E3" w14:textId="77777777" w:rsidTr="00FD7170">
        <w:trPr>
          <w:trHeight w:val="375"/>
        </w:trPr>
        <w:tc>
          <w:tcPr>
            <w:tcW w:w="1748" w:type="dxa"/>
            <w:vMerge/>
            <w:tcBorders>
              <w:top w:val="single" w:sz="8" w:space="0" w:color="000000"/>
              <w:left w:val="nil"/>
              <w:bottom w:val="single" w:sz="8" w:space="0" w:color="000000"/>
              <w:right w:val="nil"/>
            </w:tcBorders>
            <w:shd w:val="clear" w:color="auto" w:fill="auto"/>
            <w:tcMar>
              <w:top w:w="0" w:type="dxa"/>
              <w:left w:w="0" w:type="dxa"/>
              <w:bottom w:w="0" w:type="dxa"/>
              <w:right w:w="0" w:type="dxa"/>
            </w:tcMar>
            <w:vAlign w:val="center"/>
          </w:tcPr>
          <w:p w14:paraId="7002E893" w14:textId="77777777" w:rsidR="00340395" w:rsidRDefault="00340395" w:rsidP="00340395">
            <w:pPr>
              <w:ind w:right="-20"/>
              <w:jc w:val="center"/>
            </w:pPr>
          </w:p>
        </w:tc>
        <w:tc>
          <w:tcPr>
            <w:tcW w:w="1559" w:type="dxa"/>
            <w:tcBorders>
              <w:top w:val="single" w:sz="8" w:space="0" w:color="000000"/>
              <w:left w:val="nil"/>
              <w:bottom w:val="single" w:sz="8" w:space="0" w:color="000000"/>
            </w:tcBorders>
            <w:shd w:val="clear" w:color="auto" w:fill="auto"/>
            <w:tcMar>
              <w:top w:w="0" w:type="dxa"/>
              <w:left w:w="0" w:type="dxa"/>
              <w:bottom w:w="0" w:type="dxa"/>
              <w:right w:w="0" w:type="dxa"/>
            </w:tcMar>
            <w:vAlign w:val="center"/>
          </w:tcPr>
          <w:p w14:paraId="3AA143C4" w14:textId="77777777" w:rsidR="00340395" w:rsidRDefault="00340395" w:rsidP="00FD7170">
            <w:pPr>
              <w:spacing w:line="228" w:lineRule="auto"/>
              <w:ind w:left="-20" w:right="-20"/>
              <w:jc w:val="center"/>
            </w:pPr>
            <w:r>
              <w:t>Non-renewable</w:t>
            </w:r>
          </w:p>
        </w:tc>
        <w:tc>
          <w:tcPr>
            <w:tcW w:w="992" w:type="dxa"/>
            <w:tcBorders>
              <w:top w:val="single" w:sz="4" w:space="0" w:color="auto"/>
              <w:bottom w:val="single" w:sz="4" w:space="0" w:color="auto"/>
            </w:tcBorders>
            <w:shd w:val="clear" w:color="auto" w:fill="auto"/>
            <w:tcMar>
              <w:top w:w="0" w:type="dxa"/>
              <w:left w:w="0" w:type="dxa"/>
              <w:bottom w:w="0" w:type="dxa"/>
              <w:right w:w="0" w:type="dxa"/>
            </w:tcMar>
            <w:vAlign w:val="center"/>
          </w:tcPr>
          <w:p w14:paraId="57B1937D"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w:t>
            </w:r>
          </w:p>
        </w:tc>
        <w:tc>
          <w:tcPr>
            <w:tcW w:w="993" w:type="dxa"/>
            <w:tcBorders>
              <w:top w:val="single" w:sz="4" w:space="0" w:color="auto"/>
              <w:bottom w:val="single" w:sz="4" w:space="0" w:color="auto"/>
            </w:tcBorders>
            <w:shd w:val="clear" w:color="auto" w:fill="auto"/>
            <w:tcMar>
              <w:top w:w="0" w:type="dxa"/>
              <w:left w:w="0" w:type="dxa"/>
              <w:bottom w:w="0" w:type="dxa"/>
              <w:right w:w="0" w:type="dxa"/>
            </w:tcMar>
            <w:vAlign w:val="center"/>
          </w:tcPr>
          <w:p w14:paraId="527401B8"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w:t>
            </w:r>
          </w:p>
        </w:tc>
        <w:tc>
          <w:tcPr>
            <w:tcW w:w="850" w:type="dxa"/>
            <w:tcBorders>
              <w:top w:val="single" w:sz="4" w:space="0" w:color="auto"/>
              <w:bottom w:val="single" w:sz="4" w:space="0" w:color="auto"/>
            </w:tcBorders>
            <w:shd w:val="clear" w:color="auto" w:fill="auto"/>
            <w:tcMar>
              <w:top w:w="0" w:type="dxa"/>
              <w:left w:w="0" w:type="dxa"/>
              <w:bottom w:w="0" w:type="dxa"/>
              <w:right w:w="0" w:type="dxa"/>
            </w:tcMar>
            <w:vAlign w:val="center"/>
          </w:tcPr>
          <w:p w14:paraId="4772CB7B"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w:t>
            </w:r>
          </w:p>
        </w:tc>
        <w:tc>
          <w:tcPr>
            <w:tcW w:w="1134" w:type="dxa"/>
            <w:tcBorders>
              <w:top w:val="single" w:sz="4" w:space="0" w:color="auto"/>
              <w:bottom w:val="single" w:sz="4" w:space="0" w:color="auto"/>
              <w:right w:val="nil"/>
            </w:tcBorders>
            <w:shd w:val="clear" w:color="auto" w:fill="auto"/>
            <w:tcMar>
              <w:top w:w="0" w:type="dxa"/>
              <w:left w:w="0" w:type="dxa"/>
              <w:bottom w:w="0" w:type="dxa"/>
              <w:right w:w="0" w:type="dxa"/>
            </w:tcMar>
            <w:vAlign w:val="center"/>
          </w:tcPr>
          <w:p w14:paraId="19F50D25"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w:t>
            </w:r>
          </w:p>
        </w:tc>
        <w:tc>
          <w:tcPr>
            <w:tcW w:w="709" w:type="dxa"/>
            <w:tcBorders>
              <w:top w:val="single" w:sz="4" w:space="0" w:color="auto"/>
              <w:bottom w:val="single" w:sz="4" w:space="0" w:color="auto"/>
              <w:right w:val="nil"/>
            </w:tcBorders>
            <w:vAlign w:val="center"/>
          </w:tcPr>
          <w:p w14:paraId="690607A6"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100</w:t>
            </w:r>
          </w:p>
        </w:tc>
      </w:tr>
      <w:tr w:rsidR="00340395" w14:paraId="55E2A655" w14:textId="77777777" w:rsidTr="00FD7170">
        <w:trPr>
          <w:trHeight w:val="375"/>
        </w:trPr>
        <w:tc>
          <w:tcPr>
            <w:tcW w:w="1748" w:type="dxa"/>
            <w:vMerge w:val="restart"/>
            <w:tcBorders>
              <w:top w:val="single" w:sz="8" w:space="0" w:color="000000"/>
              <w:left w:val="nil"/>
              <w:bottom w:val="single" w:sz="8" w:space="0" w:color="000000"/>
              <w:right w:val="nil"/>
            </w:tcBorders>
            <w:shd w:val="clear" w:color="auto" w:fill="auto"/>
            <w:tcMar>
              <w:top w:w="0" w:type="dxa"/>
              <w:left w:w="0" w:type="dxa"/>
              <w:bottom w:w="0" w:type="dxa"/>
              <w:right w:w="0" w:type="dxa"/>
            </w:tcMar>
            <w:vAlign w:val="center"/>
          </w:tcPr>
          <w:p w14:paraId="38A4906D" w14:textId="77777777" w:rsidR="00340395" w:rsidRDefault="00340395" w:rsidP="00340395">
            <w:pPr>
              <w:spacing w:line="228" w:lineRule="auto"/>
              <w:ind w:left="-20" w:right="-20"/>
              <w:jc w:val="center"/>
              <w:rPr>
                <w:b/>
              </w:rPr>
            </w:pPr>
            <w:r>
              <w:rPr>
                <w:b/>
              </w:rPr>
              <w:t>Eutrophication, freshwater</w:t>
            </w:r>
          </w:p>
        </w:tc>
        <w:tc>
          <w:tcPr>
            <w:tcW w:w="1559" w:type="dxa"/>
            <w:tcBorders>
              <w:top w:val="single" w:sz="4" w:space="0" w:color="000000"/>
              <w:left w:val="nil"/>
              <w:bottom w:val="single" w:sz="8" w:space="0" w:color="000000"/>
            </w:tcBorders>
            <w:shd w:val="clear" w:color="auto" w:fill="auto"/>
            <w:tcMar>
              <w:top w:w="0" w:type="dxa"/>
              <w:left w:w="0" w:type="dxa"/>
              <w:bottom w:w="0" w:type="dxa"/>
              <w:right w:w="0" w:type="dxa"/>
            </w:tcMar>
            <w:vAlign w:val="center"/>
          </w:tcPr>
          <w:p w14:paraId="1C4575C6" w14:textId="77777777" w:rsidR="00340395" w:rsidRDefault="00340395" w:rsidP="00FD7170">
            <w:pPr>
              <w:spacing w:line="228" w:lineRule="auto"/>
              <w:ind w:left="-20" w:right="-20"/>
              <w:jc w:val="center"/>
            </w:pPr>
            <w:r>
              <w:t>Central</w:t>
            </w:r>
          </w:p>
        </w:tc>
        <w:tc>
          <w:tcPr>
            <w:tcW w:w="992" w:type="dxa"/>
            <w:tcBorders>
              <w:top w:val="single" w:sz="4" w:space="0" w:color="auto"/>
              <w:bottom w:val="single" w:sz="4" w:space="0" w:color="auto"/>
            </w:tcBorders>
            <w:shd w:val="clear" w:color="auto" w:fill="auto"/>
            <w:tcMar>
              <w:top w:w="0" w:type="dxa"/>
              <w:left w:w="0" w:type="dxa"/>
              <w:bottom w:w="0" w:type="dxa"/>
              <w:right w:w="0" w:type="dxa"/>
            </w:tcMar>
            <w:vAlign w:val="center"/>
          </w:tcPr>
          <w:p w14:paraId="2FC3EE0B"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17,5</w:t>
            </w:r>
          </w:p>
        </w:tc>
        <w:tc>
          <w:tcPr>
            <w:tcW w:w="993" w:type="dxa"/>
            <w:tcBorders>
              <w:top w:val="single" w:sz="4" w:space="0" w:color="auto"/>
              <w:bottom w:val="single" w:sz="4" w:space="0" w:color="auto"/>
            </w:tcBorders>
            <w:shd w:val="clear" w:color="auto" w:fill="auto"/>
            <w:tcMar>
              <w:top w:w="0" w:type="dxa"/>
              <w:left w:w="0" w:type="dxa"/>
              <w:bottom w:w="0" w:type="dxa"/>
              <w:right w:w="0" w:type="dxa"/>
            </w:tcMar>
            <w:vAlign w:val="center"/>
          </w:tcPr>
          <w:p w14:paraId="0A8FEFEB"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3,6</w:t>
            </w:r>
          </w:p>
        </w:tc>
        <w:tc>
          <w:tcPr>
            <w:tcW w:w="850" w:type="dxa"/>
            <w:tcBorders>
              <w:top w:val="single" w:sz="4" w:space="0" w:color="auto"/>
              <w:bottom w:val="single" w:sz="4" w:space="0" w:color="auto"/>
            </w:tcBorders>
            <w:shd w:val="clear" w:color="auto" w:fill="auto"/>
            <w:tcMar>
              <w:top w:w="0" w:type="dxa"/>
              <w:left w:w="0" w:type="dxa"/>
              <w:bottom w:w="0" w:type="dxa"/>
              <w:right w:w="0" w:type="dxa"/>
            </w:tcMar>
            <w:vAlign w:val="center"/>
          </w:tcPr>
          <w:p w14:paraId="4EF3CEA1"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3,4</w:t>
            </w:r>
          </w:p>
        </w:tc>
        <w:tc>
          <w:tcPr>
            <w:tcW w:w="1134" w:type="dxa"/>
            <w:tcBorders>
              <w:top w:val="single" w:sz="4" w:space="0" w:color="auto"/>
              <w:bottom w:val="single" w:sz="4" w:space="0" w:color="auto"/>
              <w:right w:val="nil"/>
            </w:tcBorders>
            <w:shd w:val="clear" w:color="auto" w:fill="auto"/>
            <w:tcMar>
              <w:top w:w="0" w:type="dxa"/>
              <w:left w:w="0" w:type="dxa"/>
              <w:bottom w:w="0" w:type="dxa"/>
              <w:right w:w="0" w:type="dxa"/>
            </w:tcMar>
            <w:vAlign w:val="center"/>
          </w:tcPr>
          <w:p w14:paraId="7A4AE288"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21,6</w:t>
            </w:r>
          </w:p>
        </w:tc>
        <w:tc>
          <w:tcPr>
            <w:tcW w:w="709" w:type="dxa"/>
            <w:tcBorders>
              <w:top w:val="single" w:sz="4" w:space="0" w:color="auto"/>
              <w:bottom w:val="single" w:sz="4" w:space="0" w:color="auto"/>
              <w:right w:val="nil"/>
            </w:tcBorders>
            <w:vAlign w:val="center"/>
          </w:tcPr>
          <w:p w14:paraId="25E178C3" w14:textId="46553A90" w:rsidR="00340395" w:rsidRDefault="00E143CF" w:rsidP="00340395">
            <w:pPr>
              <w:jc w:val="center"/>
              <w:rPr>
                <w:rFonts w:ascii="Calibri" w:hAnsi="Calibri" w:cs="Calibri"/>
                <w:color w:val="000000"/>
                <w:sz w:val="22"/>
                <w:szCs w:val="22"/>
              </w:rPr>
            </w:pPr>
            <w:r>
              <w:rPr>
                <w:rFonts w:ascii="Calibri" w:hAnsi="Calibri" w:cs="Calibri"/>
                <w:color w:val="000000"/>
                <w:sz w:val="22"/>
                <w:szCs w:val="22"/>
              </w:rPr>
              <w:t>-</w:t>
            </w:r>
          </w:p>
        </w:tc>
      </w:tr>
      <w:tr w:rsidR="00340395" w14:paraId="4BB98860" w14:textId="77777777" w:rsidTr="00FD7170">
        <w:trPr>
          <w:trHeight w:val="300"/>
        </w:trPr>
        <w:tc>
          <w:tcPr>
            <w:tcW w:w="1748" w:type="dxa"/>
            <w:vMerge/>
            <w:tcBorders>
              <w:top w:val="single" w:sz="8" w:space="0" w:color="000000"/>
              <w:left w:val="nil"/>
              <w:bottom w:val="single" w:sz="8" w:space="0" w:color="000000"/>
              <w:right w:val="nil"/>
            </w:tcBorders>
            <w:shd w:val="clear" w:color="auto" w:fill="auto"/>
            <w:tcMar>
              <w:top w:w="0" w:type="dxa"/>
              <w:left w:w="0" w:type="dxa"/>
              <w:bottom w:w="0" w:type="dxa"/>
              <w:right w:w="0" w:type="dxa"/>
            </w:tcMar>
            <w:vAlign w:val="center"/>
          </w:tcPr>
          <w:p w14:paraId="7313EE62" w14:textId="77777777" w:rsidR="00340395" w:rsidRDefault="00340395" w:rsidP="00340395">
            <w:pPr>
              <w:spacing w:line="228" w:lineRule="auto"/>
              <w:ind w:left="-20" w:right="-20"/>
              <w:jc w:val="center"/>
            </w:pPr>
          </w:p>
        </w:tc>
        <w:tc>
          <w:tcPr>
            <w:tcW w:w="1559" w:type="dxa"/>
            <w:tcBorders>
              <w:top w:val="single" w:sz="4" w:space="0" w:color="000000"/>
              <w:left w:val="nil"/>
              <w:bottom w:val="single" w:sz="8" w:space="0" w:color="000000"/>
            </w:tcBorders>
            <w:shd w:val="clear" w:color="auto" w:fill="auto"/>
            <w:tcMar>
              <w:top w:w="0" w:type="dxa"/>
              <w:left w:w="0" w:type="dxa"/>
              <w:bottom w:w="0" w:type="dxa"/>
              <w:right w:w="0" w:type="dxa"/>
            </w:tcMar>
            <w:vAlign w:val="center"/>
          </w:tcPr>
          <w:p w14:paraId="5EAD07D5" w14:textId="77777777" w:rsidR="00340395" w:rsidRDefault="00340395" w:rsidP="00FD7170">
            <w:pPr>
              <w:spacing w:line="228" w:lineRule="auto"/>
              <w:ind w:left="-20" w:right="-20"/>
              <w:jc w:val="center"/>
            </w:pPr>
            <w:r>
              <w:t>Mediterranean</w:t>
            </w:r>
          </w:p>
        </w:tc>
        <w:tc>
          <w:tcPr>
            <w:tcW w:w="992" w:type="dxa"/>
            <w:tcBorders>
              <w:top w:val="single" w:sz="4" w:space="0" w:color="auto"/>
              <w:bottom w:val="single" w:sz="4" w:space="0" w:color="auto"/>
            </w:tcBorders>
            <w:shd w:val="clear" w:color="auto" w:fill="auto"/>
            <w:tcMar>
              <w:top w:w="0" w:type="dxa"/>
              <w:left w:w="0" w:type="dxa"/>
              <w:bottom w:w="0" w:type="dxa"/>
              <w:right w:w="0" w:type="dxa"/>
            </w:tcMar>
            <w:vAlign w:val="center"/>
          </w:tcPr>
          <w:p w14:paraId="2F125550"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-10,1</w:t>
            </w:r>
          </w:p>
        </w:tc>
        <w:tc>
          <w:tcPr>
            <w:tcW w:w="993" w:type="dxa"/>
            <w:tcBorders>
              <w:top w:val="single" w:sz="4" w:space="0" w:color="auto"/>
              <w:bottom w:val="single" w:sz="4" w:space="0" w:color="auto"/>
            </w:tcBorders>
            <w:shd w:val="clear" w:color="auto" w:fill="auto"/>
            <w:tcMar>
              <w:top w:w="0" w:type="dxa"/>
              <w:left w:w="0" w:type="dxa"/>
              <w:bottom w:w="0" w:type="dxa"/>
              <w:right w:w="0" w:type="dxa"/>
            </w:tcMar>
            <w:vAlign w:val="center"/>
          </w:tcPr>
          <w:p w14:paraId="6D5FBD38"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1,1</w:t>
            </w:r>
          </w:p>
        </w:tc>
        <w:tc>
          <w:tcPr>
            <w:tcW w:w="850" w:type="dxa"/>
            <w:tcBorders>
              <w:top w:val="single" w:sz="4" w:space="0" w:color="auto"/>
              <w:bottom w:val="single" w:sz="4" w:space="0" w:color="auto"/>
            </w:tcBorders>
            <w:shd w:val="clear" w:color="auto" w:fill="auto"/>
            <w:tcMar>
              <w:top w:w="0" w:type="dxa"/>
              <w:left w:w="0" w:type="dxa"/>
              <w:bottom w:w="0" w:type="dxa"/>
              <w:right w:w="0" w:type="dxa"/>
            </w:tcMar>
            <w:vAlign w:val="center"/>
          </w:tcPr>
          <w:p w14:paraId="0CEB0169"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1,0</w:t>
            </w:r>
          </w:p>
        </w:tc>
        <w:tc>
          <w:tcPr>
            <w:tcW w:w="1134" w:type="dxa"/>
            <w:tcBorders>
              <w:top w:val="single" w:sz="4" w:space="0" w:color="auto"/>
              <w:bottom w:val="single" w:sz="4" w:space="0" w:color="auto"/>
              <w:right w:val="nil"/>
            </w:tcBorders>
            <w:shd w:val="clear" w:color="auto" w:fill="auto"/>
            <w:tcMar>
              <w:top w:w="0" w:type="dxa"/>
              <w:left w:w="0" w:type="dxa"/>
              <w:bottom w:w="0" w:type="dxa"/>
              <w:right w:w="0" w:type="dxa"/>
            </w:tcMar>
            <w:vAlign w:val="center"/>
          </w:tcPr>
          <w:p w14:paraId="2EA1DA8F"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1,4</w:t>
            </w:r>
          </w:p>
        </w:tc>
        <w:tc>
          <w:tcPr>
            <w:tcW w:w="709" w:type="dxa"/>
            <w:tcBorders>
              <w:top w:val="single" w:sz="4" w:space="0" w:color="auto"/>
              <w:bottom w:val="single" w:sz="4" w:space="0" w:color="auto"/>
              <w:right w:val="nil"/>
            </w:tcBorders>
            <w:vAlign w:val="center"/>
          </w:tcPr>
          <w:p w14:paraId="124A6962" w14:textId="4EB48BFD" w:rsidR="00340395" w:rsidRDefault="00E143CF" w:rsidP="00340395">
            <w:pPr>
              <w:jc w:val="center"/>
              <w:rPr>
                <w:rFonts w:ascii="Calibri" w:hAnsi="Calibri" w:cs="Calibri"/>
                <w:color w:val="000000"/>
                <w:sz w:val="22"/>
                <w:szCs w:val="22"/>
              </w:rPr>
            </w:pPr>
            <w:r>
              <w:rPr>
                <w:rFonts w:ascii="Calibri" w:hAnsi="Calibri" w:cs="Calibri"/>
                <w:color w:val="000000"/>
                <w:sz w:val="22"/>
                <w:szCs w:val="22"/>
              </w:rPr>
              <w:t>-</w:t>
            </w:r>
          </w:p>
        </w:tc>
      </w:tr>
      <w:tr w:rsidR="00340395" w14:paraId="34F4B011" w14:textId="77777777" w:rsidTr="00FD7170">
        <w:trPr>
          <w:trHeight w:val="450"/>
        </w:trPr>
        <w:tc>
          <w:tcPr>
            <w:tcW w:w="1748" w:type="dxa"/>
            <w:vMerge/>
            <w:tcBorders>
              <w:top w:val="single" w:sz="8" w:space="0" w:color="000000"/>
              <w:left w:val="nil"/>
              <w:bottom w:val="single" w:sz="8" w:space="0" w:color="000000"/>
              <w:right w:val="nil"/>
            </w:tcBorders>
            <w:shd w:val="clear" w:color="auto" w:fill="auto"/>
            <w:tcMar>
              <w:top w:w="0" w:type="dxa"/>
              <w:left w:w="0" w:type="dxa"/>
              <w:bottom w:w="0" w:type="dxa"/>
              <w:right w:w="0" w:type="dxa"/>
            </w:tcMar>
            <w:vAlign w:val="center"/>
          </w:tcPr>
          <w:p w14:paraId="27B1B86C" w14:textId="77777777" w:rsidR="00340395" w:rsidRDefault="00340395" w:rsidP="00340395">
            <w:pPr>
              <w:spacing w:line="228" w:lineRule="auto"/>
              <w:ind w:left="-20" w:right="-20"/>
              <w:jc w:val="center"/>
            </w:pPr>
          </w:p>
        </w:tc>
        <w:tc>
          <w:tcPr>
            <w:tcW w:w="1559" w:type="dxa"/>
            <w:tcBorders>
              <w:top w:val="single" w:sz="8" w:space="0" w:color="000000"/>
              <w:left w:val="nil"/>
              <w:bottom w:val="single" w:sz="8" w:space="0" w:color="000000"/>
            </w:tcBorders>
            <w:shd w:val="clear" w:color="auto" w:fill="auto"/>
            <w:tcMar>
              <w:top w:w="0" w:type="dxa"/>
              <w:left w:w="0" w:type="dxa"/>
              <w:bottom w:w="0" w:type="dxa"/>
              <w:right w:w="0" w:type="dxa"/>
            </w:tcMar>
            <w:vAlign w:val="center"/>
          </w:tcPr>
          <w:p w14:paraId="67FCD023" w14:textId="77777777" w:rsidR="00340395" w:rsidRDefault="00340395" w:rsidP="00FD7170">
            <w:pPr>
              <w:spacing w:line="228" w:lineRule="auto"/>
              <w:ind w:left="-20" w:right="-20"/>
              <w:jc w:val="center"/>
            </w:pPr>
            <w:r>
              <w:t>Northern</w:t>
            </w:r>
          </w:p>
        </w:tc>
        <w:tc>
          <w:tcPr>
            <w:tcW w:w="992" w:type="dxa"/>
            <w:tcBorders>
              <w:top w:val="single" w:sz="4" w:space="0" w:color="auto"/>
              <w:bottom w:val="single" w:sz="4" w:space="0" w:color="auto"/>
            </w:tcBorders>
            <w:shd w:val="clear" w:color="auto" w:fill="auto"/>
            <w:tcMar>
              <w:top w:w="0" w:type="dxa"/>
              <w:left w:w="0" w:type="dxa"/>
              <w:bottom w:w="0" w:type="dxa"/>
              <w:right w:w="0" w:type="dxa"/>
            </w:tcMar>
            <w:vAlign w:val="center"/>
          </w:tcPr>
          <w:p w14:paraId="68C9C4CD"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-0,5</w:t>
            </w:r>
          </w:p>
        </w:tc>
        <w:tc>
          <w:tcPr>
            <w:tcW w:w="993" w:type="dxa"/>
            <w:tcBorders>
              <w:top w:val="single" w:sz="4" w:space="0" w:color="auto"/>
              <w:bottom w:val="single" w:sz="4" w:space="0" w:color="auto"/>
            </w:tcBorders>
            <w:shd w:val="clear" w:color="auto" w:fill="auto"/>
            <w:tcMar>
              <w:top w:w="0" w:type="dxa"/>
              <w:left w:w="0" w:type="dxa"/>
              <w:bottom w:w="0" w:type="dxa"/>
              <w:right w:w="0" w:type="dxa"/>
            </w:tcMar>
            <w:vAlign w:val="center"/>
          </w:tcPr>
          <w:p w14:paraId="1F8FD081"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4,3</w:t>
            </w:r>
          </w:p>
        </w:tc>
        <w:tc>
          <w:tcPr>
            <w:tcW w:w="850" w:type="dxa"/>
            <w:tcBorders>
              <w:top w:val="single" w:sz="4" w:space="0" w:color="auto"/>
              <w:bottom w:val="single" w:sz="4" w:space="0" w:color="auto"/>
            </w:tcBorders>
            <w:shd w:val="clear" w:color="auto" w:fill="auto"/>
            <w:tcMar>
              <w:top w:w="0" w:type="dxa"/>
              <w:left w:w="0" w:type="dxa"/>
              <w:bottom w:w="0" w:type="dxa"/>
              <w:right w:w="0" w:type="dxa"/>
            </w:tcMar>
            <w:vAlign w:val="center"/>
          </w:tcPr>
          <w:p w14:paraId="6B3EAB25"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5,4</w:t>
            </w:r>
          </w:p>
        </w:tc>
        <w:tc>
          <w:tcPr>
            <w:tcW w:w="1134" w:type="dxa"/>
            <w:tcBorders>
              <w:top w:val="single" w:sz="4" w:space="0" w:color="auto"/>
              <w:bottom w:val="single" w:sz="4" w:space="0" w:color="auto"/>
              <w:right w:val="nil"/>
            </w:tcBorders>
            <w:shd w:val="clear" w:color="auto" w:fill="auto"/>
            <w:tcMar>
              <w:top w:w="0" w:type="dxa"/>
              <w:left w:w="0" w:type="dxa"/>
              <w:bottom w:w="0" w:type="dxa"/>
              <w:right w:w="0" w:type="dxa"/>
            </w:tcMar>
            <w:vAlign w:val="center"/>
          </w:tcPr>
          <w:p w14:paraId="5E3892D1"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1,7</w:t>
            </w:r>
          </w:p>
        </w:tc>
        <w:tc>
          <w:tcPr>
            <w:tcW w:w="709" w:type="dxa"/>
            <w:tcBorders>
              <w:top w:val="single" w:sz="4" w:space="0" w:color="auto"/>
              <w:bottom w:val="single" w:sz="4" w:space="0" w:color="auto"/>
              <w:right w:val="nil"/>
            </w:tcBorders>
            <w:vAlign w:val="center"/>
          </w:tcPr>
          <w:p w14:paraId="3B6536D0" w14:textId="7F6B5567" w:rsidR="00340395" w:rsidRDefault="00E143CF" w:rsidP="00340395">
            <w:pPr>
              <w:jc w:val="center"/>
              <w:rPr>
                <w:rFonts w:ascii="Calibri" w:hAnsi="Calibri" w:cs="Calibri"/>
                <w:color w:val="000000"/>
                <w:sz w:val="22"/>
                <w:szCs w:val="22"/>
              </w:rPr>
            </w:pPr>
            <w:r>
              <w:rPr>
                <w:rFonts w:ascii="Calibri" w:hAnsi="Calibri" w:cs="Calibri"/>
                <w:color w:val="000000"/>
                <w:sz w:val="22"/>
                <w:szCs w:val="22"/>
              </w:rPr>
              <w:t>-</w:t>
            </w:r>
          </w:p>
        </w:tc>
      </w:tr>
      <w:tr w:rsidR="00340395" w14:paraId="712D8DEC" w14:textId="77777777" w:rsidTr="00FD7170">
        <w:trPr>
          <w:trHeight w:val="300"/>
        </w:trPr>
        <w:tc>
          <w:tcPr>
            <w:tcW w:w="1748" w:type="dxa"/>
            <w:vMerge/>
            <w:tcBorders>
              <w:top w:val="single" w:sz="8" w:space="0" w:color="000000"/>
              <w:left w:val="nil"/>
              <w:bottom w:val="single" w:sz="8" w:space="0" w:color="000000"/>
              <w:right w:val="nil"/>
            </w:tcBorders>
            <w:shd w:val="clear" w:color="auto" w:fill="auto"/>
            <w:tcMar>
              <w:top w:w="0" w:type="dxa"/>
              <w:left w:w="0" w:type="dxa"/>
              <w:bottom w:w="0" w:type="dxa"/>
              <w:right w:w="0" w:type="dxa"/>
            </w:tcMar>
            <w:vAlign w:val="center"/>
          </w:tcPr>
          <w:p w14:paraId="2A13423C" w14:textId="77777777" w:rsidR="00340395" w:rsidRDefault="00340395" w:rsidP="00340395">
            <w:pPr>
              <w:ind w:right="-20"/>
              <w:jc w:val="center"/>
            </w:pPr>
          </w:p>
        </w:tc>
        <w:tc>
          <w:tcPr>
            <w:tcW w:w="1559" w:type="dxa"/>
            <w:tcBorders>
              <w:top w:val="single" w:sz="8" w:space="0" w:color="000000"/>
              <w:left w:val="nil"/>
              <w:bottom w:val="single" w:sz="8" w:space="0" w:color="000000"/>
            </w:tcBorders>
            <w:shd w:val="clear" w:color="auto" w:fill="auto"/>
            <w:tcMar>
              <w:top w:w="0" w:type="dxa"/>
              <w:left w:w="0" w:type="dxa"/>
              <w:bottom w:w="0" w:type="dxa"/>
              <w:right w:w="0" w:type="dxa"/>
            </w:tcMar>
            <w:vAlign w:val="center"/>
          </w:tcPr>
          <w:p w14:paraId="3FE0CB44" w14:textId="77777777" w:rsidR="00340395" w:rsidRDefault="00340395" w:rsidP="00FD7170">
            <w:pPr>
              <w:spacing w:line="228" w:lineRule="auto"/>
              <w:ind w:left="-20" w:right="-20"/>
              <w:jc w:val="center"/>
            </w:pPr>
            <w:r>
              <w:t>Non-renewable</w:t>
            </w:r>
          </w:p>
        </w:tc>
        <w:tc>
          <w:tcPr>
            <w:tcW w:w="992"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DE2D6E1"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w:t>
            </w:r>
          </w:p>
        </w:tc>
        <w:tc>
          <w:tcPr>
            <w:tcW w:w="99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25A5425"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w:t>
            </w:r>
          </w:p>
        </w:tc>
        <w:tc>
          <w:tcPr>
            <w:tcW w:w="850"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E5B0A8D"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w:t>
            </w:r>
          </w:p>
        </w:tc>
        <w:tc>
          <w:tcPr>
            <w:tcW w:w="1134" w:type="dxa"/>
            <w:tcBorders>
              <w:top w:val="single" w:sz="4" w:space="0" w:color="auto"/>
              <w:bottom w:val="single" w:sz="4" w:space="0" w:color="auto"/>
              <w:right w:val="nil"/>
            </w:tcBorders>
            <w:shd w:val="clear" w:color="auto" w:fill="auto"/>
            <w:tcMar>
              <w:top w:w="100" w:type="dxa"/>
              <w:left w:w="100" w:type="dxa"/>
              <w:bottom w:w="100" w:type="dxa"/>
              <w:right w:w="100" w:type="dxa"/>
            </w:tcMar>
            <w:vAlign w:val="center"/>
          </w:tcPr>
          <w:p w14:paraId="55B0877B"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w:t>
            </w:r>
          </w:p>
        </w:tc>
        <w:tc>
          <w:tcPr>
            <w:tcW w:w="709" w:type="dxa"/>
            <w:tcBorders>
              <w:top w:val="single" w:sz="4" w:space="0" w:color="auto"/>
              <w:bottom w:val="single" w:sz="4" w:space="0" w:color="auto"/>
              <w:right w:val="nil"/>
            </w:tcBorders>
            <w:vAlign w:val="center"/>
          </w:tcPr>
          <w:p w14:paraId="704A65BA"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100</w:t>
            </w:r>
          </w:p>
        </w:tc>
      </w:tr>
      <w:tr w:rsidR="00340395" w14:paraId="4D708014" w14:textId="77777777" w:rsidTr="00FD7170">
        <w:trPr>
          <w:trHeight w:val="300"/>
        </w:trPr>
        <w:tc>
          <w:tcPr>
            <w:tcW w:w="1748" w:type="dxa"/>
            <w:vMerge w:val="restart"/>
            <w:tcBorders>
              <w:top w:val="single" w:sz="8" w:space="0" w:color="000000"/>
              <w:left w:val="nil"/>
              <w:bottom w:val="single" w:sz="8" w:space="0" w:color="000000"/>
              <w:right w:val="nil"/>
            </w:tcBorders>
            <w:shd w:val="clear" w:color="auto" w:fill="auto"/>
            <w:tcMar>
              <w:top w:w="0" w:type="dxa"/>
              <w:left w:w="0" w:type="dxa"/>
              <w:bottom w:w="0" w:type="dxa"/>
              <w:right w:w="0" w:type="dxa"/>
            </w:tcMar>
            <w:vAlign w:val="center"/>
          </w:tcPr>
          <w:p w14:paraId="7BAA9296" w14:textId="77777777" w:rsidR="00340395" w:rsidRDefault="00340395" w:rsidP="00340395">
            <w:pPr>
              <w:spacing w:line="228" w:lineRule="auto"/>
              <w:ind w:left="-20" w:right="-20"/>
              <w:jc w:val="center"/>
              <w:rPr>
                <w:b/>
              </w:rPr>
            </w:pPr>
            <w:r>
              <w:rPr>
                <w:b/>
              </w:rPr>
              <w:t>Photochemical ozone formation</w:t>
            </w:r>
          </w:p>
        </w:tc>
        <w:tc>
          <w:tcPr>
            <w:tcW w:w="1559" w:type="dxa"/>
            <w:tcBorders>
              <w:top w:val="single" w:sz="4" w:space="0" w:color="000000"/>
              <w:left w:val="nil"/>
              <w:bottom w:val="single" w:sz="8" w:space="0" w:color="000000"/>
            </w:tcBorders>
            <w:shd w:val="clear" w:color="auto" w:fill="auto"/>
            <w:tcMar>
              <w:top w:w="0" w:type="dxa"/>
              <w:left w:w="0" w:type="dxa"/>
              <w:bottom w:w="0" w:type="dxa"/>
              <w:right w:w="0" w:type="dxa"/>
            </w:tcMar>
            <w:vAlign w:val="center"/>
          </w:tcPr>
          <w:p w14:paraId="59C68E6F" w14:textId="77777777" w:rsidR="00340395" w:rsidRDefault="00340395" w:rsidP="00FD7170">
            <w:pPr>
              <w:spacing w:line="228" w:lineRule="auto"/>
              <w:ind w:left="-20" w:right="-20"/>
              <w:jc w:val="center"/>
            </w:pPr>
            <w:r>
              <w:t>Central</w:t>
            </w:r>
          </w:p>
        </w:tc>
        <w:tc>
          <w:tcPr>
            <w:tcW w:w="992" w:type="dxa"/>
            <w:tcBorders>
              <w:top w:val="single" w:sz="4" w:space="0" w:color="auto"/>
              <w:bottom w:val="single" w:sz="4" w:space="0" w:color="auto"/>
            </w:tcBorders>
            <w:shd w:val="clear" w:color="auto" w:fill="auto"/>
            <w:tcMar>
              <w:top w:w="0" w:type="dxa"/>
              <w:left w:w="0" w:type="dxa"/>
              <w:bottom w:w="0" w:type="dxa"/>
              <w:right w:w="0" w:type="dxa"/>
            </w:tcMar>
            <w:vAlign w:val="center"/>
          </w:tcPr>
          <w:p w14:paraId="3153219A"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16,1</w:t>
            </w:r>
          </w:p>
        </w:tc>
        <w:tc>
          <w:tcPr>
            <w:tcW w:w="993" w:type="dxa"/>
            <w:tcBorders>
              <w:top w:val="single" w:sz="4" w:space="0" w:color="auto"/>
              <w:bottom w:val="single" w:sz="4" w:space="0" w:color="auto"/>
            </w:tcBorders>
            <w:shd w:val="clear" w:color="auto" w:fill="auto"/>
            <w:tcMar>
              <w:top w:w="0" w:type="dxa"/>
              <w:left w:w="0" w:type="dxa"/>
              <w:bottom w:w="0" w:type="dxa"/>
              <w:right w:w="0" w:type="dxa"/>
            </w:tcMar>
            <w:vAlign w:val="center"/>
          </w:tcPr>
          <w:p w14:paraId="5D3CCC49"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2,6</w:t>
            </w:r>
          </w:p>
        </w:tc>
        <w:tc>
          <w:tcPr>
            <w:tcW w:w="850" w:type="dxa"/>
            <w:tcBorders>
              <w:top w:val="single" w:sz="4" w:space="0" w:color="auto"/>
              <w:bottom w:val="single" w:sz="4" w:space="0" w:color="auto"/>
            </w:tcBorders>
            <w:shd w:val="clear" w:color="auto" w:fill="auto"/>
            <w:tcMar>
              <w:top w:w="0" w:type="dxa"/>
              <w:left w:w="0" w:type="dxa"/>
              <w:bottom w:w="0" w:type="dxa"/>
              <w:right w:w="0" w:type="dxa"/>
            </w:tcMar>
            <w:vAlign w:val="center"/>
          </w:tcPr>
          <w:p w14:paraId="00760755"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3,7</w:t>
            </w:r>
          </w:p>
        </w:tc>
        <w:tc>
          <w:tcPr>
            <w:tcW w:w="1134" w:type="dxa"/>
            <w:tcBorders>
              <w:top w:val="single" w:sz="4" w:space="0" w:color="auto"/>
              <w:bottom w:val="single" w:sz="4" w:space="0" w:color="auto"/>
              <w:right w:val="nil"/>
            </w:tcBorders>
            <w:shd w:val="clear" w:color="auto" w:fill="auto"/>
            <w:tcMar>
              <w:top w:w="0" w:type="dxa"/>
              <w:left w:w="0" w:type="dxa"/>
              <w:bottom w:w="0" w:type="dxa"/>
              <w:right w:w="0" w:type="dxa"/>
            </w:tcMar>
            <w:vAlign w:val="center"/>
          </w:tcPr>
          <w:p w14:paraId="4B03F031"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2,6</w:t>
            </w:r>
          </w:p>
        </w:tc>
        <w:tc>
          <w:tcPr>
            <w:tcW w:w="709" w:type="dxa"/>
            <w:tcBorders>
              <w:top w:val="single" w:sz="4" w:space="0" w:color="auto"/>
              <w:bottom w:val="single" w:sz="4" w:space="0" w:color="auto"/>
              <w:right w:val="nil"/>
            </w:tcBorders>
            <w:vAlign w:val="center"/>
          </w:tcPr>
          <w:p w14:paraId="71225700" w14:textId="53B85138" w:rsidR="00340395" w:rsidRDefault="00E143CF" w:rsidP="00340395">
            <w:pPr>
              <w:jc w:val="center"/>
              <w:rPr>
                <w:rFonts w:ascii="Calibri" w:hAnsi="Calibri" w:cs="Calibri"/>
                <w:color w:val="000000"/>
                <w:sz w:val="22"/>
                <w:szCs w:val="22"/>
              </w:rPr>
            </w:pPr>
            <w:r>
              <w:rPr>
                <w:rFonts w:ascii="Calibri" w:hAnsi="Calibri" w:cs="Calibri"/>
                <w:color w:val="000000"/>
                <w:sz w:val="22"/>
                <w:szCs w:val="22"/>
              </w:rPr>
              <w:t>-</w:t>
            </w:r>
          </w:p>
        </w:tc>
      </w:tr>
      <w:tr w:rsidR="00340395" w14:paraId="442F9AA4" w14:textId="77777777" w:rsidTr="00FD7170">
        <w:trPr>
          <w:trHeight w:val="345"/>
        </w:trPr>
        <w:tc>
          <w:tcPr>
            <w:tcW w:w="1748" w:type="dxa"/>
            <w:vMerge/>
            <w:tcBorders>
              <w:top w:val="single" w:sz="8" w:space="0" w:color="000000"/>
              <w:left w:val="nil"/>
              <w:bottom w:val="single" w:sz="8" w:space="0" w:color="000000"/>
              <w:right w:val="nil"/>
            </w:tcBorders>
            <w:shd w:val="clear" w:color="auto" w:fill="auto"/>
            <w:tcMar>
              <w:top w:w="0" w:type="dxa"/>
              <w:left w:w="0" w:type="dxa"/>
              <w:bottom w:w="0" w:type="dxa"/>
              <w:right w:w="0" w:type="dxa"/>
            </w:tcMar>
            <w:vAlign w:val="center"/>
          </w:tcPr>
          <w:p w14:paraId="6FEE5A73" w14:textId="77777777" w:rsidR="00340395" w:rsidRDefault="00340395" w:rsidP="00340395">
            <w:pPr>
              <w:spacing w:line="228" w:lineRule="auto"/>
              <w:ind w:left="-20" w:right="-20"/>
              <w:jc w:val="center"/>
            </w:pPr>
          </w:p>
        </w:tc>
        <w:tc>
          <w:tcPr>
            <w:tcW w:w="1559" w:type="dxa"/>
            <w:tcBorders>
              <w:top w:val="single" w:sz="4" w:space="0" w:color="000000"/>
              <w:left w:val="nil"/>
              <w:bottom w:val="single" w:sz="8" w:space="0" w:color="000000"/>
            </w:tcBorders>
            <w:shd w:val="clear" w:color="auto" w:fill="auto"/>
            <w:tcMar>
              <w:top w:w="0" w:type="dxa"/>
              <w:left w:w="0" w:type="dxa"/>
              <w:bottom w:w="0" w:type="dxa"/>
              <w:right w:w="0" w:type="dxa"/>
            </w:tcMar>
            <w:vAlign w:val="center"/>
          </w:tcPr>
          <w:p w14:paraId="2610F028" w14:textId="77777777" w:rsidR="00340395" w:rsidRDefault="00340395" w:rsidP="00FD7170">
            <w:pPr>
              <w:spacing w:line="228" w:lineRule="auto"/>
              <w:ind w:left="-20" w:right="-20"/>
              <w:jc w:val="center"/>
            </w:pPr>
            <w:r>
              <w:t>Mediterranean</w:t>
            </w:r>
          </w:p>
        </w:tc>
        <w:tc>
          <w:tcPr>
            <w:tcW w:w="992" w:type="dxa"/>
            <w:tcBorders>
              <w:top w:val="single" w:sz="4" w:space="0" w:color="auto"/>
              <w:bottom w:val="single" w:sz="4" w:space="0" w:color="auto"/>
            </w:tcBorders>
            <w:shd w:val="clear" w:color="auto" w:fill="auto"/>
            <w:tcMar>
              <w:top w:w="0" w:type="dxa"/>
              <w:left w:w="0" w:type="dxa"/>
              <w:bottom w:w="0" w:type="dxa"/>
              <w:right w:w="0" w:type="dxa"/>
            </w:tcMar>
            <w:vAlign w:val="center"/>
          </w:tcPr>
          <w:p w14:paraId="72D9E41A"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7,0</w:t>
            </w:r>
          </w:p>
        </w:tc>
        <w:tc>
          <w:tcPr>
            <w:tcW w:w="993" w:type="dxa"/>
            <w:tcBorders>
              <w:top w:val="single" w:sz="4" w:space="0" w:color="auto"/>
              <w:bottom w:val="single" w:sz="4" w:space="0" w:color="auto"/>
            </w:tcBorders>
            <w:shd w:val="clear" w:color="auto" w:fill="auto"/>
            <w:tcMar>
              <w:top w:w="0" w:type="dxa"/>
              <w:left w:w="0" w:type="dxa"/>
              <w:bottom w:w="0" w:type="dxa"/>
              <w:right w:w="0" w:type="dxa"/>
            </w:tcMar>
            <w:vAlign w:val="center"/>
          </w:tcPr>
          <w:p w14:paraId="2C10B4C7"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2,8</w:t>
            </w:r>
          </w:p>
        </w:tc>
        <w:tc>
          <w:tcPr>
            <w:tcW w:w="850" w:type="dxa"/>
            <w:tcBorders>
              <w:top w:val="single" w:sz="4" w:space="0" w:color="auto"/>
              <w:bottom w:val="single" w:sz="4" w:space="0" w:color="auto"/>
            </w:tcBorders>
            <w:shd w:val="clear" w:color="auto" w:fill="auto"/>
            <w:tcMar>
              <w:top w:w="0" w:type="dxa"/>
              <w:left w:w="0" w:type="dxa"/>
              <w:bottom w:w="0" w:type="dxa"/>
              <w:right w:w="0" w:type="dxa"/>
            </w:tcMar>
            <w:vAlign w:val="center"/>
          </w:tcPr>
          <w:p w14:paraId="17F40F89"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3,8</w:t>
            </w:r>
          </w:p>
        </w:tc>
        <w:tc>
          <w:tcPr>
            <w:tcW w:w="1134" w:type="dxa"/>
            <w:tcBorders>
              <w:top w:val="single" w:sz="4" w:space="0" w:color="auto"/>
              <w:bottom w:val="single" w:sz="4" w:space="0" w:color="auto"/>
              <w:right w:val="nil"/>
            </w:tcBorders>
            <w:shd w:val="clear" w:color="auto" w:fill="auto"/>
            <w:tcMar>
              <w:top w:w="0" w:type="dxa"/>
              <w:left w:w="0" w:type="dxa"/>
              <w:bottom w:w="0" w:type="dxa"/>
              <w:right w:w="0" w:type="dxa"/>
            </w:tcMar>
            <w:vAlign w:val="center"/>
          </w:tcPr>
          <w:p w14:paraId="0904BB10"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0,8</w:t>
            </w:r>
          </w:p>
        </w:tc>
        <w:tc>
          <w:tcPr>
            <w:tcW w:w="709" w:type="dxa"/>
            <w:tcBorders>
              <w:top w:val="single" w:sz="4" w:space="0" w:color="auto"/>
              <w:bottom w:val="single" w:sz="4" w:space="0" w:color="auto"/>
              <w:right w:val="nil"/>
            </w:tcBorders>
            <w:vAlign w:val="center"/>
          </w:tcPr>
          <w:p w14:paraId="15890272" w14:textId="6110B479" w:rsidR="00340395" w:rsidRDefault="00E143CF" w:rsidP="00340395">
            <w:pPr>
              <w:jc w:val="center"/>
              <w:rPr>
                <w:rFonts w:ascii="Calibri" w:hAnsi="Calibri" w:cs="Calibri"/>
                <w:color w:val="000000"/>
                <w:sz w:val="22"/>
                <w:szCs w:val="22"/>
              </w:rPr>
            </w:pPr>
            <w:r>
              <w:rPr>
                <w:rFonts w:ascii="Calibri" w:hAnsi="Calibri" w:cs="Calibri"/>
                <w:color w:val="000000"/>
                <w:sz w:val="22"/>
                <w:szCs w:val="22"/>
              </w:rPr>
              <w:t>-</w:t>
            </w:r>
          </w:p>
        </w:tc>
      </w:tr>
      <w:tr w:rsidR="00340395" w14:paraId="460E29F2" w14:textId="77777777" w:rsidTr="00FD7170">
        <w:trPr>
          <w:trHeight w:val="375"/>
        </w:trPr>
        <w:tc>
          <w:tcPr>
            <w:tcW w:w="1748" w:type="dxa"/>
            <w:vMerge/>
            <w:tcBorders>
              <w:top w:val="single" w:sz="8" w:space="0" w:color="000000"/>
              <w:left w:val="nil"/>
              <w:bottom w:val="single" w:sz="8" w:space="0" w:color="000000"/>
              <w:right w:val="nil"/>
            </w:tcBorders>
            <w:shd w:val="clear" w:color="auto" w:fill="auto"/>
            <w:tcMar>
              <w:top w:w="0" w:type="dxa"/>
              <w:left w:w="0" w:type="dxa"/>
              <w:bottom w:w="0" w:type="dxa"/>
              <w:right w:w="0" w:type="dxa"/>
            </w:tcMar>
            <w:vAlign w:val="center"/>
          </w:tcPr>
          <w:p w14:paraId="714C6D80" w14:textId="77777777" w:rsidR="00340395" w:rsidRDefault="00340395" w:rsidP="00340395">
            <w:pPr>
              <w:spacing w:line="228" w:lineRule="auto"/>
              <w:ind w:left="-20" w:right="-20"/>
              <w:jc w:val="center"/>
            </w:pPr>
          </w:p>
        </w:tc>
        <w:tc>
          <w:tcPr>
            <w:tcW w:w="1559" w:type="dxa"/>
            <w:tcBorders>
              <w:top w:val="single" w:sz="8" w:space="0" w:color="000000"/>
              <w:left w:val="nil"/>
              <w:bottom w:val="single" w:sz="8" w:space="0" w:color="000000"/>
            </w:tcBorders>
            <w:shd w:val="clear" w:color="auto" w:fill="auto"/>
            <w:tcMar>
              <w:top w:w="0" w:type="dxa"/>
              <w:left w:w="0" w:type="dxa"/>
              <w:bottom w:w="0" w:type="dxa"/>
              <w:right w:w="0" w:type="dxa"/>
            </w:tcMar>
            <w:vAlign w:val="center"/>
          </w:tcPr>
          <w:p w14:paraId="1C11C53B" w14:textId="77777777" w:rsidR="00340395" w:rsidRDefault="00340395" w:rsidP="00FD7170">
            <w:pPr>
              <w:spacing w:line="228" w:lineRule="auto"/>
              <w:ind w:left="-20" w:right="-20"/>
              <w:jc w:val="center"/>
            </w:pPr>
            <w:r>
              <w:t>Northern</w:t>
            </w:r>
          </w:p>
        </w:tc>
        <w:tc>
          <w:tcPr>
            <w:tcW w:w="992" w:type="dxa"/>
            <w:tcBorders>
              <w:top w:val="single" w:sz="4" w:space="0" w:color="auto"/>
              <w:bottom w:val="single" w:sz="4" w:space="0" w:color="auto"/>
            </w:tcBorders>
            <w:shd w:val="clear" w:color="auto" w:fill="auto"/>
            <w:tcMar>
              <w:top w:w="0" w:type="dxa"/>
              <w:left w:w="0" w:type="dxa"/>
              <w:bottom w:w="0" w:type="dxa"/>
              <w:right w:w="0" w:type="dxa"/>
            </w:tcMar>
            <w:vAlign w:val="center"/>
          </w:tcPr>
          <w:p w14:paraId="70C83A7A"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1,6</w:t>
            </w:r>
          </w:p>
        </w:tc>
        <w:tc>
          <w:tcPr>
            <w:tcW w:w="993" w:type="dxa"/>
            <w:tcBorders>
              <w:top w:val="single" w:sz="4" w:space="0" w:color="auto"/>
              <w:bottom w:val="single" w:sz="4" w:space="0" w:color="auto"/>
            </w:tcBorders>
            <w:shd w:val="clear" w:color="auto" w:fill="auto"/>
            <w:tcMar>
              <w:top w:w="0" w:type="dxa"/>
              <w:left w:w="0" w:type="dxa"/>
              <w:bottom w:w="0" w:type="dxa"/>
              <w:right w:w="0" w:type="dxa"/>
            </w:tcMar>
            <w:vAlign w:val="center"/>
          </w:tcPr>
          <w:p w14:paraId="4C78568D"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9,6</w:t>
            </w:r>
          </w:p>
        </w:tc>
        <w:tc>
          <w:tcPr>
            <w:tcW w:w="850" w:type="dxa"/>
            <w:tcBorders>
              <w:top w:val="single" w:sz="4" w:space="0" w:color="auto"/>
              <w:bottom w:val="single" w:sz="4" w:space="0" w:color="auto"/>
            </w:tcBorders>
            <w:shd w:val="clear" w:color="auto" w:fill="auto"/>
            <w:tcMar>
              <w:top w:w="0" w:type="dxa"/>
              <w:left w:w="0" w:type="dxa"/>
              <w:bottom w:w="0" w:type="dxa"/>
              <w:right w:w="0" w:type="dxa"/>
            </w:tcMar>
            <w:vAlign w:val="center"/>
          </w:tcPr>
          <w:p w14:paraId="3F9D3F5B"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17,5</w:t>
            </w:r>
          </w:p>
        </w:tc>
        <w:tc>
          <w:tcPr>
            <w:tcW w:w="1134" w:type="dxa"/>
            <w:tcBorders>
              <w:top w:val="single" w:sz="4" w:space="0" w:color="auto"/>
              <w:bottom w:val="single" w:sz="4" w:space="0" w:color="auto"/>
              <w:right w:val="nil"/>
            </w:tcBorders>
            <w:shd w:val="clear" w:color="auto" w:fill="auto"/>
            <w:tcMar>
              <w:top w:w="0" w:type="dxa"/>
              <w:left w:w="0" w:type="dxa"/>
              <w:bottom w:w="0" w:type="dxa"/>
              <w:right w:w="0" w:type="dxa"/>
            </w:tcMar>
            <w:vAlign w:val="center"/>
          </w:tcPr>
          <w:p w14:paraId="0E9461A0"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0,6</w:t>
            </w:r>
          </w:p>
        </w:tc>
        <w:tc>
          <w:tcPr>
            <w:tcW w:w="709" w:type="dxa"/>
            <w:tcBorders>
              <w:top w:val="single" w:sz="4" w:space="0" w:color="auto"/>
              <w:bottom w:val="single" w:sz="4" w:space="0" w:color="auto"/>
              <w:right w:val="nil"/>
            </w:tcBorders>
            <w:vAlign w:val="center"/>
          </w:tcPr>
          <w:p w14:paraId="6D71E940" w14:textId="58E86BB5" w:rsidR="00340395" w:rsidRDefault="00E143CF" w:rsidP="00340395">
            <w:pPr>
              <w:jc w:val="center"/>
              <w:rPr>
                <w:rFonts w:ascii="Calibri" w:hAnsi="Calibri" w:cs="Calibri"/>
                <w:color w:val="000000"/>
                <w:sz w:val="22"/>
                <w:szCs w:val="22"/>
              </w:rPr>
            </w:pPr>
            <w:r>
              <w:rPr>
                <w:rFonts w:ascii="Calibri" w:hAnsi="Calibri" w:cs="Calibri"/>
                <w:color w:val="000000"/>
                <w:sz w:val="22"/>
                <w:szCs w:val="22"/>
              </w:rPr>
              <w:t>-</w:t>
            </w:r>
          </w:p>
        </w:tc>
      </w:tr>
      <w:tr w:rsidR="00340395" w14:paraId="0EB2F151" w14:textId="77777777" w:rsidTr="00FD7170">
        <w:trPr>
          <w:trHeight w:val="375"/>
        </w:trPr>
        <w:tc>
          <w:tcPr>
            <w:tcW w:w="1748" w:type="dxa"/>
            <w:vMerge/>
            <w:tcBorders>
              <w:top w:val="single" w:sz="8" w:space="0" w:color="000000"/>
              <w:left w:val="nil"/>
              <w:bottom w:val="single" w:sz="8" w:space="0" w:color="000000"/>
              <w:right w:val="nil"/>
            </w:tcBorders>
            <w:shd w:val="clear" w:color="auto" w:fill="auto"/>
            <w:tcMar>
              <w:top w:w="0" w:type="dxa"/>
              <w:left w:w="0" w:type="dxa"/>
              <w:bottom w:w="0" w:type="dxa"/>
              <w:right w:w="0" w:type="dxa"/>
            </w:tcMar>
            <w:vAlign w:val="center"/>
          </w:tcPr>
          <w:p w14:paraId="286BFFC2" w14:textId="77777777" w:rsidR="00340395" w:rsidRDefault="00340395" w:rsidP="00340395">
            <w:pPr>
              <w:spacing w:line="228" w:lineRule="auto"/>
              <w:ind w:left="-20" w:right="-20"/>
              <w:jc w:val="center"/>
            </w:pPr>
          </w:p>
        </w:tc>
        <w:tc>
          <w:tcPr>
            <w:tcW w:w="1559" w:type="dxa"/>
            <w:tcBorders>
              <w:top w:val="single" w:sz="8" w:space="0" w:color="000000"/>
              <w:left w:val="nil"/>
              <w:bottom w:val="single" w:sz="8" w:space="0" w:color="000000"/>
            </w:tcBorders>
            <w:shd w:val="clear" w:color="auto" w:fill="auto"/>
            <w:tcMar>
              <w:top w:w="0" w:type="dxa"/>
              <w:left w:w="0" w:type="dxa"/>
              <w:bottom w:w="0" w:type="dxa"/>
              <w:right w:w="0" w:type="dxa"/>
            </w:tcMar>
            <w:vAlign w:val="center"/>
          </w:tcPr>
          <w:p w14:paraId="523F7CF5" w14:textId="77777777" w:rsidR="00340395" w:rsidRDefault="00340395" w:rsidP="00FD7170">
            <w:pPr>
              <w:spacing w:line="228" w:lineRule="auto"/>
              <w:ind w:left="-20" w:right="-20"/>
              <w:jc w:val="center"/>
            </w:pPr>
            <w:r>
              <w:t>Non-renewable</w:t>
            </w:r>
          </w:p>
        </w:tc>
        <w:tc>
          <w:tcPr>
            <w:tcW w:w="992" w:type="dxa"/>
            <w:tcBorders>
              <w:top w:val="single" w:sz="4" w:space="0" w:color="auto"/>
              <w:bottom w:val="single" w:sz="4" w:space="0" w:color="auto"/>
            </w:tcBorders>
            <w:shd w:val="clear" w:color="auto" w:fill="auto"/>
            <w:tcMar>
              <w:top w:w="0" w:type="dxa"/>
              <w:left w:w="0" w:type="dxa"/>
              <w:bottom w:w="0" w:type="dxa"/>
              <w:right w:w="0" w:type="dxa"/>
            </w:tcMar>
            <w:vAlign w:val="center"/>
          </w:tcPr>
          <w:p w14:paraId="68A9A7C8"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w:t>
            </w:r>
          </w:p>
        </w:tc>
        <w:tc>
          <w:tcPr>
            <w:tcW w:w="993" w:type="dxa"/>
            <w:tcBorders>
              <w:top w:val="single" w:sz="4" w:space="0" w:color="auto"/>
              <w:bottom w:val="single" w:sz="4" w:space="0" w:color="auto"/>
            </w:tcBorders>
            <w:shd w:val="clear" w:color="auto" w:fill="auto"/>
            <w:tcMar>
              <w:top w:w="0" w:type="dxa"/>
              <w:left w:w="0" w:type="dxa"/>
              <w:bottom w:w="0" w:type="dxa"/>
              <w:right w:w="0" w:type="dxa"/>
            </w:tcMar>
            <w:vAlign w:val="center"/>
          </w:tcPr>
          <w:p w14:paraId="4F968942"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w:t>
            </w:r>
          </w:p>
        </w:tc>
        <w:tc>
          <w:tcPr>
            <w:tcW w:w="850" w:type="dxa"/>
            <w:tcBorders>
              <w:top w:val="single" w:sz="4" w:space="0" w:color="auto"/>
              <w:bottom w:val="single" w:sz="4" w:space="0" w:color="auto"/>
            </w:tcBorders>
            <w:shd w:val="clear" w:color="auto" w:fill="auto"/>
            <w:tcMar>
              <w:top w:w="0" w:type="dxa"/>
              <w:left w:w="0" w:type="dxa"/>
              <w:bottom w:w="0" w:type="dxa"/>
              <w:right w:w="0" w:type="dxa"/>
            </w:tcMar>
            <w:vAlign w:val="center"/>
          </w:tcPr>
          <w:p w14:paraId="5D1C8E81"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w:t>
            </w:r>
          </w:p>
        </w:tc>
        <w:tc>
          <w:tcPr>
            <w:tcW w:w="1134" w:type="dxa"/>
            <w:tcBorders>
              <w:top w:val="single" w:sz="4" w:space="0" w:color="auto"/>
              <w:bottom w:val="single" w:sz="4" w:space="0" w:color="auto"/>
              <w:right w:val="nil"/>
            </w:tcBorders>
            <w:shd w:val="clear" w:color="auto" w:fill="auto"/>
            <w:tcMar>
              <w:top w:w="0" w:type="dxa"/>
              <w:left w:w="0" w:type="dxa"/>
              <w:bottom w:w="0" w:type="dxa"/>
              <w:right w:w="0" w:type="dxa"/>
            </w:tcMar>
            <w:vAlign w:val="center"/>
          </w:tcPr>
          <w:p w14:paraId="2B93C96D"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w:t>
            </w:r>
          </w:p>
        </w:tc>
        <w:tc>
          <w:tcPr>
            <w:tcW w:w="709" w:type="dxa"/>
            <w:tcBorders>
              <w:top w:val="single" w:sz="4" w:space="0" w:color="auto"/>
              <w:bottom w:val="single" w:sz="4" w:space="0" w:color="auto"/>
              <w:right w:val="nil"/>
            </w:tcBorders>
            <w:vAlign w:val="center"/>
          </w:tcPr>
          <w:p w14:paraId="5FA316EA" w14:textId="25F124AA"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100</w:t>
            </w:r>
          </w:p>
        </w:tc>
      </w:tr>
      <w:tr w:rsidR="00340395" w14:paraId="381913F2" w14:textId="77777777" w:rsidTr="00FD7170">
        <w:trPr>
          <w:trHeight w:val="375"/>
        </w:trPr>
        <w:tc>
          <w:tcPr>
            <w:tcW w:w="1748" w:type="dxa"/>
            <w:vMerge w:val="restart"/>
            <w:tcBorders>
              <w:top w:val="single" w:sz="8" w:space="0" w:color="000000"/>
              <w:left w:val="nil"/>
              <w:bottom w:val="single" w:sz="8" w:space="0" w:color="000000"/>
              <w:right w:val="nil"/>
            </w:tcBorders>
            <w:shd w:val="clear" w:color="auto" w:fill="auto"/>
            <w:tcMar>
              <w:top w:w="0" w:type="dxa"/>
              <w:left w:w="0" w:type="dxa"/>
              <w:bottom w:w="0" w:type="dxa"/>
              <w:right w:w="0" w:type="dxa"/>
            </w:tcMar>
            <w:vAlign w:val="center"/>
          </w:tcPr>
          <w:p w14:paraId="1A3151E6" w14:textId="1091E98E" w:rsidR="00340395" w:rsidRDefault="00340395" w:rsidP="00FD7170">
            <w:pPr>
              <w:spacing w:line="228" w:lineRule="auto"/>
              <w:ind w:left="-20" w:right="-20"/>
              <w:jc w:val="center"/>
              <w:rPr>
                <w:b/>
              </w:rPr>
            </w:pPr>
            <w:r>
              <w:rPr>
                <w:b/>
              </w:rPr>
              <w:t>Resource use, fossils</w:t>
            </w:r>
          </w:p>
        </w:tc>
        <w:tc>
          <w:tcPr>
            <w:tcW w:w="1559" w:type="dxa"/>
            <w:tcBorders>
              <w:top w:val="single" w:sz="4" w:space="0" w:color="000000"/>
              <w:left w:val="nil"/>
              <w:bottom w:val="single" w:sz="8" w:space="0" w:color="000000"/>
            </w:tcBorders>
            <w:shd w:val="clear" w:color="auto" w:fill="auto"/>
            <w:tcMar>
              <w:top w:w="0" w:type="dxa"/>
              <w:left w:w="0" w:type="dxa"/>
              <w:bottom w:w="0" w:type="dxa"/>
              <w:right w:w="0" w:type="dxa"/>
            </w:tcMar>
            <w:vAlign w:val="center"/>
          </w:tcPr>
          <w:p w14:paraId="711FB6C0" w14:textId="77777777" w:rsidR="00340395" w:rsidRDefault="00340395" w:rsidP="00FD7170">
            <w:pPr>
              <w:spacing w:line="228" w:lineRule="auto"/>
              <w:ind w:left="-20" w:right="-20"/>
              <w:jc w:val="center"/>
            </w:pPr>
            <w:r>
              <w:t>Central</w:t>
            </w:r>
          </w:p>
        </w:tc>
        <w:tc>
          <w:tcPr>
            <w:tcW w:w="992" w:type="dxa"/>
            <w:tcBorders>
              <w:top w:val="single" w:sz="4" w:space="0" w:color="auto"/>
              <w:bottom w:val="single" w:sz="4" w:space="0" w:color="auto"/>
            </w:tcBorders>
            <w:shd w:val="clear" w:color="auto" w:fill="auto"/>
            <w:tcMar>
              <w:top w:w="0" w:type="dxa"/>
              <w:left w:w="0" w:type="dxa"/>
              <w:bottom w:w="0" w:type="dxa"/>
              <w:right w:w="0" w:type="dxa"/>
            </w:tcMar>
            <w:vAlign w:val="center"/>
          </w:tcPr>
          <w:p w14:paraId="68B2DE8E"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3,3</w:t>
            </w:r>
          </w:p>
        </w:tc>
        <w:tc>
          <w:tcPr>
            <w:tcW w:w="993" w:type="dxa"/>
            <w:tcBorders>
              <w:top w:val="single" w:sz="4" w:space="0" w:color="auto"/>
              <w:bottom w:val="single" w:sz="4" w:space="0" w:color="auto"/>
            </w:tcBorders>
            <w:shd w:val="clear" w:color="auto" w:fill="auto"/>
            <w:tcMar>
              <w:top w:w="0" w:type="dxa"/>
              <w:left w:w="0" w:type="dxa"/>
              <w:bottom w:w="0" w:type="dxa"/>
              <w:right w:w="0" w:type="dxa"/>
            </w:tcMar>
            <w:vAlign w:val="center"/>
          </w:tcPr>
          <w:p w14:paraId="3110E2B3"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2,0</w:t>
            </w:r>
          </w:p>
        </w:tc>
        <w:tc>
          <w:tcPr>
            <w:tcW w:w="850" w:type="dxa"/>
            <w:tcBorders>
              <w:top w:val="single" w:sz="4" w:space="0" w:color="auto"/>
              <w:bottom w:val="single" w:sz="4" w:space="0" w:color="auto"/>
            </w:tcBorders>
            <w:shd w:val="clear" w:color="auto" w:fill="auto"/>
            <w:tcMar>
              <w:top w:w="0" w:type="dxa"/>
              <w:left w:w="0" w:type="dxa"/>
              <w:bottom w:w="0" w:type="dxa"/>
              <w:right w:w="0" w:type="dxa"/>
            </w:tcMar>
            <w:vAlign w:val="center"/>
          </w:tcPr>
          <w:p w14:paraId="6FD5C331"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6,1</w:t>
            </w:r>
          </w:p>
        </w:tc>
        <w:tc>
          <w:tcPr>
            <w:tcW w:w="1134" w:type="dxa"/>
            <w:tcBorders>
              <w:top w:val="single" w:sz="4" w:space="0" w:color="auto"/>
              <w:bottom w:val="single" w:sz="4" w:space="0" w:color="auto"/>
              <w:right w:val="nil"/>
            </w:tcBorders>
            <w:shd w:val="clear" w:color="auto" w:fill="auto"/>
            <w:tcMar>
              <w:top w:w="0" w:type="dxa"/>
              <w:left w:w="0" w:type="dxa"/>
              <w:bottom w:w="0" w:type="dxa"/>
              <w:right w:w="0" w:type="dxa"/>
            </w:tcMar>
            <w:vAlign w:val="center"/>
          </w:tcPr>
          <w:p w14:paraId="76AE2AA7"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5,0</w:t>
            </w:r>
          </w:p>
        </w:tc>
        <w:tc>
          <w:tcPr>
            <w:tcW w:w="709" w:type="dxa"/>
            <w:tcBorders>
              <w:top w:val="single" w:sz="4" w:space="0" w:color="auto"/>
              <w:bottom w:val="single" w:sz="4" w:space="0" w:color="auto"/>
              <w:right w:val="nil"/>
            </w:tcBorders>
            <w:vAlign w:val="center"/>
          </w:tcPr>
          <w:p w14:paraId="12A7529D" w14:textId="330202FD" w:rsidR="00340395" w:rsidRDefault="00E143CF" w:rsidP="00340395">
            <w:pPr>
              <w:jc w:val="center"/>
              <w:rPr>
                <w:rFonts w:ascii="Calibri" w:hAnsi="Calibri" w:cs="Calibri"/>
                <w:color w:val="000000"/>
                <w:sz w:val="22"/>
                <w:szCs w:val="22"/>
              </w:rPr>
            </w:pPr>
            <w:r>
              <w:rPr>
                <w:rFonts w:ascii="Calibri" w:hAnsi="Calibri" w:cs="Calibri"/>
                <w:color w:val="000000"/>
                <w:sz w:val="22"/>
                <w:szCs w:val="22"/>
              </w:rPr>
              <w:t>-</w:t>
            </w:r>
          </w:p>
        </w:tc>
      </w:tr>
      <w:tr w:rsidR="00340395" w14:paraId="3DABA54E" w14:textId="77777777" w:rsidTr="00FD7170">
        <w:trPr>
          <w:trHeight w:val="375"/>
        </w:trPr>
        <w:tc>
          <w:tcPr>
            <w:tcW w:w="1748" w:type="dxa"/>
            <w:vMerge/>
            <w:tcBorders>
              <w:top w:val="single" w:sz="8" w:space="0" w:color="000000"/>
              <w:left w:val="nil"/>
              <w:bottom w:val="single" w:sz="8" w:space="0" w:color="000000"/>
              <w:right w:val="nil"/>
            </w:tcBorders>
            <w:shd w:val="clear" w:color="auto" w:fill="auto"/>
            <w:tcMar>
              <w:top w:w="0" w:type="dxa"/>
              <w:left w:w="0" w:type="dxa"/>
              <w:bottom w:w="0" w:type="dxa"/>
              <w:right w:w="0" w:type="dxa"/>
            </w:tcMar>
            <w:vAlign w:val="center"/>
          </w:tcPr>
          <w:p w14:paraId="351F0C9F" w14:textId="77777777" w:rsidR="00340395" w:rsidRDefault="00340395" w:rsidP="00340395">
            <w:pPr>
              <w:spacing w:line="228" w:lineRule="auto"/>
              <w:ind w:left="-20" w:right="-20"/>
              <w:jc w:val="center"/>
            </w:pPr>
          </w:p>
        </w:tc>
        <w:tc>
          <w:tcPr>
            <w:tcW w:w="1559" w:type="dxa"/>
            <w:tcBorders>
              <w:top w:val="single" w:sz="4" w:space="0" w:color="000000"/>
              <w:left w:val="nil"/>
              <w:bottom w:val="single" w:sz="8" w:space="0" w:color="000000"/>
            </w:tcBorders>
            <w:shd w:val="clear" w:color="auto" w:fill="auto"/>
            <w:tcMar>
              <w:top w:w="0" w:type="dxa"/>
              <w:left w:w="0" w:type="dxa"/>
              <w:bottom w:w="0" w:type="dxa"/>
              <w:right w:w="0" w:type="dxa"/>
            </w:tcMar>
            <w:vAlign w:val="center"/>
          </w:tcPr>
          <w:p w14:paraId="03340436" w14:textId="77777777" w:rsidR="00340395" w:rsidRDefault="00340395" w:rsidP="00FD7170">
            <w:pPr>
              <w:spacing w:line="228" w:lineRule="auto"/>
              <w:ind w:left="-20" w:right="-20"/>
              <w:jc w:val="center"/>
            </w:pPr>
            <w:r>
              <w:t>Mediterranean</w:t>
            </w:r>
          </w:p>
        </w:tc>
        <w:tc>
          <w:tcPr>
            <w:tcW w:w="992" w:type="dxa"/>
            <w:tcBorders>
              <w:top w:val="single" w:sz="4" w:space="0" w:color="auto"/>
              <w:bottom w:val="single" w:sz="4" w:space="0" w:color="auto"/>
            </w:tcBorders>
            <w:shd w:val="clear" w:color="auto" w:fill="auto"/>
            <w:tcMar>
              <w:top w:w="0" w:type="dxa"/>
              <w:left w:w="0" w:type="dxa"/>
              <w:bottom w:w="0" w:type="dxa"/>
              <w:right w:w="0" w:type="dxa"/>
            </w:tcMar>
            <w:vAlign w:val="center"/>
          </w:tcPr>
          <w:p w14:paraId="7D9233ED"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-28,4</w:t>
            </w:r>
          </w:p>
        </w:tc>
        <w:tc>
          <w:tcPr>
            <w:tcW w:w="993" w:type="dxa"/>
            <w:tcBorders>
              <w:top w:val="single" w:sz="4" w:space="0" w:color="auto"/>
              <w:bottom w:val="single" w:sz="4" w:space="0" w:color="auto"/>
            </w:tcBorders>
            <w:shd w:val="clear" w:color="auto" w:fill="auto"/>
            <w:tcMar>
              <w:top w:w="0" w:type="dxa"/>
              <w:left w:w="0" w:type="dxa"/>
              <w:bottom w:w="0" w:type="dxa"/>
              <w:right w:w="0" w:type="dxa"/>
            </w:tcMar>
            <w:vAlign w:val="center"/>
          </w:tcPr>
          <w:p w14:paraId="6CDF00A9"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1,8</w:t>
            </w:r>
          </w:p>
        </w:tc>
        <w:tc>
          <w:tcPr>
            <w:tcW w:w="850" w:type="dxa"/>
            <w:tcBorders>
              <w:top w:val="single" w:sz="4" w:space="0" w:color="auto"/>
              <w:bottom w:val="single" w:sz="4" w:space="0" w:color="auto"/>
            </w:tcBorders>
            <w:shd w:val="clear" w:color="auto" w:fill="auto"/>
            <w:tcMar>
              <w:top w:w="0" w:type="dxa"/>
              <w:left w:w="0" w:type="dxa"/>
              <w:bottom w:w="0" w:type="dxa"/>
              <w:right w:w="0" w:type="dxa"/>
            </w:tcMar>
            <w:vAlign w:val="center"/>
          </w:tcPr>
          <w:p w14:paraId="42294403"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5,1</w:t>
            </w:r>
          </w:p>
        </w:tc>
        <w:tc>
          <w:tcPr>
            <w:tcW w:w="1134" w:type="dxa"/>
            <w:tcBorders>
              <w:top w:val="single" w:sz="4" w:space="0" w:color="auto"/>
              <w:bottom w:val="single" w:sz="4" w:space="0" w:color="auto"/>
              <w:right w:val="nil"/>
            </w:tcBorders>
            <w:shd w:val="clear" w:color="auto" w:fill="auto"/>
            <w:tcMar>
              <w:top w:w="0" w:type="dxa"/>
              <w:left w:w="0" w:type="dxa"/>
              <w:bottom w:w="0" w:type="dxa"/>
              <w:right w:w="0" w:type="dxa"/>
            </w:tcMar>
            <w:vAlign w:val="center"/>
          </w:tcPr>
          <w:p w14:paraId="4423013B"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1,5</w:t>
            </w:r>
          </w:p>
        </w:tc>
        <w:tc>
          <w:tcPr>
            <w:tcW w:w="709" w:type="dxa"/>
            <w:tcBorders>
              <w:top w:val="single" w:sz="4" w:space="0" w:color="auto"/>
              <w:bottom w:val="single" w:sz="4" w:space="0" w:color="auto"/>
              <w:right w:val="nil"/>
            </w:tcBorders>
            <w:vAlign w:val="center"/>
          </w:tcPr>
          <w:p w14:paraId="0DF2FB9E" w14:textId="6F397BB9" w:rsidR="00340395" w:rsidRDefault="00E143CF" w:rsidP="00340395">
            <w:pPr>
              <w:jc w:val="center"/>
              <w:rPr>
                <w:rFonts w:ascii="Calibri" w:hAnsi="Calibri" w:cs="Calibri"/>
                <w:color w:val="000000"/>
                <w:sz w:val="22"/>
                <w:szCs w:val="22"/>
              </w:rPr>
            </w:pPr>
            <w:r>
              <w:rPr>
                <w:rFonts w:ascii="Calibri" w:hAnsi="Calibri" w:cs="Calibri"/>
                <w:color w:val="000000"/>
                <w:sz w:val="22"/>
                <w:szCs w:val="22"/>
              </w:rPr>
              <w:t>-</w:t>
            </w:r>
          </w:p>
        </w:tc>
      </w:tr>
      <w:tr w:rsidR="00340395" w14:paraId="1D643D63" w14:textId="77777777" w:rsidTr="00FD7170">
        <w:trPr>
          <w:trHeight w:val="450"/>
        </w:trPr>
        <w:tc>
          <w:tcPr>
            <w:tcW w:w="1748" w:type="dxa"/>
            <w:vMerge/>
            <w:tcBorders>
              <w:top w:val="single" w:sz="8" w:space="0" w:color="000000"/>
              <w:left w:val="nil"/>
              <w:bottom w:val="single" w:sz="8" w:space="0" w:color="000000"/>
              <w:right w:val="nil"/>
            </w:tcBorders>
            <w:shd w:val="clear" w:color="auto" w:fill="auto"/>
            <w:tcMar>
              <w:top w:w="0" w:type="dxa"/>
              <w:left w:w="0" w:type="dxa"/>
              <w:bottom w:w="0" w:type="dxa"/>
              <w:right w:w="0" w:type="dxa"/>
            </w:tcMar>
            <w:vAlign w:val="center"/>
          </w:tcPr>
          <w:p w14:paraId="7CF1710E" w14:textId="77777777" w:rsidR="00340395" w:rsidRDefault="00340395" w:rsidP="00340395">
            <w:pPr>
              <w:spacing w:line="228" w:lineRule="auto"/>
              <w:ind w:left="-20" w:right="-20"/>
              <w:jc w:val="center"/>
            </w:pPr>
          </w:p>
        </w:tc>
        <w:tc>
          <w:tcPr>
            <w:tcW w:w="1559" w:type="dxa"/>
            <w:tcBorders>
              <w:top w:val="single" w:sz="8" w:space="0" w:color="000000"/>
              <w:left w:val="nil"/>
              <w:bottom w:val="single" w:sz="8" w:space="0" w:color="000000"/>
            </w:tcBorders>
            <w:shd w:val="clear" w:color="auto" w:fill="auto"/>
            <w:tcMar>
              <w:top w:w="0" w:type="dxa"/>
              <w:left w:w="0" w:type="dxa"/>
              <w:bottom w:w="0" w:type="dxa"/>
              <w:right w:w="0" w:type="dxa"/>
            </w:tcMar>
            <w:vAlign w:val="center"/>
          </w:tcPr>
          <w:p w14:paraId="558B307A" w14:textId="77777777" w:rsidR="00340395" w:rsidRDefault="00340395" w:rsidP="00FD7170">
            <w:pPr>
              <w:spacing w:line="228" w:lineRule="auto"/>
              <w:ind w:left="-20" w:right="-20"/>
              <w:jc w:val="center"/>
            </w:pPr>
            <w:r>
              <w:t>Northern</w:t>
            </w:r>
          </w:p>
        </w:tc>
        <w:tc>
          <w:tcPr>
            <w:tcW w:w="992" w:type="dxa"/>
            <w:tcBorders>
              <w:top w:val="single" w:sz="4" w:space="0" w:color="auto"/>
              <w:bottom w:val="single" w:sz="4" w:space="0" w:color="auto"/>
            </w:tcBorders>
            <w:shd w:val="clear" w:color="auto" w:fill="auto"/>
            <w:tcMar>
              <w:top w:w="0" w:type="dxa"/>
              <w:left w:w="0" w:type="dxa"/>
              <w:bottom w:w="0" w:type="dxa"/>
              <w:right w:w="0" w:type="dxa"/>
            </w:tcMar>
            <w:vAlign w:val="center"/>
          </w:tcPr>
          <w:p w14:paraId="57CFA50A"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3,3</w:t>
            </w:r>
          </w:p>
        </w:tc>
        <w:tc>
          <w:tcPr>
            <w:tcW w:w="993" w:type="dxa"/>
            <w:tcBorders>
              <w:top w:val="single" w:sz="4" w:space="0" w:color="auto"/>
              <w:bottom w:val="single" w:sz="4" w:space="0" w:color="auto"/>
            </w:tcBorders>
            <w:shd w:val="clear" w:color="auto" w:fill="auto"/>
            <w:tcMar>
              <w:top w:w="0" w:type="dxa"/>
              <w:left w:w="0" w:type="dxa"/>
              <w:bottom w:w="0" w:type="dxa"/>
              <w:right w:w="0" w:type="dxa"/>
            </w:tcMar>
            <w:vAlign w:val="center"/>
          </w:tcPr>
          <w:p w14:paraId="53FB5FFA"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7,4</w:t>
            </w:r>
          </w:p>
        </w:tc>
        <w:tc>
          <w:tcPr>
            <w:tcW w:w="850" w:type="dxa"/>
            <w:tcBorders>
              <w:top w:val="single" w:sz="4" w:space="0" w:color="auto"/>
              <w:bottom w:val="single" w:sz="4" w:space="0" w:color="auto"/>
            </w:tcBorders>
            <w:shd w:val="clear" w:color="auto" w:fill="auto"/>
            <w:tcMar>
              <w:top w:w="0" w:type="dxa"/>
              <w:left w:w="0" w:type="dxa"/>
              <w:bottom w:w="0" w:type="dxa"/>
              <w:right w:w="0" w:type="dxa"/>
            </w:tcMar>
            <w:vAlign w:val="center"/>
          </w:tcPr>
          <w:p w14:paraId="6D9DD083"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23,7</w:t>
            </w:r>
          </w:p>
        </w:tc>
        <w:tc>
          <w:tcPr>
            <w:tcW w:w="1134" w:type="dxa"/>
            <w:tcBorders>
              <w:top w:val="single" w:sz="4" w:space="0" w:color="auto"/>
              <w:bottom w:val="single" w:sz="4" w:space="0" w:color="auto"/>
              <w:right w:val="nil"/>
            </w:tcBorders>
            <w:shd w:val="clear" w:color="auto" w:fill="auto"/>
            <w:tcMar>
              <w:top w:w="0" w:type="dxa"/>
              <w:left w:w="0" w:type="dxa"/>
              <w:bottom w:w="0" w:type="dxa"/>
              <w:right w:w="0" w:type="dxa"/>
            </w:tcMar>
            <w:vAlign w:val="center"/>
          </w:tcPr>
          <w:p w14:paraId="5A55117F"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1,7</w:t>
            </w:r>
          </w:p>
        </w:tc>
        <w:tc>
          <w:tcPr>
            <w:tcW w:w="709" w:type="dxa"/>
            <w:tcBorders>
              <w:top w:val="single" w:sz="4" w:space="0" w:color="auto"/>
              <w:bottom w:val="single" w:sz="4" w:space="0" w:color="auto"/>
              <w:right w:val="nil"/>
            </w:tcBorders>
            <w:vAlign w:val="center"/>
          </w:tcPr>
          <w:p w14:paraId="0C8D2229" w14:textId="0B4C63EB" w:rsidR="00340395" w:rsidRDefault="00E143CF" w:rsidP="00340395">
            <w:pPr>
              <w:jc w:val="center"/>
              <w:rPr>
                <w:rFonts w:ascii="Calibri" w:hAnsi="Calibri" w:cs="Calibri"/>
                <w:color w:val="000000"/>
                <w:sz w:val="22"/>
                <w:szCs w:val="22"/>
              </w:rPr>
            </w:pPr>
            <w:r>
              <w:rPr>
                <w:rFonts w:ascii="Calibri" w:hAnsi="Calibri" w:cs="Calibri"/>
                <w:color w:val="000000"/>
                <w:sz w:val="22"/>
                <w:szCs w:val="22"/>
              </w:rPr>
              <w:t>-</w:t>
            </w:r>
          </w:p>
        </w:tc>
      </w:tr>
      <w:tr w:rsidR="00340395" w14:paraId="75ED8E86" w14:textId="77777777" w:rsidTr="00FD7170">
        <w:trPr>
          <w:trHeight w:val="375"/>
        </w:trPr>
        <w:tc>
          <w:tcPr>
            <w:tcW w:w="1748" w:type="dxa"/>
            <w:vMerge/>
            <w:tcBorders>
              <w:top w:val="single" w:sz="8" w:space="0" w:color="000000"/>
              <w:left w:val="nil"/>
              <w:bottom w:val="single" w:sz="8" w:space="0" w:color="000000"/>
              <w:right w:val="nil"/>
            </w:tcBorders>
            <w:shd w:val="clear" w:color="auto" w:fill="auto"/>
            <w:tcMar>
              <w:top w:w="0" w:type="dxa"/>
              <w:left w:w="0" w:type="dxa"/>
              <w:bottom w:w="0" w:type="dxa"/>
              <w:right w:w="0" w:type="dxa"/>
            </w:tcMar>
            <w:vAlign w:val="center"/>
          </w:tcPr>
          <w:p w14:paraId="2993C52D" w14:textId="77777777" w:rsidR="00340395" w:rsidRDefault="00340395" w:rsidP="00340395">
            <w:pPr>
              <w:spacing w:line="228" w:lineRule="auto"/>
              <w:ind w:left="-20" w:right="-20"/>
              <w:jc w:val="center"/>
            </w:pPr>
          </w:p>
        </w:tc>
        <w:tc>
          <w:tcPr>
            <w:tcW w:w="1559" w:type="dxa"/>
            <w:tcBorders>
              <w:top w:val="single" w:sz="8" w:space="0" w:color="000000"/>
              <w:left w:val="nil"/>
              <w:bottom w:val="single" w:sz="8" w:space="0" w:color="000000"/>
            </w:tcBorders>
            <w:shd w:val="clear" w:color="auto" w:fill="auto"/>
            <w:tcMar>
              <w:top w:w="0" w:type="dxa"/>
              <w:left w:w="0" w:type="dxa"/>
              <w:bottom w:w="0" w:type="dxa"/>
              <w:right w:w="0" w:type="dxa"/>
            </w:tcMar>
            <w:vAlign w:val="center"/>
          </w:tcPr>
          <w:p w14:paraId="25000A65" w14:textId="77777777" w:rsidR="00340395" w:rsidRDefault="00340395" w:rsidP="00FD7170">
            <w:pPr>
              <w:spacing w:line="228" w:lineRule="auto"/>
              <w:ind w:left="-20" w:right="-20"/>
              <w:jc w:val="center"/>
            </w:pPr>
            <w:r>
              <w:t>Non-renewable</w:t>
            </w:r>
          </w:p>
        </w:tc>
        <w:tc>
          <w:tcPr>
            <w:tcW w:w="992" w:type="dxa"/>
            <w:tcBorders>
              <w:top w:val="single" w:sz="4" w:space="0" w:color="auto"/>
              <w:bottom w:val="single" w:sz="4" w:space="0" w:color="auto"/>
            </w:tcBorders>
            <w:shd w:val="clear" w:color="auto" w:fill="auto"/>
            <w:tcMar>
              <w:top w:w="0" w:type="dxa"/>
              <w:left w:w="0" w:type="dxa"/>
              <w:bottom w:w="0" w:type="dxa"/>
              <w:right w:w="0" w:type="dxa"/>
            </w:tcMar>
            <w:vAlign w:val="center"/>
          </w:tcPr>
          <w:p w14:paraId="0D9B7D44"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w:t>
            </w:r>
          </w:p>
        </w:tc>
        <w:tc>
          <w:tcPr>
            <w:tcW w:w="993" w:type="dxa"/>
            <w:tcBorders>
              <w:top w:val="single" w:sz="4" w:space="0" w:color="auto"/>
              <w:bottom w:val="single" w:sz="4" w:space="0" w:color="auto"/>
            </w:tcBorders>
            <w:shd w:val="clear" w:color="auto" w:fill="auto"/>
            <w:tcMar>
              <w:top w:w="0" w:type="dxa"/>
              <w:left w:w="0" w:type="dxa"/>
              <w:bottom w:w="0" w:type="dxa"/>
              <w:right w:w="0" w:type="dxa"/>
            </w:tcMar>
            <w:vAlign w:val="center"/>
          </w:tcPr>
          <w:p w14:paraId="21215280"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w:t>
            </w:r>
          </w:p>
        </w:tc>
        <w:tc>
          <w:tcPr>
            <w:tcW w:w="850" w:type="dxa"/>
            <w:tcBorders>
              <w:top w:val="single" w:sz="4" w:space="0" w:color="auto"/>
              <w:bottom w:val="single" w:sz="4" w:space="0" w:color="auto"/>
            </w:tcBorders>
            <w:shd w:val="clear" w:color="auto" w:fill="auto"/>
            <w:tcMar>
              <w:top w:w="0" w:type="dxa"/>
              <w:left w:w="0" w:type="dxa"/>
              <w:bottom w:w="0" w:type="dxa"/>
              <w:right w:w="0" w:type="dxa"/>
            </w:tcMar>
            <w:vAlign w:val="center"/>
          </w:tcPr>
          <w:p w14:paraId="1666C634"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w:t>
            </w:r>
          </w:p>
        </w:tc>
        <w:tc>
          <w:tcPr>
            <w:tcW w:w="1134" w:type="dxa"/>
            <w:tcBorders>
              <w:top w:val="single" w:sz="4" w:space="0" w:color="auto"/>
              <w:bottom w:val="single" w:sz="4" w:space="0" w:color="auto"/>
              <w:right w:val="nil"/>
            </w:tcBorders>
            <w:shd w:val="clear" w:color="auto" w:fill="auto"/>
            <w:tcMar>
              <w:top w:w="0" w:type="dxa"/>
              <w:left w:w="0" w:type="dxa"/>
              <w:bottom w:w="0" w:type="dxa"/>
              <w:right w:w="0" w:type="dxa"/>
            </w:tcMar>
            <w:vAlign w:val="center"/>
          </w:tcPr>
          <w:p w14:paraId="7FCE7A39"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w:t>
            </w:r>
          </w:p>
        </w:tc>
        <w:tc>
          <w:tcPr>
            <w:tcW w:w="709" w:type="dxa"/>
            <w:tcBorders>
              <w:top w:val="single" w:sz="4" w:space="0" w:color="auto"/>
              <w:bottom w:val="single" w:sz="4" w:space="0" w:color="auto"/>
              <w:right w:val="nil"/>
            </w:tcBorders>
            <w:vAlign w:val="center"/>
          </w:tcPr>
          <w:p w14:paraId="2F33EBE5"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100</w:t>
            </w:r>
          </w:p>
        </w:tc>
      </w:tr>
      <w:tr w:rsidR="00340395" w14:paraId="259CAFA3" w14:textId="77777777" w:rsidTr="00FD7170">
        <w:trPr>
          <w:trHeight w:val="375"/>
        </w:trPr>
        <w:tc>
          <w:tcPr>
            <w:tcW w:w="1748" w:type="dxa"/>
            <w:vMerge w:val="restart"/>
            <w:tcBorders>
              <w:top w:val="single" w:sz="8" w:space="0" w:color="000000"/>
              <w:left w:val="nil"/>
              <w:bottom w:val="single" w:sz="8" w:space="0" w:color="000000"/>
              <w:right w:val="nil"/>
            </w:tcBorders>
            <w:shd w:val="clear" w:color="auto" w:fill="auto"/>
            <w:tcMar>
              <w:top w:w="0" w:type="dxa"/>
              <w:left w:w="0" w:type="dxa"/>
              <w:bottom w:w="0" w:type="dxa"/>
              <w:right w:w="0" w:type="dxa"/>
            </w:tcMar>
            <w:vAlign w:val="center"/>
          </w:tcPr>
          <w:p w14:paraId="35819ED2" w14:textId="77777777" w:rsidR="00340395" w:rsidRDefault="00340395" w:rsidP="00340395">
            <w:pPr>
              <w:spacing w:line="228" w:lineRule="auto"/>
              <w:ind w:left="-20" w:right="-20"/>
              <w:jc w:val="center"/>
              <w:rPr>
                <w:b/>
              </w:rPr>
            </w:pPr>
            <w:r>
              <w:rPr>
                <w:b/>
              </w:rPr>
              <w:t xml:space="preserve">Resource use, </w:t>
            </w:r>
            <w:proofErr w:type="gramStart"/>
            <w:r>
              <w:rPr>
                <w:b/>
              </w:rPr>
              <w:t>minerals</w:t>
            </w:r>
            <w:proofErr w:type="gramEnd"/>
            <w:r>
              <w:rPr>
                <w:b/>
              </w:rPr>
              <w:t xml:space="preserve"> and metals</w:t>
            </w:r>
          </w:p>
        </w:tc>
        <w:tc>
          <w:tcPr>
            <w:tcW w:w="1559" w:type="dxa"/>
            <w:tcBorders>
              <w:top w:val="single" w:sz="4" w:space="0" w:color="000000"/>
              <w:left w:val="nil"/>
              <w:bottom w:val="single" w:sz="8" w:space="0" w:color="000000"/>
            </w:tcBorders>
            <w:shd w:val="clear" w:color="auto" w:fill="auto"/>
            <w:tcMar>
              <w:top w:w="0" w:type="dxa"/>
              <w:left w:w="0" w:type="dxa"/>
              <w:bottom w:w="0" w:type="dxa"/>
              <w:right w:w="0" w:type="dxa"/>
            </w:tcMar>
            <w:vAlign w:val="center"/>
          </w:tcPr>
          <w:p w14:paraId="48B6A6BF" w14:textId="77777777" w:rsidR="00340395" w:rsidRDefault="00340395" w:rsidP="00FD7170">
            <w:pPr>
              <w:spacing w:line="228" w:lineRule="auto"/>
              <w:ind w:left="-20" w:right="-20"/>
              <w:jc w:val="center"/>
            </w:pPr>
            <w:r>
              <w:t>Central</w:t>
            </w:r>
          </w:p>
        </w:tc>
        <w:tc>
          <w:tcPr>
            <w:tcW w:w="992" w:type="dxa"/>
            <w:tcBorders>
              <w:top w:val="single" w:sz="4" w:space="0" w:color="auto"/>
              <w:bottom w:val="single" w:sz="4" w:space="0" w:color="auto"/>
            </w:tcBorders>
            <w:shd w:val="clear" w:color="auto" w:fill="auto"/>
            <w:tcMar>
              <w:top w:w="0" w:type="dxa"/>
              <w:left w:w="0" w:type="dxa"/>
              <w:bottom w:w="0" w:type="dxa"/>
              <w:right w:w="0" w:type="dxa"/>
            </w:tcMar>
            <w:vAlign w:val="center"/>
          </w:tcPr>
          <w:p w14:paraId="2227B9AA"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0,5</w:t>
            </w:r>
          </w:p>
        </w:tc>
        <w:tc>
          <w:tcPr>
            <w:tcW w:w="993" w:type="dxa"/>
            <w:tcBorders>
              <w:top w:val="single" w:sz="4" w:space="0" w:color="auto"/>
              <w:bottom w:val="single" w:sz="4" w:space="0" w:color="auto"/>
            </w:tcBorders>
            <w:shd w:val="clear" w:color="auto" w:fill="auto"/>
            <w:tcMar>
              <w:top w:w="0" w:type="dxa"/>
              <w:left w:w="0" w:type="dxa"/>
              <w:bottom w:w="0" w:type="dxa"/>
              <w:right w:w="0" w:type="dxa"/>
            </w:tcMar>
            <w:vAlign w:val="center"/>
          </w:tcPr>
          <w:p w14:paraId="690A8526"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0,2</w:t>
            </w:r>
          </w:p>
        </w:tc>
        <w:tc>
          <w:tcPr>
            <w:tcW w:w="850" w:type="dxa"/>
            <w:tcBorders>
              <w:top w:val="single" w:sz="4" w:space="0" w:color="auto"/>
              <w:bottom w:val="single" w:sz="4" w:space="0" w:color="auto"/>
            </w:tcBorders>
            <w:shd w:val="clear" w:color="auto" w:fill="auto"/>
            <w:tcMar>
              <w:top w:w="0" w:type="dxa"/>
              <w:left w:w="0" w:type="dxa"/>
              <w:bottom w:w="0" w:type="dxa"/>
              <w:right w:w="0" w:type="dxa"/>
            </w:tcMar>
            <w:vAlign w:val="center"/>
          </w:tcPr>
          <w:p w14:paraId="53A2ED34"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0,1</w:t>
            </w:r>
          </w:p>
        </w:tc>
        <w:tc>
          <w:tcPr>
            <w:tcW w:w="1134" w:type="dxa"/>
            <w:tcBorders>
              <w:top w:val="single" w:sz="4" w:space="0" w:color="auto"/>
              <w:bottom w:val="single" w:sz="4" w:space="0" w:color="auto"/>
              <w:right w:val="nil"/>
            </w:tcBorders>
            <w:shd w:val="clear" w:color="auto" w:fill="auto"/>
            <w:tcMar>
              <w:top w:w="0" w:type="dxa"/>
              <w:left w:w="0" w:type="dxa"/>
              <w:bottom w:w="0" w:type="dxa"/>
              <w:right w:w="0" w:type="dxa"/>
            </w:tcMar>
            <w:vAlign w:val="center"/>
          </w:tcPr>
          <w:p w14:paraId="2C72BB09"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0,6</w:t>
            </w:r>
          </w:p>
        </w:tc>
        <w:tc>
          <w:tcPr>
            <w:tcW w:w="709" w:type="dxa"/>
            <w:tcBorders>
              <w:top w:val="single" w:sz="4" w:space="0" w:color="auto"/>
              <w:bottom w:val="single" w:sz="4" w:space="0" w:color="auto"/>
              <w:right w:val="nil"/>
            </w:tcBorders>
            <w:vAlign w:val="center"/>
          </w:tcPr>
          <w:p w14:paraId="487E0543" w14:textId="7E0B5C27" w:rsidR="00340395" w:rsidRDefault="00E143CF" w:rsidP="00340395">
            <w:pPr>
              <w:jc w:val="center"/>
              <w:rPr>
                <w:rFonts w:ascii="Calibri" w:hAnsi="Calibri" w:cs="Calibri"/>
                <w:color w:val="000000"/>
                <w:sz w:val="22"/>
                <w:szCs w:val="22"/>
              </w:rPr>
            </w:pPr>
            <w:r>
              <w:rPr>
                <w:rFonts w:ascii="Calibri" w:hAnsi="Calibri" w:cs="Calibri"/>
                <w:color w:val="000000"/>
                <w:sz w:val="22"/>
                <w:szCs w:val="22"/>
              </w:rPr>
              <w:t>-</w:t>
            </w:r>
          </w:p>
        </w:tc>
      </w:tr>
      <w:tr w:rsidR="00340395" w14:paraId="529B1950" w14:textId="77777777" w:rsidTr="00FD7170">
        <w:trPr>
          <w:trHeight w:val="375"/>
        </w:trPr>
        <w:tc>
          <w:tcPr>
            <w:tcW w:w="1748" w:type="dxa"/>
            <w:vMerge/>
            <w:tcBorders>
              <w:top w:val="single" w:sz="8" w:space="0" w:color="000000"/>
              <w:left w:val="nil"/>
              <w:bottom w:val="single" w:sz="8" w:space="0" w:color="000000"/>
              <w:right w:val="nil"/>
            </w:tcBorders>
            <w:shd w:val="clear" w:color="auto" w:fill="auto"/>
            <w:tcMar>
              <w:top w:w="0" w:type="dxa"/>
              <w:left w:w="0" w:type="dxa"/>
              <w:bottom w:w="0" w:type="dxa"/>
              <w:right w:w="0" w:type="dxa"/>
            </w:tcMar>
            <w:vAlign w:val="center"/>
          </w:tcPr>
          <w:p w14:paraId="070AC0F5" w14:textId="77777777" w:rsidR="00340395" w:rsidRDefault="00340395" w:rsidP="00340395">
            <w:pPr>
              <w:spacing w:line="228" w:lineRule="auto"/>
              <w:ind w:left="-20" w:right="-20"/>
              <w:jc w:val="center"/>
            </w:pPr>
          </w:p>
        </w:tc>
        <w:tc>
          <w:tcPr>
            <w:tcW w:w="1559" w:type="dxa"/>
            <w:tcBorders>
              <w:top w:val="single" w:sz="4" w:space="0" w:color="000000"/>
              <w:left w:val="nil"/>
              <w:bottom w:val="single" w:sz="8" w:space="0" w:color="000000"/>
            </w:tcBorders>
            <w:shd w:val="clear" w:color="auto" w:fill="auto"/>
            <w:tcMar>
              <w:top w:w="0" w:type="dxa"/>
              <w:left w:w="0" w:type="dxa"/>
              <w:bottom w:w="0" w:type="dxa"/>
              <w:right w:w="0" w:type="dxa"/>
            </w:tcMar>
            <w:vAlign w:val="center"/>
          </w:tcPr>
          <w:p w14:paraId="42992815" w14:textId="77777777" w:rsidR="00340395" w:rsidRDefault="00340395" w:rsidP="00FD7170">
            <w:pPr>
              <w:spacing w:line="228" w:lineRule="auto"/>
              <w:ind w:left="-20" w:right="-20"/>
              <w:jc w:val="center"/>
            </w:pPr>
            <w:r>
              <w:t>Mediterranean</w:t>
            </w:r>
          </w:p>
        </w:tc>
        <w:tc>
          <w:tcPr>
            <w:tcW w:w="992" w:type="dxa"/>
            <w:tcBorders>
              <w:top w:val="single" w:sz="4" w:space="0" w:color="auto"/>
              <w:bottom w:val="single" w:sz="4" w:space="0" w:color="auto"/>
            </w:tcBorders>
            <w:shd w:val="clear" w:color="auto" w:fill="auto"/>
            <w:tcMar>
              <w:top w:w="0" w:type="dxa"/>
              <w:left w:w="0" w:type="dxa"/>
              <w:bottom w:w="0" w:type="dxa"/>
              <w:right w:w="0" w:type="dxa"/>
            </w:tcMar>
            <w:vAlign w:val="center"/>
          </w:tcPr>
          <w:p w14:paraId="08A3867F"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-2,8</w:t>
            </w:r>
          </w:p>
        </w:tc>
        <w:tc>
          <w:tcPr>
            <w:tcW w:w="993" w:type="dxa"/>
            <w:tcBorders>
              <w:top w:val="single" w:sz="4" w:space="0" w:color="auto"/>
              <w:bottom w:val="single" w:sz="4" w:space="0" w:color="auto"/>
            </w:tcBorders>
            <w:shd w:val="clear" w:color="auto" w:fill="auto"/>
            <w:tcMar>
              <w:top w:w="0" w:type="dxa"/>
              <w:left w:w="0" w:type="dxa"/>
              <w:bottom w:w="0" w:type="dxa"/>
              <w:right w:w="0" w:type="dxa"/>
            </w:tcMar>
            <w:vAlign w:val="center"/>
          </w:tcPr>
          <w:p w14:paraId="046B79F3"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-0,1</w:t>
            </w:r>
          </w:p>
        </w:tc>
        <w:tc>
          <w:tcPr>
            <w:tcW w:w="850" w:type="dxa"/>
            <w:tcBorders>
              <w:top w:val="single" w:sz="4" w:space="0" w:color="auto"/>
              <w:bottom w:val="single" w:sz="4" w:space="0" w:color="auto"/>
            </w:tcBorders>
            <w:shd w:val="clear" w:color="auto" w:fill="auto"/>
            <w:tcMar>
              <w:top w:w="0" w:type="dxa"/>
              <w:left w:w="0" w:type="dxa"/>
              <w:bottom w:w="0" w:type="dxa"/>
              <w:right w:w="0" w:type="dxa"/>
            </w:tcMar>
            <w:vAlign w:val="center"/>
          </w:tcPr>
          <w:p w14:paraId="2A322184"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-0,1</w:t>
            </w:r>
          </w:p>
        </w:tc>
        <w:tc>
          <w:tcPr>
            <w:tcW w:w="1134" w:type="dxa"/>
            <w:tcBorders>
              <w:top w:val="single" w:sz="4" w:space="0" w:color="auto"/>
              <w:bottom w:val="single" w:sz="4" w:space="0" w:color="auto"/>
              <w:right w:val="nil"/>
            </w:tcBorders>
            <w:shd w:val="clear" w:color="auto" w:fill="auto"/>
            <w:tcMar>
              <w:top w:w="0" w:type="dxa"/>
              <w:left w:w="0" w:type="dxa"/>
              <w:bottom w:w="0" w:type="dxa"/>
              <w:right w:w="0" w:type="dxa"/>
            </w:tcMar>
            <w:vAlign w:val="center"/>
          </w:tcPr>
          <w:p w14:paraId="603C8E4E"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-0,2</w:t>
            </w:r>
          </w:p>
        </w:tc>
        <w:tc>
          <w:tcPr>
            <w:tcW w:w="709" w:type="dxa"/>
            <w:tcBorders>
              <w:top w:val="single" w:sz="4" w:space="0" w:color="auto"/>
              <w:bottom w:val="single" w:sz="4" w:space="0" w:color="auto"/>
              <w:right w:val="nil"/>
            </w:tcBorders>
            <w:vAlign w:val="center"/>
          </w:tcPr>
          <w:p w14:paraId="0E2C3FDF" w14:textId="14DB4460" w:rsidR="00340395" w:rsidRDefault="00E143CF" w:rsidP="00340395">
            <w:pPr>
              <w:jc w:val="center"/>
              <w:rPr>
                <w:rFonts w:ascii="Calibri" w:hAnsi="Calibri" w:cs="Calibri"/>
                <w:color w:val="000000"/>
                <w:sz w:val="22"/>
                <w:szCs w:val="22"/>
              </w:rPr>
            </w:pPr>
            <w:r>
              <w:rPr>
                <w:rFonts w:ascii="Calibri" w:hAnsi="Calibri" w:cs="Calibri"/>
                <w:color w:val="000000"/>
                <w:sz w:val="22"/>
                <w:szCs w:val="22"/>
              </w:rPr>
              <w:t>-</w:t>
            </w:r>
          </w:p>
        </w:tc>
      </w:tr>
      <w:tr w:rsidR="00340395" w14:paraId="15A29FE6" w14:textId="77777777" w:rsidTr="00FD7170">
        <w:trPr>
          <w:trHeight w:val="375"/>
        </w:trPr>
        <w:tc>
          <w:tcPr>
            <w:tcW w:w="1748" w:type="dxa"/>
            <w:vMerge/>
            <w:tcBorders>
              <w:top w:val="single" w:sz="8" w:space="0" w:color="000000"/>
              <w:left w:val="nil"/>
              <w:bottom w:val="single" w:sz="8" w:space="0" w:color="000000"/>
              <w:right w:val="nil"/>
            </w:tcBorders>
            <w:shd w:val="clear" w:color="auto" w:fill="auto"/>
            <w:tcMar>
              <w:top w:w="0" w:type="dxa"/>
              <w:left w:w="0" w:type="dxa"/>
              <w:bottom w:w="0" w:type="dxa"/>
              <w:right w:w="0" w:type="dxa"/>
            </w:tcMar>
            <w:vAlign w:val="center"/>
          </w:tcPr>
          <w:p w14:paraId="232700F5" w14:textId="77777777" w:rsidR="00340395" w:rsidRDefault="00340395" w:rsidP="00340395">
            <w:pPr>
              <w:spacing w:line="228" w:lineRule="auto"/>
              <w:ind w:left="-20" w:right="-20"/>
              <w:jc w:val="center"/>
            </w:pPr>
          </w:p>
        </w:tc>
        <w:tc>
          <w:tcPr>
            <w:tcW w:w="1559" w:type="dxa"/>
            <w:tcBorders>
              <w:top w:val="single" w:sz="8" w:space="0" w:color="000000"/>
              <w:left w:val="nil"/>
              <w:bottom w:val="single" w:sz="8" w:space="0" w:color="000000"/>
            </w:tcBorders>
            <w:shd w:val="clear" w:color="auto" w:fill="auto"/>
            <w:tcMar>
              <w:top w:w="0" w:type="dxa"/>
              <w:left w:w="0" w:type="dxa"/>
              <w:bottom w:w="0" w:type="dxa"/>
              <w:right w:w="0" w:type="dxa"/>
            </w:tcMar>
            <w:vAlign w:val="center"/>
          </w:tcPr>
          <w:p w14:paraId="2A5C8A40" w14:textId="77777777" w:rsidR="00340395" w:rsidRDefault="00340395" w:rsidP="00FD7170">
            <w:pPr>
              <w:spacing w:line="228" w:lineRule="auto"/>
              <w:ind w:left="-20" w:right="-20"/>
              <w:jc w:val="center"/>
            </w:pPr>
            <w:r>
              <w:t>Northern</w:t>
            </w:r>
          </w:p>
        </w:tc>
        <w:tc>
          <w:tcPr>
            <w:tcW w:w="992" w:type="dxa"/>
            <w:tcBorders>
              <w:top w:val="single" w:sz="4" w:space="0" w:color="auto"/>
              <w:bottom w:val="single" w:sz="4" w:space="0" w:color="auto"/>
            </w:tcBorders>
            <w:shd w:val="clear" w:color="auto" w:fill="auto"/>
            <w:tcMar>
              <w:top w:w="0" w:type="dxa"/>
              <w:left w:w="0" w:type="dxa"/>
              <w:bottom w:w="0" w:type="dxa"/>
              <w:right w:w="0" w:type="dxa"/>
            </w:tcMar>
            <w:vAlign w:val="center"/>
          </w:tcPr>
          <w:p w14:paraId="3B308B86"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-0,3</w:t>
            </w:r>
          </w:p>
        </w:tc>
        <w:tc>
          <w:tcPr>
            <w:tcW w:w="993" w:type="dxa"/>
            <w:tcBorders>
              <w:top w:val="single" w:sz="4" w:space="0" w:color="auto"/>
              <w:bottom w:val="single" w:sz="4" w:space="0" w:color="auto"/>
            </w:tcBorders>
            <w:shd w:val="clear" w:color="auto" w:fill="auto"/>
            <w:tcMar>
              <w:top w:w="0" w:type="dxa"/>
              <w:left w:w="0" w:type="dxa"/>
              <w:bottom w:w="0" w:type="dxa"/>
              <w:right w:w="0" w:type="dxa"/>
            </w:tcMar>
            <w:vAlign w:val="center"/>
          </w:tcPr>
          <w:p w14:paraId="50655817"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0,4</w:t>
            </w:r>
          </w:p>
        </w:tc>
        <w:tc>
          <w:tcPr>
            <w:tcW w:w="850" w:type="dxa"/>
            <w:tcBorders>
              <w:top w:val="single" w:sz="4" w:space="0" w:color="auto"/>
              <w:bottom w:val="single" w:sz="4" w:space="0" w:color="auto"/>
            </w:tcBorders>
            <w:shd w:val="clear" w:color="auto" w:fill="auto"/>
            <w:tcMar>
              <w:top w:w="0" w:type="dxa"/>
              <w:left w:w="0" w:type="dxa"/>
              <w:bottom w:w="0" w:type="dxa"/>
              <w:right w:w="0" w:type="dxa"/>
            </w:tcMar>
            <w:vAlign w:val="center"/>
          </w:tcPr>
          <w:p w14:paraId="5AF13DF9"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0,5</w:t>
            </w:r>
          </w:p>
        </w:tc>
        <w:tc>
          <w:tcPr>
            <w:tcW w:w="1134" w:type="dxa"/>
            <w:tcBorders>
              <w:top w:val="single" w:sz="4" w:space="0" w:color="auto"/>
              <w:bottom w:val="single" w:sz="4" w:space="0" w:color="auto"/>
              <w:right w:val="nil"/>
            </w:tcBorders>
            <w:shd w:val="clear" w:color="auto" w:fill="auto"/>
            <w:tcMar>
              <w:top w:w="0" w:type="dxa"/>
              <w:left w:w="0" w:type="dxa"/>
              <w:bottom w:w="0" w:type="dxa"/>
              <w:right w:w="0" w:type="dxa"/>
            </w:tcMar>
            <w:vAlign w:val="center"/>
          </w:tcPr>
          <w:p w14:paraId="73E36E91"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0,2</w:t>
            </w:r>
          </w:p>
        </w:tc>
        <w:tc>
          <w:tcPr>
            <w:tcW w:w="709" w:type="dxa"/>
            <w:tcBorders>
              <w:top w:val="single" w:sz="4" w:space="0" w:color="auto"/>
              <w:bottom w:val="single" w:sz="4" w:space="0" w:color="auto"/>
              <w:right w:val="nil"/>
            </w:tcBorders>
            <w:vAlign w:val="center"/>
          </w:tcPr>
          <w:p w14:paraId="7715AD34" w14:textId="3ADAC242" w:rsidR="00340395" w:rsidRDefault="00E143CF" w:rsidP="00340395">
            <w:pPr>
              <w:jc w:val="center"/>
              <w:rPr>
                <w:rFonts w:ascii="Calibri" w:hAnsi="Calibri" w:cs="Calibri"/>
                <w:color w:val="000000"/>
                <w:sz w:val="22"/>
                <w:szCs w:val="22"/>
              </w:rPr>
            </w:pPr>
            <w:r>
              <w:rPr>
                <w:rFonts w:ascii="Calibri" w:hAnsi="Calibri" w:cs="Calibri"/>
                <w:color w:val="000000"/>
                <w:sz w:val="22"/>
                <w:szCs w:val="22"/>
              </w:rPr>
              <w:t>-</w:t>
            </w:r>
          </w:p>
        </w:tc>
      </w:tr>
      <w:tr w:rsidR="00340395" w14:paraId="2EDD9FC4" w14:textId="77777777" w:rsidTr="00FD7170">
        <w:trPr>
          <w:trHeight w:val="375"/>
        </w:trPr>
        <w:tc>
          <w:tcPr>
            <w:tcW w:w="1748" w:type="dxa"/>
            <w:vMerge/>
            <w:tcBorders>
              <w:top w:val="single" w:sz="8" w:space="0" w:color="000000"/>
              <w:left w:val="nil"/>
              <w:bottom w:val="single" w:sz="8" w:space="0" w:color="000000"/>
              <w:right w:val="nil"/>
            </w:tcBorders>
            <w:shd w:val="clear" w:color="auto" w:fill="auto"/>
            <w:tcMar>
              <w:top w:w="0" w:type="dxa"/>
              <w:left w:w="0" w:type="dxa"/>
              <w:bottom w:w="0" w:type="dxa"/>
              <w:right w:w="0" w:type="dxa"/>
            </w:tcMar>
            <w:vAlign w:val="center"/>
          </w:tcPr>
          <w:p w14:paraId="1ADD05B6" w14:textId="77777777" w:rsidR="00340395" w:rsidRDefault="00340395" w:rsidP="00340395">
            <w:pPr>
              <w:spacing w:line="228" w:lineRule="auto"/>
              <w:ind w:left="-20" w:right="-20"/>
              <w:jc w:val="center"/>
            </w:pPr>
          </w:p>
        </w:tc>
        <w:tc>
          <w:tcPr>
            <w:tcW w:w="1559" w:type="dxa"/>
            <w:tcBorders>
              <w:top w:val="single" w:sz="8" w:space="0" w:color="000000"/>
              <w:left w:val="nil"/>
              <w:bottom w:val="single" w:sz="8" w:space="0" w:color="000000"/>
            </w:tcBorders>
            <w:shd w:val="clear" w:color="auto" w:fill="auto"/>
            <w:tcMar>
              <w:top w:w="0" w:type="dxa"/>
              <w:left w:w="0" w:type="dxa"/>
              <w:bottom w:w="0" w:type="dxa"/>
              <w:right w:w="0" w:type="dxa"/>
            </w:tcMar>
            <w:vAlign w:val="center"/>
          </w:tcPr>
          <w:p w14:paraId="2C30D1B6" w14:textId="77777777" w:rsidR="00340395" w:rsidRDefault="00340395" w:rsidP="00FD7170">
            <w:pPr>
              <w:spacing w:line="228" w:lineRule="auto"/>
              <w:ind w:left="-20" w:right="-20"/>
              <w:jc w:val="center"/>
            </w:pPr>
            <w:r>
              <w:t>Non-renewable</w:t>
            </w:r>
          </w:p>
        </w:tc>
        <w:tc>
          <w:tcPr>
            <w:tcW w:w="992" w:type="dxa"/>
            <w:tcBorders>
              <w:top w:val="single" w:sz="4" w:space="0" w:color="auto"/>
              <w:bottom w:val="single" w:sz="4" w:space="0" w:color="auto"/>
            </w:tcBorders>
            <w:shd w:val="clear" w:color="auto" w:fill="auto"/>
            <w:tcMar>
              <w:top w:w="0" w:type="dxa"/>
              <w:left w:w="0" w:type="dxa"/>
              <w:bottom w:w="0" w:type="dxa"/>
              <w:right w:w="0" w:type="dxa"/>
            </w:tcMar>
            <w:vAlign w:val="center"/>
          </w:tcPr>
          <w:p w14:paraId="67EA0E9A"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w:t>
            </w:r>
          </w:p>
        </w:tc>
        <w:tc>
          <w:tcPr>
            <w:tcW w:w="993" w:type="dxa"/>
            <w:tcBorders>
              <w:top w:val="single" w:sz="4" w:space="0" w:color="auto"/>
              <w:bottom w:val="single" w:sz="4" w:space="0" w:color="auto"/>
            </w:tcBorders>
            <w:shd w:val="clear" w:color="auto" w:fill="auto"/>
            <w:tcMar>
              <w:top w:w="0" w:type="dxa"/>
              <w:left w:w="0" w:type="dxa"/>
              <w:bottom w:w="0" w:type="dxa"/>
              <w:right w:w="0" w:type="dxa"/>
            </w:tcMar>
            <w:vAlign w:val="center"/>
          </w:tcPr>
          <w:p w14:paraId="193F21D5"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w:t>
            </w:r>
          </w:p>
        </w:tc>
        <w:tc>
          <w:tcPr>
            <w:tcW w:w="850" w:type="dxa"/>
            <w:tcBorders>
              <w:top w:val="single" w:sz="4" w:space="0" w:color="auto"/>
              <w:bottom w:val="single" w:sz="4" w:space="0" w:color="auto"/>
            </w:tcBorders>
            <w:shd w:val="clear" w:color="auto" w:fill="auto"/>
            <w:tcMar>
              <w:top w:w="0" w:type="dxa"/>
              <w:left w:w="0" w:type="dxa"/>
              <w:bottom w:w="0" w:type="dxa"/>
              <w:right w:w="0" w:type="dxa"/>
            </w:tcMar>
            <w:vAlign w:val="center"/>
          </w:tcPr>
          <w:p w14:paraId="2601B3D5"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w:t>
            </w:r>
          </w:p>
        </w:tc>
        <w:tc>
          <w:tcPr>
            <w:tcW w:w="1134" w:type="dxa"/>
            <w:tcBorders>
              <w:top w:val="single" w:sz="4" w:space="0" w:color="auto"/>
              <w:bottom w:val="single" w:sz="4" w:space="0" w:color="auto"/>
              <w:right w:val="nil"/>
            </w:tcBorders>
            <w:shd w:val="clear" w:color="auto" w:fill="auto"/>
            <w:tcMar>
              <w:top w:w="0" w:type="dxa"/>
              <w:left w:w="0" w:type="dxa"/>
              <w:bottom w:w="0" w:type="dxa"/>
              <w:right w:w="0" w:type="dxa"/>
            </w:tcMar>
            <w:vAlign w:val="center"/>
          </w:tcPr>
          <w:p w14:paraId="2A5CC8D9"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w:t>
            </w:r>
          </w:p>
        </w:tc>
        <w:tc>
          <w:tcPr>
            <w:tcW w:w="709" w:type="dxa"/>
            <w:tcBorders>
              <w:top w:val="single" w:sz="4" w:space="0" w:color="auto"/>
              <w:bottom w:val="single" w:sz="4" w:space="0" w:color="auto"/>
              <w:right w:val="nil"/>
            </w:tcBorders>
            <w:vAlign w:val="center"/>
          </w:tcPr>
          <w:p w14:paraId="4491F7D6"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100</w:t>
            </w:r>
          </w:p>
        </w:tc>
      </w:tr>
      <w:tr w:rsidR="00340395" w14:paraId="37C59088" w14:textId="77777777" w:rsidTr="00FD7170">
        <w:trPr>
          <w:trHeight w:val="375"/>
        </w:trPr>
        <w:tc>
          <w:tcPr>
            <w:tcW w:w="1748" w:type="dxa"/>
            <w:vMerge w:val="restart"/>
            <w:tcBorders>
              <w:top w:val="single" w:sz="8" w:space="0" w:color="000000"/>
              <w:left w:val="nil"/>
              <w:bottom w:val="single" w:sz="8" w:space="0" w:color="000000"/>
              <w:right w:val="nil"/>
            </w:tcBorders>
            <w:shd w:val="clear" w:color="auto" w:fill="auto"/>
            <w:tcMar>
              <w:top w:w="0" w:type="dxa"/>
              <w:left w:w="0" w:type="dxa"/>
              <w:bottom w:w="0" w:type="dxa"/>
              <w:right w:w="0" w:type="dxa"/>
            </w:tcMar>
            <w:vAlign w:val="center"/>
          </w:tcPr>
          <w:p w14:paraId="0746DF93" w14:textId="77777777" w:rsidR="00340395" w:rsidRDefault="00340395" w:rsidP="00340395">
            <w:pPr>
              <w:spacing w:line="228" w:lineRule="auto"/>
              <w:ind w:left="-20" w:right="-20"/>
              <w:jc w:val="center"/>
              <w:rPr>
                <w:b/>
              </w:rPr>
            </w:pPr>
            <w:r>
              <w:rPr>
                <w:b/>
              </w:rPr>
              <w:t>Water use</w:t>
            </w:r>
          </w:p>
        </w:tc>
        <w:tc>
          <w:tcPr>
            <w:tcW w:w="1559" w:type="dxa"/>
            <w:tcBorders>
              <w:top w:val="single" w:sz="4" w:space="0" w:color="000000"/>
              <w:left w:val="nil"/>
              <w:bottom w:val="single" w:sz="8" w:space="0" w:color="000000"/>
            </w:tcBorders>
            <w:shd w:val="clear" w:color="auto" w:fill="auto"/>
            <w:tcMar>
              <w:top w:w="0" w:type="dxa"/>
              <w:left w:w="0" w:type="dxa"/>
              <w:bottom w:w="0" w:type="dxa"/>
              <w:right w:w="0" w:type="dxa"/>
            </w:tcMar>
            <w:vAlign w:val="center"/>
          </w:tcPr>
          <w:p w14:paraId="44FBB4D0" w14:textId="77777777" w:rsidR="00340395" w:rsidRDefault="00340395" w:rsidP="00FD7170">
            <w:pPr>
              <w:spacing w:line="228" w:lineRule="auto"/>
              <w:ind w:left="-20" w:right="-20"/>
              <w:jc w:val="center"/>
            </w:pPr>
            <w:r>
              <w:t>Central</w:t>
            </w:r>
          </w:p>
        </w:tc>
        <w:tc>
          <w:tcPr>
            <w:tcW w:w="992" w:type="dxa"/>
            <w:tcBorders>
              <w:top w:val="single" w:sz="4" w:space="0" w:color="auto"/>
              <w:bottom w:val="single" w:sz="4" w:space="0" w:color="auto"/>
            </w:tcBorders>
            <w:shd w:val="clear" w:color="auto" w:fill="auto"/>
            <w:tcMar>
              <w:top w:w="0" w:type="dxa"/>
              <w:left w:w="0" w:type="dxa"/>
              <w:bottom w:w="0" w:type="dxa"/>
              <w:right w:w="0" w:type="dxa"/>
            </w:tcMar>
            <w:vAlign w:val="center"/>
          </w:tcPr>
          <w:p w14:paraId="07546210"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-47,1</w:t>
            </w:r>
          </w:p>
        </w:tc>
        <w:tc>
          <w:tcPr>
            <w:tcW w:w="993" w:type="dxa"/>
            <w:tcBorders>
              <w:top w:val="single" w:sz="4" w:space="0" w:color="auto"/>
              <w:bottom w:val="single" w:sz="4" w:space="0" w:color="auto"/>
            </w:tcBorders>
            <w:shd w:val="clear" w:color="auto" w:fill="auto"/>
            <w:tcMar>
              <w:top w:w="0" w:type="dxa"/>
              <w:left w:w="0" w:type="dxa"/>
              <w:bottom w:w="0" w:type="dxa"/>
              <w:right w:w="0" w:type="dxa"/>
            </w:tcMar>
            <w:vAlign w:val="center"/>
          </w:tcPr>
          <w:p w14:paraId="4B42B2C3"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-5,5</w:t>
            </w:r>
          </w:p>
        </w:tc>
        <w:tc>
          <w:tcPr>
            <w:tcW w:w="850" w:type="dxa"/>
            <w:tcBorders>
              <w:top w:val="single" w:sz="4" w:space="0" w:color="auto"/>
              <w:bottom w:val="single" w:sz="4" w:space="0" w:color="auto"/>
            </w:tcBorders>
            <w:shd w:val="clear" w:color="auto" w:fill="auto"/>
            <w:tcMar>
              <w:top w:w="0" w:type="dxa"/>
              <w:left w:w="0" w:type="dxa"/>
              <w:bottom w:w="0" w:type="dxa"/>
              <w:right w:w="0" w:type="dxa"/>
            </w:tcMar>
            <w:vAlign w:val="center"/>
          </w:tcPr>
          <w:p w14:paraId="58D0D075"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-5,4</w:t>
            </w:r>
          </w:p>
        </w:tc>
        <w:tc>
          <w:tcPr>
            <w:tcW w:w="1134" w:type="dxa"/>
            <w:tcBorders>
              <w:top w:val="single" w:sz="4" w:space="0" w:color="auto"/>
              <w:bottom w:val="single" w:sz="4" w:space="0" w:color="auto"/>
              <w:right w:val="nil"/>
            </w:tcBorders>
            <w:shd w:val="clear" w:color="auto" w:fill="auto"/>
            <w:tcMar>
              <w:top w:w="0" w:type="dxa"/>
              <w:left w:w="0" w:type="dxa"/>
              <w:bottom w:w="0" w:type="dxa"/>
              <w:right w:w="0" w:type="dxa"/>
            </w:tcMar>
            <w:vAlign w:val="center"/>
          </w:tcPr>
          <w:p w14:paraId="5DDA0EBD"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-16,0</w:t>
            </w:r>
          </w:p>
        </w:tc>
        <w:tc>
          <w:tcPr>
            <w:tcW w:w="709" w:type="dxa"/>
            <w:tcBorders>
              <w:top w:val="single" w:sz="4" w:space="0" w:color="auto"/>
              <w:bottom w:val="single" w:sz="4" w:space="0" w:color="auto"/>
              <w:right w:val="nil"/>
            </w:tcBorders>
            <w:vAlign w:val="center"/>
          </w:tcPr>
          <w:p w14:paraId="11745AA1" w14:textId="755B3E55" w:rsidR="00340395" w:rsidRDefault="00E143CF" w:rsidP="00340395">
            <w:pPr>
              <w:jc w:val="center"/>
              <w:rPr>
                <w:rFonts w:ascii="Calibri" w:hAnsi="Calibri" w:cs="Calibri"/>
                <w:color w:val="000000"/>
                <w:sz w:val="22"/>
                <w:szCs w:val="22"/>
              </w:rPr>
            </w:pPr>
            <w:r>
              <w:rPr>
                <w:rFonts w:ascii="Calibri" w:hAnsi="Calibri" w:cs="Calibri"/>
                <w:color w:val="000000"/>
                <w:sz w:val="22"/>
                <w:szCs w:val="22"/>
              </w:rPr>
              <w:t>-</w:t>
            </w:r>
          </w:p>
        </w:tc>
      </w:tr>
      <w:tr w:rsidR="00340395" w14:paraId="17F6D5A1" w14:textId="77777777" w:rsidTr="00FD7170">
        <w:trPr>
          <w:trHeight w:val="375"/>
        </w:trPr>
        <w:tc>
          <w:tcPr>
            <w:tcW w:w="1748" w:type="dxa"/>
            <w:vMerge/>
            <w:tcBorders>
              <w:top w:val="single" w:sz="8" w:space="0" w:color="000000"/>
              <w:left w:val="nil"/>
              <w:bottom w:val="single" w:sz="8" w:space="0" w:color="000000"/>
              <w:right w:val="nil"/>
            </w:tcBorders>
            <w:shd w:val="clear" w:color="auto" w:fill="auto"/>
            <w:tcMar>
              <w:top w:w="0" w:type="dxa"/>
              <w:left w:w="0" w:type="dxa"/>
              <w:bottom w:w="0" w:type="dxa"/>
              <w:right w:w="0" w:type="dxa"/>
            </w:tcMar>
            <w:vAlign w:val="center"/>
          </w:tcPr>
          <w:p w14:paraId="3146742B" w14:textId="77777777" w:rsidR="00340395" w:rsidRDefault="00340395" w:rsidP="00340395">
            <w:pPr>
              <w:spacing w:line="228" w:lineRule="auto"/>
              <w:ind w:left="-20" w:right="-20"/>
            </w:pPr>
          </w:p>
        </w:tc>
        <w:tc>
          <w:tcPr>
            <w:tcW w:w="1559" w:type="dxa"/>
            <w:tcBorders>
              <w:top w:val="single" w:sz="4" w:space="0" w:color="000000"/>
              <w:left w:val="nil"/>
              <w:bottom w:val="single" w:sz="8" w:space="0" w:color="000000"/>
            </w:tcBorders>
            <w:shd w:val="clear" w:color="auto" w:fill="auto"/>
            <w:tcMar>
              <w:top w:w="0" w:type="dxa"/>
              <w:left w:w="0" w:type="dxa"/>
              <w:bottom w:w="0" w:type="dxa"/>
              <w:right w:w="0" w:type="dxa"/>
            </w:tcMar>
            <w:vAlign w:val="center"/>
          </w:tcPr>
          <w:p w14:paraId="76E36963" w14:textId="77777777" w:rsidR="00340395" w:rsidRDefault="00340395" w:rsidP="00FD7170">
            <w:pPr>
              <w:spacing w:line="228" w:lineRule="auto"/>
              <w:ind w:left="-20" w:right="-20"/>
              <w:jc w:val="center"/>
            </w:pPr>
            <w:r>
              <w:t>Mediterranean</w:t>
            </w:r>
          </w:p>
        </w:tc>
        <w:tc>
          <w:tcPr>
            <w:tcW w:w="992" w:type="dxa"/>
            <w:tcBorders>
              <w:top w:val="single" w:sz="4" w:space="0" w:color="auto"/>
              <w:bottom w:val="single" w:sz="4" w:space="0" w:color="auto"/>
            </w:tcBorders>
            <w:shd w:val="clear" w:color="auto" w:fill="auto"/>
            <w:tcMar>
              <w:top w:w="0" w:type="dxa"/>
              <w:left w:w="0" w:type="dxa"/>
              <w:bottom w:w="0" w:type="dxa"/>
              <w:right w:w="0" w:type="dxa"/>
            </w:tcMar>
            <w:vAlign w:val="center"/>
          </w:tcPr>
          <w:p w14:paraId="0D4EFE05"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-79,2</w:t>
            </w:r>
          </w:p>
        </w:tc>
        <w:tc>
          <w:tcPr>
            <w:tcW w:w="993" w:type="dxa"/>
            <w:tcBorders>
              <w:top w:val="single" w:sz="4" w:space="0" w:color="auto"/>
              <w:bottom w:val="single" w:sz="4" w:space="0" w:color="auto"/>
            </w:tcBorders>
            <w:shd w:val="clear" w:color="auto" w:fill="auto"/>
            <w:tcMar>
              <w:top w:w="0" w:type="dxa"/>
              <w:left w:w="0" w:type="dxa"/>
              <w:bottom w:w="0" w:type="dxa"/>
              <w:right w:w="0" w:type="dxa"/>
            </w:tcMar>
            <w:vAlign w:val="center"/>
          </w:tcPr>
          <w:p w14:paraId="2A73AD75"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-5,3</w:t>
            </w:r>
          </w:p>
        </w:tc>
        <w:tc>
          <w:tcPr>
            <w:tcW w:w="850" w:type="dxa"/>
            <w:tcBorders>
              <w:top w:val="single" w:sz="4" w:space="0" w:color="auto"/>
              <w:bottom w:val="single" w:sz="4" w:space="0" w:color="auto"/>
            </w:tcBorders>
            <w:shd w:val="clear" w:color="auto" w:fill="auto"/>
            <w:tcMar>
              <w:top w:w="0" w:type="dxa"/>
              <w:left w:w="0" w:type="dxa"/>
              <w:bottom w:w="0" w:type="dxa"/>
              <w:right w:w="0" w:type="dxa"/>
            </w:tcMar>
            <w:vAlign w:val="center"/>
          </w:tcPr>
          <w:p w14:paraId="32D2185A"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-5,3</w:t>
            </w:r>
          </w:p>
        </w:tc>
        <w:tc>
          <w:tcPr>
            <w:tcW w:w="1134" w:type="dxa"/>
            <w:tcBorders>
              <w:top w:val="single" w:sz="4" w:space="0" w:color="auto"/>
              <w:bottom w:val="single" w:sz="4" w:space="0" w:color="auto"/>
              <w:right w:val="nil"/>
            </w:tcBorders>
            <w:shd w:val="clear" w:color="auto" w:fill="auto"/>
            <w:tcMar>
              <w:top w:w="0" w:type="dxa"/>
              <w:left w:w="0" w:type="dxa"/>
              <w:bottom w:w="0" w:type="dxa"/>
              <w:right w:w="0" w:type="dxa"/>
            </w:tcMar>
            <w:vAlign w:val="center"/>
          </w:tcPr>
          <w:p w14:paraId="40FD0D09"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-5,2</w:t>
            </w:r>
          </w:p>
        </w:tc>
        <w:tc>
          <w:tcPr>
            <w:tcW w:w="709" w:type="dxa"/>
            <w:tcBorders>
              <w:top w:val="single" w:sz="4" w:space="0" w:color="auto"/>
              <w:bottom w:val="single" w:sz="4" w:space="0" w:color="auto"/>
              <w:right w:val="nil"/>
            </w:tcBorders>
            <w:vAlign w:val="center"/>
          </w:tcPr>
          <w:p w14:paraId="46E9F207" w14:textId="48733359" w:rsidR="00340395" w:rsidRDefault="00E143CF" w:rsidP="00340395">
            <w:pPr>
              <w:jc w:val="center"/>
              <w:rPr>
                <w:rFonts w:ascii="Calibri" w:hAnsi="Calibri" w:cs="Calibri"/>
                <w:color w:val="000000"/>
                <w:sz w:val="22"/>
                <w:szCs w:val="22"/>
              </w:rPr>
            </w:pPr>
            <w:r>
              <w:rPr>
                <w:rFonts w:ascii="Calibri" w:hAnsi="Calibri" w:cs="Calibri"/>
                <w:color w:val="000000"/>
                <w:sz w:val="22"/>
                <w:szCs w:val="22"/>
              </w:rPr>
              <w:t>-</w:t>
            </w:r>
          </w:p>
        </w:tc>
      </w:tr>
      <w:tr w:rsidR="00340395" w14:paraId="01F59AD1" w14:textId="77777777" w:rsidTr="00FD7170">
        <w:trPr>
          <w:trHeight w:val="375"/>
        </w:trPr>
        <w:tc>
          <w:tcPr>
            <w:tcW w:w="1748" w:type="dxa"/>
            <w:vMerge/>
            <w:tcBorders>
              <w:top w:val="single" w:sz="8" w:space="0" w:color="000000"/>
              <w:left w:val="nil"/>
              <w:bottom w:val="single" w:sz="8" w:space="0" w:color="000000"/>
              <w:right w:val="nil"/>
            </w:tcBorders>
            <w:shd w:val="clear" w:color="auto" w:fill="auto"/>
            <w:tcMar>
              <w:top w:w="0" w:type="dxa"/>
              <w:left w:w="0" w:type="dxa"/>
              <w:bottom w:w="0" w:type="dxa"/>
              <w:right w:w="0" w:type="dxa"/>
            </w:tcMar>
            <w:vAlign w:val="center"/>
          </w:tcPr>
          <w:p w14:paraId="736E4838" w14:textId="77777777" w:rsidR="00340395" w:rsidRDefault="00340395" w:rsidP="00340395">
            <w:pPr>
              <w:spacing w:line="228" w:lineRule="auto"/>
              <w:ind w:left="-20" w:right="-20"/>
            </w:pPr>
          </w:p>
        </w:tc>
        <w:tc>
          <w:tcPr>
            <w:tcW w:w="1559" w:type="dxa"/>
            <w:tcBorders>
              <w:top w:val="single" w:sz="8" w:space="0" w:color="000000"/>
              <w:left w:val="nil"/>
              <w:bottom w:val="single" w:sz="8" w:space="0" w:color="000000"/>
            </w:tcBorders>
            <w:shd w:val="clear" w:color="auto" w:fill="auto"/>
            <w:tcMar>
              <w:top w:w="0" w:type="dxa"/>
              <w:left w:w="0" w:type="dxa"/>
              <w:bottom w:w="0" w:type="dxa"/>
              <w:right w:w="0" w:type="dxa"/>
            </w:tcMar>
            <w:vAlign w:val="center"/>
          </w:tcPr>
          <w:p w14:paraId="68D5782A" w14:textId="77777777" w:rsidR="00340395" w:rsidRDefault="00340395" w:rsidP="00FD7170">
            <w:pPr>
              <w:spacing w:line="228" w:lineRule="auto"/>
              <w:ind w:left="-20" w:right="-20"/>
              <w:jc w:val="center"/>
            </w:pPr>
            <w:r>
              <w:t>Northern</w:t>
            </w:r>
          </w:p>
        </w:tc>
        <w:tc>
          <w:tcPr>
            <w:tcW w:w="992" w:type="dxa"/>
            <w:tcBorders>
              <w:top w:val="single" w:sz="4" w:space="0" w:color="auto"/>
              <w:bottom w:val="single" w:sz="4" w:space="0" w:color="auto"/>
            </w:tcBorders>
            <w:shd w:val="clear" w:color="auto" w:fill="auto"/>
            <w:tcMar>
              <w:top w:w="0" w:type="dxa"/>
              <w:left w:w="0" w:type="dxa"/>
              <w:bottom w:w="0" w:type="dxa"/>
              <w:right w:w="0" w:type="dxa"/>
            </w:tcMar>
            <w:vAlign w:val="center"/>
          </w:tcPr>
          <w:p w14:paraId="606FCBC8"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-8,8</w:t>
            </w:r>
          </w:p>
        </w:tc>
        <w:tc>
          <w:tcPr>
            <w:tcW w:w="993" w:type="dxa"/>
            <w:tcBorders>
              <w:top w:val="single" w:sz="4" w:space="0" w:color="auto"/>
              <w:bottom w:val="single" w:sz="4" w:space="0" w:color="auto"/>
            </w:tcBorders>
            <w:shd w:val="clear" w:color="auto" w:fill="auto"/>
            <w:tcMar>
              <w:top w:w="0" w:type="dxa"/>
              <w:left w:w="0" w:type="dxa"/>
              <w:bottom w:w="0" w:type="dxa"/>
              <w:right w:w="0" w:type="dxa"/>
            </w:tcMar>
            <w:vAlign w:val="center"/>
          </w:tcPr>
          <w:p w14:paraId="3BE9A068"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-23,8</w:t>
            </w:r>
          </w:p>
        </w:tc>
        <w:tc>
          <w:tcPr>
            <w:tcW w:w="850" w:type="dxa"/>
            <w:tcBorders>
              <w:top w:val="single" w:sz="4" w:space="0" w:color="auto"/>
              <w:bottom w:val="single" w:sz="4" w:space="0" w:color="auto"/>
            </w:tcBorders>
            <w:shd w:val="clear" w:color="auto" w:fill="auto"/>
            <w:tcMar>
              <w:top w:w="0" w:type="dxa"/>
              <w:left w:w="0" w:type="dxa"/>
              <w:bottom w:w="0" w:type="dxa"/>
              <w:right w:w="0" w:type="dxa"/>
            </w:tcMar>
            <w:vAlign w:val="center"/>
          </w:tcPr>
          <w:p w14:paraId="0CBB8D13"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-25,9</w:t>
            </w:r>
          </w:p>
        </w:tc>
        <w:tc>
          <w:tcPr>
            <w:tcW w:w="1134" w:type="dxa"/>
            <w:tcBorders>
              <w:top w:val="single" w:sz="4" w:space="0" w:color="auto"/>
              <w:bottom w:val="single" w:sz="4" w:space="0" w:color="auto"/>
              <w:right w:val="nil"/>
            </w:tcBorders>
            <w:shd w:val="clear" w:color="auto" w:fill="auto"/>
            <w:tcMar>
              <w:top w:w="0" w:type="dxa"/>
              <w:left w:w="0" w:type="dxa"/>
              <w:bottom w:w="0" w:type="dxa"/>
              <w:right w:w="0" w:type="dxa"/>
            </w:tcMar>
            <w:vAlign w:val="center"/>
          </w:tcPr>
          <w:p w14:paraId="121FDCD5"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-7,5</w:t>
            </w:r>
          </w:p>
        </w:tc>
        <w:tc>
          <w:tcPr>
            <w:tcW w:w="709" w:type="dxa"/>
            <w:tcBorders>
              <w:top w:val="single" w:sz="4" w:space="0" w:color="auto"/>
              <w:bottom w:val="single" w:sz="4" w:space="0" w:color="auto"/>
              <w:right w:val="nil"/>
            </w:tcBorders>
            <w:vAlign w:val="center"/>
          </w:tcPr>
          <w:p w14:paraId="6B67A36E" w14:textId="0685A98A" w:rsidR="00340395" w:rsidRDefault="00E143CF" w:rsidP="00340395">
            <w:pPr>
              <w:jc w:val="center"/>
              <w:rPr>
                <w:rFonts w:ascii="Calibri" w:hAnsi="Calibri" w:cs="Calibri"/>
                <w:color w:val="000000"/>
                <w:sz w:val="22"/>
                <w:szCs w:val="22"/>
              </w:rPr>
            </w:pPr>
            <w:r>
              <w:rPr>
                <w:rFonts w:ascii="Calibri" w:hAnsi="Calibri" w:cs="Calibri"/>
                <w:color w:val="000000"/>
                <w:sz w:val="22"/>
                <w:szCs w:val="22"/>
              </w:rPr>
              <w:t>-</w:t>
            </w:r>
          </w:p>
        </w:tc>
      </w:tr>
      <w:tr w:rsidR="00340395" w14:paraId="532A9B8A" w14:textId="77777777" w:rsidTr="00FD7170">
        <w:trPr>
          <w:trHeight w:val="296"/>
        </w:trPr>
        <w:tc>
          <w:tcPr>
            <w:tcW w:w="1748" w:type="dxa"/>
            <w:vMerge/>
            <w:tcBorders>
              <w:top w:val="single" w:sz="8" w:space="0" w:color="000000"/>
              <w:left w:val="nil"/>
              <w:bottom w:val="single" w:sz="8" w:space="0" w:color="000000"/>
              <w:right w:val="nil"/>
            </w:tcBorders>
            <w:shd w:val="clear" w:color="auto" w:fill="auto"/>
            <w:tcMar>
              <w:top w:w="0" w:type="dxa"/>
              <w:left w:w="0" w:type="dxa"/>
              <w:bottom w:w="0" w:type="dxa"/>
              <w:right w:w="0" w:type="dxa"/>
            </w:tcMar>
            <w:vAlign w:val="center"/>
          </w:tcPr>
          <w:p w14:paraId="4640EE1C" w14:textId="77777777" w:rsidR="00340395" w:rsidRDefault="00340395" w:rsidP="00340395">
            <w:pPr>
              <w:spacing w:line="228" w:lineRule="auto"/>
              <w:ind w:left="-20" w:right="-20"/>
            </w:pPr>
          </w:p>
        </w:tc>
        <w:tc>
          <w:tcPr>
            <w:tcW w:w="1559" w:type="dxa"/>
            <w:tcBorders>
              <w:top w:val="single" w:sz="8" w:space="0" w:color="000000"/>
              <w:left w:val="nil"/>
              <w:bottom w:val="single" w:sz="8" w:space="0" w:color="000000"/>
              <w:right w:val="nil"/>
            </w:tcBorders>
            <w:shd w:val="clear" w:color="auto" w:fill="auto"/>
            <w:tcMar>
              <w:top w:w="0" w:type="dxa"/>
              <w:left w:w="0" w:type="dxa"/>
              <w:bottom w:w="0" w:type="dxa"/>
              <w:right w:w="0" w:type="dxa"/>
            </w:tcMar>
            <w:vAlign w:val="center"/>
          </w:tcPr>
          <w:p w14:paraId="43FB8C21" w14:textId="77777777" w:rsidR="00340395" w:rsidRDefault="00340395" w:rsidP="00FD7170">
            <w:pPr>
              <w:spacing w:line="228" w:lineRule="auto"/>
              <w:ind w:left="-20" w:right="-20"/>
              <w:jc w:val="center"/>
            </w:pPr>
            <w:r>
              <w:t>Non-renewable</w:t>
            </w:r>
          </w:p>
        </w:tc>
        <w:tc>
          <w:tcPr>
            <w:tcW w:w="992" w:type="dxa"/>
            <w:tcBorders>
              <w:top w:val="single" w:sz="4" w:space="0" w:color="auto"/>
              <w:left w:val="nil"/>
              <w:bottom w:val="single" w:sz="4" w:space="0" w:color="auto"/>
              <w:right w:val="nil"/>
            </w:tcBorders>
            <w:shd w:val="clear" w:color="auto" w:fill="auto"/>
            <w:tcMar>
              <w:top w:w="0" w:type="dxa"/>
              <w:left w:w="0" w:type="dxa"/>
              <w:bottom w:w="0" w:type="dxa"/>
              <w:right w:w="0" w:type="dxa"/>
            </w:tcMar>
            <w:vAlign w:val="center"/>
          </w:tcPr>
          <w:p w14:paraId="243BA44F"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w:t>
            </w:r>
          </w:p>
        </w:tc>
        <w:tc>
          <w:tcPr>
            <w:tcW w:w="993" w:type="dxa"/>
            <w:tcBorders>
              <w:top w:val="single" w:sz="4" w:space="0" w:color="auto"/>
              <w:left w:val="nil"/>
              <w:bottom w:val="single" w:sz="4" w:space="0" w:color="auto"/>
              <w:right w:val="nil"/>
            </w:tcBorders>
            <w:shd w:val="clear" w:color="auto" w:fill="auto"/>
            <w:tcMar>
              <w:top w:w="0" w:type="dxa"/>
              <w:left w:w="0" w:type="dxa"/>
              <w:bottom w:w="0" w:type="dxa"/>
              <w:right w:w="0" w:type="dxa"/>
            </w:tcMar>
            <w:vAlign w:val="center"/>
          </w:tcPr>
          <w:p w14:paraId="1F1B27C5"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w:t>
            </w:r>
          </w:p>
        </w:tc>
        <w:tc>
          <w:tcPr>
            <w:tcW w:w="850" w:type="dxa"/>
            <w:tcBorders>
              <w:top w:val="single" w:sz="4" w:space="0" w:color="auto"/>
              <w:left w:val="nil"/>
              <w:bottom w:val="single" w:sz="4" w:space="0" w:color="auto"/>
              <w:right w:val="nil"/>
            </w:tcBorders>
            <w:shd w:val="clear" w:color="auto" w:fill="auto"/>
            <w:tcMar>
              <w:top w:w="0" w:type="dxa"/>
              <w:left w:w="0" w:type="dxa"/>
              <w:bottom w:w="0" w:type="dxa"/>
              <w:right w:w="0" w:type="dxa"/>
            </w:tcMar>
            <w:vAlign w:val="center"/>
          </w:tcPr>
          <w:p w14:paraId="6FD16577"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w:t>
            </w:r>
          </w:p>
        </w:tc>
        <w:tc>
          <w:tcPr>
            <w:tcW w:w="1134" w:type="dxa"/>
            <w:tcBorders>
              <w:top w:val="single" w:sz="4" w:space="0" w:color="auto"/>
              <w:left w:val="nil"/>
              <w:bottom w:val="single" w:sz="4" w:space="0" w:color="auto"/>
              <w:right w:val="nil"/>
            </w:tcBorders>
            <w:shd w:val="clear" w:color="auto" w:fill="auto"/>
            <w:tcMar>
              <w:top w:w="0" w:type="dxa"/>
              <w:left w:w="0" w:type="dxa"/>
              <w:bottom w:w="0" w:type="dxa"/>
              <w:right w:w="0" w:type="dxa"/>
            </w:tcMar>
            <w:vAlign w:val="center"/>
          </w:tcPr>
          <w:p w14:paraId="4F2E6936"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w:t>
            </w:r>
          </w:p>
        </w:tc>
        <w:tc>
          <w:tcPr>
            <w:tcW w:w="709" w:type="dxa"/>
            <w:tcBorders>
              <w:top w:val="single" w:sz="4" w:space="0" w:color="auto"/>
              <w:left w:val="nil"/>
              <w:bottom w:val="single" w:sz="4" w:space="0" w:color="auto"/>
              <w:right w:val="nil"/>
            </w:tcBorders>
            <w:vAlign w:val="center"/>
          </w:tcPr>
          <w:p w14:paraId="42871482" w14:textId="77777777" w:rsidR="00340395" w:rsidRDefault="00340395" w:rsidP="00340395">
            <w:pPr>
              <w:jc w:val="center"/>
              <w:rPr>
                <w:rFonts w:ascii="Calibri" w:hAnsi="Calibri" w:cs="Calibri"/>
                <w:color w:val="000000"/>
                <w:sz w:val="22"/>
                <w:szCs w:val="22"/>
              </w:rPr>
            </w:pPr>
            <w:r>
              <w:rPr>
                <w:rFonts w:ascii="Calibri" w:hAnsi="Calibri" w:cs="Calibri"/>
                <w:color w:val="000000"/>
                <w:sz w:val="22"/>
                <w:szCs w:val="22"/>
              </w:rPr>
              <w:t>100</w:t>
            </w:r>
          </w:p>
        </w:tc>
      </w:tr>
    </w:tbl>
    <w:p w14:paraId="249DCE95" w14:textId="77777777" w:rsidR="00BF024F" w:rsidRDefault="00BF024F" w:rsidP="00BF024F">
      <w:pPr>
        <w:spacing w:before="240" w:after="60" w:line="228" w:lineRule="auto"/>
        <w:ind w:left="2608"/>
      </w:pPr>
    </w:p>
    <w:p w14:paraId="550AEE9D" w14:textId="50E962CE" w:rsidR="00340395" w:rsidRPr="007A2BBB" w:rsidRDefault="007A2BBB" w:rsidP="007A2BBB">
      <w:pPr>
        <w:pBdr>
          <w:top w:val="nil"/>
          <w:left w:val="nil"/>
          <w:bottom w:val="nil"/>
          <w:right w:val="nil"/>
          <w:between w:val="nil"/>
        </w:pBdr>
        <w:spacing w:before="240" w:after="60" w:line="228" w:lineRule="auto"/>
        <w:ind w:left="2552"/>
        <w:rPr>
          <w:b/>
          <w:bCs/>
        </w:rPr>
      </w:pPr>
      <w:r w:rsidRPr="007A2BBB">
        <w:rPr>
          <w:b/>
          <w:bCs/>
          <w:sz w:val="24"/>
          <w:szCs w:val="24"/>
        </w:rPr>
        <w:lastRenderedPageBreak/>
        <w:t>3</w:t>
      </w:r>
      <w:r w:rsidR="00340395" w:rsidRPr="007A2BBB">
        <w:rPr>
          <w:b/>
          <w:bCs/>
          <w:sz w:val="24"/>
          <w:szCs w:val="24"/>
        </w:rPr>
        <w:t>. References</w:t>
      </w:r>
    </w:p>
    <w:p w14:paraId="1F70D7A0" w14:textId="557A5911" w:rsidR="005F2D8B" w:rsidRPr="007A2BBB" w:rsidRDefault="005F2D8B" w:rsidP="007A2BBB">
      <w:pPr>
        <w:pStyle w:val="ListParagraph"/>
        <w:numPr>
          <w:ilvl w:val="0"/>
          <w:numId w:val="2"/>
        </w:numPr>
        <w:pBdr>
          <w:top w:val="nil"/>
          <w:left w:val="nil"/>
          <w:bottom w:val="nil"/>
          <w:right w:val="nil"/>
          <w:between w:val="nil"/>
        </w:pBdr>
        <w:spacing w:before="240" w:after="60" w:line="228" w:lineRule="auto"/>
        <w:ind w:left="2552" w:hanging="425"/>
        <w:rPr>
          <w:rStyle w:val="eop"/>
          <w:color w:val="000000"/>
          <w:shd w:val="clear" w:color="auto" w:fill="FFFFFF"/>
        </w:rPr>
      </w:pPr>
      <w:r w:rsidRPr="007A2BBB">
        <w:rPr>
          <w:rStyle w:val="normaltextrun"/>
          <w:rFonts w:cs="Arial"/>
          <w:color w:val="000000"/>
          <w:shd w:val="clear" w:color="auto" w:fill="FFFFFF"/>
          <w:lang w:val="en-GB"/>
        </w:rPr>
        <w:t xml:space="preserve">Eurostat (2023). </w:t>
      </w:r>
      <w:r w:rsidRPr="007A2BBB">
        <w:rPr>
          <w:rStyle w:val="normaltextrun"/>
          <w:rFonts w:cs="Arial"/>
          <w:i/>
          <w:iCs/>
          <w:color w:val="000000"/>
          <w:shd w:val="clear" w:color="auto" w:fill="FFFFFF"/>
          <w:lang w:val="en-GB"/>
        </w:rPr>
        <w:t>Sewage sludge production and disposal</w:t>
      </w:r>
      <w:r w:rsidRPr="007A2BBB">
        <w:rPr>
          <w:rStyle w:val="normaltextrun"/>
          <w:rFonts w:cs="Arial"/>
          <w:color w:val="000000"/>
          <w:shd w:val="clear" w:color="auto" w:fill="FFFFFF"/>
          <w:lang w:val="en-GB"/>
        </w:rPr>
        <w:t xml:space="preserve">. [Data set]. </w:t>
      </w:r>
      <w:hyperlink r:id="rId7" w:tgtFrame="_blank" w:history="1">
        <w:r w:rsidRPr="00E143CF">
          <w:rPr>
            <w:rStyle w:val="normaltextrun"/>
            <w:rFonts w:cs="Arial"/>
            <w:color w:val="0E47CB"/>
            <w:shd w:val="clear" w:color="auto" w:fill="FFFFFF"/>
          </w:rPr>
          <w:t>https://ec.europa.eu/eurostat/databrowser/view/env_ww_spd/default/table?lang=en&amp;category=env.env_wat.env_nwat</w:t>
        </w:r>
      </w:hyperlink>
      <w:r w:rsidRPr="007A2BBB">
        <w:rPr>
          <w:rStyle w:val="eop"/>
          <w:color w:val="000000"/>
          <w:shd w:val="clear" w:color="auto" w:fill="FFFFFF"/>
        </w:rPr>
        <w:t> </w:t>
      </w:r>
      <w:r w:rsidR="007A2BBB" w:rsidRPr="007A2BBB">
        <w:rPr>
          <w:rStyle w:val="eop"/>
          <w:color w:val="000000"/>
          <w:shd w:val="clear" w:color="auto" w:fill="FFFFFF"/>
        </w:rPr>
        <w:t>(Accessed on 23 July 2024)</w:t>
      </w:r>
    </w:p>
    <w:p w14:paraId="470CDFC1" w14:textId="77777777" w:rsidR="00F91B00" w:rsidRPr="007A2BBB" w:rsidRDefault="00F91B00" w:rsidP="007A2BBB">
      <w:pPr>
        <w:pStyle w:val="ListParagraph"/>
        <w:numPr>
          <w:ilvl w:val="0"/>
          <w:numId w:val="2"/>
        </w:numPr>
        <w:pBdr>
          <w:top w:val="nil"/>
          <w:left w:val="nil"/>
          <w:bottom w:val="nil"/>
          <w:right w:val="nil"/>
          <w:between w:val="nil"/>
        </w:pBdr>
        <w:spacing w:before="240" w:after="60" w:line="228" w:lineRule="auto"/>
        <w:ind w:left="2552" w:hanging="425"/>
        <w:rPr>
          <w:rStyle w:val="normaltextrun"/>
          <w:rFonts w:cs="Arial"/>
          <w:color w:val="000000"/>
          <w:shd w:val="clear" w:color="auto" w:fill="FFFFFF"/>
        </w:rPr>
      </w:pPr>
      <w:r w:rsidRPr="007A2BBB">
        <w:rPr>
          <w:color w:val="222222"/>
          <w:shd w:val="clear" w:color="auto" w:fill="FFFFFF"/>
        </w:rPr>
        <w:t xml:space="preserve">Kelessidis, A., &amp; Stasinakis, A. S. (2012). Comparative study of the methods used for treatment and final disposal of sewage sludge in European countries. </w:t>
      </w:r>
      <w:r w:rsidRPr="007A2BBB">
        <w:rPr>
          <w:i/>
          <w:iCs/>
          <w:color w:val="222222"/>
          <w:shd w:val="clear" w:color="auto" w:fill="FFFFFF"/>
        </w:rPr>
        <w:t>Waste management</w:t>
      </w:r>
      <w:r w:rsidRPr="007A2BBB">
        <w:rPr>
          <w:color w:val="222222"/>
          <w:shd w:val="clear" w:color="auto" w:fill="FFFFFF"/>
        </w:rPr>
        <w:t xml:space="preserve">, </w:t>
      </w:r>
      <w:r w:rsidRPr="007A2BBB">
        <w:rPr>
          <w:i/>
          <w:iCs/>
          <w:color w:val="222222"/>
          <w:shd w:val="clear" w:color="auto" w:fill="FFFFFF"/>
        </w:rPr>
        <w:t>32</w:t>
      </w:r>
      <w:r w:rsidRPr="007A2BBB">
        <w:rPr>
          <w:color w:val="222222"/>
          <w:shd w:val="clear" w:color="auto" w:fill="FFFFFF"/>
        </w:rPr>
        <w:t xml:space="preserve">(6), 1186-1195. </w:t>
      </w:r>
      <w:hyperlink r:id="rId8" w:history="1">
        <w:r w:rsidRPr="00E143CF">
          <w:rPr>
            <w:rStyle w:val="Hyperlink"/>
            <w:color w:val="0E47CB"/>
            <w:u w:val="none"/>
            <w:shd w:val="clear" w:color="auto" w:fill="FFFFFF"/>
          </w:rPr>
          <w:t>https://doi.org/10.1016/j.wasman.2012.01.012</w:t>
        </w:r>
      </w:hyperlink>
      <w:r w:rsidRPr="00E143CF">
        <w:rPr>
          <w:rStyle w:val="eop"/>
          <w:rFonts w:cs="Arial"/>
          <w:color w:val="0E47CB"/>
          <w:shd w:val="clear" w:color="auto" w:fill="FFFFFF"/>
        </w:rPr>
        <w:t> </w:t>
      </w:r>
    </w:p>
    <w:p w14:paraId="53F0C5A8" w14:textId="4B42729E" w:rsidR="00F91B00" w:rsidRPr="007A2BBB" w:rsidRDefault="00F91B00" w:rsidP="007A2BBB">
      <w:pPr>
        <w:pStyle w:val="ListParagraph"/>
        <w:numPr>
          <w:ilvl w:val="0"/>
          <w:numId w:val="2"/>
        </w:numPr>
        <w:pBdr>
          <w:top w:val="nil"/>
          <w:left w:val="nil"/>
          <w:bottom w:val="nil"/>
          <w:right w:val="nil"/>
          <w:between w:val="nil"/>
        </w:pBdr>
        <w:spacing w:before="240" w:after="60" w:line="228" w:lineRule="auto"/>
        <w:ind w:left="2552" w:hanging="425"/>
        <w:rPr>
          <w:rStyle w:val="normaltextrun"/>
          <w:rFonts w:cs="Arial"/>
          <w:color w:val="000000"/>
          <w:shd w:val="clear" w:color="auto" w:fill="FFFFFF"/>
        </w:rPr>
      </w:pPr>
      <w:r w:rsidRPr="007A2BBB">
        <w:rPr>
          <w:rStyle w:val="normaltextrun"/>
          <w:rFonts w:cs="Arial"/>
          <w:color w:val="000000"/>
          <w:shd w:val="clear" w:color="auto" w:fill="FFFFFF"/>
          <w:lang w:val="en-GB"/>
        </w:rPr>
        <w:t xml:space="preserve">European Commission. (2006). Annex to the report from the commission to the council and the European parliament on the implementation of community waste legislation. Publications Office of the European Union. </w:t>
      </w:r>
      <w:hyperlink r:id="rId9" w:tgtFrame="_blank" w:history="1">
        <w:r w:rsidRPr="00E143CF">
          <w:rPr>
            <w:rStyle w:val="normaltextrun"/>
            <w:rFonts w:cs="Arial"/>
            <w:color w:val="0E47CB"/>
            <w:shd w:val="clear" w:color="auto" w:fill="FFFFFF"/>
            <w:lang w:val="en-GB"/>
          </w:rPr>
          <w:t>https://eur-lex.europa.eu/legal-content/EN/TXT/?uri=CELEX:52006SC1053</w:t>
        </w:r>
      </w:hyperlink>
      <w:r w:rsidRPr="007A2BBB">
        <w:rPr>
          <w:rStyle w:val="eop"/>
          <w:rFonts w:cs="Arial"/>
          <w:color w:val="000000"/>
          <w:shd w:val="clear" w:color="auto" w:fill="FFFFFF"/>
        </w:rPr>
        <w:t> </w:t>
      </w:r>
      <w:r w:rsidR="007A2BBB" w:rsidRPr="007A2BBB">
        <w:rPr>
          <w:rStyle w:val="eop"/>
          <w:color w:val="000000"/>
          <w:shd w:val="clear" w:color="auto" w:fill="FFFFFF"/>
        </w:rPr>
        <w:t>(Accessed on 23 July 2024)</w:t>
      </w:r>
    </w:p>
    <w:p w14:paraId="56DB9000" w14:textId="1DE578B6" w:rsidR="005F2D8B" w:rsidRPr="007A2BBB" w:rsidRDefault="00E86D38" w:rsidP="007A2BBB">
      <w:pPr>
        <w:pStyle w:val="ListParagraph"/>
        <w:numPr>
          <w:ilvl w:val="0"/>
          <w:numId w:val="2"/>
        </w:numPr>
        <w:pBdr>
          <w:top w:val="nil"/>
          <w:left w:val="nil"/>
          <w:bottom w:val="nil"/>
          <w:right w:val="nil"/>
          <w:between w:val="nil"/>
        </w:pBdr>
        <w:spacing w:before="240" w:after="60" w:line="228" w:lineRule="auto"/>
        <w:ind w:left="2552" w:hanging="425"/>
        <w:rPr>
          <w:rStyle w:val="eop"/>
        </w:rPr>
      </w:pPr>
      <w:bookmarkStart w:id="0" w:name="_Hlk185520484"/>
      <w:r w:rsidRPr="007A2BBB">
        <w:rPr>
          <w:rStyle w:val="normaltextrun"/>
          <w:rFonts w:cs="Arial"/>
          <w:color w:val="000000"/>
          <w:shd w:val="clear" w:color="auto" w:fill="FFFFFF"/>
        </w:rPr>
        <w:t xml:space="preserve">Ministry of Environment and Rural and Marine </w:t>
      </w:r>
      <w:bookmarkEnd w:id="0"/>
      <w:r w:rsidRPr="007A2BBB">
        <w:rPr>
          <w:rStyle w:val="normaltextrun"/>
          <w:rFonts w:cs="Arial"/>
          <w:color w:val="000000"/>
          <w:shd w:val="clear" w:color="auto" w:fill="FFFFFF"/>
        </w:rPr>
        <w:t xml:space="preserve">(2009). Characterization of sewage sludge generated in Spain. </w:t>
      </w:r>
      <w:hyperlink r:id="rId10" w:tgtFrame="_blank" w:history="1">
        <w:r w:rsidR="00F91B00" w:rsidRPr="00E143CF">
          <w:rPr>
            <w:rStyle w:val="normaltextrun"/>
            <w:rFonts w:cs="Arial"/>
            <w:color w:val="0E47CB"/>
            <w:shd w:val="clear" w:color="auto" w:fill="FFFFFF"/>
            <w:lang w:val="en-GB"/>
          </w:rPr>
          <w:t>https://www.miteco.gob.es/es/calidad-y-evaluacion-ambiental/publicaciones/lodos.html</w:t>
        </w:r>
      </w:hyperlink>
      <w:r w:rsidR="00F91B00" w:rsidRPr="00E143CF">
        <w:rPr>
          <w:rStyle w:val="eop"/>
          <w:rFonts w:cs="Arial"/>
          <w:color w:val="0E47CB"/>
          <w:shd w:val="clear" w:color="auto" w:fill="FFFFFF"/>
        </w:rPr>
        <w:t> </w:t>
      </w:r>
      <w:r w:rsidR="007A2BBB" w:rsidRPr="007A2BBB">
        <w:rPr>
          <w:rStyle w:val="eop"/>
          <w:color w:val="000000"/>
          <w:shd w:val="clear" w:color="auto" w:fill="FFFFFF"/>
        </w:rPr>
        <w:t>(Accessed on 23 July 2024)</w:t>
      </w:r>
    </w:p>
    <w:p w14:paraId="40304543" w14:textId="2C7C0051" w:rsidR="00E86D38" w:rsidRPr="007A2BBB" w:rsidRDefault="00E86D38" w:rsidP="007A2BBB">
      <w:pPr>
        <w:pStyle w:val="ListParagraph"/>
        <w:numPr>
          <w:ilvl w:val="0"/>
          <w:numId w:val="2"/>
        </w:numPr>
        <w:pBdr>
          <w:top w:val="nil"/>
          <w:left w:val="nil"/>
          <w:bottom w:val="nil"/>
          <w:right w:val="nil"/>
          <w:between w:val="nil"/>
        </w:pBdr>
        <w:spacing w:before="240" w:after="60" w:line="228" w:lineRule="auto"/>
        <w:ind w:left="2552" w:hanging="425"/>
      </w:pPr>
      <w:r w:rsidRPr="007A2BBB">
        <w:rPr>
          <w:rStyle w:val="normaltextrun"/>
          <w:rFonts w:cs="Arial"/>
          <w:color w:val="000000"/>
          <w:shd w:val="clear" w:color="auto" w:fill="FFFFFF"/>
          <w:lang w:val="en-GB"/>
        </w:rPr>
        <w:t xml:space="preserve">Danube Region Strategy quality water. (2021). Workshop on Sludge management in the Danube Region for a greener EU. </w:t>
      </w:r>
      <w:r w:rsidRPr="007A2BBB">
        <w:rPr>
          <w:rStyle w:val="normaltextrun"/>
          <w:rFonts w:cs="Arial"/>
          <w:color w:val="000000"/>
          <w:shd w:val="clear" w:color="auto" w:fill="FFFFFF"/>
        </w:rPr>
        <w:t>[webpage]</w:t>
      </w:r>
      <w:r w:rsidR="007A2BBB" w:rsidRPr="007A2BBB">
        <w:rPr>
          <w:rStyle w:val="normaltextrun"/>
          <w:rFonts w:cs="Arial"/>
          <w:color w:val="000000"/>
          <w:shd w:val="clear" w:color="auto" w:fill="FFFFFF"/>
        </w:rPr>
        <w:t> :</w:t>
      </w:r>
      <w:r w:rsidRPr="007A2BBB">
        <w:rPr>
          <w:rStyle w:val="normaltextrun"/>
          <w:rFonts w:cs="Arial"/>
          <w:color w:val="000000"/>
          <w:shd w:val="clear" w:color="auto" w:fill="FFFFFF"/>
        </w:rPr>
        <w:t xml:space="preserve"> </w:t>
      </w:r>
      <w:hyperlink r:id="rId11" w:tgtFrame="_blank" w:history="1">
        <w:r w:rsidRPr="00E143CF">
          <w:rPr>
            <w:rStyle w:val="normaltextrun"/>
            <w:rFonts w:cs="Arial"/>
            <w:color w:val="0E47CB"/>
            <w:shd w:val="clear" w:color="auto" w:fill="FFFFFF"/>
          </w:rPr>
          <w:t>https://waterquality.danube-region.eu/wp-content/uploads/sites/13/sites/13/2021/05/11.-Ireland-Aoife-Kyne-Sludge-presentation-1.pdf</w:t>
        </w:r>
      </w:hyperlink>
      <w:r w:rsidRPr="007A2BBB">
        <w:rPr>
          <w:rStyle w:val="eop"/>
          <w:rFonts w:cs="Arial"/>
          <w:color w:val="000000"/>
          <w:shd w:val="clear" w:color="auto" w:fill="FFFFFF"/>
        </w:rPr>
        <w:t> </w:t>
      </w:r>
      <w:r w:rsidR="007A2BBB" w:rsidRPr="007A2BBB">
        <w:rPr>
          <w:rStyle w:val="eop"/>
          <w:color w:val="000000"/>
          <w:shd w:val="clear" w:color="auto" w:fill="FFFFFF"/>
        </w:rPr>
        <w:t>(Accessed on 23 July 2024)</w:t>
      </w:r>
    </w:p>
    <w:p w14:paraId="16DDFF72" w14:textId="77777777" w:rsidR="00340395" w:rsidRPr="007A2BBB" w:rsidRDefault="00340395" w:rsidP="00BF024F">
      <w:pPr>
        <w:pBdr>
          <w:top w:val="nil"/>
          <w:left w:val="nil"/>
          <w:bottom w:val="nil"/>
          <w:right w:val="nil"/>
          <w:between w:val="nil"/>
        </w:pBdr>
        <w:spacing w:before="240" w:after="60" w:line="228" w:lineRule="auto"/>
      </w:pPr>
    </w:p>
    <w:p w14:paraId="5D9D85AA" w14:textId="77777777" w:rsidR="00340395" w:rsidRPr="007A2BBB" w:rsidRDefault="00340395" w:rsidP="00BF024F">
      <w:pPr>
        <w:pBdr>
          <w:top w:val="nil"/>
          <w:left w:val="nil"/>
          <w:bottom w:val="nil"/>
          <w:right w:val="nil"/>
          <w:between w:val="nil"/>
        </w:pBdr>
        <w:spacing w:before="240" w:after="60" w:line="228" w:lineRule="auto"/>
      </w:pPr>
    </w:p>
    <w:p w14:paraId="7F1DAF02" w14:textId="77777777" w:rsidR="00340395" w:rsidRPr="007A2BBB" w:rsidRDefault="00340395" w:rsidP="00BF024F">
      <w:pPr>
        <w:pBdr>
          <w:top w:val="nil"/>
          <w:left w:val="nil"/>
          <w:bottom w:val="nil"/>
          <w:right w:val="nil"/>
          <w:between w:val="nil"/>
        </w:pBdr>
        <w:spacing w:before="240" w:after="60" w:line="228" w:lineRule="auto"/>
      </w:pPr>
    </w:p>
    <w:p w14:paraId="30CFE147" w14:textId="77777777" w:rsidR="00BF024F" w:rsidRPr="007A2BBB" w:rsidRDefault="00BF024F" w:rsidP="00BF024F">
      <w:pPr>
        <w:pBdr>
          <w:top w:val="nil"/>
          <w:left w:val="nil"/>
          <w:bottom w:val="nil"/>
          <w:right w:val="nil"/>
          <w:between w:val="nil"/>
        </w:pBdr>
        <w:spacing w:before="240" w:after="60" w:line="228" w:lineRule="auto"/>
        <w:ind w:left="2608"/>
      </w:pPr>
    </w:p>
    <w:p w14:paraId="32023CE2" w14:textId="77777777" w:rsidR="00BF024F" w:rsidRPr="007A2BBB" w:rsidRDefault="00BF024F" w:rsidP="00BF024F">
      <w:pPr>
        <w:pBdr>
          <w:top w:val="nil"/>
          <w:left w:val="nil"/>
          <w:bottom w:val="nil"/>
          <w:right w:val="nil"/>
          <w:between w:val="nil"/>
        </w:pBdr>
        <w:spacing w:before="240" w:after="60" w:line="228" w:lineRule="auto"/>
        <w:ind w:left="2608"/>
      </w:pPr>
    </w:p>
    <w:p w14:paraId="1AE666A5" w14:textId="77777777" w:rsidR="004F2309" w:rsidRPr="007A2BBB" w:rsidRDefault="004F2309" w:rsidP="00E86D38">
      <w:pPr>
        <w:pBdr>
          <w:top w:val="nil"/>
          <w:left w:val="nil"/>
          <w:bottom w:val="nil"/>
          <w:right w:val="nil"/>
          <w:between w:val="nil"/>
        </w:pBdr>
        <w:spacing w:before="240" w:after="60" w:line="228" w:lineRule="auto"/>
      </w:pPr>
    </w:p>
    <w:p w14:paraId="13FC98CB" w14:textId="77777777" w:rsidR="004F2309" w:rsidRPr="007A2BBB" w:rsidRDefault="004F2309">
      <w:pPr>
        <w:pBdr>
          <w:top w:val="nil"/>
          <w:left w:val="nil"/>
          <w:bottom w:val="nil"/>
          <w:right w:val="nil"/>
          <w:between w:val="nil"/>
        </w:pBdr>
        <w:spacing w:before="240" w:after="60" w:line="228" w:lineRule="auto"/>
        <w:ind w:left="2608"/>
      </w:pPr>
    </w:p>
    <w:p w14:paraId="5C7E56D9" w14:textId="77777777" w:rsidR="004F2309" w:rsidRPr="007A2BBB" w:rsidRDefault="004F2309">
      <w:pPr>
        <w:pBdr>
          <w:top w:val="nil"/>
          <w:left w:val="nil"/>
          <w:bottom w:val="nil"/>
          <w:right w:val="nil"/>
          <w:between w:val="nil"/>
        </w:pBdr>
        <w:spacing w:before="240" w:after="60" w:line="228" w:lineRule="auto"/>
        <w:ind w:left="2608"/>
      </w:pPr>
    </w:p>
    <w:p w14:paraId="75D69806" w14:textId="77777777" w:rsidR="004F2309" w:rsidRPr="007A2BBB" w:rsidRDefault="004F2309">
      <w:pPr>
        <w:pBdr>
          <w:top w:val="nil"/>
          <w:left w:val="nil"/>
          <w:bottom w:val="nil"/>
          <w:right w:val="nil"/>
          <w:between w:val="nil"/>
        </w:pBdr>
        <w:spacing w:before="240" w:after="60" w:line="228" w:lineRule="auto"/>
        <w:ind w:left="2608"/>
      </w:pPr>
    </w:p>
    <w:p w14:paraId="44930C2D" w14:textId="77777777" w:rsidR="004F2309" w:rsidRPr="007A2BBB" w:rsidRDefault="004F2309">
      <w:pPr>
        <w:widowControl w:val="0"/>
        <w:pBdr>
          <w:top w:val="nil"/>
          <w:left w:val="nil"/>
          <w:bottom w:val="nil"/>
          <w:right w:val="nil"/>
          <w:between w:val="nil"/>
        </w:pBdr>
        <w:spacing w:line="480" w:lineRule="auto"/>
        <w:jc w:val="left"/>
        <w:rPr>
          <w:color w:val="000000"/>
          <w:sz w:val="18"/>
          <w:szCs w:val="18"/>
        </w:rPr>
      </w:pPr>
    </w:p>
    <w:sectPr w:rsidR="004F2309" w:rsidRPr="007A2BBB">
      <w:headerReference w:type="even" r:id="rId12"/>
      <w:headerReference w:type="default" r:id="rId13"/>
      <w:headerReference w:type="first" r:id="rId14"/>
      <w:footerReference w:type="first" r:id="rId15"/>
      <w:pgSz w:w="11906" w:h="16838"/>
      <w:pgMar w:top="1417" w:right="720" w:bottom="1077" w:left="720" w:header="1020" w:footer="340" w:gutter="0"/>
      <w:lnNumType w:countBy="1" w:restart="continuous"/>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5461A" w14:textId="77777777" w:rsidR="005F0827" w:rsidRDefault="005F0827">
      <w:r>
        <w:separator/>
      </w:r>
    </w:p>
  </w:endnote>
  <w:endnote w:type="continuationSeparator" w:id="0">
    <w:p w14:paraId="0472B9B7" w14:textId="77777777" w:rsidR="005F0827" w:rsidRDefault="005F0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D1655" w14:textId="77777777" w:rsidR="004F2309" w:rsidRDefault="004F2309">
    <w:pPr>
      <w:pBdr>
        <w:top w:val="single" w:sz="4" w:space="0" w:color="000000"/>
        <w:left w:val="nil"/>
        <w:bottom w:val="nil"/>
        <w:right w:val="nil"/>
        <w:between w:val="nil"/>
      </w:pBdr>
      <w:tabs>
        <w:tab w:val="right" w:pos="8845"/>
      </w:tabs>
      <w:spacing w:before="480" w:line="100" w:lineRule="auto"/>
      <w:jc w:val="left"/>
      <w:rPr>
        <w:i/>
        <w:color w:val="000000"/>
        <w:sz w:val="16"/>
        <w:szCs w:val="16"/>
      </w:rPr>
    </w:pPr>
  </w:p>
  <w:p w14:paraId="64EE9D7C" w14:textId="77777777" w:rsidR="004F2309" w:rsidRDefault="00000000">
    <w:pPr>
      <w:pBdr>
        <w:top w:val="nil"/>
        <w:left w:val="nil"/>
        <w:bottom w:val="nil"/>
        <w:right w:val="nil"/>
        <w:between w:val="nil"/>
      </w:pBdr>
      <w:tabs>
        <w:tab w:val="right" w:pos="8845"/>
        <w:tab w:val="right" w:pos="10466"/>
      </w:tabs>
      <w:rPr>
        <w:color w:val="000000"/>
        <w:sz w:val="16"/>
        <w:szCs w:val="16"/>
      </w:rPr>
    </w:pPr>
    <w:r>
      <w:rPr>
        <w:i/>
        <w:color w:val="000000"/>
        <w:sz w:val="16"/>
        <w:szCs w:val="16"/>
      </w:rPr>
      <w:t>Sustainability</w:t>
    </w:r>
    <w:r>
      <w:rPr>
        <w:color w:val="000000"/>
        <w:sz w:val="16"/>
        <w:szCs w:val="16"/>
      </w:rPr>
      <w:t xml:space="preserve"> </w:t>
    </w:r>
    <w:r>
      <w:rPr>
        <w:b/>
        <w:color w:val="000000"/>
        <w:sz w:val="16"/>
        <w:szCs w:val="16"/>
      </w:rPr>
      <w:t>2024</w:t>
    </w:r>
    <w:r>
      <w:rPr>
        <w:color w:val="000000"/>
        <w:sz w:val="16"/>
        <w:szCs w:val="16"/>
      </w:rPr>
      <w:t>,</w:t>
    </w:r>
    <w:r>
      <w:rPr>
        <w:i/>
        <w:color w:val="000000"/>
        <w:sz w:val="16"/>
        <w:szCs w:val="16"/>
      </w:rPr>
      <w:t xml:space="preserve"> 16</w:t>
    </w:r>
    <w:r>
      <w:rPr>
        <w:color w:val="000000"/>
        <w:sz w:val="16"/>
        <w:szCs w:val="16"/>
      </w:rPr>
      <w:t>, x. https://doi.org/10.3390/xxxxx</w:t>
    </w:r>
    <w:r>
      <w:rPr>
        <w:color w:val="000000"/>
        <w:sz w:val="16"/>
        <w:szCs w:val="16"/>
      </w:rPr>
      <w:tab/>
      <w:t>www.mdpi.com/journal/sustainability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F0401" w14:textId="77777777" w:rsidR="005F0827" w:rsidRDefault="005F0827">
      <w:r>
        <w:separator/>
      </w:r>
    </w:p>
  </w:footnote>
  <w:footnote w:type="continuationSeparator" w:id="0">
    <w:p w14:paraId="35ED4201" w14:textId="77777777" w:rsidR="005F0827" w:rsidRDefault="005F0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22DF" w14:textId="77777777" w:rsidR="004F2309" w:rsidRDefault="004F2309">
    <w:pPr>
      <w:pBdr>
        <w:top w:val="nil"/>
        <w:left w:val="nil"/>
        <w:bottom w:val="none" w:sz="0" w:space="0" w:color="000000"/>
        <w:right w:val="nil"/>
        <w:between w:val="nil"/>
      </w:pBdr>
      <w:tabs>
        <w:tab w:val="center" w:pos="4153"/>
        <w:tab w:val="right" w:pos="8306"/>
      </w:tabs>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8BD9F" w14:textId="77777777" w:rsidR="004F2309" w:rsidRDefault="00000000">
    <w:pPr>
      <w:tabs>
        <w:tab w:val="right" w:pos="10466"/>
      </w:tabs>
      <w:rPr>
        <w:sz w:val="16"/>
        <w:szCs w:val="16"/>
      </w:rPr>
    </w:pPr>
    <w:r>
      <w:rPr>
        <w:i/>
        <w:sz w:val="16"/>
        <w:szCs w:val="16"/>
      </w:rPr>
      <w:t xml:space="preserve">Sustainability </w:t>
    </w:r>
    <w:r>
      <w:rPr>
        <w:b/>
        <w:sz w:val="16"/>
        <w:szCs w:val="16"/>
      </w:rPr>
      <w:t>2024</w:t>
    </w:r>
    <w:r>
      <w:rPr>
        <w:sz w:val="16"/>
        <w:szCs w:val="16"/>
      </w:rPr>
      <w:t>,</w:t>
    </w:r>
    <w:r>
      <w:rPr>
        <w:i/>
        <w:sz w:val="16"/>
        <w:szCs w:val="16"/>
      </w:rPr>
      <w:t xml:space="preserve"> 16</w:t>
    </w:r>
    <w:r>
      <w:rPr>
        <w:sz w:val="16"/>
        <w:szCs w:val="16"/>
      </w:rPr>
      <w:t>, x FOR PEER REVIEW</w:t>
    </w:r>
    <w:r>
      <w:rPr>
        <w:sz w:val="16"/>
        <w:szCs w:val="16"/>
      </w:rPr>
      <w:tab/>
    </w:r>
    <w:r>
      <w:rPr>
        <w:sz w:val="16"/>
        <w:szCs w:val="16"/>
      </w:rPr>
      <w:fldChar w:fldCharType="begin"/>
    </w:r>
    <w:r>
      <w:rPr>
        <w:sz w:val="16"/>
        <w:szCs w:val="16"/>
      </w:rPr>
      <w:instrText>PAGE</w:instrText>
    </w:r>
    <w:r>
      <w:rPr>
        <w:sz w:val="16"/>
        <w:szCs w:val="16"/>
      </w:rPr>
      <w:fldChar w:fldCharType="separate"/>
    </w:r>
    <w:r w:rsidR="00BF024F">
      <w:rPr>
        <w:noProof/>
        <w:sz w:val="16"/>
        <w:szCs w:val="16"/>
      </w:rPr>
      <w:t>2</w:t>
    </w:r>
    <w:r>
      <w:rPr>
        <w:sz w:val="16"/>
        <w:szCs w:val="16"/>
      </w:rPr>
      <w:fldChar w:fldCharType="end"/>
    </w:r>
    <w:r>
      <w:rPr>
        <w:sz w:val="16"/>
        <w:szCs w:val="16"/>
      </w:rPr>
      <w:t xml:space="preserve"> of </w:t>
    </w:r>
    <w:r>
      <w:rPr>
        <w:sz w:val="16"/>
        <w:szCs w:val="16"/>
      </w:rPr>
      <w:fldChar w:fldCharType="begin"/>
    </w:r>
    <w:r>
      <w:rPr>
        <w:sz w:val="16"/>
        <w:szCs w:val="16"/>
      </w:rPr>
      <w:instrText>NUMPAGES</w:instrText>
    </w:r>
    <w:r>
      <w:rPr>
        <w:sz w:val="16"/>
        <w:szCs w:val="16"/>
      </w:rPr>
      <w:fldChar w:fldCharType="separate"/>
    </w:r>
    <w:r w:rsidR="00BF024F">
      <w:rPr>
        <w:noProof/>
        <w:sz w:val="16"/>
        <w:szCs w:val="16"/>
      </w:rPr>
      <w:t>3</w:t>
    </w:r>
    <w:r>
      <w:rPr>
        <w:sz w:val="16"/>
        <w:szCs w:val="16"/>
      </w:rPr>
      <w:fldChar w:fldCharType="end"/>
    </w:r>
  </w:p>
  <w:p w14:paraId="3ACF58B3" w14:textId="77777777" w:rsidR="004F2309" w:rsidRDefault="004F2309">
    <w:pPr>
      <w:spacing w:before="240" w:after="60" w:line="228" w:lineRule="auto"/>
      <w:ind w:left="2608"/>
      <w:jc w:val="left"/>
      <w:rPr>
        <w:rFonts w:ascii="Arial" w:eastAsia="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8D2BA" w14:textId="77777777" w:rsidR="004F2309" w:rsidRDefault="004F2309">
    <w:pPr>
      <w:widowControl w:val="0"/>
      <w:pBdr>
        <w:top w:val="nil"/>
        <w:left w:val="nil"/>
        <w:bottom w:val="nil"/>
        <w:right w:val="nil"/>
        <w:between w:val="nil"/>
      </w:pBdr>
      <w:spacing w:line="276" w:lineRule="auto"/>
      <w:jc w:val="left"/>
      <w:rPr>
        <w:sz w:val="16"/>
        <w:szCs w:val="16"/>
      </w:rPr>
    </w:pPr>
  </w:p>
  <w:tbl>
    <w:tblPr>
      <w:tblStyle w:val="a5"/>
      <w:tblW w:w="10487" w:type="dxa"/>
      <w:tblInd w:w="0" w:type="dxa"/>
      <w:tblLayout w:type="fixed"/>
      <w:tblLook w:val="0400" w:firstRow="0" w:lastRow="0" w:firstColumn="0" w:lastColumn="0" w:noHBand="0" w:noVBand="1"/>
    </w:tblPr>
    <w:tblGrid>
      <w:gridCol w:w="3679"/>
      <w:gridCol w:w="4535"/>
      <w:gridCol w:w="2273"/>
    </w:tblGrid>
    <w:tr w:rsidR="004F2309" w14:paraId="0CB9817C" w14:textId="77777777">
      <w:trPr>
        <w:trHeight w:val="686"/>
      </w:trPr>
      <w:tc>
        <w:tcPr>
          <w:tcW w:w="3679" w:type="dxa"/>
          <w:shd w:val="clear" w:color="auto" w:fill="auto"/>
          <w:vAlign w:val="center"/>
        </w:tcPr>
        <w:p w14:paraId="6D290248" w14:textId="77777777" w:rsidR="004F2309" w:rsidRDefault="00000000">
          <w:pPr>
            <w:pBdr>
              <w:top w:val="nil"/>
              <w:left w:val="nil"/>
              <w:bottom w:val="none" w:sz="0" w:space="0" w:color="000000"/>
              <w:right w:val="nil"/>
              <w:between w:val="nil"/>
            </w:pBdr>
            <w:tabs>
              <w:tab w:val="center" w:pos="4153"/>
              <w:tab w:val="right" w:pos="8306"/>
            </w:tabs>
            <w:jc w:val="left"/>
            <w:rPr>
              <w:b/>
              <w:color w:val="000000"/>
            </w:rPr>
          </w:pPr>
          <w:r>
            <w:rPr>
              <w:b/>
              <w:noProof/>
              <w:color w:val="000000"/>
            </w:rPr>
            <w:drawing>
              <wp:inline distT="0" distB="0" distL="0" distR="0" wp14:anchorId="688E8AEA" wp14:editId="3F742F17">
                <wp:extent cx="1683385" cy="429260"/>
                <wp:effectExtent l="0" t="0" r="0" b="0"/>
                <wp:docPr id="1" name="image2.png" descr="C:\Users\home\AppData\Local\Temp\HZ$D.082.3379\sustainability_logo.png"/>
                <wp:cNvGraphicFramePr/>
                <a:graphic xmlns:a="http://schemas.openxmlformats.org/drawingml/2006/main">
                  <a:graphicData uri="http://schemas.openxmlformats.org/drawingml/2006/picture">
                    <pic:pic xmlns:pic="http://schemas.openxmlformats.org/drawingml/2006/picture">
                      <pic:nvPicPr>
                        <pic:cNvPr id="0" name="image2.png" descr="C:\Users\home\AppData\Local\Temp\HZ$D.082.3379\sustainability_logo.png"/>
                        <pic:cNvPicPr preferRelativeResize="0"/>
                      </pic:nvPicPr>
                      <pic:blipFill>
                        <a:blip r:embed="rId1"/>
                        <a:srcRect/>
                        <a:stretch>
                          <a:fillRect/>
                        </a:stretch>
                      </pic:blipFill>
                      <pic:spPr>
                        <a:xfrm>
                          <a:off x="0" y="0"/>
                          <a:ext cx="1683385" cy="429260"/>
                        </a:xfrm>
                        <a:prstGeom prst="rect">
                          <a:avLst/>
                        </a:prstGeom>
                        <a:ln/>
                      </pic:spPr>
                    </pic:pic>
                  </a:graphicData>
                </a:graphic>
              </wp:inline>
            </w:drawing>
          </w:r>
        </w:p>
      </w:tc>
      <w:tc>
        <w:tcPr>
          <w:tcW w:w="4535" w:type="dxa"/>
          <w:shd w:val="clear" w:color="auto" w:fill="auto"/>
          <w:vAlign w:val="center"/>
        </w:tcPr>
        <w:p w14:paraId="594986C1" w14:textId="77777777" w:rsidR="004F2309" w:rsidRDefault="004F2309">
          <w:pPr>
            <w:pBdr>
              <w:top w:val="nil"/>
              <w:left w:val="nil"/>
              <w:bottom w:val="none" w:sz="0" w:space="0" w:color="000000"/>
              <w:right w:val="nil"/>
              <w:between w:val="nil"/>
            </w:pBdr>
            <w:tabs>
              <w:tab w:val="center" w:pos="4153"/>
              <w:tab w:val="right" w:pos="8306"/>
            </w:tabs>
            <w:jc w:val="center"/>
            <w:rPr>
              <w:b/>
              <w:color w:val="000000"/>
            </w:rPr>
          </w:pPr>
        </w:p>
      </w:tc>
      <w:tc>
        <w:tcPr>
          <w:tcW w:w="2273" w:type="dxa"/>
          <w:shd w:val="clear" w:color="auto" w:fill="auto"/>
          <w:vAlign w:val="center"/>
        </w:tcPr>
        <w:p w14:paraId="74C38B07" w14:textId="77777777" w:rsidR="004F2309" w:rsidRDefault="00000000">
          <w:pPr>
            <w:pBdr>
              <w:top w:val="nil"/>
              <w:left w:val="nil"/>
              <w:bottom w:val="none" w:sz="0" w:space="0" w:color="000000"/>
              <w:right w:val="nil"/>
              <w:between w:val="nil"/>
            </w:pBdr>
            <w:tabs>
              <w:tab w:val="center" w:pos="4153"/>
              <w:tab w:val="right" w:pos="8306"/>
            </w:tabs>
            <w:jc w:val="right"/>
            <w:rPr>
              <w:b/>
              <w:color w:val="000000"/>
            </w:rPr>
          </w:pPr>
          <w:r>
            <w:rPr>
              <w:b/>
              <w:noProof/>
              <w:color w:val="000000"/>
            </w:rPr>
            <w:drawing>
              <wp:inline distT="0" distB="0" distL="0" distR="0" wp14:anchorId="673F5766" wp14:editId="0408E04A">
                <wp:extent cx="540000" cy="3600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540000" cy="360000"/>
                        </a:xfrm>
                        <a:prstGeom prst="rect">
                          <a:avLst/>
                        </a:prstGeom>
                        <a:ln/>
                      </pic:spPr>
                    </pic:pic>
                  </a:graphicData>
                </a:graphic>
              </wp:inline>
            </w:drawing>
          </w:r>
        </w:p>
      </w:tc>
    </w:tr>
  </w:tbl>
  <w:p w14:paraId="43A921ED" w14:textId="77777777" w:rsidR="004F2309" w:rsidRDefault="004F2309">
    <w:pPr>
      <w:pBdr>
        <w:bottom w:val="single" w:sz="4" w:space="1" w:color="000000"/>
      </w:pBdr>
      <w:spacing w:line="100" w:lineRule="auto"/>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A5136"/>
    <w:multiLevelType w:val="multilevel"/>
    <w:tmpl w:val="B95A3A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E857A18"/>
    <w:multiLevelType w:val="hybridMultilevel"/>
    <w:tmpl w:val="92EC1156"/>
    <w:lvl w:ilvl="0" w:tplc="0C0A000F">
      <w:start w:val="1"/>
      <w:numFmt w:val="decimal"/>
      <w:lvlText w:val="%1."/>
      <w:lvlJc w:val="left"/>
      <w:pPr>
        <w:ind w:left="2138" w:hanging="360"/>
      </w:pPr>
    </w:lvl>
    <w:lvl w:ilvl="1" w:tplc="0C0A0019" w:tentative="1">
      <w:start w:val="1"/>
      <w:numFmt w:val="lowerLetter"/>
      <w:lvlText w:val="%2."/>
      <w:lvlJc w:val="left"/>
      <w:pPr>
        <w:ind w:left="2858" w:hanging="360"/>
      </w:pPr>
    </w:lvl>
    <w:lvl w:ilvl="2" w:tplc="0C0A001B" w:tentative="1">
      <w:start w:val="1"/>
      <w:numFmt w:val="lowerRoman"/>
      <w:lvlText w:val="%3."/>
      <w:lvlJc w:val="right"/>
      <w:pPr>
        <w:ind w:left="3578" w:hanging="180"/>
      </w:pPr>
    </w:lvl>
    <w:lvl w:ilvl="3" w:tplc="0C0A000F" w:tentative="1">
      <w:start w:val="1"/>
      <w:numFmt w:val="decimal"/>
      <w:lvlText w:val="%4."/>
      <w:lvlJc w:val="left"/>
      <w:pPr>
        <w:ind w:left="4298" w:hanging="360"/>
      </w:pPr>
    </w:lvl>
    <w:lvl w:ilvl="4" w:tplc="0C0A0019" w:tentative="1">
      <w:start w:val="1"/>
      <w:numFmt w:val="lowerLetter"/>
      <w:lvlText w:val="%5."/>
      <w:lvlJc w:val="left"/>
      <w:pPr>
        <w:ind w:left="5018" w:hanging="360"/>
      </w:pPr>
    </w:lvl>
    <w:lvl w:ilvl="5" w:tplc="0C0A001B" w:tentative="1">
      <w:start w:val="1"/>
      <w:numFmt w:val="lowerRoman"/>
      <w:lvlText w:val="%6."/>
      <w:lvlJc w:val="right"/>
      <w:pPr>
        <w:ind w:left="5738" w:hanging="180"/>
      </w:pPr>
    </w:lvl>
    <w:lvl w:ilvl="6" w:tplc="0C0A000F" w:tentative="1">
      <w:start w:val="1"/>
      <w:numFmt w:val="decimal"/>
      <w:lvlText w:val="%7."/>
      <w:lvlJc w:val="left"/>
      <w:pPr>
        <w:ind w:left="6458" w:hanging="360"/>
      </w:pPr>
    </w:lvl>
    <w:lvl w:ilvl="7" w:tplc="0C0A0019" w:tentative="1">
      <w:start w:val="1"/>
      <w:numFmt w:val="lowerLetter"/>
      <w:lvlText w:val="%8."/>
      <w:lvlJc w:val="left"/>
      <w:pPr>
        <w:ind w:left="7178" w:hanging="360"/>
      </w:pPr>
    </w:lvl>
    <w:lvl w:ilvl="8" w:tplc="0C0A001B" w:tentative="1">
      <w:start w:val="1"/>
      <w:numFmt w:val="lowerRoman"/>
      <w:lvlText w:val="%9."/>
      <w:lvlJc w:val="right"/>
      <w:pPr>
        <w:ind w:left="7898" w:hanging="180"/>
      </w:pPr>
    </w:lvl>
  </w:abstractNum>
  <w:num w:numId="1" w16cid:durableId="339698350">
    <w:abstractNumId w:val="0"/>
  </w:num>
  <w:num w:numId="2" w16cid:durableId="1729962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309"/>
    <w:rsid w:val="001C34BE"/>
    <w:rsid w:val="00340395"/>
    <w:rsid w:val="004F2309"/>
    <w:rsid w:val="005F0827"/>
    <w:rsid w:val="005F2D8B"/>
    <w:rsid w:val="007A2BBB"/>
    <w:rsid w:val="00BF024F"/>
    <w:rsid w:val="00C9108F"/>
    <w:rsid w:val="00CA4DFB"/>
    <w:rsid w:val="00E143CF"/>
    <w:rsid w:val="00E86D38"/>
    <w:rsid w:val="00F103A9"/>
    <w:rsid w:val="00F91B00"/>
    <w:rsid w:val="00FD71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E927D"/>
  <w15:docId w15:val="{4C4CBA36-DB3C-4280-B039-0A1BCE21A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atino Linotype" w:eastAsia="Palatino Linotype" w:hAnsi="Palatino Linotype" w:cs="Palatino Linotype"/>
        <w:lang w:val="en-US" w:eastAsia="es-E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Pr>
  </w:style>
  <w:style w:type="character" w:styleId="LineNumber">
    <w:name w:val="line number"/>
    <w:basedOn w:val="DefaultParagraphFont"/>
    <w:uiPriority w:val="99"/>
    <w:semiHidden/>
    <w:unhideWhenUsed/>
    <w:rsid w:val="00BF024F"/>
  </w:style>
  <w:style w:type="paragraph" w:styleId="Footer">
    <w:name w:val="footer"/>
    <w:basedOn w:val="Normal"/>
    <w:link w:val="FooterChar"/>
    <w:uiPriority w:val="99"/>
    <w:unhideWhenUsed/>
    <w:rsid w:val="00BF024F"/>
    <w:pPr>
      <w:tabs>
        <w:tab w:val="center" w:pos="4252"/>
        <w:tab w:val="right" w:pos="8504"/>
      </w:tabs>
    </w:pPr>
  </w:style>
  <w:style w:type="character" w:customStyle="1" w:styleId="FooterChar">
    <w:name w:val="Footer Char"/>
    <w:basedOn w:val="DefaultParagraphFont"/>
    <w:link w:val="Footer"/>
    <w:uiPriority w:val="99"/>
    <w:rsid w:val="00BF024F"/>
  </w:style>
  <w:style w:type="character" w:customStyle="1" w:styleId="normaltextrun">
    <w:name w:val="normaltextrun"/>
    <w:basedOn w:val="DefaultParagraphFont"/>
    <w:rsid w:val="005F2D8B"/>
  </w:style>
  <w:style w:type="character" w:customStyle="1" w:styleId="eop">
    <w:name w:val="eop"/>
    <w:basedOn w:val="DefaultParagraphFont"/>
    <w:rsid w:val="005F2D8B"/>
  </w:style>
  <w:style w:type="character" w:styleId="Hyperlink">
    <w:name w:val="Hyperlink"/>
    <w:basedOn w:val="DefaultParagraphFont"/>
    <w:uiPriority w:val="99"/>
    <w:semiHidden/>
    <w:unhideWhenUsed/>
    <w:rsid w:val="005F2D8B"/>
    <w:rPr>
      <w:color w:val="0000FF"/>
      <w:u w:val="single"/>
    </w:rPr>
  </w:style>
  <w:style w:type="paragraph" w:styleId="ListParagraph">
    <w:name w:val="List Paragraph"/>
    <w:basedOn w:val="Normal"/>
    <w:uiPriority w:val="34"/>
    <w:qFormat/>
    <w:rsid w:val="00F91B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5829">
      <w:bodyDiv w:val="1"/>
      <w:marLeft w:val="0"/>
      <w:marRight w:val="0"/>
      <w:marTop w:val="0"/>
      <w:marBottom w:val="0"/>
      <w:divBdr>
        <w:top w:val="none" w:sz="0" w:space="0" w:color="auto"/>
        <w:left w:val="none" w:sz="0" w:space="0" w:color="auto"/>
        <w:bottom w:val="none" w:sz="0" w:space="0" w:color="auto"/>
        <w:right w:val="none" w:sz="0" w:space="0" w:color="auto"/>
      </w:divBdr>
    </w:div>
    <w:div w:id="202602227">
      <w:bodyDiv w:val="1"/>
      <w:marLeft w:val="0"/>
      <w:marRight w:val="0"/>
      <w:marTop w:val="0"/>
      <w:marBottom w:val="0"/>
      <w:divBdr>
        <w:top w:val="none" w:sz="0" w:space="0" w:color="auto"/>
        <w:left w:val="none" w:sz="0" w:space="0" w:color="auto"/>
        <w:bottom w:val="none" w:sz="0" w:space="0" w:color="auto"/>
        <w:right w:val="none" w:sz="0" w:space="0" w:color="auto"/>
      </w:divBdr>
    </w:div>
    <w:div w:id="1792161775">
      <w:bodyDiv w:val="1"/>
      <w:marLeft w:val="0"/>
      <w:marRight w:val="0"/>
      <w:marTop w:val="0"/>
      <w:marBottom w:val="0"/>
      <w:divBdr>
        <w:top w:val="none" w:sz="0" w:space="0" w:color="auto"/>
        <w:left w:val="none" w:sz="0" w:space="0" w:color="auto"/>
        <w:bottom w:val="none" w:sz="0" w:space="0" w:color="auto"/>
        <w:right w:val="none" w:sz="0" w:space="0" w:color="auto"/>
      </w:divBdr>
    </w:div>
    <w:div w:id="205457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wasman.2012.01.012"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ec.europa.eu/eurostat/databrowser/view/env_ww_spd/default/table?lang=en&amp;category=env.env_wat.env_nwat"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aterquality.danube-region.eu/wp-content/uploads/sites/13/sites/13/2021/05/11.-Ireland-Aoife-Kyne-Sludge-presentation-1.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miteco.gob.es/es/calidad-y-evaluacion-ambiental/publicaciones/lodos.html" TargetMode="External"/><Relationship Id="rId4" Type="http://schemas.openxmlformats.org/officeDocument/2006/relationships/webSettings" Target="webSettings.xml"/><Relationship Id="rId9" Type="http://schemas.openxmlformats.org/officeDocument/2006/relationships/hyperlink" Target="https://eur-lex.europa.eu/legal-content/EN/TXT/?uri=CELEX:52006SC1053"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5</Pages>
  <Words>1220</Words>
  <Characters>6955</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Synectic</Company>
  <LinksUpToDate>false</LinksUpToDate>
  <CharactersWithSpaces>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Lucia Jimena Gonzalez Monjardin</cp:lastModifiedBy>
  <cp:revision>5</cp:revision>
  <dcterms:created xsi:type="dcterms:W3CDTF">2024-12-19T15:24:00Z</dcterms:created>
  <dcterms:modified xsi:type="dcterms:W3CDTF">2024-12-20T14:33:00Z</dcterms:modified>
</cp:coreProperties>
</file>