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5701" w14:textId="5B3078E1" w:rsidR="00F43BFB" w:rsidRDefault="001F582A" w:rsidP="001F58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582A">
        <w:rPr>
          <w:rFonts w:ascii="Times New Roman" w:hAnsi="Times New Roman" w:cs="Times New Roman"/>
          <w:b/>
          <w:bCs/>
          <w:sz w:val="20"/>
          <w:szCs w:val="20"/>
        </w:rPr>
        <w:t>Tables</w:t>
      </w:r>
    </w:p>
    <w:p w14:paraId="54C0FF1E" w14:textId="77777777" w:rsidR="001F582A" w:rsidRPr="00CD3D40" w:rsidRDefault="001F582A" w:rsidP="001F582A">
      <w:pPr>
        <w:spacing w:after="24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  <w:r w:rsidRPr="00CD3D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 xml:space="preserve">Table 1: </w:t>
      </w:r>
      <w:r w:rsidRPr="00CD3D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  <w:t>Comparison of different varieties of Vegetables found around different parts of the world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808"/>
        <w:gridCol w:w="1247"/>
        <w:gridCol w:w="1077"/>
        <w:gridCol w:w="551"/>
        <w:gridCol w:w="1377"/>
        <w:gridCol w:w="1989"/>
        <w:gridCol w:w="1130"/>
      </w:tblGrid>
      <w:tr w:rsidR="001F582A" w:rsidRPr="00CD3D40" w14:paraId="35798397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8176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Vegetable Waste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6039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Pre-treatment Method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55EE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Temperature (°C)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7691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Time (minutes)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4E28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pH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B3F7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Enzyme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E26C7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Comments</w:t>
            </w:r>
          </w:p>
        </w:tc>
        <w:tc>
          <w:tcPr>
            <w:tcW w:w="1130" w:type="dxa"/>
            <w:shd w:val="clear" w:color="auto" w:fill="auto"/>
          </w:tcPr>
          <w:p w14:paraId="0D624769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</w:p>
          <w:p w14:paraId="0E5A3395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References</w:t>
            </w:r>
          </w:p>
        </w:tc>
      </w:tr>
      <w:tr w:rsidR="001F582A" w:rsidRPr="00CD3D40" w14:paraId="2467CD96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14FF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Potato peels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425A6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Steam explosion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50ED2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66D01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06341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4.5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C8EAE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6A696D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High starch content</w:t>
            </w:r>
          </w:p>
        </w:tc>
        <w:tc>
          <w:tcPr>
            <w:tcW w:w="1130" w:type="dxa"/>
            <w:shd w:val="clear" w:color="auto" w:fill="auto"/>
          </w:tcPr>
          <w:p w14:paraId="7B5B479F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(Sheikh et al., 2016; 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Sujeeta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al., 2018)</w:t>
            </w:r>
          </w:p>
          <w:p w14:paraId="77D79479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1F582A" w:rsidRPr="00CD3D40" w14:paraId="4C53AC36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6AF10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Carrot pomace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6BBC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Dilute acid hydrolysis followed by enzymatic hydrolysis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F69CA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110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A1457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B430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6E27E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Hemicellulase &amp; 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AFBE74B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Fermentation: Saccharomyces cerevisiae</w:t>
            </w:r>
          </w:p>
        </w:tc>
        <w:tc>
          <w:tcPr>
            <w:tcW w:w="1130" w:type="dxa"/>
            <w:shd w:val="clear" w:color="auto" w:fill="auto"/>
          </w:tcPr>
          <w:p w14:paraId="0CE51B44" w14:textId="77777777" w:rsidR="001F582A" w:rsidRPr="00CD3D40" w:rsidRDefault="001F582A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Khoshkho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 , 2022; Yu et al., 2013)</w:t>
            </w:r>
          </w:p>
        </w:tc>
      </w:tr>
      <w:tr w:rsidR="001F582A" w:rsidRPr="00CD3D40" w14:paraId="1A394B62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6969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Tomato pomace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2BA2A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Ultrasound-assisted extraction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C88A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2DBF1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C504B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5.5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11961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Pectinase &amp; 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675756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High moisture content</w:t>
            </w:r>
          </w:p>
        </w:tc>
        <w:tc>
          <w:tcPr>
            <w:tcW w:w="1130" w:type="dxa"/>
            <w:shd w:val="clear" w:color="auto" w:fill="auto"/>
          </w:tcPr>
          <w:p w14:paraId="148E4175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  <w:p w14:paraId="3071D65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(Miriana et al., 2013)</w:t>
            </w:r>
          </w:p>
        </w:tc>
      </w:tr>
      <w:tr w:rsidR="001F582A" w:rsidRPr="00CD3D40" w14:paraId="324E5FA6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DBEC7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Brinjal (Eggplant) peels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C9967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Steam explosion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5FEB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150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903A7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DE35A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7CAAF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47975A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Moderate lignin content</w:t>
            </w:r>
          </w:p>
        </w:tc>
        <w:tc>
          <w:tcPr>
            <w:tcW w:w="1130" w:type="dxa"/>
            <w:shd w:val="clear" w:color="auto" w:fill="auto"/>
          </w:tcPr>
          <w:p w14:paraId="79865A98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(Demiray et al., 2024)</w:t>
            </w:r>
          </w:p>
        </w:tc>
      </w:tr>
      <w:tr w:rsidR="001F582A" w:rsidRPr="00CD3D40" w14:paraId="3F10CE7F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2279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Radish Leaves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F3427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Dilute acid hydrolysis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09ED9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ACD23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C9D8B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2.5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4B190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Hemicellulase &amp; 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DCD9DF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Requires optimization due to low sugar content</w:t>
            </w:r>
          </w:p>
        </w:tc>
        <w:tc>
          <w:tcPr>
            <w:tcW w:w="1130" w:type="dxa"/>
            <w:shd w:val="clear" w:color="auto" w:fill="auto"/>
          </w:tcPr>
          <w:p w14:paraId="209F23D2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  <w:p w14:paraId="142DE0AB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(Khan et al., 2015)</w:t>
            </w:r>
          </w:p>
        </w:tc>
      </w:tr>
      <w:tr w:rsidR="001F582A" w:rsidRPr="00CD3D40" w14:paraId="60601D02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B7D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Onion peels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F03C0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Steam explosion followed by enzymatic hydrolysis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FBE62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140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79A15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E16E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B35F0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01377E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Low cellulose content</w:t>
            </w:r>
          </w:p>
        </w:tc>
        <w:tc>
          <w:tcPr>
            <w:tcW w:w="1130" w:type="dxa"/>
            <w:shd w:val="clear" w:color="auto" w:fill="auto"/>
          </w:tcPr>
          <w:p w14:paraId="46BAA7A0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  <w:p w14:paraId="01BD909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Genemo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 , 2021)</w:t>
            </w:r>
          </w:p>
        </w:tc>
      </w:tr>
      <w:tr w:rsidR="001F582A" w:rsidRPr="00CD3D40" w14:paraId="6677E6FB" w14:textId="77777777" w:rsidTr="003A221F">
        <w:trPr>
          <w:trHeight w:val="315"/>
        </w:trPr>
        <w:tc>
          <w:tcPr>
            <w:tcW w:w="15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5CC1D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Pumpkin peels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46514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Steam explosion</w:t>
            </w:r>
          </w:p>
        </w:tc>
        <w:tc>
          <w:tcPr>
            <w:tcW w:w="12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835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150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A4B1E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5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0B0EB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4.5</w:t>
            </w:r>
          </w:p>
        </w:tc>
        <w:tc>
          <w:tcPr>
            <w:tcW w:w="13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FD3E1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</w:t>
            </w:r>
          </w:p>
        </w:tc>
        <w:tc>
          <w:tcPr>
            <w:tcW w:w="1989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203488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Suitable for co-fermentation with other wastes</w:t>
            </w:r>
          </w:p>
        </w:tc>
        <w:tc>
          <w:tcPr>
            <w:tcW w:w="1130" w:type="dxa"/>
            <w:shd w:val="clear" w:color="auto" w:fill="auto"/>
          </w:tcPr>
          <w:p w14:paraId="3C8C1E6C" w14:textId="77777777" w:rsidR="001F582A" w:rsidRPr="00CD3D40" w:rsidRDefault="001F582A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Chouaibi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al., 2020)</w:t>
            </w:r>
          </w:p>
        </w:tc>
      </w:tr>
    </w:tbl>
    <w:p w14:paraId="3737481C" w14:textId="77777777" w:rsidR="001F582A" w:rsidRDefault="001F582A" w:rsidP="001F582A">
      <w:pPr>
        <w:spacing w:before="16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  <w:bookmarkStart w:id="0" w:name="_Hlk192283795"/>
    </w:p>
    <w:p w14:paraId="451FC822" w14:textId="0B0E5618" w:rsidR="001F582A" w:rsidRDefault="001F582A" w:rsidP="001F582A">
      <w:pPr>
        <w:spacing w:before="160"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69347570" w14:textId="77777777" w:rsidR="001F582A" w:rsidRDefault="001F582A" w:rsidP="001F582A">
      <w:pPr>
        <w:spacing w:before="160"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7B8A37D0" w14:textId="77777777" w:rsidR="001F582A" w:rsidRDefault="001F582A" w:rsidP="001F582A">
      <w:pPr>
        <w:spacing w:before="160"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4009956F" w14:textId="1C8A2A6C" w:rsidR="001F582A" w:rsidRDefault="001F582A" w:rsidP="001F582A">
      <w:pPr>
        <w:spacing w:before="160"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  <w:r w:rsidRPr="00CD3D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>2</w:t>
      </w:r>
      <w:r w:rsidRPr="00CD3D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 xml:space="preserve">: </w:t>
      </w:r>
      <w:r w:rsidRPr="00CD3D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  <w:t>Comparison of different varieties of Lignocellulosic Biomass found around different parts of the world</w:t>
      </w:r>
    </w:p>
    <w:tbl>
      <w:tblPr>
        <w:tblpPr w:leftFromText="180" w:rightFromText="180" w:vertAnchor="text" w:horzAnchor="margin" w:tblpXSpec="center" w:tblpY="87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851"/>
        <w:gridCol w:w="567"/>
        <w:gridCol w:w="1417"/>
        <w:gridCol w:w="2410"/>
        <w:gridCol w:w="1276"/>
      </w:tblGrid>
      <w:tr w:rsidR="001F582A" w:rsidRPr="00CD3D40" w14:paraId="37543B59" w14:textId="77777777" w:rsidTr="001F582A">
        <w:trPr>
          <w:trHeight w:val="308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029BF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Feedstock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E3ED4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Pre-treatment Method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D3EEE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Temperature (°C)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4213A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Time (hours)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B9626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pH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BEEBF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Enzyme(s)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2DF0B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Comments</w:t>
            </w:r>
          </w:p>
        </w:tc>
        <w:tc>
          <w:tcPr>
            <w:tcW w:w="1276" w:type="dxa"/>
            <w:shd w:val="clear" w:color="auto" w:fill="auto"/>
          </w:tcPr>
          <w:p w14:paraId="6AD26863" w14:textId="77777777" w:rsidR="001F582A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</w:p>
          <w:p w14:paraId="319B8BF0" w14:textId="5188091C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References</w:t>
            </w:r>
          </w:p>
        </w:tc>
      </w:tr>
      <w:tr w:rsidR="001F582A" w:rsidRPr="00CD3D40" w14:paraId="19BEDF8E" w14:textId="77777777" w:rsidTr="001F582A">
        <w:trPr>
          <w:trHeight w:val="308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91E9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Sugarcane Bagasse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B638B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Steam Explosion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6CBC7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160 - 190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44392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1 - 10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10D4F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Nil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85E4D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267835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Disrupts lignocellulosic structure for better enzyme accessibility.</w:t>
            </w:r>
          </w:p>
          <w:p w14:paraId="44DE40A0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Optimize steam pressure and residence time for efficient breakdown.</w:t>
            </w:r>
          </w:p>
        </w:tc>
        <w:tc>
          <w:tcPr>
            <w:tcW w:w="1276" w:type="dxa"/>
            <w:shd w:val="clear" w:color="auto" w:fill="auto"/>
          </w:tcPr>
          <w:p w14:paraId="1D621CE2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  <w:p w14:paraId="57FACD03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  <w:p w14:paraId="4B97CDCC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(Sabiha et al., 2018)</w:t>
            </w:r>
          </w:p>
        </w:tc>
      </w:tr>
      <w:tr w:rsidR="001F582A" w:rsidRPr="00CD3D40" w14:paraId="4B5A81CD" w14:textId="77777777" w:rsidTr="001F582A">
        <w:trPr>
          <w:trHeight w:val="308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31943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Corn Stover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CEE8B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Dilute Acid Pre-treatment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7FDC0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90 - 130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6B84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30 - 60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F8CB4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1.0 - 2.0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5C901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Cellulase, 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hemicellulase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5D0F9F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Similar to fruit peels, minimize sugar degradation and by-product formation.</w:t>
            </w:r>
          </w:p>
          <w:p w14:paraId="382CFB96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May require additional enzymes to break down hemicellulose depending on process design.</w:t>
            </w:r>
          </w:p>
        </w:tc>
        <w:tc>
          <w:tcPr>
            <w:tcW w:w="1276" w:type="dxa"/>
            <w:shd w:val="clear" w:color="auto" w:fill="auto"/>
          </w:tcPr>
          <w:p w14:paraId="30BC8581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Riansa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al., 2011)</w:t>
            </w:r>
          </w:p>
        </w:tc>
      </w:tr>
      <w:tr w:rsidR="001F582A" w:rsidRPr="00CD3D40" w14:paraId="69CE3BD8" w14:textId="77777777" w:rsidTr="001F582A">
        <w:trPr>
          <w:trHeight w:val="308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26A70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lastRenderedPageBreak/>
              <w:t>Switchgrass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4A24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Ammonia 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Fiber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Expansion (AFEX)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B1FCC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30 - 100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F8AFB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0.5 - 3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3B008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Nil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4C54C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Cellulase, xylanase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81DCC2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Uses ammonia to swell the biomass and increase enzyme accessibility.</w:t>
            </w:r>
          </w:p>
          <w:p w14:paraId="65FEF636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Requires proper ammonia recovery and wastewater treatment.</w:t>
            </w:r>
          </w:p>
        </w:tc>
        <w:tc>
          <w:tcPr>
            <w:tcW w:w="1276" w:type="dxa"/>
            <w:shd w:val="clear" w:color="auto" w:fill="auto"/>
          </w:tcPr>
          <w:p w14:paraId="01385980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(Keshwani et al., 2007)</w:t>
            </w:r>
          </w:p>
        </w:tc>
      </w:tr>
      <w:tr w:rsidR="001F582A" w:rsidRPr="00CD3D40" w14:paraId="61B2660B" w14:textId="77777777" w:rsidTr="001F582A">
        <w:trPr>
          <w:trHeight w:val="308"/>
        </w:trPr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ABE17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Wood Chips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B3786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Enzymatic Hydrolysis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DC7E0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40 - 50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9BF0E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24 - 72</w:t>
            </w:r>
          </w:p>
        </w:tc>
        <w:tc>
          <w:tcPr>
            <w:tcW w:w="5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5E64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4.8 - 5.5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0829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Cellulase, xylanase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EABAAE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Optimum temperature for cellulase and xylanase activity.</w:t>
            </w:r>
          </w:p>
          <w:p w14:paraId="19085804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- Enzyme cost can be a significant factor in process economics.</w:t>
            </w:r>
          </w:p>
        </w:tc>
        <w:tc>
          <w:tcPr>
            <w:tcW w:w="1276" w:type="dxa"/>
            <w:shd w:val="clear" w:color="auto" w:fill="auto"/>
          </w:tcPr>
          <w:p w14:paraId="70254AC5" w14:textId="77777777" w:rsidR="001F582A" w:rsidRPr="00CD3D40" w:rsidRDefault="001F582A" w:rsidP="001F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(Silva et al., 2011; Pereira et al., 2008; </w:t>
            </w: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Vásquez et al., 2007)</w:t>
            </w:r>
          </w:p>
        </w:tc>
      </w:tr>
    </w:tbl>
    <w:p w14:paraId="3A7A0C41" w14:textId="77777777" w:rsidR="001F582A" w:rsidRDefault="001F582A" w:rsidP="001F582A">
      <w:pPr>
        <w:spacing w:before="160"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064310F8" w14:textId="77777777" w:rsidR="001F582A" w:rsidRDefault="001F582A" w:rsidP="001F582A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6A2AC06D" w14:textId="293A82ED" w:rsidR="00134BD2" w:rsidRPr="00CD3D40" w:rsidRDefault="00134BD2" w:rsidP="00134BD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  <w:r w:rsidRPr="00CD3D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 xml:space="preserve">Table 3: </w:t>
      </w:r>
      <w:r w:rsidRPr="00CD3D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  <w:t>A chart that compares the process of generating marine algae into bioethanol.</w:t>
      </w: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765"/>
        <w:gridCol w:w="2024"/>
        <w:gridCol w:w="1635"/>
        <w:gridCol w:w="1764"/>
      </w:tblGrid>
      <w:tr w:rsidR="00134BD2" w:rsidRPr="00CD3D40" w14:paraId="47CD3D06" w14:textId="77777777" w:rsidTr="003A221F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5098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Microalgal Biomass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AC05A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Pre-treatment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22DC3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Enzyme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26F6C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Yield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97D6A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Source</w:t>
            </w:r>
          </w:p>
        </w:tc>
      </w:tr>
      <w:tr w:rsidR="00134BD2" w:rsidRPr="00CD3D40" w14:paraId="1E0E2EBF" w14:textId="77777777" w:rsidTr="003A221F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AF02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proofErr w:type="spellStart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Chlorococcum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 sp.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B4A33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Enzymatic hydrolysis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A7E6B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073F6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57% glucose (0.46 g/g bioethanol)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6D7AD5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Shokrkar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al., 2018)</w:t>
            </w:r>
          </w:p>
        </w:tc>
      </w:tr>
      <w:tr w:rsidR="00134BD2" w:rsidRPr="00CD3D40" w14:paraId="390EF583" w14:textId="77777777" w:rsidTr="003A221F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4286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proofErr w:type="spellStart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Hindakia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tetrachotoma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 ME03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F018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Enzymatic hydrolysis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9CF5D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β-glucosidase/cellulase, α-amylase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F54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92% saccharification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2BB7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(Onay et a., 2019)</w:t>
            </w:r>
          </w:p>
        </w:tc>
      </w:tr>
      <w:tr w:rsidR="00134BD2" w:rsidRPr="00CD3D40" w14:paraId="29A10C42" w14:textId="77777777" w:rsidTr="003A221F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734A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Chlorella sp.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CA96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Hydrothermal pre-treatment, Enzymatic hydrolysis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BFE95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α-amylase, glucoamylase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26103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11 g/L bioethanol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60837B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Ngamsirisomsakul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al., 2019)</w:t>
            </w:r>
          </w:p>
        </w:tc>
      </w:tr>
      <w:tr w:rsidR="00134BD2" w:rsidRPr="00CD3D40" w14:paraId="6227D88A" w14:textId="77777777" w:rsidTr="003A221F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FFC25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Macroalgal biomass (fresh river water)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EBCF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Enzymatic hydrolysis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B5246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Cellulase enzyme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FF46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61% bioethanol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4FF533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(Kumar et al., 2018)</w:t>
            </w:r>
          </w:p>
        </w:tc>
      </w:tr>
      <w:tr w:rsidR="00134BD2" w:rsidRPr="00CD3D40" w14:paraId="2A4137EC" w14:textId="77777777" w:rsidTr="003A221F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B207E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Spirulina platensis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A4D01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None (assumed)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8E0ED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α-amylase, 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amyloglucosidase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9BB78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80% polysaccharide conversion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99621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(Rempel et al., 2019)</w:t>
            </w:r>
          </w:p>
        </w:tc>
      </w:tr>
      <w:bookmarkEnd w:id="0"/>
    </w:tbl>
    <w:p w14:paraId="6452224D" w14:textId="77777777" w:rsidR="00134BD2" w:rsidRDefault="00134BD2" w:rsidP="00134B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57ACA218" w14:textId="77777777" w:rsidR="00134BD2" w:rsidRDefault="00134BD2" w:rsidP="00134B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p w14:paraId="7599206A" w14:textId="3DFAC036" w:rsidR="00134BD2" w:rsidRPr="00CD3D40" w:rsidRDefault="00134BD2" w:rsidP="00134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  <w:r w:rsidRPr="00CD3D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 xml:space="preserve">Table 4: </w:t>
      </w:r>
      <w:r w:rsidRPr="00CD3D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  <w:t>Comparison of different types of Marine Algae</w:t>
      </w:r>
    </w:p>
    <w:p w14:paraId="0E7D899B" w14:textId="77777777" w:rsidR="00134BD2" w:rsidRPr="00CD3D40" w:rsidRDefault="00134BD2" w:rsidP="00134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</w:p>
    <w:tbl>
      <w:tblPr>
        <w:tblW w:w="1072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946"/>
        <w:gridCol w:w="1023"/>
        <w:gridCol w:w="1223"/>
        <w:gridCol w:w="902"/>
        <w:gridCol w:w="690"/>
        <w:gridCol w:w="3745"/>
        <w:gridCol w:w="1137"/>
      </w:tblGrid>
      <w:tr w:rsidR="00134BD2" w:rsidRPr="00CD3D40" w14:paraId="2E831A3F" w14:textId="77777777" w:rsidTr="003A221F">
        <w:trPr>
          <w:trHeight w:val="278"/>
        </w:trPr>
        <w:tc>
          <w:tcPr>
            <w:tcW w:w="106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4C5F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Algae Type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B7996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Pre-treatment Method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435B4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Disruption Type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D00F0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Temperature (°C)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9BE69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Time (minutes)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A7B5B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pH</w:t>
            </w:r>
          </w:p>
        </w:tc>
        <w:tc>
          <w:tcPr>
            <w:tcW w:w="3745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8B0C8A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Notes for Bioethanol Production</w:t>
            </w:r>
          </w:p>
        </w:tc>
        <w:tc>
          <w:tcPr>
            <w:tcW w:w="1137" w:type="dxa"/>
          </w:tcPr>
          <w:p w14:paraId="726CEE59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</w:p>
          <w:p w14:paraId="5800B741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References</w:t>
            </w:r>
          </w:p>
        </w:tc>
      </w:tr>
      <w:tr w:rsidR="00134BD2" w:rsidRPr="00CD3D40" w14:paraId="01D54BE6" w14:textId="77777777" w:rsidTr="003A221F">
        <w:trPr>
          <w:trHeight w:val="278"/>
        </w:trPr>
        <w:tc>
          <w:tcPr>
            <w:tcW w:w="106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2B05C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Green Algae (e.g., Chlorella sp.)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4B294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Bead milling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CD0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Mechanical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D69B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20-30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DB26E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5-10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2DFBB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Neutral</w:t>
            </w:r>
          </w:p>
        </w:tc>
        <w:tc>
          <w:tcPr>
            <w:tcW w:w="3745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ADE47E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Disrupts cell wall for better sugar release during bioethanol production.</w:t>
            </w:r>
          </w:p>
        </w:tc>
        <w:tc>
          <w:tcPr>
            <w:tcW w:w="1137" w:type="dxa"/>
          </w:tcPr>
          <w:p w14:paraId="7123B4A0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(Yadav et al., 2020)</w:t>
            </w:r>
          </w:p>
        </w:tc>
      </w:tr>
      <w:tr w:rsidR="00134BD2" w:rsidRPr="00CD3D40" w14:paraId="708D0A5C" w14:textId="77777777" w:rsidTr="003A221F">
        <w:trPr>
          <w:trHeight w:val="278"/>
        </w:trPr>
        <w:tc>
          <w:tcPr>
            <w:tcW w:w="106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D6E13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Brown Algae (e.g., Saccharina sp.)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4BF9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Dilute acid hydrolysis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72255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Chemical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CD0DF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90-100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5EB7B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30-60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7B0D1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1-2</w:t>
            </w:r>
          </w:p>
        </w:tc>
        <w:tc>
          <w:tcPr>
            <w:tcW w:w="3745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870151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Break down complex carbohydrates to fermentable sugars for bioethanol production.</w:t>
            </w:r>
          </w:p>
        </w:tc>
        <w:tc>
          <w:tcPr>
            <w:tcW w:w="1137" w:type="dxa"/>
          </w:tcPr>
          <w:p w14:paraId="4F4A4D87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(Brown et al., 2024)</w:t>
            </w:r>
          </w:p>
        </w:tc>
      </w:tr>
      <w:tr w:rsidR="00134BD2" w:rsidRPr="00CD3D40" w14:paraId="683C2EC2" w14:textId="77777777" w:rsidTr="003A221F">
        <w:trPr>
          <w:trHeight w:val="278"/>
        </w:trPr>
        <w:tc>
          <w:tcPr>
            <w:tcW w:w="106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34ED9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Red Algae (e.g., 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Gracilaria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 sp.)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DC8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Alkali pre-treatment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D376E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Chemical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4519F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30-40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C38B9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30-60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8E3A2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10-12</w:t>
            </w:r>
          </w:p>
        </w:tc>
        <w:tc>
          <w:tcPr>
            <w:tcW w:w="3745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F169D6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Removes hemicellulose, improving access to carbohydrates for bioethanol production.</w:t>
            </w:r>
          </w:p>
        </w:tc>
        <w:tc>
          <w:tcPr>
            <w:tcW w:w="1137" w:type="dxa"/>
          </w:tcPr>
          <w:p w14:paraId="3676021F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(Sehar et al., 2022)</w:t>
            </w:r>
          </w:p>
        </w:tc>
      </w:tr>
      <w:tr w:rsidR="00134BD2" w:rsidRPr="00CD3D40" w14:paraId="45E7AA75" w14:textId="77777777" w:rsidTr="003A221F">
        <w:trPr>
          <w:trHeight w:val="278"/>
        </w:trPr>
        <w:tc>
          <w:tcPr>
            <w:tcW w:w="106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ABDF6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Various Algae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67F60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Enzymatic hydrolysis (or other </w:t>
            </w: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lastRenderedPageBreak/>
              <w:t>enzymatic methods)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16D20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lastRenderedPageBreak/>
              <w:t>Enzymatic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44A02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40-50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7D90F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60-120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F065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4.5-5.0</w:t>
            </w:r>
          </w:p>
        </w:tc>
        <w:tc>
          <w:tcPr>
            <w:tcW w:w="3745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532C1F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Breaks down cellulose and alginate for efficient conversion to fermentable sugars in bioethanol production.</w:t>
            </w:r>
          </w:p>
        </w:tc>
        <w:tc>
          <w:tcPr>
            <w:tcW w:w="1137" w:type="dxa"/>
          </w:tcPr>
          <w:p w14:paraId="30D0660C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</w:t>
            </w:r>
            <w:proofErr w:type="spellStart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Jutakridsada</w:t>
            </w:r>
            <w:proofErr w:type="spellEnd"/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 et al., 2019)</w:t>
            </w:r>
          </w:p>
        </w:tc>
      </w:tr>
    </w:tbl>
    <w:p w14:paraId="21D90217" w14:textId="1D31FF3B" w:rsidR="001F582A" w:rsidRDefault="001F582A" w:rsidP="00134B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2BC39C" w14:textId="77777777" w:rsidR="00134BD2" w:rsidRPr="00CD3D40" w:rsidRDefault="00134BD2" w:rsidP="00134BD2">
      <w:pPr>
        <w:spacing w:before="3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  <w:r w:rsidRPr="00CD3D4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>Table 5:</w:t>
      </w:r>
      <w:r w:rsidRPr="00CD3D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  <w:t xml:space="preserve"> Parameters considered for building the model</w:t>
      </w:r>
    </w:p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386"/>
        <w:gridCol w:w="2126"/>
      </w:tblGrid>
      <w:tr w:rsidR="00134BD2" w:rsidRPr="00CD3D40" w14:paraId="086C9E47" w14:textId="77777777" w:rsidTr="003A221F">
        <w:trPr>
          <w:trHeight w:val="315"/>
        </w:trPr>
        <w:tc>
          <w:tcPr>
            <w:tcW w:w="15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2A51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Parameter</w:t>
            </w:r>
          </w:p>
        </w:tc>
        <w:tc>
          <w:tcPr>
            <w:tcW w:w="43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01575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Expression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3ED8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Description</w:t>
            </w:r>
          </w:p>
        </w:tc>
      </w:tr>
      <w:tr w:rsidR="00134BD2" w:rsidRPr="00CD3D40" w14:paraId="3AC99FB3" w14:textId="77777777" w:rsidTr="003A221F">
        <w:trPr>
          <w:trHeight w:val="315"/>
        </w:trPr>
        <w:tc>
          <w:tcPr>
            <w:tcW w:w="15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0C6C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Microbial Growth Rate</w:t>
            </w:r>
          </w:p>
        </w:tc>
        <w:tc>
          <w:tcPr>
            <w:tcW w:w="43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6E151" w14:textId="77777777" w:rsidR="00134BD2" w:rsidRPr="00CD3D40" w:rsidRDefault="00134BD2" w:rsidP="003A221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∙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Ks+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[P]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[P]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max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d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∙[X]</m:t>
                </m:r>
              </m:oMath>
            </m:oMathPara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EA12A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Rate of change of biomass concentration</w:t>
            </w:r>
          </w:p>
        </w:tc>
      </w:tr>
      <w:tr w:rsidR="00134BD2" w:rsidRPr="00CD3D40" w14:paraId="12AEC84E" w14:textId="77777777" w:rsidTr="003A221F">
        <w:trPr>
          <w:trHeight w:val="315"/>
        </w:trPr>
        <w:tc>
          <w:tcPr>
            <w:tcW w:w="15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06EE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Substrate Consumption Rate</w:t>
            </w:r>
          </w:p>
        </w:tc>
        <w:tc>
          <w:tcPr>
            <w:tcW w:w="43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B0AFF" w14:textId="77777777" w:rsidR="00134BD2" w:rsidRPr="00CD3D40" w:rsidRDefault="00134BD2" w:rsidP="003A221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f>
                          <m:fPr>
                            <m:type m:val="lin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S</m:t>
                            </m:r>
                          </m:den>
                        </m:f>
                      </m:sub>
                    </m:sSub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-m.[X]</m:t>
                </m:r>
              </m:oMath>
            </m:oMathPara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1E79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Rate of change of substrate concentration</w:t>
            </w:r>
          </w:p>
        </w:tc>
      </w:tr>
      <w:tr w:rsidR="00134BD2" w:rsidRPr="00CD3D40" w14:paraId="5DB3149D" w14:textId="77777777" w:rsidTr="003A221F">
        <w:trPr>
          <w:trHeight w:val="315"/>
        </w:trPr>
        <w:tc>
          <w:tcPr>
            <w:tcW w:w="15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70524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Product Formation Rate</w:t>
            </w:r>
          </w:p>
        </w:tc>
        <w:tc>
          <w:tcPr>
            <w:tcW w:w="43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D27BE" w14:textId="77777777" w:rsidR="00134BD2" w:rsidRPr="00CD3D40" w:rsidRDefault="00134BD2" w:rsidP="003A221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P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dt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0"/>
                    <w:szCs w:val="20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0"/>
                        <w:szCs w:val="20"/>
                      </w:rPr>
                      <m:t>-Y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S</m:t>
                        </m:r>
                      </m:den>
                    </m:f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A92EC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Rate of change of product concentration</w:t>
            </w:r>
          </w:p>
        </w:tc>
      </w:tr>
    </w:tbl>
    <w:p w14:paraId="3A2AC3AC" w14:textId="77777777" w:rsidR="00134BD2" w:rsidRPr="00CD3D40" w:rsidRDefault="00134BD2" w:rsidP="00134BD2">
      <w:pP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15A161E6" w14:textId="77777777" w:rsidR="00134BD2" w:rsidRPr="00CD3D40" w:rsidRDefault="00134BD2" w:rsidP="00134BD2">
      <w:pP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CD3D40"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</w:rPr>
        <w:t xml:space="preserve">Table 6: </w:t>
      </w:r>
      <w:r w:rsidRPr="00CD3D40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Values of the other Parameters considered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1986"/>
      </w:tblGrid>
      <w:tr w:rsidR="00134BD2" w:rsidRPr="00CD3D40" w14:paraId="75B4CE4D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561CF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Parameter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6374F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Value</w:t>
            </w:r>
          </w:p>
        </w:tc>
      </w:tr>
      <w:tr w:rsidR="00134BD2" w:rsidRPr="00CD3D40" w14:paraId="0C110D25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B62E0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Ks</m:t>
                </m:r>
              </m:oMath>
            </m:oMathPara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CEB71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1.7 kg/m³</w:t>
            </w:r>
          </w:p>
        </w:tc>
      </w:tr>
      <w:tr w:rsidR="00134BD2" w:rsidRPr="00CD3D40" w14:paraId="712D4AAA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1F5AC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[P]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A87EC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93 kg/m³</w:t>
            </w:r>
          </w:p>
        </w:tc>
      </w:tr>
      <w:tr w:rsidR="00134BD2" w:rsidRPr="00CD3D40" w14:paraId="0F72F631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6451B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605A3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0.52</w:t>
            </w:r>
          </w:p>
        </w:tc>
      </w:tr>
      <w:tr w:rsidR="00134BD2" w:rsidRPr="00CD3D40" w14:paraId="30BC5158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B5D36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3CF49" w14:textId="77777777" w:rsidR="00134BD2" w:rsidRPr="00CD3D40" w:rsidRDefault="00134BD2" w:rsidP="003A221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CD3D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12.10</w:t>
            </w:r>
            <w:r w:rsidRPr="00CD3D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8</w:t>
            </w:r>
            <w:r w:rsidRPr="00CD3D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exp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6860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T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-1</m:t>
                  </m:r>
                </m:sup>
              </m:sSup>
            </m:oMath>
          </w:p>
          <w:p w14:paraId="37040839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134BD2" w:rsidRPr="00CD3D40" w14:paraId="6020274F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96041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E7BCD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0.03 h−1</w:t>
            </w:r>
          </w:p>
        </w:tc>
      </w:tr>
      <w:tr w:rsidR="00134BD2" w:rsidRPr="00CD3D40" w14:paraId="06544BCE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0F89C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0"/>
                        <w:szCs w:val="20"/>
                      </w:rPr>
                      <m:t>Y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S</m:t>
                        </m:r>
                      </m:den>
                    </m:f>
                  </m:sub>
                </m:sSub>
              </m:oMath>
            </m:oMathPara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E5CA0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0.08</w:t>
            </w:r>
          </w:p>
        </w:tc>
      </w:tr>
      <w:tr w:rsidR="00134BD2" w:rsidRPr="00CD3D40" w14:paraId="0BC05D5B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CE40B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0"/>
                        <w:szCs w:val="20"/>
                      </w:rPr>
                      <m:t>Y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S</m:t>
                        </m:r>
                      </m:den>
                    </m:f>
                  </m:sub>
                </m:sSub>
              </m:oMath>
            </m:oMathPara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55B68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0.45</w:t>
            </w:r>
          </w:p>
        </w:tc>
      </w:tr>
      <w:tr w:rsidR="00134BD2" w:rsidRPr="00CD3D40" w14:paraId="0C8DD2C1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A24DA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 xml:space="preserve">Initial concentration of Saccharomyces cerevisiae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4B341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1.5 kg/m³</w:t>
            </w:r>
          </w:p>
        </w:tc>
      </w:tr>
      <w:tr w:rsidR="00134BD2" w:rsidRPr="00CD3D40" w14:paraId="2EB10B4A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AFF9E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Initial concentration of glucose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D3181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220 kg/m³</w:t>
            </w:r>
          </w:p>
        </w:tc>
      </w:tr>
      <w:tr w:rsidR="00134BD2" w:rsidRPr="00CD3D40" w14:paraId="17A3F04B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ADF29" w14:textId="77777777" w:rsidR="00134BD2" w:rsidRPr="00CD3D40" w:rsidRDefault="00134BD2" w:rsidP="003A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Fermentation temperature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01A77" w14:textId="77777777" w:rsidR="00134BD2" w:rsidRPr="00CD3D40" w:rsidRDefault="00134BD2" w:rsidP="003A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30 ℃</w:t>
            </w:r>
          </w:p>
        </w:tc>
      </w:tr>
    </w:tbl>
    <w:p w14:paraId="07463568" w14:textId="77777777" w:rsidR="00134BD2" w:rsidRPr="00CD3D40" w:rsidRDefault="00134BD2" w:rsidP="00134BD2">
      <w:pP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14:paraId="2B7B8730" w14:textId="77777777" w:rsidR="00134BD2" w:rsidRPr="00CD3D40" w:rsidRDefault="00134BD2" w:rsidP="00134BD2">
      <w:pPr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CD3D40"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</w:rPr>
        <w:t>Table 7:</w:t>
      </w:r>
      <w:r w:rsidRPr="00CD3D40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Three diverse fruits and its various criteria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411"/>
        <w:gridCol w:w="1519"/>
        <w:gridCol w:w="2645"/>
        <w:gridCol w:w="1737"/>
      </w:tblGrid>
      <w:tr w:rsidR="00134BD2" w:rsidRPr="00CD3D40" w14:paraId="6F76CC3F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DFCF4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Fruit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DDF2D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Content (grams/100g)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A694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Method of Measurement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E3E86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Other Notable Components</w:t>
            </w:r>
          </w:p>
        </w:tc>
        <w:tc>
          <w:tcPr>
            <w:tcW w:w="173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C194CF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IN"/>
              </w:rPr>
              <w:t>**Potential Sources</w:t>
            </w:r>
          </w:p>
        </w:tc>
      </w:tr>
      <w:tr w:rsidR="00134BD2" w:rsidRPr="00CD3D40" w14:paraId="5CAF0373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68140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Potato Peels (Raw)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95189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11.1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9D415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HPLC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9DEE7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Dietary </w:t>
            </w:r>
            <w:proofErr w:type="spellStart"/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fiber</w:t>
            </w:r>
            <w:proofErr w:type="spellEnd"/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phenolic compounds, Vitamin C, potassium, iron, antioxidants</w:t>
            </w:r>
          </w:p>
        </w:tc>
        <w:tc>
          <w:tcPr>
            <w:tcW w:w="173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592361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USDA FoodData Central, Healthline, WebMD</w:t>
            </w:r>
          </w:p>
        </w:tc>
      </w:tr>
      <w:tr w:rsidR="00134BD2" w:rsidRPr="00CD3D40" w14:paraId="4809056C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429FE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Sugarcane Bagasse (Dried)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BDF99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15.8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DC0C0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HPLC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89398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Lignocellulose, hemicellulose, lignin, trace minerals</w:t>
            </w:r>
          </w:p>
        </w:tc>
        <w:tc>
          <w:tcPr>
            <w:tcW w:w="173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92DBDA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USDA FoodData Central, Healthline, WebMD</w:t>
            </w:r>
          </w:p>
        </w:tc>
      </w:tr>
      <w:tr w:rsidR="00134BD2" w:rsidRPr="00CD3D40" w14:paraId="68DBEF01" w14:textId="77777777" w:rsidTr="003A221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1E82A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Saccharina </w:t>
            </w:r>
            <w:proofErr w:type="spellStart"/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latissima</w:t>
            </w:r>
            <w:proofErr w:type="spellEnd"/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(Sugar Kelp, Dried)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44443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11.4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B903D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HPLC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3C17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Iodine, fucoidan, alginate, polyphenols, vitamins A, C, E, K, </w:t>
            </w:r>
            <w:proofErr w:type="spellStart"/>
            <w:r w:rsidRPr="00CD3D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fiber</w:t>
            </w:r>
            <w:proofErr w:type="spellEnd"/>
          </w:p>
        </w:tc>
        <w:tc>
          <w:tcPr>
            <w:tcW w:w="173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B32694" w14:textId="77777777" w:rsidR="00134BD2" w:rsidRPr="00CD3D40" w:rsidRDefault="00134BD2" w:rsidP="003A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</w:pPr>
            <w:r w:rsidRPr="00CD3D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N"/>
              </w:rPr>
              <w:t>(Akter et al., 2024)</w:t>
            </w:r>
          </w:p>
        </w:tc>
      </w:tr>
    </w:tbl>
    <w:p w14:paraId="295C61B6" w14:textId="3888A2C9" w:rsidR="001F582A" w:rsidRPr="001F582A" w:rsidRDefault="00134BD2" w:rsidP="00134B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D3D40">
        <w:rPr>
          <w:rFonts w:ascii="Times New Roman" w:hAnsi="Times New Roman" w:cs="Times New Roman"/>
          <w:color w:val="000000" w:themeColor="text1"/>
          <w:sz w:val="20"/>
          <w:szCs w:val="20"/>
        </w:rPr>
        <w:t>**Data sourced from USDA FoodData Central, Healthline, and WebMD</w:t>
      </w:r>
    </w:p>
    <w:sectPr w:rsidR="001F582A" w:rsidRPr="001F5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2A"/>
    <w:rsid w:val="00134BD2"/>
    <w:rsid w:val="001F582A"/>
    <w:rsid w:val="00F4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AA19"/>
  <w15:chartTrackingRefBased/>
  <w15:docId w15:val="{6AA12E43-2B35-445E-B369-D8131637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F582A"/>
  </w:style>
  <w:style w:type="paragraph" w:styleId="ListParagraph">
    <w:name w:val="List Paragraph"/>
    <w:basedOn w:val="Normal"/>
    <w:uiPriority w:val="34"/>
    <w:qFormat/>
    <w:rsid w:val="001F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Harshini</dc:creator>
  <cp:keywords/>
  <dc:description/>
  <cp:lastModifiedBy>Harshini</cp:lastModifiedBy>
  <cp:revision>1</cp:revision>
  <dcterms:created xsi:type="dcterms:W3CDTF">2025-03-07T18:18:00Z</dcterms:created>
  <dcterms:modified xsi:type="dcterms:W3CDTF">2025-03-07T18:27:00Z</dcterms:modified>
</cp:coreProperties>
</file>