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DFB8"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Supplementary Material S1</w:t>
      </w:r>
    </w:p>
    <w:p w14:paraId="06C38C62"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PRISMA 2020 Reporting Framework</w:t>
      </w:r>
    </w:p>
    <w:p w14:paraId="16ED4CDE"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Protocol and Reporting Guidelines</w:t>
      </w:r>
    </w:p>
    <w:p w14:paraId="28AA9C25"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This review was conducted following the Preferred Reporting Items for Systematic Reviews and Meta-Analyses (PRISMA) 2020 guidelines. The PRISMA framework was adopted to ensure transparency, reproducibility, and methodological rigor in the identification, screening, eligibility assessment, and inclusion of relevant studies addressing the toxicological effects of magnetic iron oxides.</w:t>
      </w:r>
    </w:p>
    <w:p w14:paraId="3434F376"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Information Sources and Search Strategy</w:t>
      </w:r>
    </w:p>
    <w:p w14:paraId="6E6CBC4C"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 xml:space="preserve">A comprehensive literature search was performed using major scientific databases, including Web of Science, Scopus, PubMed, and ScienceDirect, covering publications up to 2025. The search strategy combined keywords related to magnetic iron oxides and toxicity, including </w:t>
      </w:r>
      <w:r w:rsidRPr="00882844">
        <w:rPr>
          <w:rFonts w:ascii="Palatino Linotype" w:hAnsi="Palatino Linotype"/>
          <w:i/>
          <w:iCs/>
          <w:sz w:val="20"/>
          <w:szCs w:val="20"/>
          <w:lang w:val="en-US"/>
        </w:rPr>
        <w:t>magnetite</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hematite</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maghemite</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iron oxide nanoparticles</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toxicity</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oxidative stress</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genotoxicity</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in vivo</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in vitro</w:t>
      </w:r>
      <w:r w:rsidRPr="00882844">
        <w:rPr>
          <w:rFonts w:ascii="Palatino Linotype" w:hAnsi="Palatino Linotype"/>
          <w:sz w:val="20"/>
          <w:szCs w:val="20"/>
          <w:lang w:val="en-US"/>
        </w:rPr>
        <w:t xml:space="preserve">, </w:t>
      </w:r>
      <w:r w:rsidRPr="00882844">
        <w:rPr>
          <w:rFonts w:ascii="Palatino Linotype" w:hAnsi="Palatino Linotype"/>
          <w:i/>
          <w:iCs/>
          <w:sz w:val="20"/>
          <w:szCs w:val="20"/>
          <w:lang w:val="en-US"/>
        </w:rPr>
        <w:t>animal models</w:t>
      </w:r>
      <w:r w:rsidRPr="00882844">
        <w:rPr>
          <w:rFonts w:ascii="Palatino Linotype" w:hAnsi="Palatino Linotype"/>
          <w:sz w:val="20"/>
          <w:szCs w:val="20"/>
          <w:lang w:val="en-US"/>
        </w:rPr>
        <w:t xml:space="preserve">, and </w:t>
      </w:r>
      <w:r w:rsidRPr="00882844">
        <w:rPr>
          <w:rFonts w:ascii="Palatino Linotype" w:hAnsi="Palatino Linotype"/>
          <w:i/>
          <w:iCs/>
          <w:sz w:val="20"/>
          <w:szCs w:val="20"/>
          <w:lang w:val="en-US"/>
        </w:rPr>
        <w:t>air pollution</w:t>
      </w:r>
      <w:r w:rsidRPr="00882844">
        <w:rPr>
          <w:rFonts w:ascii="Palatino Linotype" w:hAnsi="Palatino Linotype"/>
          <w:sz w:val="20"/>
          <w:szCs w:val="20"/>
          <w:lang w:val="en-US"/>
        </w:rPr>
        <w:t>. Reference lists of relevant articles were also manually screened to identify additional eligible studies.</w:t>
      </w:r>
    </w:p>
    <w:p w14:paraId="5C80A5EB"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Study Selection Process</w:t>
      </w:r>
    </w:p>
    <w:p w14:paraId="4E6A2161" w14:textId="692B9D4E"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 xml:space="preserve">The initial database search retrieved approximately </w:t>
      </w:r>
      <w:r w:rsidR="00BD540F" w:rsidRPr="00BD540F">
        <w:rPr>
          <w:rFonts w:ascii="Palatino Linotype" w:hAnsi="Palatino Linotype"/>
          <w:sz w:val="20"/>
          <w:szCs w:val="20"/>
          <w:lang w:val="en-US"/>
        </w:rPr>
        <w:t>216</w:t>
      </w:r>
      <w:r w:rsidRPr="00882844">
        <w:rPr>
          <w:rFonts w:ascii="Palatino Linotype" w:hAnsi="Palatino Linotype"/>
          <w:sz w:val="20"/>
          <w:szCs w:val="20"/>
          <w:lang w:val="en-US"/>
        </w:rPr>
        <w:t xml:space="preserve"> records. After removal of duplicate entries, </w:t>
      </w:r>
      <w:r w:rsidR="00BD540F" w:rsidRPr="00BD540F">
        <w:rPr>
          <w:rFonts w:ascii="Palatino Linotype" w:hAnsi="Palatino Linotype"/>
          <w:sz w:val="20"/>
          <w:szCs w:val="20"/>
          <w:lang w:val="en-US"/>
        </w:rPr>
        <w:t>149</w:t>
      </w:r>
      <w:r w:rsidRPr="00882844">
        <w:rPr>
          <w:rFonts w:ascii="Palatino Linotype" w:hAnsi="Palatino Linotype"/>
          <w:sz w:val="20"/>
          <w:szCs w:val="20"/>
          <w:lang w:val="en-US"/>
        </w:rPr>
        <w:t xml:space="preserve"> records were screened based on titles and abstracts. Of these, </w:t>
      </w:r>
      <w:r w:rsidR="00BD540F" w:rsidRPr="00BD540F">
        <w:rPr>
          <w:rFonts w:ascii="Palatino Linotype" w:hAnsi="Palatino Linotype"/>
          <w:sz w:val="20"/>
          <w:szCs w:val="20"/>
          <w:lang w:val="en-US"/>
        </w:rPr>
        <w:t>149</w:t>
      </w:r>
      <w:r w:rsidRPr="00882844">
        <w:rPr>
          <w:rFonts w:ascii="Palatino Linotype" w:hAnsi="Palatino Linotype"/>
          <w:sz w:val="20"/>
          <w:szCs w:val="20"/>
          <w:lang w:val="en-US"/>
        </w:rPr>
        <w:t xml:space="preserve"> articles were selected for full-text evaluation. Following full-text assessment, </w:t>
      </w:r>
      <w:r w:rsidR="00BD540F" w:rsidRPr="00BD540F">
        <w:rPr>
          <w:rFonts w:ascii="Palatino Linotype" w:hAnsi="Palatino Linotype"/>
          <w:sz w:val="20"/>
          <w:szCs w:val="20"/>
          <w:lang w:val="en-US"/>
        </w:rPr>
        <w:t>82</w:t>
      </w:r>
      <w:r w:rsidRPr="00882844">
        <w:rPr>
          <w:rFonts w:ascii="Palatino Linotype" w:hAnsi="Palatino Linotype"/>
          <w:sz w:val="20"/>
          <w:szCs w:val="20"/>
          <w:lang w:val="en-US"/>
        </w:rPr>
        <w:t xml:space="preserve"> studies met the inclusion criteria and were incorporated into the qualitative synthesis. A PRISMA 2020 flow diagram summarizing the study selection process is provided as Figure S1.</w:t>
      </w:r>
    </w:p>
    <w:p w14:paraId="588F6D7D"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Eligibility Criteria</w:t>
      </w:r>
    </w:p>
    <w:p w14:paraId="116839CB"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Studies were included if they met the following criteria:</w:t>
      </w:r>
      <w:r w:rsidRPr="00882844">
        <w:rPr>
          <w:rFonts w:ascii="Palatino Linotype" w:hAnsi="Palatino Linotype"/>
          <w:sz w:val="20"/>
          <w:szCs w:val="20"/>
          <w:lang w:val="en-US"/>
        </w:rPr>
        <w:br/>
        <w:t>(</w:t>
      </w:r>
      <w:proofErr w:type="spellStart"/>
      <w:r w:rsidRPr="00882844">
        <w:rPr>
          <w:rFonts w:ascii="Palatino Linotype" w:hAnsi="Palatino Linotype"/>
          <w:sz w:val="20"/>
          <w:szCs w:val="20"/>
          <w:lang w:val="en-US"/>
        </w:rPr>
        <w:t>i</w:t>
      </w:r>
      <w:proofErr w:type="spellEnd"/>
      <w:r w:rsidRPr="00882844">
        <w:rPr>
          <w:rFonts w:ascii="Palatino Linotype" w:hAnsi="Palatino Linotype"/>
          <w:sz w:val="20"/>
          <w:szCs w:val="20"/>
          <w:lang w:val="en-US"/>
        </w:rPr>
        <w:t>) evaluated magnetite (</w:t>
      </w:r>
      <w:proofErr w:type="spellStart"/>
      <w:r w:rsidRPr="00882844">
        <w:rPr>
          <w:rFonts w:ascii="Palatino Linotype" w:hAnsi="Palatino Linotype"/>
          <w:sz w:val="20"/>
          <w:szCs w:val="20"/>
          <w:lang w:val="en-US"/>
        </w:rPr>
        <w:t>Fe₃O</w:t>
      </w:r>
      <w:proofErr w:type="spellEnd"/>
      <w:r w:rsidRPr="00882844">
        <w:rPr>
          <w:rFonts w:ascii="Palatino Linotype" w:hAnsi="Palatino Linotype"/>
          <w:sz w:val="20"/>
          <w:szCs w:val="20"/>
          <w:lang w:val="en-US"/>
        </w:rPr>
        <w:t>₄), hematite (</w:t>
      </w:r>
      <w:r w:rsidRPr="00882844">
        <w:rPr>
          <w:rFonts w:ascii="Palatino Linotype" w:hAnsi="Palatino Linotype"/>
          <w:sz w:val="20"/>
          <w:szCs w:val="20"/>
        </w:rPr>
        <w:t>α</w:t>
      </w:r>
      <w:r w:rsidRPr="00882844">
        <w:rPr>
          <w:rFonts w:ascii="Palatino Linotype" w:hAnsi="Palatino Linotype"/>
          <w:sz w:val="20"/>
          <w:szCs w:val="20"/>
          <w:lang w:val="en-US"/>
        </w:rPr>
        <w:t>-</w:t>
      </w:r>
      <w:proofErr w:type="spellStart"/>
      <w:r w:rsidRPr="00882844">
        <w:rPr>
          <w:rFonts w:ascii="Palatino Linotype" w:hAnsi="Palatino Linotype"/>
          <w:sz w:val="20"/>
          <w:szCs w:val="20"/>
          <w:lang w:val="en-US"/>
        </w:rPr>
        <w:t>Fe₂O</w:t>
      </w:r>
      <w:proofErr w:type="spellEnd"/>
      <w:r w:rsidRPr="00882844">
        <w:rPr>
          <w:rFonts w:ascii="Palatino Linotype" w:hAnsi="Palatino Linotype"/>
          <w:sz w:val="20"/>
          <w:szCs w:val="20"/>
          <w:lang w:val="en-US"/>
        </w:rPr>
        <w:t>₃), or maghemite (</w:t>
      </w:r>
      <w:r w:rsidRPr="00882844">
        <w:rPr>
          <w:rFonts w:ascii="Palatino Linotype" w:hAnsi="Palatino Linotype"/>
          <w:sz w:val="20"/>
          <w:szCs w:val="20"/>
        </w:rPr>
        <w:t>γ</w:t>
      </w:r>
      <w:r w:rsidRPr="00882844">
        <w:rPr>
          <w:rFonts w:ascii="Palatino Linotype" w:hAnsi="Palatino Linotype"/>
          <w:sz w:val="20"/>
          <w:szCs w:val="20"/>
          <w:lang w:val="en-US"/>
        </w:rPr>
        <w:t>-</w:t>
      </w:r>
      <w:proofErr w:type="spellStart"/>
      <w:r w:rsidRPr="00882844">
        <w:rPr>
          <w:rFonts w:ascii="Palatino Linotype" w:hAnsi="Palatino Linotype"/>
          <w:sz w:val="20"/>
          <w:szCs w:val="20"/>
          <w:lang w:val="en-US"/>
        </w:rPr>
        <w:t>Fe₂O</w:t>
      </w:r>
      <w:proofErr w:type="spellEnd"/>
      <w:r w:rsidRPr="00882844">
        <w:rPr>
          <w:rFonts w:ascii="Palatino Linotype" w:hAnsi="Palatino Linotype"/>
          <w:sz w:val="20"/>
          <w:szCs w:val="20"/>
          <w:lang w:val="en-US"/>
        </w:rPr>
        <w:t>₃);</w:t>
      </w:r>
      <w:r w:rsidRPr="00882844">
        <w:rPr>
          <w:rFonts w:ascii="Palatino Linotype" w:hAnsi="Palatino Linotype"/>
          <w:sz w:val="20"/>
          <w:szCs w:val="20"/>
          <w:lang w:val="en-US"/>
        </w:rPr>
        <w:br/>
        <w:t xml:space="preserve">(ii) employed </w:t>
      </w:r>
      <w:r w:rsidRPr="00882844">
        <w:rPr>
          <w:rFonts w:ascii="Palatino Linotype" w:hAnsi="Palatino Linotype"/>
          <w:i/>
          <w:iCs/>
          <w:sz w:val="20"/>
          <w:szCs w:val="20"/>
          <w:lang w:val="en-US"/>
        </w:rPr>
        <w:t>in vitro</w:t>
      </w:r>
      <w:r w:rsidRPr="00882844">
        <w:rPr>
          <w:rFonts w:ascii="Palatino Linotype" w:hAnsi="Palatino Linotype"/>
          <w:sz w:val="20"/>
          <w:szCs w:val="20"/>
          <w:lang w:val="en-US"/>
        </w:rPr>
        <w:t xml:space="preserve"> or </w:t>
      </w:r>
      <w:r w:rsidRPr="00882844">
        <w:rPr>
          <w:rFonts w:ascii="Palatino Linotype" w:hAnsi="Palatino Linotype"/>
          <w:i/>
          <w:iCs/>
          <w:sz w:val="20"/>
          <w:szCs w:val="20"/>
          <w:lang w:val="en-US"/>
        </w:rPr>
        <w:t>in vivo</w:t>
      </w:r>
      <w:r w:rsidRPr="00882844">
        <w:rPr>
          <w:rFonts w:ascii="Palatino Linotype" w:hAnsi="Palatino Linotype"/>
          <w:sz w:val="20"/>
          <w:szCs w:val="20"/>
          <w:lang w:val="en-US"/>
        </w:rPr>
        <w:t xml:space="preserve"> biological models;</w:t>
      </w:r>
      <w:r w:rsidRPr="00882844">
        <w:rPr>
          <w:rFonts w:ascii="Palatino Linotype" w:hAnsi="Palatino Linotype"/>
          <w:sz w:val="20"/>
          <w:szCs w:val="20"/>
          <w:lang w:val="en-US"/>
        </w:rPr>
        <w:br/>
        <w:t>(iii) reported toxicological, biological, or mechanistic outcomes; and</w:t>
      </w:r>
      <w:r w:rsidRPr="00882844">
        <w:rPr>
          <w:rFonts w:ascii="Palatino Linotype" w:hAnsi="Palatino Linotype"/>
          <w:sz w:val="20"/>
          <w:szCs w:val="20"/>
          <w:lang w:val="en-US"/>
        </w:rPr>
        <w:br/>
        <w:t>(iv) were published in peer-reviewed scientific journals.</w:t>
      </w:r>
      <w:r w:rsidRPr="00882844">
        <w:rPr>
          <w:rFonts w:ascii="Palatino Linotype" w:hAnsi="Palatino Linotype"/>
          <w:sz w:val="20"/>
          <w:szCs w:val="20"/>
          <w:lang w:val="en-US"/>
        </w:rPr>
        <w:br/>
        <w:t>Studies focused exclusively on physicochemical synthesis without biological assessment, conference abstracts, editorials, and non-peer-reviewed sources were excluded.</w:t>
      </w:r>
    </w:p>
    <w:p w14:paraId="667DCB01"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Data Extraction</w:t>
      </w:r>
    </w:p>
    <w:p w14:paraId="02E1D04A"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From each eligible study, information was extracted regarding particle characteristics (size, morphology, surface coating), biological model, exposure route, dose and exposure duration, and reported biological or toxicological effects. Data extraction was performed manually to ensure consistency and accurate interpretation across heterogeneous study designs.</w:t>
      </w:r>
    </w:p>
    <w:p w14:paraId="2C006214"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Data Synthesis</w:t>
      </w:r>
    </w:p>
    <w:p w14:paraId="25BF5FC7"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 xml:space="preserve">Due to substantial heterogeneity among the included studies—particularly in particle size, surface functionalization, exposure routes, administered doses, biological models, and measured </w:t>
      </w:r>
      <w:r w:rsidRPr="00882844">
        <w:rPr>
          <w:rFonts w:ascii="Palatino Linotype" w:hAnsi="Palatino Linotype"/>
          <w:sz w:val="20"/>
          <w:szCs w:val="20"/>
          <w:lang w:val="en-US"/>
        </w:rPr>
        <w:lastRenderedPageBreak/>
        <w:t>endpoints—a quantitative meta-analysis was not feasible. Consequently, results were synthesized using a qualitative, narrative, and comparative approach, in accordance with PRISMA 2020 recommendations for systematic reviews characterized by high methodological diversity. This approach allowed for integrative comparison of mechanistic trends and toxicity patterns across different iron oxide phases and exposure scenarios.</w:t>
      </w:r>
    </w:p>
    <w:p w14:paraId="39CA1CDA"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Risk of Bias and Methodological Limitations</w:t>
      </w:r>
    </w:p>
    <w:p w14:paraId="19C19C95" w14:textId="77777777" w:rsidR="00882844" w:rsidRPr="00882844" w:rsidRDefault="00882844" w:rsidP="00882844">
      <w:pPr>
        <w:rPr>
          <w:rFonts w:ascii="Palatino Linotype" w:hAnsi="Palatino Linotype"/>
          <w:sz w:val="20"/>
          <w:szCs w:val="20"/>
          <w:lang w:val="en-US"/>
        </w:rPr>
      </w:pPr>
      <w:r w:rsidRPr="00882844">
        <w:rPr>
          <w:rFonts w:ascii="Palatino Linotype" w:hAnsi="Palatino Linotype"/>
          <w:sz w:val="20"/>
          <w:szCs w:val="20"/>
          <w:lang w:val="en-US"/>
        </w:rPr>
        <w:t>A formal quantitative risk-of-bias assessment was not conducted, as many studies lacked standardized experimental designs and comparable outcome measures. Nevertheless, methodological limitations, sources of uncertainty, and inconsistencies across studies were critically evaluated and discussed in the main text.</w:t>
      </w:r>
    </w:p>
    <w:p w14:paraId="33A0BB40" w14:textId="65D6BF6E" w:rsidR="00882844" w:rsidRPr="00882844" w:rsidRDefault="00882844" w:rsidP="00882844">
      <w:pPr>
        <w:rPr>
          <w:rFonts w:ascii="Palatino Linotype" w:hAnsi="Palatino Linotype"/>
          <w:sz w:val="20"/>
          <w:szCs w:val="20"/>
        </w:rPr>
      </w:pPr>
    </w:p>
    <w:p w14:paraId="34273B97" w14:textId="77777777" w:rsidR="006D4321" w:rsidRPr="00BD540F" w:rsidRDefault="006D4321" w:rsidP="00882844">
      <w:pPr>
        <w:rPr>
          <w:rFonts w:ascii="Palatino Linotype" w:hAnsi="Palatino Linotype"/>
          <w:lang w:val="en-US"/>
        </w:rPr>
      </w:pPr>
    </w:p>
    <w:sectPr w:rsidR="006D4321" w:rsidRPr="00BD54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9A7"/>
    <w:multiLevelType w:val="multilevel"/>
    <w:tmpl w:val="137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068D3"/>
    <w:multiLevelType w:val="multilevel"/>
    <w:tmpl w:val="DA76951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4A05"/>
    <w:multiLevelType w:val="hybridMultilevel"/>
    <w:tmpl w:val="E430C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DE02D7"/>
    <w:multiLevelType w:val="hybridMultilevel"/>
    <w:tmpl w:val="47A28A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A6105"/>
    <w:multiLevelType w:val="hybridMultilevel"/>
    <w:tmpl w:val="B47EBA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4C16C1"/>
    <w:multiLevelType w:val="multilevel"/>
    <w:tmpl w:val="2CE82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4532A9"/>
    <w:multiLevelType w:val="multilevel"/>
    <w:tmpl w:val="77E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C5E99"/>
    <w:multiLevelType w:val="multilevel"/>
    <w:tmpl w:val="99CC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45EDD"/>
    <w:multiLevelType w:val="multilevel"/>
    <w:tmpl w:val="31D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25927">
    <w:abstractNumId w:val="6"/>
  </w:num>
  <w:num w:numId="2" w16cid:durableId="1481461094">
    <w:abstractNumId w:val="8"/>
  </w:num>
  <w:num w:numId="3" w16cid:durableId="869925119">
    <w:abstractNumId w:val="0"/>
  </w:num>
  <w:num w:numId="4" w16cid:durableId="995694082">
    <w:abstractNumId w:val="5"/>
  </w:num>
  <w:num w:numId="5" w16cid:durableId="50157518">
    <w:abstractNumId w:val="7"/>
  </w:num>
  <w:num w:numId="6" w16cid:durableId="1102408873">
    <w:abstractNumId w:val="1"/>
  </w:num>
  <w:num w:numId="7" w16cid:durableId="1441222758">
    <w:abstractNumId w:val="2"/>
  </w:num>
  <w:num w:numId="8" w16cid:durableId="161900554">
    <w:abstractNumId w:val="3"/>
  </w:num>
  <w:num w:numId="9" w16cid:durableId="32880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69"/>
    <w:rsid w:val="001A6D97"/>
    <w:rsid w:val="006D4321"/>
    <w:rsid w:val="00882844"/>
    <w:rsid w:val="00A72469"/>
    <w:rsid w:val="00BD540F"/>
    <w:rsid w:val="00E176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6349"/>
  <w15:chartTrackingRefBased/>
  <w15:docId w15:val="{1E10D75D-9468-4EAF-A7A3-EE377037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6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6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6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6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6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6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6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6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69"/>
    <w:rPr>
      <w:rFonts w:eastAsiaTheme="majorEastAsia" w:cstheme="majorBidi"/>
      <w:color w:val="272727" w:themeColor="text1" w:themeTint="D8"/>
    </w:rPr>
  </w:style>
  <w:style w:type="paragraph" w:styleId="Ttulo">
    <w:name w:val="Title"/>
    <w:basedOn w:val="Normal"/>
    <w:next w:val="Normal"/>
    <w:link w:val="TtuloCar"/>
    <w:uiPriority w:val="10"/>
    <w:qFormat/>
    <w:rsid w:val="00A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69"/>
    <w:pPr>
      <w:spacing w:before="160"/>
      <w:jc w:val="center"/>
    </w:pPr>
    <w:rPr>
      <w:i/>
      <w:iCs/>
      <w:color w:val="404040" w:themeColor="text1" w:themeTint="BF"/>
    </w:rPr>
  </w:style>
  <w:style w:type="character" w:customStyle="1" w:styleId="CitaCar">
    <w:name w:val="Cita Car"/>
    <w:basedOn w:val="Fuentedeprrafopredeter"/>
    <w:link w:val="Cita"/>
    <w:uiPriority w:val="29"/>
    <w:rsid w:val="00A72469"/>
    <w:rPr>
      <w:i/>
      <w:iCs/>
      <w:color w:val="404040" w:themeColor="text1" w:themeTint="BF"/>
    </w:rPr>
  </w:style>
  <w:style w:type="paragraph" w:styleId="Prrafodelista">
    <w:name w:val="List Paragraph"/>
    <w:basedOn w:val="Normal"/>
    <w:uiPriority w:val="34"/>
    <w:qFormat/>
    <w:rsid w:val="00A72469"/>
    <w:pPr>
      <w:ind w:left="720"/>
      <w:contextualSpacing/>
    </w:pPr>
  </w:style>
  <w:style w:type="character" w:styleId="nfasisintenso">
    <w:name w:val="Intense Emphasis"/>
    <w:basedOn w:val="Fuentedeprrafopredeter"/>
    <w:uiPriority w:val="21"/>
    <w:qFormat/>
    <w:rsid w:val="00A72469"/>
    <w:rPr>
      <w:i/>
      <w:iCs/>
      <w:color w:val="2F5496" w:themeColor="accent1" w:themeShade="BF"/>
    </w:rPr>
  </w:style>
  <w:style w:type="paragraph" w:styleId="Citadestacada">
    <w:name w:val="Intense Quote"/>
    <w:basedOn w:val="Normal"/>
    <w:next w:val="Normal"/>
    <w:link w:val="CitadestacadaCar"/>
    <w:uiPriority w:val="30"/>
    <w:qFormat/>
    <w:rsid w:val="00A72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69"/>
    <w:rPr>
      <w:i/>
      <w:iCs/>
      <w:color w:val="2F5496" w:themeColor="accent1" w:themeShade="BF"/>
    </w:rPr>
  </w:style>
  <w:style w:type="character" w:styleId="Referenciaintensa">
    <w:name w:val="Intense Reference"/>
    <w:basedOn w:val="Fuentedeprrafopredeter"/>
    <w:uiPriority w:val="32"/>
    <w:qFormat/>
    <w:rsid w:val="00A72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Castañeda Miranda</dc:creator>
  <cp:keywords/>
  <dc:description/>
  <cp:lastModifiedBy>Ana Gabriela Castañeda Miranda</cp:lastModifiedBy>
  <cp:revision>2</cp:revision>
  <dcterms:created xsi:type="dcterms:W3CDTF">2026-01-15T07:03:00Z</dcterms:created>
  <dcterms:modified xsi:type="dcterms:W3CDTF">2026-01-15T19:01:00Z</dcterms:modified>
</cp:coreProperties>
</file>