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EB" w:rsidRDefault="002639C1">
      <w:pPr>
        <w:pStyle w:val="PrformatHTML"/>
        <w:spacing w:line="540" w:lineRule="atLeast"/>
        <w:jc w:val="both"/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  <w:lang w:val="en-US"/>
        </w:rPr>
        <w:t>Tables</w:t>
      </w:r>
      <w:bookmarkStart w:id="0" w:name="_GoBack"/>
      <w:bookmarkEnd w:id="0"/>
    </w:p>
    <w:p w:rsidR="00185FEB" w:rsidRDefault="002639C1">
      <w:pPr>
        <w:pStyle w:val="PrformatHTML"/>
        <w:spacing w:line="540" w:lineRule="atLeast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en-US"/>
        </w:rPr>
        <w:t>Table 1. Oligonucleotide primers used in the PCR assay.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2127"/>
        <w:gridCol w:w="4819"/>
        <w:gridCol w:w="1418"/>
      </w:tblGrid>
      <w:tr w:rsidR="00185FEB">
        <w:trPr>
          <w:trHeight w:val="475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Gene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Primers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Cs/>
                <w:caps/>
                <w:lang w:val="en-GB"/>
              </w:rPr>
              <w:t>S</w:t>
            </w:r>
            <w:r>
              <w:rPr>
                <w:rFonts w:ascii="Calibri" w:hAnsi="Calibri" w:cs="Arial"/>
                <w:bCs/>
                <w:lang w:val="en-GB"/>
              </w:rPr>
              <w:t>equence (5’ – 3’)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proofErr w:type="spellStart"/>
            <w:r>
              <w:t>Localisation</w:t>
            </w:r>
            <w:proofErr w:type="spellEnd"/>
          </w:p>
        </w:tc>
      </w:tr>
      <w:tr w:rsidR="00185FEB">
        <w:trPr>
          <w:trHeight w:val="475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proofErr w:type="spellStart"/>
            <w:r>
              <w:t>mazG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proofErr w:type="spellStart"/>
            <w:r>
              <w:t>mazG</w:t>
            </w:r>
            <w:proofErr w:type="spellEnd"/>
            <w:r>
              <w:t>-F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caps/>
                <w:lang w:val="en-GB"/>
              </w:rPr>
            </w:pPr>
            <w:r>
              <w:rPr>
                <w:rFonts w:ascii="Calibri" w:hAnsi="Calibri" w:cs="Arial"/>
                <w:bCs/>
                <w:caps/>
                <w:lang w:val="en-GB"/>
              </w:rPr>
              <w:t>ggATCTgATCgTAgCgACggA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3651-3671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mazG</w:t>
            </w:r>
            <w:proofErr w:type="spellEnd"/>
            <w:r>
              <w:rPr>
                <w:rFonts w:ascii="Calibri" w:hAnsi="Calibri" w:cs="Arial"/>
                <w:bCs/>
              </w:rPr>
              <w:t>-R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caps/>
                <w:lang w:val="en-GB"/>
              </w:rPr>
            </w:pPr>
            <w:r>
              <w:rPr>
                <w:rFonts w:ascii="Calibri" w:hAnsi="Calibri" w:cs="Arial"/>
                <w:bCs/>
                <w:caps/>
                <w:lang w:val="en-GB"/>
              </w:rPr>
              <w:t>CgTCCAATgTCTCACTggAAAA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3751-3772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Bru</w:t>
            </w:r>
            <w:proofErr w:type="spellEnd"/>
            <w:r>
              <w:rPr>
                <w:rFonts w:ascii="Calibri" w:hAnsi="Calibri" w:cs="Arial"/>
                <w:bCs/>
              </w:rPr>
              <w:t>-</w:t>
            </w:r>
            <w:proofErr w:type="spellStart"/>
            <w:r>
              <w:rPr>
                <w:rFonts w:ascii="Calibri" w:hAnsi="Calibri" w:cs="Arial"/>
                <w:bCs/>
              </w:rPr>
              <w:t>mazG</w:t>
            </w:r>
            <w:proofErr w:type="spellEnd"/>
            <w:r>
              <w:rPr>
                <w:rFonts w:ascii="Calibri" w:hAnsi="Calibri" w:cs="Arial"/>
                <w:bCs/>
              </w:rPr>
              <w:t>-TM-Multi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FAM</w:t>
            </w:r>
            <w:r>
              <w:rPr>
                <w:rFonts w:ascii="Calibri" w:hAnsi="Calibri" w:cs="Arial"/>
                <w:bCs/>
                <w:lang w:val="en-GB"/>
              </w:rPr>
              <w:t>-</w:t>
            </w:r>
            <w:r>
              <w:rPr>
                <w:rFonts w:ascii="Calibri" w:hAnsi="Calibri" w:cs="Arial"/>
                <w:bCs/>
                <w:caps/>
                <w:lang w:val="en-GB"/>
              </w:rPr>
              <w:t>TgCCTTACATgggCgAACTCgAACgT</w:t>
            </w:r>
            <w:r>
              <w:rPr>
                <w:rFonts w:ascii="Calibri" w:hAnsi="Calibri" w:cs="Arial"/>
                <w:bCs/>
                <w:lang w:val="en-GB"/>
              </w:rPr>
              <w:t>-</w:t>
            </w:r>
            <w:r>
              <w:rPr>
                <w:rFonts w:ascii="Calibri" w:hAnsi="Calibri" w:cs="Arial"/>
                <w:b/>
                <w:bCs/>
                <w:lang w:val="en-GB"/>
              </w:rPr>
              <w:t>BHQ-1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3677-3703</w:t>
            </w:r>
          </w:p>
        </w:tc>
      </w:tr>
      <w:tr w:rsidR="00185FEB">
        <w:trPr>
          <w:trHeight w:val="475"/>
        </w:trPr>
        <w:tc>
          <w:tcPr>
            <w:tcW w:w="8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IS711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BruIS</w:t>
            </w:r>
            <w:proofErr w:type="spellEnd"/>
            <w:r>
              <w:rPr>
                <w:rFonts w:ascii="Calibri" w:hAnsi="Calibri" w:cs="Arial"/>
                <w:bCs/>
              </w:rPr>
              <w:t>-F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caps/>
                <w:lang w:val="en-GB"/>
              </w:rPr>
            </w:pPr>
            <w:r>
              <w:rPr>
                <w:rFonts w:ascii="Calibri" w:hAnsi="Calibri" w:cs="Arial"/>
                <w:bCs/>
                <w:caps/>
                <w:lang w:val="en-GB"/>
              </w:rPr>
              <w:t>gCCATCAgATTgAATgCTTTTTTAAC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701-726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BruIS</w:t>
            </w:r>
            <w:proofErr w:type="spellEnd"/>
            <w:r>
              <w:rPr>
                <w:rFonts w:ascii="Calibri" w:hAnsi="Calibri" w:cs="Arial"/>
                <w:bCs/>
              </w:rPr>
              <w:t>-R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caps/>
                <w:lang w:val="en-GB"/>
              </w:rPr>
            </w:pPr>
            <w:r>
              <w:rPr>
                <w:rFonts w:ascii="Calibri" w:hAnsi="Calibri" w:cs="Arial"/>
                <w:bCs/>
                <w:caps/>
                <w:lang w:val="en-GB"/>
              </w:rPr>
              <w:t>AACCAgATCATAgCgCATgCg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801-821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Bru</w:t>
            </w:r>
            <w:proofErr w:type="spellEnd"/>
            <w:r>
              <w:rPr>
                <w:rFonts w:ascii="Calibri" w:hAnsi="Calibri" w:cs="Arial"/>
                <w:bCs/>
              </w:rPr>
              <w:t>-IS-TM-Multi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Cy5</w:t>
            </w:r>
            <w:r>
              <w:rPr>
                <w:rFonts w:ascii="Calibri" w:hAnsi="Calibri" w:cs="Arial"/>
                <w:bCs/>
                <w:lang w:val="en-GB"/>
              </w:rPr>
              <w:t>-</w:t>
            </w:r>
            <w:r>
              <w:rPr>
                <w:rFonts w:ascii="Calibri" w:hAnsi="Calibri" w:cs="Arial"/>
                <w:bCs/>
                <w:caps/>
                <w:lang w:val="en-GB"/>
              </w:rPr>
              <w:t>CgCTgCgATgCgAgAAAACATTgACC</w:t>
            </w:r>
            <w:r>
              <w:rPr>
                <w:rFonts w:ascii="Calibri" w:hAnsi="Calibri" w:cs="Arial"/>
                <w:bCs/>
                <w:lang w:val="en-GB"/>
              </w:rPr>
              <w:t>-</w:t>
            </w:r>
            <w:r>
              <w:rPr>
                <w:rFonts w:ascii="Calibri" w:hAnsi="Calibri" w:cs="Arial"/>
                <w:b/>
                <w:bCs/>
                <w:lang w:val="en-GB"/>
              </w:rPr>
              <w:t>BHQ-2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752-777</w:t>
            </w:r>
          </w:p>
        </w:tc>
      </w:tr>
      <w:tr w:rsidR="00185FEB">
        <w:trPr>
          <w:trHeight w:val="490"/>
        </w:trPr>
        <w:tc>
          <w:tcPr>
            <w:tcW w:w="8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KoMa2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KoMa</w:t>
            </w:r>
            <w:proofErr w:type="spellEnd"/>
            <w:r>
              <w:rPr>
                <w:rFonts w:ascii="Calibri" w:hAnsi="Calibri" w:cs="Arial"/>
                <w:bCs/>
              </w:rPr>
              <w:t>-For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Cs/>
                <w:lang w:val="en-GB"/>
              </w:rPr>
              <w:t>GGTGATGCCGCATTATTACTAGG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198-220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KoMa</w:t>
            </w:r>
            <w:proofErr w:type="spellEnd"/>
            <w:r>
              <w:rPr>
                <w:rFonts w:ascii="Calibri" w:hAnsi="Calibri" w:cs="Arial"/>
                <w:bCs/>
              </w:rPr>
              <w:t>-Rev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 w:rsidP="00146B12">
            <w:pPr>
              <w:spacing w:beforeLines="40" w:afterLines="40" w:line="240" w:lineRule="atLeast"/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Cs/>
                <w:lang w:val="en-GB"/>
              </w:rPr>
              <w:t>GGTATTAGCAGTCGCAGGCTT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336-316</w:t>
            </w:r>
          </w:p>
        </w:tc>
      </w:tr>
      <w:tr w:rsidR="00185FEB">
        <w:trPr>
          <w:trHeight w:val="143"/>
        </w:trPr>
        <w:tc>
          <w:tcPr>
            <w:tcW w:w="8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185FEB">
            <w:pPr>
              <w:pStyle w:val="QMstandard"/>
              <w:spacing w:before="96" w:after="96"/>
            </w:pP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</w:rPr>
              <w:t>KoMa</w:t>
            </w:r>
            <w:proofErr w:type="spellEnd"/>
            <w:r>
              <w:rPr>
                <w:rFonts w:ascii="Calibri" w:hAnsi="Calibri" w:cs="Arial"/>
                <w:bCs/>
              </w:rPr>
              <w:t>-TM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rPr>
                <w:rFonts w:ascii="Calibri" w:hAnsi="Calibri" w:cs="Arial"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HEX</w:t>
            </w:r>
            <w:r>
              <w:rPr>
                <w:rFonts w:ascii="Calibri" w:hAnsi="Calibri" w:cs="Arial"/>
                <w:bCs/>
                <w:lang w:val="en-GB"/>
              </w:rPr>
              <w:t>-TTCTTGCTTGAGGATCTGTCGTGGATCG-</w:t>
            </w:r>
            <w:r>
              <w:rPr>
                <w:rFonts w:ascii="Calibri" w:hAnsi="Calibri" w:cs="Arial"/>
                <w:b/>
                <w:bCs/>
                <w:lang w:val="en-GB"/>
              </w:rPr>
              <w:t>BHQ-2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FEB" w:rsidRDefault="002639C1">
            <w:pPr>
              <w:pStyle w:val="QMstandard"/>
              <w:spacing w:before="96" w:after="96"/>
            </w:pPr>
            <w:r>
              <w:t>224-251</w:t>
            </w:r>
          </w:p>
        </w:tc>
      </w:tr>
    </w:tbl>
    <w:p w:rsidR="00185FEB" w:rsidRDefault="002639C1">
      <w:pPr>
        <w:rPr>
          <w:rFonts w:cstheme="minorHAnsi"/>
          <w:color w:val="202124"/>
          <w:sz w:val="24"/>
          <w:szCs w:val="24"/>
        </w:rPr>
      </w:pPr>
      <w:r>
        <w:rPr>
          <w:rFonts w:cstheme="minorHAnsi"/>
          <w:color w:val="202124"/>
          <w:sz w:val="24"/>
          <w:szCs w:val="24"/>
        </w:rPr>
        <w:br w:type="page"/>
      </w:r>
    </w:p>
    <w:p w:rsidR="00185FEB" w:rsidRDefault="002639C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Table 2.  Virulence and antimicrobial resistance (AMR) related genes detected* in all Tunisian strains as well as in the strains </w:t>
      </w:r>
      <w:proofErr w:type="spellStart"/>
      <w:r>
        <w:rPr>
          <w:i/>
          <w:sz w:val="24"/>
          <w:szCs w:val="24"/>
        </w:rPr>
        <w:t>Brucella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melitensis</w:t>
      </w:r>
      <w:proofErr w:type="spellEnd"/>
      <w:r>
        <w:rPr>
          <w:sz w:val="24"/>
          <w:szCs w:val="24"/>
        </w:rPr>
        <w:t xml:space="preserve"> bv.1 16M and </w:t>
      </w:r>
      <w:r>
        <w:rPr>
          <w:i/>
          <w:sz w:val="24"/>
          <w:szCs w:val="24"/>
        </w:rPr>
        <w:t xml:space="preserve">B. </w:t>
      </w:r>
      <w:proofErr w:type="spellStart"/>
      <w:r>
        <w:rPr>
          <w:i/>
          <w:sz w:val="24"/>
          <w:szCs w:val="24"/>
        </w:rPr>
        <w:t>melitensis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bv</w:t>
      </w:r>
      <w:proofErr w:type="spellEnd"/>
      <w:r>
        <w:rPr>
          <w:sz w:val="24"/>
          <w:szCs w:val="24"/>
        </w:rPr>
        <w:t>. 3 Ether</w:t>
      </w:r>
    </w:p>
    <w:tbl>
      <w:tblPr>
        <w:tblStyle w:val="Grilledutableau"/>
        <w:tblW w:w="0" w:type="auto"/>
        <w:tblLook w:val="04A0"/>
      </w:tblPr>
      <w:tblGrid>
        <w:gridCol w:w="988"/>
        <w:gridCol w:w="3685"/>
        <w:gridCol w:w="2977"/>
      </w:tblGrid>
      <w:tr w:rsidR="00185FEB">
        <w:trPr>
          <w:trHeight w:val="392"/>
        </w:trPr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r>
              <w:t>Type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jc w:val="center"/>
            </w:pPr>
            <w:r>
              <w:t>Virulence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jc w:val="center"/>
            </w:pPr>
            <w:r>
              <w:t>AMR-related</w:t>
            </w:r>
          </w:p>
        </w:tc>
      </w:tr>
      <w:tr w:rsidR="00185FEB">
        <w:tc>
          <w:tcPr>
            <w:tcW w:w="988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r>
              <w:t>Gene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roofErr w:type="spellStart"/>
            <w:r>
              <w:rPr>
                <w:i/>
              </w:rPr>
              <w:t>acpXL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bigA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bigB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bmaB</w:t>
            </w:r>
            <w:proofErr w:type="spellEnd"/>
            <w:r>
              <w:t>/</w:t>
            </w:r>
            <w:proofErr w:type="spellStart"/>
            <w:r>
              <w:rPr>
                <w:i/>
              </w:rPr>
              <w:t>omaA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bmaC</w:t>
            </w:r>
            <w:proofErr w:type="spellEnd"/>
            <w:r>
              <w:t xml:space="preserve">, BPE005, BPE043, BPE123, BPE275, </w:t>
            </w:r>
            <w:proofErr w:type="spellStart"/>
            <w:r>
              <w:rPr>
                <w:i/>
              </w:rPr>
              <w:t>bspA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bspB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bspC</w:t>
            </w:r>
            <w:proofErr w:type="spellEnd"/>
            <w:r>
              <w:t xml:space="preserve"> , </w:t>
            </w:r>
            <w:proofErr w:type="spellStart"/>
            <w:r>
              <w:rPr>
                <w:i/>
              </w:rPr>
              <w:t>bspE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bspF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bspL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btpA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btpB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bvrR</w:t>
            </w:r>
            <w:proofErr w:type="spellEnd"/>
            <w:r>
              <w:t xml:space="preserve">, </w:t>
            </w:r>
            <w:proofErr w:type="spellStart"/>
            <w:r>
              <w:t>bvrS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cgs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fabZ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gmd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htrB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kdsA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kdsB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lpsA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lpsB</w:t>
            </w:r>
            <w:proofErr w:type="spellEnd"/>
            <w:r>
              <w:t>/</w:t>
            </w:r>
            <w:proofErr w:type="spellStart"/>
            <w:r>
              <w:rPr>
                <w:i/>
              </w:rPr>
              <w:t>lpcC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lpxA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lpxB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lpxC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lpxD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lpxE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lpxK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manAoAg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manBcore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manCcore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manCoAg</w:t>
            </w:r>
            <w:proofErr w:type="spellEnd"/>
            <w:r>
              <w:t xml:space="preserve">, </w:t>
            </w:r>
            <w:r>
              <w:rPr>
                <w:i/>
              </w:rPr>
              <w:t>per</w:t>
            </w:r>
            <w:r>
              <w:t xml:space="preserve">, </w:t>
            </w:r>
            <w:proofErr w:type="spellStart"/>
            <w:r>
              <w:rPr>
                <w:i/>
              </w:rPr>
              <w:t>pgm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pmm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ricA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sepA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vceA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vceC</w:t>
            </w:r>
            <w:proofErr w:type="spellEnd"/>
            <w:r>
              <w:t xml:space="preserve">, </w:t>
            </w:r>
            <w:r>
              <w:rPr>
                <w:i/>
              </w:rPr>
              <w:t>virB1</w:t>
            </w:r>
            <w:r>
              <w:t xml:space="preserve">, </w:t>
            </w:r>
            <w:r>
              <w:rPr>
                <w:i/>
              </w:rPr>
              <w:t>virB10</w:t>
            </w:r>
            <w:r>
              <w:t xml:space="preserve">, </w:t>
            </w:r>
            <w:r>
              <w:rPr>
                <w:i/>
              </w:rPr>
              <w:t>virB11</w:t>
            </w:r>
            <w:r>
              <w:t xml:space="preserve">, </w:t>
            </w:r>
            <w:r>
              <w:rPr>
                <w:i/>
              </w:rPr>
              <w:t>virB12</w:t>
            </w:r>
            <w:r>
              <w:t xml:space="preserve">, </w:t>
            </w:r>
            <w:r>
              <w:rPr>
                <w:i/>
              </w:rPr>
              <w:t>virB2</w:t>
            </w:r>
            <w:r>
              <w:t xml:space="preserve">, </w:t>
            </w:r>
            <w:r>
              <w:rPr>
                <w:i/>
              </w:rPr>
              <w:t>virB3</w:t>
            </w:r>
            <w:r>
              <w:t xml:space="preserve">, </w:t>
            </w:r>
            <w:r>
              <w:rPr>
                <w:i/>
              </w:rPr>
              <w:t>virB4</w:t>
            </w:r>
            <w:r>
              <w:t xml:space="preserve">, </w:t>
            </w:r>
            <w:r>
              <w:rPr>
                <w:i/>
              </w:rPr>
              <w:t>virB5</w:t>
            </w:r>
            <w:r>
              <w:t xml:space="preserve">, </w:t>
            </w:r>
            <w:r>
              <w:rPr>
                <w:i/>
              </w:rPr>
              <w:t>virB6</w:t>
            </w:r>
            <w:r>
              <w:t xml:space="preserve">, </w:t>
            </w:r>
            <w:r>
              <w:rPr>
                <w:i/>
              </w:rPr>
              <w:t>virB7</w:t>
            </w:r>
            <w:r>
              <w:t xml:space="preserve">, </w:t>
            </w:r>
            <w:r>
              <w:rPr>
                <w:i/>
              </w:rPr>
              <w:t>virB8</w:t>
            </w:r>
            <w:r>
              <w:t xml:space="preserve">, </w:t>
            </w:r>
            <w:r>
              <w:rPr>
                <w:i/>
              </w:rPr>
              <w:t>virB9</w:t>
            </w:r>
            <w:r>
              <w:t xml:space="preserve">, </w:t>
            </w:r>
            <w:proofErr w:type="spellStart"/>
            <w:r>
              <w:rPr>
                <w:i/>
              </w:rPr>
              <w:t>waaA</w:t>
            </w:r>
            <w:proofErr w:type="spellEnd"/>
            <w:r>
              <w:t>/</w:t>
            </w:r>
            <w:proofErr w:type="spellStart"/>
            <w:r>
              <w:rPr>
                <w:i/>
              </w:rPr>
              <w:t>kdtA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wbdA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wbkA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wbkB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wbkC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wboA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wbpL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wbpZ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wzm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wzt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i/>
              </w:rPr>
            </w:pPr>
            <w:proofErr w:type="spellStart"/>
            <w:r>
              <w:rPr>
                <w:i/>
              </w:rPr>
              <w:t>bepC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bepD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bepE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bepF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bepG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mprF</w:t>
            </w:r>
            <w:proofErr w:type="spellEnd"/>
          </w:p>
        </w:tc>
      </w:tr>
    </w:tbl>
    <w:p w:rsidR="00185FEB" w:rsidRDefault="002639C1">
      <w:r>
        <w:t>(*)</w:t>
      </w:r>
      <w:r>
        <w:t xml:space="preserve"> with a coverage and identity &gt;98%</w:t>
      </w:r>
    </w:p>
    <w:p w:rsidR="00185FEB" w:rsidRDefault="002639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85FEB" w:rsidRDefault="002639C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Supplementary tables</w:t>
      </w:r>
    </w:p>
    <w:p w:rsidR="00185FEB" w:rsidRDefault="00185FEB">
      <w:pPr>
        <w:spacing w:after="0"/>
        <w:jc w:val="both"/>
        <w:rPr>
          <w:sz w:val="20"/>
          <w:szCs w:val="20"/>
        </w:rPr>
      </w:pPr>
    </w:p>
    <w:p w:rsidR="00185FEB" w:rsidRDefault="002639C1">
      <w:pPr>
        <w:pStyle w:val="QMstandard"/>
        <w:spacing w:before="96" w:after="96"/>
      </w:pPr>
      <w:r>
        <w:t xml:space="preserve">Table S1: </w:t>
      </w:r>
      <w:r>
        <w:rPr>
          <w:rFonts w:asciiTheme="minorHAnsi" w:hAnsiTheme="minorHAnsi" w:cstheme="minorHAnsi"/>
        </w:rPr>
        <w:t>Amplification program for the Real-Time Polymerase Chain Reaction (RT-PCR)</w:t>
      </w:r>
    </w:p>
    <w:tbl>
      <w:tblPr>
        <w:tblOverlap w:val="never"/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134"/>
        <w:gridCol w:w="1069"/>
        <w:gridCol w:w="1624"/>
      </w:tblGrid>
      <w:tr w:rsidR="00185FEB">
        <w:trPr>
          <w:trHeight w:val="355"/>
          <w:jc w:val="center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Temperatures [°C]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Time [s]</w:t>
            </w:r>
          </w:p>
        </w:tc>
        <w:tc>
          <w:tcPr>
            <w:tcW w:w="1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Cycles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Steps</w:t>
            </w:r>
          </w:p>
        </w:tc>
      </w:tr>
      <w:tr w:rsidR="00185FEB">
        <w:trPr>
          <w:trHeight w:val="497"/>
          <w:jc w:val="center"/>
        </w:trPr>
        <w:tc>
          <w:tcPr>
            <w:tcW w:w="198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600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185FEB">
            <w:pPr>
              <w:rPr>
                <w:rStyle w:val="lev"/>
                <w:sz w:val="22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Denaturing</w:t>
            </w:r>
          </w:p>
        </w:tc>
      </w:tr>
      <w:tr w:rsidR="00185FEB">
        <w:trPr>
          <w:trHeight w:val="488"/>
          <w:jc w:val="center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15</w:t>
            </w:r>
          </w:p>
        </w:tc>
        <w:tc>
          <w:tcPr>
            <w:tcW w:w="106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x40</w:t>
            </w:r>
          </w:p>
        </w:tc>
        <w:tc>
          <w:tcPr>
            <w:tcW w:w="16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Annealing</w:t>
            </w:r>
          </w:p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Elongation</w:t>
            </w:r>
          </w:p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+</w:t>
            </w:r>
          </w:p>
          <w:p w:rsidR="00185FEB" w:rsidRDefault="002639C1">
            <w:pPr>
              <w:rPr>
                <w:rStyle w:val="lev"/>
                <w:sz w:val="22"/>
              </w:rPr>
            </w:pPr>
            <w:r>
              <w:rPr>
                <w:rStyle w:val="lev"/>
                <w:sz w:val="22"/>
              </w:rPr>
              <w:t>Detection</w:t>
            </w:r>
          </w:p>
        </w:tc>
      </w:tr>
      <w:tr w:rsidR="00185FEB">
        <w:trPr>
          <w:trHeight w:val="479"/>
          <w:jc w:val="center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r>
              <w:t>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r>
              <w:t>60</w:t>
            </w:r>
          </w:p>
        </w:tc>
        <w:tc>
          <w:tcPr>
            <w:tcW w:w="106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185FEB"/>
        </w:tc>
        <w:tc>
          <w:tcPr>
            <w:tcW w:w="162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185FEB"/>
        </w:tc>
      </w:tr>
    </w:tbl>
    <w:p w:rsidR="00185FEB" w:rsidRDefault="00185FEB"/>
    <w:p w:rsidR="00185FEB" w:rsidRDefault="002639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85FEB" w:rsidRDefault="002639C1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Table S2. Collection of </w:t>
      </w:r>
      <w:r>
        <w:rPr>
          <w:i/>
          <w:sz w:val="24"/>
          <w:szCs w:val="24"/>
        </w:rPr>
        <w:t>Brucella</w:t>
      </w:r>
      <w:r>
        <w:rPr>
          <w:sz w:val="24"/>
          <w:szCs w:val="24"/>
        </w:rPr>
        <w:t xml:space="preserve"> strains isolated from human blood and molecular identification</w:t>
      </w:r>
    </w:p>
    <w:p w:rsidR="00185FEB" w:rsidRDefault="00185FEB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631"/>
        <w:gridCol w:w="709"/>
        <w:gridCol w:w="992"/>
        <w:gridCol w:w="1276"/>
        <w:gridCol w:w="850"/>
        <w:gridCol w:w="851"/>
        <w:gridCol w:w="1701"/>
        <w:gridCol w:w="992"/>
      </w:tblGrid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85FEB" w:rsidRDefault="002639C1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Isolate</w:t>
            </w:r>
          </w:p>
          <w:p w:rsidR="00185FEB" w:rsidRDefault="00185FEB">
            <w:pPr>
              <w:spacing w:after="0" w:line="240" w:lineRule="auto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Accesion</w:t>
            </w:r>
            <w:proofErr w:type="spellEnd"/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Year</w:t>
            </w:r>
          </w:p>
          <w:p w:rsidR="00185FEB" w:rsidRDefault="00185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Hospital</w:t>
            </w:r>
          </w:p>
          <w:p w:rsidR="00185FEB" w:rsidRDefault="00185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Origin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Age  (</w:t>
            </w:r>
            <w:proofErr w:type="spellStart"/>
            <w:r>
              <w:rPr>
                <w:rFonts w:eastAsia="Times New Roman" w:cstheme="minorHAnsi"/>
                <w:lang w:val="de-DE" w:eastAsia="de-DE"/>
              </w:rPr>
              <w:t>years</w:t>
            </w:r>
            <w:proofErr w:type="spellEnd"/>
            <w:r>
              <w:rPr>
                <w:rFonts w:eastAsia="Times New Roman" w:cstheme="minorHAnsi"/>
                <w:lang w:val="de-DE" w:eastAsia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Clinical form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de-DE"/>
              </w:rPr>
              <w:t>cgMLST</w:t>
            </w:r>
            <w:proofErr w:type="spellEnd"/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A-1659-R23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A-1659-H1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 xml:space="preserve">Ben </w:t>
            </w:r>
            <w:proofErr w:type="spellStart"/>
            <w:r>
              <w:rPr>
                <w:rFonts w:eastAsia="Times New Roman" w:cstheme="minorHAnsi"/>
                <w:lang w:val="de-DE" w:eastAsia="de-DE"/>
              </w:rPr>
              <w:t>Arous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A-1659-H3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A-1659-H4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Siliana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37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47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55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A-1659-R4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Zaghouen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37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A-1659-R12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A-1659-R13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SAMN38851279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Nabeul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70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A-1659-R15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39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A-1659-R16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59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A-1659-R18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37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A-1659-R20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51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A-1659-R27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A-1659-R31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 xml:space="preserve">Ben </w:t>
            </w:r>
            <w:proofErr w:type="spellStart"/>
            <w:r>
              <w:rPr>
                <w:rFonts w:eastAsia="Times New Roman" w:cstheme="minorHAnsi"/>
                <w:lang w:val="de-DE" w:eastAsia="de-DE"/>
              </w:rPr>
              <w:t>Arous</w:t>
            </w:r>
            <w:proofErr w:type="spellEnd"/>
            <w:r>
              <w:rPr>
                <w:rFonts w:eastAsia="Times New Roman" w:cstheme="minorHAnsi"/>
                <w:lang w:val="de-DE" w:eastAsia="de-DE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27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A-1659-R33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Mannouba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  <w:r>
              <w:rPr>
                <w:rFonts w:eastAsia="Times New Roman" w:cstheme="minorHAnsi"/>
                <w:lang w:val="de-DE" w:eastAsia="de-DE"/>
              </w:rPr>
              <w:t xml:space="preserve"> **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A-1659-R35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 xml:space="preserve">Ben </w:t>
            </w:r>
            <w:proofErr w:type="spellStart"/>
            <w:r>
              <w:rPr>
                <w:rFonts w:eastAsia="Times New Roman" w:cstheme="minorHAnsi"/>
                <w:lang w:val="de-DE" w:eastAsia="de-DE"/>
              </w:rPr>
              <w:t>Arous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A-1659-R37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A-1659-R38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SAMN38851289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Bizete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A-1659-R39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68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distant</w:t>
            </w:r>
            <w:proofErr w:type="spellEnd"/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A-1659-H2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35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A-1659-R14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Bizerte</w:t>
            </w:r>
            <w:proofErr w:type="spellEnd"/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A-1659-R26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63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A-1659-R28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A-1659-R30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63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A-1659-R36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47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A-1659-H5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distant</w:t>
            </w:r>
            <w:proofErr w:type="spellEnd"/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Seliana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59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Spondilodiscitis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A-1659-R6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71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A-1659-R11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A-1659-R17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A-1659-R19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A-1659-R25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 xml:space="preserve">Ben </w:t>
            </w:r>
            <w:proofErr w:type="spellStart"/>
            <w:r>
              <w:rPr>
                <w:rFonts w:eastAsia="Times New Roman" w:cstheme="minorHAnsi"/>
                <w:lang w:val="de-DE" w:eastAsia="de-DE"/>
              </w:rPr>
              <w:t>Arous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16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FDE9D9" w:themeFill="accent6" w:themeFillTint="33"/>
          </w:tcPr>
          <w:p w:rsidR="00185FEB" w:rsidRDefault="00185F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A-1659-P1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CNH</w:t>
            </w:r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Tunis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37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distant</w:t>
            </w:r>
            <w:proofErr w:type="spellEnd"/>
          </w:p>
        </w:tc>
      </w:tr>
      <w:tr w:rsidR="00185FEB">
        <w:trPr>
          <w:trHeight w:val="28"/>
        </w:trPr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A-1659-R24</w:t>
            </w:r>
          </w:p>
        </w:tc>
        <w:tc>
          <w:tcPr>
            <w:tcW w:w="1631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Béja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68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distant</w:t>
            </w:r>
            <w:proofErr w:type="spellEnd"/>
          </w:p>
        </w:tc>
      </w:tr>
      <w:tr w:rsidR="00185FEB">
        <w:trPr>
          <w:trHeight w:val="28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A-1659-R32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SAMN38851306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Rabta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Bizerte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center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lang w:val="de-DE" w:eastAsia="de-DE"/>
              </w:rPr>
              <w:t>Bacteremia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85FEB" w:rsidRDefault="00263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distant</w:t>
            </w:r>
            <w:proofErr w:type="spellEnd"/>
          </w:p>
        </w:tc>
      </w:tr>
    </w:tbl>
    <w:p w:rsidR="00185FEB" w:rsidRDefault="002639C1">
      <w:pPr>
        <w:jc w:val="both"/>
      </w:pPr>
      <w:r>
        <w:t xml:space="preserve">Accession: NCBI accession number, </w:t>
      </w:r>
      <w:proofErr w:type="spellStart"/>
      <w:r>
        <w:t>Recult</w:t>
      </w:r>
      <w:proofErr w:type="spellEnd"/>
      <w:r>
        <w:t xml:space="preserve">.: </w:t>
      </w:r>
      <w:proofErr w:type="spellStart"/>
      <w:r>
        <w:t>recultivation</w:t>
      </w:r>
      <w:proofErr w:type="spellEnd"/>
      <w:r>
        <w:t xml:space="preserve">, M: Male, F: female. </w:t>
      </w:r>
      <w:proofErr w:type="spellStart"/>
      <w:r>
        <w:t>Rabta</w:t>
      </w:r>
      <w:proofErr w:type="spellEnd"/>
      <w:r>
        <w:t xml:space="preserve">: </w:t>
      </w:r>
      <w:proofErr w:type="spellStart"/>
      <w:r>
        <w:t>Rabta</w:t>
      </w:r>
      <w:proofErr w:type="spellEnd"/>
      <w:r>
        <w:t xml:space="preserve"> Hospital, CNH: Charles Nicole Hospital. (*) </w:t>
      </w:r>
      <w:r>
        <w:rPr>
          <w:rFonts w:eastAsia="Times New Roman" w:cstheme="minorHAnsi"/>
          <w:lang w:eastAsia="de-DE"/>
        </w:rPr>
        <w:t xml:space="preserve">contamination in Saudi Arabia, (**) and </w:t>
      </w:r>
      <w:r>
        <w:rPr>
          <w:rFonts w:eastAsia="Times New Roman" w:cstheme="minorHAnsi"/>
          <w:lang w:eastAsia="de-DE"/>
        </w:rPr>
        <w:t>Orchitis; green Tunisia cluster 1, orange Tunisia cluster 2</w:t>
      </w:r>
    </w:p>
    <w:p w:rsidR="00185FEB" w:rsidRDefault="00185FEB"/>
    <w:sectPr w:rsidR="00185FEB" w:rsidSect="00185FE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C1" w:rsidRDefault="002639C1">
      <w:pPr>
        <w:spacing w:after="0" w:line="240" w:lineRule="auto"/>
      </w:pPr>
      <w:r>
        <w:separator/>
      </w:r>
    </w:p>
  </w:endnote>
  <w:endnote w:type="continuationSeparator" w:id="0">
    <w:p w:rsidR="002639C1" w:rsidRDefault="0026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C1" w:rsidRDefault="002639C1">
      <w:pPr>
        <w:spacing w:after="0" w:line="240" w:lineRule="auto"/>
      </w:pPr>
      <w:r>
        <w:separator/>
      </w:r>
    </w:p>
  </w:footnote>
  <w:footnote w:type="continuationSeparator" w:id="0">
    <w:p w:rsidR="002639C1" w:rsidRDefault="00263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56E"/>
    <w:multiLevelType w:val="hybridMultilevel"/>
    <w:tmpl w:val="C2C82992"/>
    <w:lvl w:ilvl="0" w:tplc="2BD6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63F7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C1EAC">
      <w:start w:val="25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49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E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CD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A53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A55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AA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5A2481"/>
    <w:multiLevelType w:val="hybridMultilevel"/>
    <w:tmpl w:val="5BCAEFC2"/>
    <w:lvl w:ilvl="0" w:tplc="7854B4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4486"/>
    <w:multiLevelType w:val="hybridMultilevel"/>
    <w:tmpl w:val="261459D4"/>
    <w:lvl w:ilvl="0" w:tplc="1CBA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13597"/>
    <w:multiLevelType w:val="hybridMultilevel"/>
    <w:tmpl w:val="497436C4"/>
    <w:lvl w:ilvl="0" w:tplc="5914C8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C0E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6A2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8BC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C93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6B3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E7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A9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6CD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EB"/>
    <w:rsid w:val="00146B12"/>
    <w:rsid w:val="00185FEB"/>
    <w:rsid w:val="0026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EB"/>
  </w:style>
  <w:style w:type="paragraph" w:styleId="Titre1">
    <w:name w:val="heading 1"/>
    <w:basedOn w:val="Normal"/>
    <w:next w:val="Normal"/>
    <w:link w:val="Titre1Car"/>
    <w:uiPriority w:val="9"/>
    <w:qFormat/>
    <w:rsid w:val="0018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FEB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5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FEB"/>
    <w:rPr>
      <w:rFonts w:ascii="Segoe UI" w:hAnsi="Segoe UI" w:cs="Segoe UI"/>
      <w:sz w:val="18"/>
      <w:szCs w:val="18"/>
    </w:rPr>
  </w:style>
  <w:style w:type="character" w:customStyle="1" w:styleId="html-italic">
    <w:name w:val="html-italic"/>
    <w:basedOn w:val="Policepardfaut"/>
    <w:rsid w:val="00185FEB"/>
  </w:style>
  <w:style w:type="paragraph" w:styleId="Textebrut">
    <w:name w:val="Plain Text"/>
    <w:basedOn w:val="Normal"/>
    <w:link w:val="TextebrutCar"/>
    <w:uiPriority w:val="99"/>
    <w:semiHidden/>
    <w:unhideWhenUsed/>
    <w:rsid w:val="00185FEB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85FEB"/>
    <w:rPr>
      <w:rFonts w:ascii="Calibri" w:hAnsi="Calibri"/>
      <w:szCs w:val="21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185F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5F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5F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5F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5FEB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185FEB"/>
    <w:pPr>
      <w:widowControl w:val="0"/>
      <w:autoSpaceDE w:val="0"/>
      <w:autoSpaceDN w:val="0"/>
      <w:spacing w:after="0" w:line="240" w:lineRule="auto"/>
      <w:ind w:left="116"/>
    </w:pPr>
    <w:rPr>
      <w:rFonts w:ascii="Carlito" w:eastAsia="Carlito" w:hAnsi="Carlito" w:cs="Carlito"/>
    </w:rPr>
  </w:style>
  <w:style w:type="character" w:customStyle="1" w:styleId="CorpsdetexteCar">
    <w:name w:val="Corps de texte Car"/>
    <w:basedOn w:val="Policepardfaut"/>
    <w:link w:val="Corpsdetexte"/>
    <w:uiPriority w:val="1"/>
    <w:rsid w:val="00185FEB"/>
    <w:rPr>
      <w:rFonts w:ascii="Carlito" w:eastAsia="Carlito" w:hAnsi="Carlito" w:cs="Carlito"/>
    </w:rPr>
  </w:style>
  <w:style w:type="character" w:customStyle="1" w:styleId="Titre1Car">
    <w:name w:val="Titre 1 Car"/>
    <w:basedOn w:val="Policepardfaut"/>
    <w:link w:val="Titre1"/>
    <w:uiPriority w:val="9"/>
    <w:rsid w:val="0018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5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5FEB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QMstandard">
    <w:name w:val="QM standard"/>
    <w:basedOn w:val="Normal"/>
    <w:link w:val="QMstandardZchn"/>
    <w:autoRedefine/>
    <w:rsid w:val="00185FEB"/>
    <w:pPr>
      <w:spacing w:beforeLines="40" w:afterLines="40" w:line="240" w:lineRule="atLeast"/>
    </w:pPr>
    <w:rPr>
      <w:rFonts w:ascii="Calibri" w:eastAsia="Times New Roman" w:hAnsi="Calibri" w:cs="Times New Roman"/>
      <w:bCs/>
      <w:sz w:val="24"/>
      <w:szCs w:val="24"/>
      <w:lang w:eastAsia="de-DE"/>
    </w:rPr>
  </w:style>
  <w:style w:type="character" w:customStyle="1" w:styleId="QMstandardZchn">
    <w:name w:val="QM standard Zchn"/>
    <w:link w:val="QMstandard"/>
    <w:rsid w:val="00185FEB"/>
    <w:rPr>
      <w:rFonts w:ascii="Calibri" w:eastAsia="Times New Roman" w:hAnsi="Calibri" w:cs="Times New Roman"/>
      <w:bCs/>
      <w:sz w:val="24"/>
      <w:szCs w:val="24"/>
      <w:lang w:eastAsia="de-DE"/>
    </w:rPr>
  </w:style>
  <w:style w:type="character" w:styleId="lev">
    <w:name w:val="Strong"/>
    <w:aliases w:val="Haupttext"/>
    <w:qFormat/>
    <w:rsid w:val="00185FEB"/>
    <w:rPr>
      <w:rFonts w:ascii="Calibri" w:hAnsi="Calibri"/>
      <w:b w:val="0"/>
      <w:b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185FE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37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0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98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5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7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3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7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3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5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790E-B98B-428D-90D6-22FE3773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Klinikum Augsburg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Buijze, Hellen</dc:creator>
  <cp:lastModifiedBy>ASUSPC</cp:lastModifiedBy>
  <cp:revision>2</cp:revision>
  <dcterms:created xsi:type="dcterms:W3CDTF">2024-11-09T20:02:00Z</dcterms:created>
  <dcterms:modified xsi:type="dcterms:W3CDTF">2024-11-09T20:02:00Z</dcterms:modified>
</cp:coreProperties>
</file>