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1C087" w14:textId="753D2AFE" w:rsidR="007A1F06" w:rsidRPr="00065FE0" w:rsidRDefault="005677BD" w:rsidP="005677BD">
      <w:pPr>
        <w:jc w:val="center"/>
        <w:rPr>
          <w:rFonts w:ascii="Times New Roman" w:hAnsi="Times New Roman" w:cs="Times New Roman"/>
          <w:b/>
          <w:bCs/>
          <w:u w:val="single"/>
        </w:rPr>
      </w:pPr>
      <w:r w:rsidRPr="00065FE0">
        <w:rPr>
          <w:rFonts w:ascii="Times New Roman" w:hAnsi="Times New Roman" w:cs="Times New Roman"/>
          <w:b/>
          <w:bCs/>
          <w:u w:val="single"/>
        </w:rPr>
        <w:t>Supporting Information</w:t>
      </w:r>
    </w:p>
    <w:p w14:paraId="57087AE9" w14:textId="77777777" w:rsidR="005677BD" w:rsidRPr="007431FD" w:rsidRDefault="005677BD" w:rsidP="005677BD">
      <w:pPr>
        <w:jc w:val="both"/>
        <w:rPr>
          <w:rFonts w:ascii="Times New Roman" w:hAnsi="Times New Roman" w:cs="Times New Roman"/>
          <w:b/>
          <w:bCs/>
        </w:rPr>
      </w:pPr>
      <w:r w:rsidRPr="007431FD">
        <w:rPr>
          <w:rFonts w:ascii="Times New Roman" w:hAnsi="Times New Roman" w:cs="Times New Roman"/>
          <w:b/>
          <w:bCs/>
        </w:rPr>
        <w:t>Multi-Stage Molecular Simulation Design, Synthesis, and Anticonvulsant Evaluation of 2-(Isoindolin-2-yl) Esters of Aromatic Amino Acids Targeting GABA</w:t>
      </w:r>
      <w:r w:rsidRPr="007431FD">
        <w:rPr>
          <w:rFonts w:ascii="Times New Roman" w:hAnsi="Times New Roman" w:cs="Times New Roman"/>
          <w:b/>
          <w:bCs/>
          <w:vertAlign w:val="subscript"/>
        </w:rPr>
        <w:t>A</w:t>
      </w:r>
      <w:r w:rsidRPr="007431FD">
        <w:rPr>
          <w:rFonts w:ascii="Times New Roman" w:hAnsi="Times New Roman" w:cs="Times New Roman"/>
          <w:b/>
          <w:bCs/>
        </w:rPr>
        <w:t xml:space="preserve"> Receptors via π–π Interactions</w:t>
      </w:r>
    </w:p>
    <w:p w14:paraId="0258CC43" w14:textId="77777777" w:rsidR="0050218F" w:rsidRPr="00A25ADD" w:rsidRDefault="0050218F" w:rsidP="0050218F">
      <w:pPr>
        <w:pStyle w:val="MDPI13authornames"/>
        <w:jc w:val="both"/>
        <w:rPr>
          <w:lang w:val="es-MX"/>
        </w:rPr>
      </w:pPr>
      <w:r w:rsidRPr="00D60598">
        <w:rPr>
          <w:highlight w:val="yellow"/>
          <w:lang w:val="es-MX"/>
        </w:rPr>
        <w:t>Santiago González-Periañez</w:t>
      </w:r>
      <w:r>
        <w:rPr>
          <w:rFonts w:ascii="Segoe UI Symbol" w:hAnsi="Segoe UI Symbol"/>
          <w:highlight w:val="yellow"/>
          <w:vertAlign w:val="superscript"/>
          <w:lang w:val="es-MX"/>
        </w:rPr>
        <w:t>☨</w:t>
      </w:r>
      <w:r>
        <w:rPr>
          <w:highlight w:val="yellow"/>
          <w:lang w:val="es-MX"/>
        </w:rPr>
        <w:t xml:space="preserve"> </w:t>
      </w:r>
      <w:r w:rsidRPr="00D60598">
        <w:rPr>
          <w:highlight w:val="yellow"/>
          <w:vertAlign w:val="superscript"/>
          <w:lang w:val="es-MX"/>
        </w:rPr>
        <w:t>1,2</w:t>
      </w:r>
      <w:r w:rsidRPr="00D60598">
        <w:rPr>
          <w:highlight w:val="yellow"/>
          <w:lang w:val="es-MX"/>
        </w:rPr>
        <w:t>, Fabiola Hernández-Rosas</w:t>
      </w:r>
      <w:r>
        <w:rPr>
          <w:rFonts w:ascii="Segoe UI Symbol" w:hAnsi="Segoe UI Symbol"/>
          <w:highlight w:val="yellow"/>
          <w:vertAlign w:val="superscript"/>
          <w:lang w:val="es-MX"/>
        </w:rPr>
        <w:t xml:space="preserve">☨ </w:t>
      </w:r>
      <w:r>
        <w:rPr>
          <w:highlight w:val="yellow"/>
          <w:vertAlign w:val="superscript"/>
          <w:lang w:val="es-MX"/>
        </w:rPr>
        <w:t>3</w:t>
      </w:r>
      <w:r w:rsidRPr="00D60598">
        <w:rPr>
          <w:highlight w:val="yellow"/>
          <w:vertAlign w:val="superscript"/>
          <w:lang w:val="es-MX"/>
        </w:rPr>
        <w:t>,</w:t>
      </w:r>
      <w:r>
        <w:rPr>
          <w:highlight w:val="yellow"/>
          <w:vertAlign w:val="superscript"/>
          <w:lang w:val="es-MX"/>
        </w:rPr>
        <w:t>4</w:t>
      </w:r>
      <w:r w:rsidRPr="00D60598">
        <w:rPr>
          <w:highlight w:val="yellow"/>
          <w:lang w:val="es-MX"/>
        </w:rPr>
        <w:t>, Carlos Alberto López-Rosas</w:t>
      </w:r>
      <w:r>
        <w:rPr>
          <w:highlight w:val="yellow"/>
          <w:vertAlign w:val="superscript"/>
          <w:lang w:val="es-MX"/>
        </w:rPr>
        <w:t>5</w:t>
      </w:r>
      <w:r w:rsidRPr="00D60598">
        <w:rPr>
          <w:highlight w:val="yellow"/>
          <w:lang w:val="es-MX"/>
        </w:rPr>
        <w:t>, Fernando Rafael Ramos-Morales</w:t>
      </w:r>
      <w:r w:rsidRPr="00D60598">
        <w:rPr>
          <w:highlight w:val="yellow"/>
          <w:vertAlign w:val="superscript"/>
          <w:lang w:val="es-MX"/>
        </w:rPr>
        <w:t>1,</w:t>
      </w:r>
      <w:r>
        <w:rPr>
          <w:highlight w:val="yellow"/>
          <w:vertAlign w:val="superscript"/>
          <w:lang w:val="es-MX"/>
        </w:rPr>
        <w:t>5</w:t>
      </w:r>
      <w:r w:rsidRPr="00D60598">
        <w:rPr>
          <w:highlight w:val="yellow"/>
          <w:vertAlign w:val="superscript"/>
          <w:lang w:val="es-MX"/>
        </w:rPr>
        <w:t>,</w:t>
      </w:r>
      <w:r>
        <w:rPr>
          <w:highlight w:val="yellow"/>
          <w:vertAlign w:val="superscript"/>
          <w:lang w:val="es-MX"/>
        </w:rPr>
        <w:t>7</w:t>
      </w:r>
      <w:r w:rsidRPr="00D60598">
        <w:rPr>
          <w:highlight w:val="yellow"/>
          <w:lang w:val="es-MX"/>
        </w:rPr>
        <w:t>, Jorge Zurutuza-Lorméndez</w:t>
      </w:r>
      <w:r>
        <w:rPr>
          <w:highlight w:val="yellow"/>
          <w:vertAlign w:val="superscript"/>
          <w:lang w:val="es-MX"/>
        </w:rPr>
        <w:t>6</w:t>
      </w:r>
      <w:r w:rsidRPr="00D60598">
        <w:rPr>
          <w:highlight w:val="yellow"/>
          <w:lang w:val="es-MX"/>
        </w:rPr>
        <w:t>, Rosa Virginia García-Rodríguez</w:t>
      </w:r>
      <w:r>
        <w:rPr>
          <w:highlight w:val="yellow"/>
          <w:vertAlign w:val="superscript"/>
          <w:lang w:val="es-MX"/>
        </w:rPr>
        <w:t>5</w:t>
      </w:r>
      <w:r w:rsidRPr="00D60598">
        <w:rPr>
          <w:highlight w:val="yellow"/>
          <w:vertAlign w:val="superscript"/>
          <w:lang w:val="es-MX"/>
        </w:rPr>
        <w:t>,</w:t>
      </w:r>
      <w:r>
        <w:rPr>
          <w:highlight w:val="yellow"/>
          <w:vertAlign w:val="superscript"/>
          <w:lang w:val="es-MX"/>
        </w:rPr>
        <w:t>7</w:t>
      </w:r>
      <w:r w:rsidRPr="00D60598">
        <w:rPr>
          <w:highlight w:val="yellow"/>
          <w:lang w:val="es-MX"/>
        </w:rPr>
        <w:t>, José Luís Olivares-Romero</w:t>
      </w:r>
      <w:r>
        <w:rPr>
          <w:highlight w:val="yellow"/>
          <w:vertAlign w:val="superscript"/>
          <w:lang w:val="es-MX"/>
        </w:rPr>
        <w:t>8</w:t>
      </w:r>
      <w:r w:rsidRPr="00D60598">
        <w:rPr>
          <w:highlight w:val="yellow"/>
          <w:lang w:val="es-MX"/>
        </w:rPr>
        <w:t>,</w:t>
      </w:r>
      <w:r>
        <w:rPr>
          <w:highlight w:val="yellow"/>
          <w:lang w:val="es-MX"/>
        </w:rPr>
        <w:t xml:space="preserve"> </w:t>
      </w:r>
      <w:r w:rsidRPr="00D60598">
        <w:rPr>
          <w:highlight w:val="yellow"/>
          <w:lang w:val="es-MX"/>
        </w:rPr>
        <w:t xml:space="preserve"> Rodrigo Rafael Ramos-Hernández</w:t>
      </w:r>
      <w:r>
        <w:rPr>
          <w:highlight w:val="yellow"/>
          <w:vertAlign w:val="superscript"/>
          <w:lang w:val="es-MX"/>
        </w:rPr>
        <w:t>7</w:t>
      </w:r>
      <w:r w:rsidRPr="00D60598">
        <w:rPr>
          <w:highlight w:val="yellow"/>
          <w:lang w:val="es-MX"/>
        </w:rPr>
        <w:t>, Ivette Bravo-Espino</w:t>
      </w:r>
      <w:r>
        <w:rPr>
          <w:highlight w:val="yellow"/>
          <w:lang w:val="es-MX"/>
        </w:rPr>
        <w:t>z</w:t>
      </w:r>
      <w:r w:rsidRPr="00D60598">
        <w:rPr>
          <w:highlight w:val="yellow"/>
          <w:lang w:val="es-MX"/>
        </w:rPr>
        <w:t>a</w:t>
      </w:r>
      <w:r>
        <w:rPr>
          <w:highlight w:val="yellow"/>
          <w:vertAlign w:val="superscript"/>
          <w:lang w:val="es-MX"/>
        </w:rPr>
        <w:t>7</w:t>
      </w:r>
      <w:r w:rsidRPr="00D60598">
        <w:rPr>
          <w:highlight w:val="yellow"/>
          <w:lang w:val="es-MX"/>
        </w:rPr>
        <w:t>, Abraham Vidal-Limon</w:t>
      </w:r>
      <w:r>
        <w:rPr>
          <w:highlight w:val="yellow"/>
          <w:vertAlign w:val="superscript"/>
          <w:lang w:val="es-MX"/>
        </w:rPr>
        <w:t>8</w:t>
      </w:r>
      <w:r w:rsidRPr="00D60598">
        <w:rPr>
          <w:highlight w:val="yellow"/>
          <w:lang w:val="es-MX"/>
        </w:rPr>
        <w:t>*, Tushar Janardan Pawar</w:t>
      </w:r>
      <w:r>
        <w:rPr>
          <w:highlight w:val="yellow"/>
          <w:vertAlign w:val="superscript"/>
          <w:lang w:val="es-MX"/>
        </w:rPr>
        <w:t>8</w:t>
      </w:r>
      <w:r w:rsidRPr="00D60598">
        <w:rPr>
          <w:highlight w:val="yellow"/>
          <w:vertAlign w:val="superscript"/>
          <w:lang w:val="es-MX"/>
        </w:rPr>
        <w:t>,9</w:t>
      </w:r>
      <w:r w:rsidRPr="00D60598">
        <w:rPr>
          <w:highlight w:val="yellow"/>
          <w:lang w:val="es-MX"/>
        </w:rPr>
        <w:t>*</w:t>
      </w:r>
    </w:p>
    <w:p w14:paraId="495D4EEF" w14:textId="77777777" w:rsidR="0050218F" w:rsidRPr="008511F9" w:rsidRDefault="0050218F" w:rsidP="0050218F">
      <w:pPr>
        <w:pStyle w:val="MDPI16affiliation"/>
        <w:rPr>
          <w:lang w:val="es-MX"/>
        </w:rPr>
      </w:pPr>
      <w:r>
        <w:rPr>
          <w:lang w:val="es-MX"/>
        </w:rPr>
        <w:t>1</w:t>
      </w:r>
      <w:r>
        <w:rPr>
          <w:lang w:val="es-MX"/>
        </w:rPr>
        <w:tab/>
      </w:r>
      <w:r w:rsidRPr="008511F9">
        <w:rPr>
          <w:lang w:val="es-MX"/>
        </w:rPr>
        <w:t>Centro de Investigaciones Biomédicas, Doctorado en Ciencias Biomédicas, Universidad Veracruzana, Xalapa 91190, México</w:t>
      </w:r>
      <w:r>
        <w:rPr>
          <w:lang w:val="es-MX"/>
        </w:rPr>
        <w:t>.</w:t>
      </w:r>
      <w:r w:rsidRPr="008511F9">
        <w:rPr>
          <w:lang w:val="es-MX"/>
        </w:rPr>
        <w:t xml:space="preserve"> </w:t>
      </w:r>
      <w:hyperlink r:id="rId8" w:history="1">
        <w:r w:rsidRPr="00082FB6">
          <w:rPr>
            <w:color w:val="0000FF"/>
            <w:u w:val="single"/>
            <w:lang w:val="es-MX"/>
          </w:rPr>
          <w:t>santiagonzalez@uv.mx</w:t>
        </w:r>
      </w:hyperlink>
      <w:r w:rsidRPr="00082FB6">
        <w:rPr>
          <w:lang w:val="es-MX"/>
        </w:rPr>
        <w:t xml:space="preserve"> (S.G.-P)</w:t>
      </w:r>
      <w:r>
        <w:rPr>
          <w:lang w:val="es-MX"/>
        </w:rPr>
        <w:t>.</w:t>
      </w:r>
    </w:p>
    <w:p w14:paraId="1BAA0696" w14:textId="77777777" w:rsidR="0050218F" w:rsidRDefault="0050218F" w:rsidP="0050218F">
      <w:pPr>
        <w:pStyle w:val="MDPI16affiliation"/>
        <w:rPr>
          <w:lang w:val="es-MX"/>
        </w:rPr>
      </w:pPr>
      <w:r>
        <w:rPr>
          <w:lang w:val="es-MX"/>
        </w:rPr>
        <w:t>2</w:t>
      </w:r>
      <w:r>
        <w:rPr>
          <w:lang w:val="es-MX"/>
        </w:rPr>
        <w:tab/>
      </w:r>
      <w:r w:rsidRPr="00082FB6">
        <w:rPr>
          <w:lang w:val="es-MX"/>
        </w:rPr>
        <w:t xml:space="preserve">Facultad de Bioanálisis, Universidad Veracruzana, Calle Médicos y Odontólogos s/n, Unidad del Bosque, C.P. 91010. </w:t>
      </w:r>
      <w:r w:rsidRPr="001B7BE1">
        <w:rPr>
          <w:lang w:val="es-MX"/>
        </w:rPr>
        <w:t>Xalapa-Enríquez, Veracruz, México.</w:t>
      </w:r>
    </w:p>
    <w:p w14:paraId="64CB6136" w14:textId="77777777" w:rsidR="0050218F" w:rsidRPr="001B7BE1" w:rsidRDefault="0050218F" w:rsidP="0050218F">
      <w:pPr>
        <w:pStyle w:val="MDPI16affiliation"/>
        <w:rPr>
          <w:lang w:val="es-MX"/>
        </w:rPr>
      </w:pPr>
      <w:r>
        <w:rPr>
          <w:lang w:val="es-MX"/>
        </w:rPr>
        <w:t>3</w:t>
      </w:r>
      <w:r>
        <w:rPr>
          <w:lang w:val="es-MX"/>
        </w:rPr>
        <w:tab/>
      </w:r>
      <w:r w:rsidRPr="005F3229">
        <w:rPr>
          <w:lang w:val="es-MX"/>
        </w:rPr>
        <w:t xml:space="preserve">Centro de Investigación, Universidad Anáhuac Querétaro, El Marqués, Querétaro 76246, México. </w:t>
      </w:r>
      <w:r>
        <w:fldChar w:fldCharType="begin"/>
      </w:r>
      <w:r w:rsidRPr="0021434E">
        <w:rPr>
          <w:lang w:val="es-ES"/>
        </w:rPr>
        <w:instrText>HYPERLINK "mailto:fabiola.hernandezro@anahuac.mx"</w:instrText>
      </w:r>
      <w:r>
        <w:fldChar w:fldCharType="separate"/>
      </w:r>
      <w:r w:rsidRPr="001B7BE1">
        <w:rPr>
          <w:color w:val="0000FF"/>
          <w:u w:val="single"/>
          <w:lang w:val="es-MX"/>
        </w:rPr>
        <w:t>fabiola.hernandezro@anahuac.mx</w:t>
      </w:r>
      <w:r>
        <w:fldChar w:fldCharType="end"/>
      </w:r>
      <w:r w:rsidRPr="001B7BE1">
        <w:rPr>
          <w:lang w:val="es-MX"/>
        </w:rPr>
        <w:t xml:space="preserve"> (F.H.-R.)</w:t>
      </w:r>
    </w:p>
    <w:p w14:paraId="695D41B6" w14:textId="77777777" w:rsidR="0050218F" w:rsidRPr="001B7BE1" w:rsidRDefault="0050218F" w:rsidP="0050218F">
      <w:pPr>
        <w:pStyle w:val="MDPI16affiliation"/>
        <w:rPr>
          <w:lang w:val="es-MX"/>
        </w:rPr>
      </w:pPr>
      <w:r>
        <w:rPr>
          <w:lang w:val="es-MX"/>
        </w:rPr>
        <w:t>4</w:t>
      </w:r>
      <w:r>
        <w:rPr>
          <w:lang w:val="es-MX"/>
        </w:rPr>
        <w:tab/>
      </w:r>
      <w:r w:rsidRPr="00082FB6">
        <w:rPr>
          <w:lang w:val="es-MX"/>
        </w:rPr>
        <w:t>Facultad de Química, Universidad Autónoma de Querétaro, Querétaro 76010, México.</w:t>
      </w:r>
      <w:r>
        <w:rPr>
          <w:lang w:val="es-MX"/>
        </w:rPr>
        <w:t xml:space="preserve"> (F.H.-R)</w:t>
      </w:r>
    </w:p>
    <w:p w14:paraId="39AECEF1" w14:textId="77777777" w:rsidR="0050218F" w:rsidRPr="00065FE0" w:rsidRDefault="0050218F" w:rsidP="0050218F">
      <w:pPr>
        <w:pStyle w:val="MDPI16affiliation"/>
      </w:pPr>
      <w:r>
        <w:rPr>
          <w:lang w:val="es-MX"/>
        </w:rPr>
        <w:t>5</w:t>
      </w:r>
      <w:r>
        <w:rPr>
          <w:lang w:val="es-MX"/>
        </w:rPr>
        <w:tab/>
      </w:r>
      <w:r w:rsidRPr="00082FB6">
        <w:rPr>
          <w:lang w:val="es-MX"/>
        </w:rPr>
        <w:t>Facultad de Química Biológica Farmacéutica, Universidad Veracruzana, Gonzalo Aguirre Beltrán s/n. Col. Centro, C.P. 91000, Xalapa, Veracruz, México.</w:t>
      </w:r>
      <w:r w:rsidRPr="003C1F99">
        <w:rPr>
          <w:lang w:val="es-MX"/>
        </w:rPr>
        <w:t xml:space="preserve"> </w:t>
      </w:r>
      <w:hyperlink r:id="rId9" w:history="1">
        <w:r w:rsidRPr="003C1F99">
          <w:rPr>
            <w:color w:val="0000FF"/>
            <w:u w:val="single"/>
          </w:rPr>
          <w:t>carloslopez02@uv.mx</w:t>
        </w:r>
      </w:hyperlink>
      <w:r w:rsidRPr="003C1F99">
        <w:t xml:space="preserve"> (C.A.L-R)</w:t>
      </w:r>
      <w:r>
        <w:t>;</w:t>
      </w:r>
      <w:r w:rsidRPr="003C1F99">
        <w:t xml:space="preserve"> </w:t>
      </w:r>
      <w:hyperlink r:id="rId10" w:history="1">
        <w:r w:rsidRPr="00065FE0">
          <w:rPr>
            <w:color w:val="0000FF"/>
            <w:u w:val="single"/>
          </w:rPr>
          <w:t>ivbravo@uv.mx</w:t>
        </w:r>
      </w:hyperlink>
      <w:r w:rsidRPr="00065FE0">
        <w:t xml:space="preserve"> (I.B-E.); </w:t>
      </w:r>
      <w:hyperlink r:id="rId11" w:history="1">
        <w:r w:rsidRPr="00065FE0">
          <w:rPr>
            <w:color w:val="0000FF"/>
            <w:u w:val="single"/>
          </w:rPr>
          <w:t>rodrigoqfb@gmail.com</w:t>
        </w:r>
      </w:hyperlink>
      <w:r w:rsidRPr="00065FE0">
        <w:t xml:space="preserve"> (R.R.R-H).</w:t>
      </w:r>
    </w:p>
    <w:p w14:paraId="0245B5A4" w14:textId="6158F45A" w:rsidR="0050218F" w:rsidRPr="001B7BE1" w:rsidRDefault="004A7F94" w:rsidP="0050218F">
      <w:pPr>
        <w:pStyle w:val="MDPI16affiliation"/>
        <w:rPr>
          <w:lang w:val="es-MX"/>
        </w:rPr>
      </w:pPr>
      <w:r>
        <w:rPr>
          <w:lang w:val="es-MX"/>
        </w:rPr>
        <w:t>6</w:t>
      </w:r>
      <w:r w:rsidR="0050218F">
        <w:rPr>
          <w:lang w:val="es-MX"/>
        </w:rPr>
        <w:tab/>
      </w:r>
      <w:r w:rsidR="0050218F" w:rsidRPr="00082FB6">
        <w:rPr>
          <w:lang w:val="es-MX"/>
        </w:rPr>
        <w:t xml:space="preserve">Centro de Salud Urbano José A. Maraboto Carreón, Servicios de Salud de Veracruz, Santiago Bonilla No 85, Col. Obrero Campesino, CP. 91020, Xalapa, Veracruz, México. </w:t>
      </w:r>
      <w:r w:rsidR="0050218F">
        <w:fldChar w:fldCharType="begin"/>
      </w:r>
      <w:r w:rsidR="0050218F" w:rsidRPr="0021434E">
        <w:rPr>
          <w:lang w:val="es-ES"/>
        </w:rPr>
        <w:instrText>HYPERLINK "mailto:jorzurutuza@uv.mx"</w:instrText>
      </w:r>
      <w:r w:rsidR="0050218F">
        <w:fldChar w:fldCharType="separate"/>
      </w:r>
      <w:r w:rsidR="0050218F" w:rsidRPr="001B7BE1">
        <w:rPr>
          <w:color w:val="0000FF"/>
          <w:u w:val="single"/>
          <w:lang w:val="es-MX"/>
        </w:rPr>
        <w:t>jorzurutuza@uv.mx</w:t>
      </w:r>
      <w:r w:rsidR="0050218F">
        <w:fldChar w:fldCharType="end"/>
      </w:r>
      <w:r w:rsidR="0050218F" w:rsidRPr="001B7BE1">
        <w:rPr>
          <w:lang w:val="es-MX"/>
        </w:rPr>
        <w:t xml:space="preserve"> (J.I.Z.-L).</w:t>
      </w:r>
    </w:p>
    <w:p w14:paraId="47560FFF" w14:textId="058BB343" w:rsidR="0050218F" w:rsidRPr="00082FB6" w:rsidRDefault="004A7F94" w:rsidP="0050218F">
      <w:pPr>
        <w:pStyle w:val="MDPI16affiliation"/>
        <w:rPr>
          <w:lang w:val="es-MX"/>
        </w:rPr>
      </w:pPr>
      <w:r>
        <w:rPr>
          <w:lang w:val="es-MX"/>
        </w:rPr>
        <w:t>7</w:t>
      </w:r>
      <w:r w:rsidR="0050218F">
        <w:rPr>
          <w:lang w:val="es-MX"/>
        </w:rPr>
        <w:tab/>
      </w:r>
      <w:r w:rsidR="0050218F" w:rsidRPr="00082FB6">
        <w:rPr>
          <w:lang w:val="es-MX"/>
        </w:rPr>
        <w:t xml:space="preserve">Instituto de Química Aplicada, Universidad Veracruzana, Luis Castelazo Ayala s/n, Col. Industrial Animas, 91190, Xalapa-Enríquez, Veracruz, México;  </w:t>
      </w:r>
      <w:r w:rsidR="0050218F">
        <w:fldChar w:fldCharType="begin"/>
      </w:r>
      <w:r w:rsidR="0050218F" w:rsidRPr="0021434E">
        <w:rPr>
          <w:lang w:val="es-ES"/>
        </w:rPr>
        <w:instrText>HYPERLINK "mailto:framos@uv.mx"</w:instrText>
      </w:r>
      <w:r w:rsidR="0050218F">
        <w:fldChar w:fldCharType="separate"/>
      </w:r>
      <w:r w:rsidR="0050218F" w:rsidRPr="00082FB6">
        <w:rPr>
          <w:color w:val="0000FF"/>
          <w:u w:val="single"/>
          <w:lang w:val="es-MX"/>
        </w:rPr>
        <w:t>framos@uv.mx</w:t>
      </w:r>
      <w:r w:rsidR="0050218F">
        <w:fldChar w:fldCharType="end"/>
      </w:r>
      <w:r w:rsidR="0050218F" w:rsidRPr="00082FB6">
        <w:rPr>
          <w:lang w:val="es-MX"/>
        </w:rPr>
        <w:t xml:space="preserve">, (F.R.R.-M), </w:t>
      </w:r>
      <w:r w:rsidR="0050218F">
        <w:fldChar w:fldCharType="begin"/>
      </w:r>
      <w:r w:rsidR="0050218F" w:rsidRPr="0021434E">
        <w:rPr>
          <w:lang w:val="es-ES"/>
        </w:rPr>
        <w:instrText>HYPERLINK "mailto:rosagarcia02@uv.mx"</w:instrText>
      </w:r>
      <w:r w:rsidR="0050218F">
        <w:fldChar w:fldCharType="separate"/>
      </w:r>
      <w:r w:rsidR="0050218F" w:rsidRPr="00082FB6">
        <w:rPr>
          <w:color w:val="0000FF"/>
          <w:u w:val="single"/>
          <w:lang w:val="es-MX"/>
        </w:rPr>
        <w:t>rosagarcia02@uv.mx</w:t>
      </w:r>
      <w:r w:rsidR="0050218F">
        <w:fldChar w:fldCharType="end"/>
      </w:r>
      <w:r w:rsidR="0050218F" w:rsidRPr="00082FB6">
        <w:rPr>
          <w:lang w:val="es-MX"/>
        </w:rPr>
        <w:t xml:space="preserve"> (R.V.G.-R.).</w:t>
      </w:r>
    </w:p>
    <w:p w14:paraId="4BB0850D" w14:textId="5CC0BE31" w:rsidR="0050218F" w:rsidRPr="00082FB6" w:rsidRDefault="004A7F94" w:rsidP="0050218F">
      <w:pPr>
        <w:pStyle w:val="MDPI16affiliation"/>
        <w:rPr>
          <w:lang w:val="es-MX"/>
        </w:rPr>
      </w:pPr>
      <w:r>
        <w:rPr>
          <w:lang w:val="es-MX"/>
        </w:rPr>
        <w:t>8</w:t>
      </w:r>
      <w:r w:rsidR="0050218F">
        <w:rPr>
          <w:lang w:val="es-MX"/>
        </w:rPr>
        <w:tab/>
      </w:r>
      <w:r w:rsidR="0050218F" w:rsidRPr="00082FB6">
        <w:rPr>
          <w:lang w:val="es-MX"/>
        </w:rPr>
        <w:t xml:space="preserve">Red de Estudios Moleculares Avanzados, Instituto de Ecología A.C. (INECOL), Carretera Antigua a Coatepec 351, CP. 91073, El Haya, Xalapa, Veracruz, México; </w:t>
      </w:r>
      <w:r w:rsidR="0050218F">
        <w:fldChar w:fldCharType="begin"/>
      </w:r>
      <w:r w:rsidR="0050218F" w:rsidRPr="0021434E">
        <w:rPr>
          <w:lang w:val="es-ES"/>
        </w:rPr>
        <w:instrText>HYPERLINK "mailto:jose.olivares@inecol.mx"</w:instrText>
      </w:r>
      <w:r w:rsidR="0050218F">
        <w:fldChar w:fldCharType="separate"/>
      </w:r>
      <w:r w:rsidR="0050218F" w:rsidRPr="00082FB6">
        <w:rPr>
          <w:color w:val="0000FF"/>
          <w:u w:val="single"/>
          <w:lang w:val="es-MX"/>
        </w:rPr>
        <w:t>jose.olivares@inecol.mx</w:t>
      </w:r>
      <w:r w:rsidR="0050218F">
        <w:fldChar w:fldCharType="end"/>
      </w:r>
      <w:r w:rsidR="0050218F" w:rsidRPr="00082FB6">
        <w:rPr>
          <w:lang w:val="es-MX"/>
        </w:rPr>
        <w:t xml:space="preserve"> (J.L.O.-R), </w:t>
      </w:r>
      <w:r w:rsidR="0050218F">
        <w:fldChar w:fldCharType="begin"/>
      </w:r>
      <w:r w:rsidR="0050218F" w:rsidRPr="0021434E">
        <w:rPr>
          <w:lang w:val="es-ES"/>
        </w:rPr>
        <w:instrText>HYPERLINK "mailto:tushar.janardan@inecol.mx"</w:instrText>
      </w:r>
      <w:r w:rsidR="0050218F">
        <w:fldChar w:fldCharType="separate"/>
      </w:r>
      <w:r w:rsidR="0050218F" w:rsidRPr="00082FB6">
        <w:rPr>
          <w:color w:val="0000FF"/>
          <w:u w:val="single"/>
          <w:lang w:val="es-MX"/>
        </w:rPr>
        <w:t>tushar.janardan@inecol.mx</w:t>
      </w:r>
      <w:r w:rsidR="0050218F">
        <w:fldChar w:fldCharType="end"/>
      </w:r>
      <w:r w:rsidR="0050218F" w:rsidRPr="00082FB6">
        <w:rPr>
          <w:lang w:val="es-MX"/>
        </w:rPr>
        <w:t xml:space="preserve"> (T.J.P.), </w:t>
      </w:r>
      <w:r w:rsidR="0050218F">
        <w:fldChar w:fldCharType="begin"/>
      </w:r>
      <w:r w:rsidR="0050218F" w:rsidRPr="0021434E">
        <w:rPr>
          <w:lang w:val="es-ES"/>
        </w:rPr>
        <w:instrText>HYPERLINK "mailto:abraham.vidal@inecol.mx"</w:instrText>
      </w:r>
      <w:r w:rsidR="0050218F">
        <w:fldChar w:fldCharType="separate"/>
      </w:r>
      <w:r w:rsidR="0050218F" w:rsidRPr="00082FB6">
        <w:rPr>
          <w:color w:val="0000FF"/>
          <w:u w:val="single"/>
          <w:lang w:val="es-MX"/>
        </w:rPr>
        <w:t>abraham.vidal@inecol.mx</w:t>
      </w:r>
      <w:r w:rsidR="0050218F">
        <w:fldChar w:fldCharType="end"/>
      </w:r>
      <w:r w:rsidR="0050218F" w:rsidRPr="00082FB6">
        <w:rPr>
          <w:lang w:val="es-MX"/>
        </w:rPr>
        <w:t xml:space="preserve"> (A.V.L.).</w:t>
      </w:r>
    </w:p>
    <w:p w14:paraId="4DED2547" w14:textId="77777777" w:rsidR="0050218F" w:rsidRPr="00082FB6" w:rsidRDefault="0050218F" w:rsidP="0050218F">
      <w:pPr>
        <w:pStyle w:val="MDPI16affiliation"/>
        <w:rPr>
          <w:lang w:val="es-MX"/>
        </w:rPr>
      </w:pPr>
      <w:r>
        <w:rPr>
          <w:lang w:val="es-MX"/>
        </w:rPr>
        <w:t>9</w:t>
      </w:r>
      <w:r>
        <w:rPr>
          <w:lang w:val="es-MX"/>
        </w:rPr>
        <w:tab/>
      </w:r>
      <w:r w:rsidRPr="00835918">
        <w:rPr>
          <w:lang w:val="es-MX"/>
        </w:rPr>
        <w:t>Unidad de Desarrollo e Investigación en Bioterapeúticos (UDIBI), Escuela Nacional de Ciencias Biológicas, Instituto Politécnico Nacional, 11340 Mexico City, Mexico.</w:t>
      </w:r>
    </w:p>
    <w:p w14:paraId="1DBC01AB" w14:textId="77777777" w:rsidR="0050218F" w:rsidRDefault="0050218F" w:rsidP="0050218F">
      <w:pPr>
        <w:pStyle w:val="MDPI16affiliation"/>
      </w:pPr>
      <w:r w:rsidRPr="00065FE0">
        <w:rPr>
          <w:b/>
        </w:rPr>
        <w:t>*</w:t>
      </w:r>
      <w:r w:rsidRPr="00065FE0">
        <w:tab/>
        <w:t xml:space="preserve">Correspondence: </w:t>
      </w:r>
      <w:hyperlink r:id="rId12" w:history="1">
        <w:r w:rsidRPr="00065FE0">
          <w:rPr>
            <w:color w:val="0000FF"/>
            <w:u w:val="single"/>
          </w:rPr>
          <w:t>abraham.vidal@inecol.mx</w:t>
        </w:r>
      </w:hyperlink>
      <w:r w:rsidRPr="00065FE0">
        <w:t xml:space="preserve"> (A.V.L.); </w:t>
      </w:r>
      <w:hyperlink r:id="rId13" w:history="1">
        <w:r w:rsidRPr="00065FE0">
          <w:rPr>
            <w:color w:val="0000FF"/>
            <w:u w:val="single"/>
          </w:rPr>
          <w:t>tushar.janardan@inecol.mx</w:t>
        </w:r>
      </w:hyperlink>
      <w:r w:rsidRPr="00065FE0">
        <w:t xml:space="preserve"> (T.J.P.)</w:t>
      </w:r>
    </w:p>
    <w:p w14:paraId="5098ADAD" w14:textId="77777777" w:rsidR="0050218F" w:rsidRPr="00065FE0" w:rsidRDefault="0050218F" w:rsidP="0050218F">
      <w:pPr>
        <w:pStyle w:val="MDPI16affiliation"/>
      </w:pPr>
      <w:r w:rsidRPr="00C747A9">
        <w:rPr>
          <w:rFonts w:ascii="Segoe UI Symbol" w:hAnsi="Segoe UI Symbol"/>
          <w:b/>
          <w:bCs/>
          <w:highlight w:val="yellow"/>
          <w:vertAlign w:val="superscript"/>
        </w:rPr>
        <w:t>☨</w:t>
      </w:r>
      <w:r w:rsidRPr="00C747A9">
        <w:rPr>
          <w:rFonts w:ascii="Segoe UI Symbol" w:hAnsi="Segoe UI Symbol"/>
          <w:highlight w:val="yellow"/>
          <w:vertAlign w:val="superscript"/>
        </w:rPr>
        <w:t xml:space="preserve"> </w:t>
      </w:r>
      <w:r w:rsidRPr="00C747A9">
        <w:rPr>
          <w:highlight w:val="yellow"/>
        </w:rPr>
        <w:t>S.G.-P and F.H.R contributed equally to this paper to be considered as first authors.</w:t>
      </w:r>
    </w:p>
    <w:p w14:paraId="31B077E0" w14:textId="77777777" w:rsidR="005677BD" w:rsidRDefault="005677BD"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70C48475"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190C7F0E"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4A00BA98"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29520911"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6C70E854"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55AF0126"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696F81B5"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456A88B9"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1B99E4D4"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7D94DD86"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40781867"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5966996E"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6730E96D"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46538DDD"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65955DD3"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0039E29D"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5C4978C2"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6EB3FCCF" w14:textId="77777777" w:rsidR="00D90AF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51F5DC72" w14:textId="77777777" w:rsidR="00D90AF0" w:rsidRPr="00065FE0" w:rsidRDefault="00D90AF0"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244C4068" w14:textId="77777777" w:rsidR="005677BD" w:rsidRPr="00065FE0" w:rsidRDefault="005677BD" w:rsidP="005677BD">
      <w:pPr>
        <w:adjustRightInd w:val="0"/>
        <w:snapToGrid w:val="0"/>
        <w:spacing w:after="0" w:line="200" w:lineRule="atLeast"/>
        <w:ind w:left="426" w:hanging="198"/>
        <w:rPr>
          <w:rFonts w:ascii="Times New Roman" w:eastAsia="Times New Roman" w:hAnsi="Times New Roman" w:cs="Times New Roman"/>
          <w:color w:val="000000"/>
          <w:sz w:val="16"/>
          <w:szCs w:val="18"/>
          <w:lang w:eastAsia="de-DE" w:bidi="en-US"/>
        </w:rPr>
      </w:pPr>
    </w:p>
    <w:p w14:paraId="349992F5" w14:textId="417566F0" w:rsidR="009D7C56" w:rsidRPr="00065FE0" w:rsidRDefault="005677BD" w:rsidP="007431FD">
      <w:pPr>
        <w:tabs>
          <w:tab w:val="left" w:pos="0"/>
        </w:tabs>
        <w:spacing w:after="0" w:line="240" w:lineRule="auto"/>
        <w:ind w:right="-514"/>
        <w:jc w:val="center"/>
        <w:rPr>
          <w:rFonts w:ascii="Times New Roman" w:hAnsi="Times New Roman" w:cs="Times New Roman"/>
          <w:b/>
          <w:u w:val="single"/>
        </w:rPr>
      </w:pPr>
      <w:r w:rsidRPr="00065FE0">
        <w:rPr>
          <w:rFonts w:ascii="Times New Roman" w:hAnsi="Times New Roman" w:cs="Times New Roman"/>
          <w:b/>
          <w:u w:val="single"/>
        </w:rPr>
        <w:lastRenderedPageBreak/>
        <w:t>INDEX</w:t>
      </w:r>
    </w:p>
    <w:sdt>
      <w:sdtPr>
        <w:rPr>
          <w:rFonts w:ascii="Times New Roman" w:hAnsi="Times New Roman" w:cs="Times New Roman"/>
        </w:rPr>
        <w:id w:val="-1334841526"/>
        <w:docPartObj>
          <w:docPartGallery w:val="Table of Contents"/>
          <w:docPartUnique/>
        </w:docPartObj>
      </w:sdtPr>
      <w:sdtEndPr>
        <w:rPr>
          <w:b/>
          <w:bCs/>
        </w:rPr>
      </w:sdtEndPr>
      <w:sdtContent>
        <w:p w14:paraId="61A1D72E" w14:textId="25DD2D94" w:rsidR="005677BD" w:rsidRPr="0062555C" w:rsidRDefault="005677BD" w:rsidP="007431FD">
          <w:pPr>
            <w:rPr>
              <w:rFonts w:ascii="Times New Roman" w:hAnsi="Times New Roman" w:cs="Times New Roman"/>
            </w:rPr>
          </w:pPr>
        </w:p>
        <w:p w14:paraId="4897B547" w14:textId="573360EA" w:rsidR="00587407" w:rsidRPr="0062555C" w:rsidRDefault="005677BD">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r w:rsidRPr="0062555C">
            <w:rPr>
              <w:rFonts w:ascii="Times New Roman" w:hAnsi="Times New Roman" w:cs="Times New Roman"/>
            </w:rPr>
            <w:fldChar w:fldCharType="begin"/>
          </w:r>
          <w:r w:rsidRPr="0062555C">
            <w:rPr>
              <w:rFonts w:ascii="Times New Roman" w:hAnsi="Times New Roman" w:cs="Times New Roman"/>
            </w:rPr>
            <w:instrText xml:space="preserve"> TOC \o "1-3" \h \z \u </w:instrText>
          </w:r>
          <w:r w:rsidRPr="0062555C">
            <w:rPr>
              <w:rFonts w:ascii="Times New Roman" w:hAnsi="Times New Roman" w:cs="Times New Roman"/>
            </w:rPr>
            <w:fldChar w:fldCharType="separate"/>
          </w:r>
          <w:hyperlink w:anchor="_Toc199426736" w:history="1">
            <w:r w:rsidR="00587407" w:rsidRPr="0062555C">
              <w:rPr>
                <w:rStyle w:val="Hyperlink"/>
                <w:rFonts w:ascii="Times New Roman" w:hAnsi="Times New Roman" w:cs="Times New Roman"/>
                <w:noProof/>
              </w:rPr>
              <w:t>1</w:t>
            </w:r>
            <w:r w:rsidR="00587407" w:rsidRPr="0062555C">
              <w:rPr>
                <w:rFonts w:ascii="Times New Roman" w:hAnsi="Times New Roman" w:cs="Times New Roman"/>
                <w:noProof/>
                <w:kern w:val="2"/>
                <w:sz w:val="24"/>
                <w:szCs w:val="24"/>
                <w:lang w:eastAsia="en-US"/>
                <w14:ligatures w14:val="standardContextual"/>
              </w:rPr>
              <w:tab/>
            </w:r>
            <w:r w:rsidR="00587407" w:rsidRPr="0062555C">
              <w:rPr>
                <w:rStyle w:val="Hyperlink"/>
                <w:rFonts w:ascii="Times New Roman" w:hAnsi="Times New Roman" w:cs="Times New Roman"/>
                <w:noProof/>
              </w:rPr>
              <w:t>General Methods</w:t>
            </w:r>
            <w:r w:rsidR="00587407" w:rsidRPr="0062555C">
              <w:rPr>
                <w:rFonts w:ascii="Times New Roman" w:hAnsi="Times New Roman" w:cs="Times New Roman"/>
                <w:noProof/>
                <w:webHidden/>
              </w:rPr>
              <w:tab/>
            </w:r>
            <w:r w:rsidR="00587407" w:rsidRPr="0062555C">
              <w:rPr>
                <w:rFonts w:ascii="Times New Roman" w:hAnsi="Times New Roman" w:cs="Times New Roman"/>
                <w:noProof/>
                <w:webHidden/>
              </w:rPr>
              <w:fldChar w:fldCharType="begin"/>
            </w:r>
            <w:r w:rsidR="00587407" w:rsidRPr="0062555C">
              <w:rPr>
                <w:rFonts w:ascii="Times New Roman" w:hAnsi="Times New Roman" w:cs="Times New Roman"/>
                <w:noProof/>
                <w:webHidden/>
              </w:rPr>
              <w:instrText xml:space="preserve"> PAGEREF _Toc199426736 \h </w:instrText>
            </w:r>
            <w:r w:rsidR="00587407" w:rsidRPr="0062555C">
              <w:rPr>
                <w:rFonts w:ascii="Times New Roman" w:hAnsi="Times New Roman" w:cs="Times New Roman"/>
                <w:noProof/>
                <w:webHidden/>
              </w:rPr>
            </w:r>
            <w:r w:rsidR="00587407" w:rsidRPr="0062555C">
              <w:rPr>
                <w:rFonts w:ascii="Times New Roman" w:hAnsi="Times New Roman" w:cs="Times New Roman"/>
                <w:noProof/>
                <w:webHidden/>
              </w:rPr>
              <w:fldChar w:fldCharType="separate"/>
            </w:r>
            <w:r w:rsidR="00587407" w:rsidRPr="0062555C">
              <w:rPr>
                <w:rFonts w:ascii="Times New Roman" w:hAnsi="Times New Roman" w:cs="Times New Roman"/>
                <w:noProof/>
                <w:webHidden/>
              </w:rPr>
              <w:t>3</w:t>
            </w:r>
            <w:r w:rsidR="00587407" w:rsidRPr="0062555C">
              <w:rPr>
                <w:rFonts w:ascii="Times New Roman" w:hAnsi="Times New Roman" w:cs="Times New Roman"/>
                <w:noProof/>
                <w:webHidden/>
              </w:rPr>
              <w:fldChar w:fldCharType="end"/>
            </w:r>
          </w:hyperlink>
        </w:p>
        <w:p w14:paraId="7F1231D1" w14:textId="21FEFA9A" w:rsidR="00587407" w:rsidRPr="0062555C" w:rsidRDefault="00587407">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hyperlink w:anchor="_Toc199426737" w:history="1">
            <w:r w:rsidRPr="0062555C">
              <w:rPr>
                <w:rStyle w:val="Hyperlink"/>
                <w:rFonts w:ascii="Times New Roman" w:hAnsi="Times New Roman" w:cs="Times New Roman"/>
                <w:noProof/>
              </w:rPr>
              <w:t>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Synthesis and Characterization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_Toc199426737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4</w:t>
            </w:r>
            <w:r w:rsidRPr="0062555C">
              <w:rPr>
                <w:rFonts w:ascii="Times New Roman" w:hAnsi="Times New Roman" w:cs="Times New Roman"/>
                <w:noProof/>
                <w:webHidden/>
              </w:rPr>
              <w:fldChar w:fldCharType="end"/>
            </w:r>
          </w:hyperlink>
        </w:p>
        <w:p w14:paraId="780E14A3" w14:textId="5FA86759"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38" w:history="1">
            <w:r w:rsidRPr="0062555C">
              <w:rPr>
                <w:rStyle w:val="Hyperlink"/>
                <w:rFonts w:ascii="Times New Roman" w:hAnsi="Times New Roman" w:cs="Times New Roman"/>
                <w:noProof/>
              </w:rPr>
              <w:t>2.1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Synthesis of methyl (</w:t>
            </w:r>
            <w:r w:rsidRPr="0062555C">
              <w:rPr>
                <w:rStyle w:val="Hyperlink"/>
                <w:rFonts w:ascii="Times New Roman" w:hAnsi="Times New Roman" w:cs="Times New Roman"/>
                <w:i/>
                <w:iCs/>
                <w:noProof/>
              </w:rPr>
              <w:t>S</w:t>
            </w:r>
            <w:r w:rsidRPr="0062555C">
              <w:rPr>
                <w:rStyle w:val="Hyperlink"/>
                <w:rFonts w:ascii="Times New Roman" w:hAnsi="Times New Roman" w:cs="Times New Roman"/>
                <w:noProof/>
              </w:rPr>
              <w:t>)-(1</w:t>
            </w:r>
            <w:r w:rsidRPr="0062555C">
              <w:rPr>
                <w:rStyle w:val="Hyperlink"/>
                <w:rFonts w:ascii="Times New Roman" w:hAnsi="Times New Roman" w:cs="Times New Roman"/>
                <w:i/>
                <w:iCs/>
                <w:noProof/>
              </w:rPr>
              <w:t>H</w:t>
            </w:r>
            <w:r w:rsidRPr="0062555C">
              <w:rPr>
                <w:rStyle w:val="Hyperlink"/>
                <w:rFonts w:ascii="Times New Roman" w:hAnsi="Times New Roman" w:cs="Times New Roman"/>
                <w:noProof/>
              </w:rPr>
              <w:t>-indol-3-yl)-2-(isoindolin-2-yl) propanoate (1)</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_Toc199426738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4</w:t>
            </w:r>
            <w:r w:rsidRPr="0062555C">
              <w:rPr>
                <w:rFonts w:ascii="Times New Roman" w:hAnsi="Times New Roman" w:cs="Times New Roman"/>
                <w:noProof/>
                <w:webHidden/>
              </w:rPr>
              <w:fldChar w:fldCharType="end"/>
            </w:r>
          </w:hyperlink>
        </w:p>
        <w:p w14:paraId="4F3A98D7" w14:textId="404244BF"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39" w:history="1">
            <w:r w:rsidRPr="0062555C">
              <w:rPr>
                <w:rStyle w:val="Hyperlink"/>
                <w:rFonts w:ascii="Times New Roman" w:eastAsia="Times New Roman" w:hAnsi="Times New Roman" w:cs="Times New Roman"/>
                <w:bCs/>
                <w:noProof/>
              </w:rPr>
              <w:t>2.2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Synthesis of methyl (</w:t>
            </w:r>
            <w:r w:rsidRPr="0062555C">
              <w:rPr>
                <w:rStyle w:val="Hyperlink"/>
                <w:rFonts w:ascii="Times New Roman" w:hAnsi="Times New Roman" w:cs="Times New Roman"/>
                <w:i/>
                <w:iCs/>
                <w:noProof/>
              </w:rPr>
              <w:t>S</w:t>
            </w:r>
            <w:r w:rsidRPr="0062555C">
              <w:rPr>
                <w:rStyle w:val="Hyperlink"/>
                <w:rFonts w:ascii="Times New Roman" w:hAnsi="Times New Roman" w:cs="Times New Roman"/>
                <w:noProof/>
              </w:rPr>
              <w:t xml:space="preserve">)-3-(4-hydroxyphenyl)-2-(isoindolin-2-yl) propanoate </w:t>
            </w:r>
            <w:r w:rsidRPr="0062555C">
              <w:rPr>
                <w:rStyle w:val="Hyperlink"/>
                <w:rFonts w:ascii="Times New Roman" w:eastAsia="Times New Roman" w:hAnsi="Times New Roman" w:cs="Times New Roman"/>
                <w:bCs/>
                <w:noProof/>
              </w:rPr>
              <w:t>(2)</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_Toc199426739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4</w:t>
            </w:r>
            <w:r w:rsidRPr="0062555C">
              <w:rPr>
                <w:rFonts w:ascii="Times New Roman" w:hAnsi="Times New Roman" w:cs="Times New Roman"/>
                <w:noProof/>
                <w:webHidden/>
              </w:rPr>
              <w:fldChar w:fldCharType="end"/>
            </w:r>
          </w:hyperlink>
        </w:p>
        <w:p w14:paraId="1606520A" w14:textId="630D6BEC" w:rsidR="00587407" w:rsidRPr="0062555C" w:rsidRDefault="00587407">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hyperlink w:anchor="_Toc199426740" w:history="1">
            <w:r w:rsidRPr="0062555C">
              <w:rPr>
                <w:rStyle w:val="Hyperlink"/>
                <w:rFonts w:ascii="Times New Roman" w:hAnsi="Times New Roman" w:cs="Times New Roman"/>
                <w:noProof/>
              </w:rPr>
              <w:t>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Biological assay</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_Toc199426740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6</w:t>
            </w:r>
            <w:r w:rsidRPr="0062555C">
              <w:rPr>
                <w:rFonts w:ascii="Times New Roman" w:hAnsi="Times New Roman" w:cs="Times New Roman"/>
                <w:noProof/>
                <w:webHidden/>
              </w:rPr>
              <w:fldChar w:fldCharType="end"/>
            </w:r>
          </w:hyperlink>
        </w:p>
        <w:p w14:paraId="0B860C9F" w14:textId="549AF4D4" w:rsidR="00587407" w:rsidRPr="0062555C" w:rsidRDefault="00587407">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hyperlink w:anchor="_Toc199426741" w:history="1">
            <w:r w:rsidRPr="0062555C">
              <w:rPr>
                <w:rStyle w:val="Hyperlink"/>
                <w:rFonts w:ascii="Times New Roman" w:hAnsi="Times New Roman" w:cs="Times New Roman"/>
                <w:noProof/>
              </w:rPr>
              <w:t>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ADMET Profiling of Selected Schiff Base Derivatives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_Toc199426741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7</w:t>
            </w:r>
            <w:r w:rsidRPr="0062555C">
              <w:rPr>
                <w:rFonts w:ascii="Times New Roman" w:hAnsi="Times New Roman" w:cs="Times New Roman"/>
                <w:noProof/>
                <w:webHidden/>
              </w:rPr>
              <w:fldChar w:fldCharType="end"/>
            </w:r>
          </w:hyperlink>
        </w:p>
        <w:p w14:paraId="309EF213" w14:textId="72829A6D" w:rsidR="00587407" w:rsidRPr="0062555C" w:rsidRDefault="00587407">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hyperlink w:anchor="_Toc199426742" w:history="1">
            <w:r w:rsidRPr="0062555C">
              <w:rPr>
                <w:rStyle w:val="Hyperlink"/>
                <w:rFonts w:ascii="Times New Roman" w:hAnsi="Times New Roman" w:cs="Times New Roman"/>
                <w:noProof/>
              </w:rPr>
              <w:t>5</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Plots, Statistical Analysis and Visualizations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_Toc199426742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13</w:t>
            </w:r>
            <w:r w:rsidRPr="0062555C">
              <w:rPr>
                <w:rFonts w:ascii="Times New Roman" w:hAnsi="Times New Roman" w:cs="Times New Roman"/>
                <w:noProof/>
                <w:webHidden/>
              </w:rPr>
              <w:fldChar w:fldCharType="end"/>
            </w:r>
          </w:hyperlink>
        </w:p>
        <w:p w14:paraId="5CB99339" w14:textId="5CD333B2"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43" w:history="1">
            <w:r w:rsidRPr="0062555C">
              <w:rPr>
                <w:rStyle w:val="Hyperlink"/>
                <w:rFonts w:ascii="Times New Roman" w:hAnsi="Times New Roman" w:cs="Times New Roman"/>
                <w:noProof/>
              </w:rPr>
              <w:t>5.1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Descriptive Statistics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_Toc199426743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13</w:t>
            </w:r>
            <w:r w:rsidRPr="0062555C">
              <w:rPr>
                <w:rFonts w:ascii="Times New Roman" w:hAnsi="Times New Roman" w:cs="Times New Roman"/>
                <w:noProof/>
                <w:webHidden/>
              </w:rPr>
              <w:fldChar w:fldCharType="end"/>
            </w:r>
          </w:hyperlink>
        </w:p>
        <w:p w14:paraId="5651E71E" w14:textId="023D5D23" w:rsidR="00587407" w:rsidRPr="0062555C" w:rsidRDefault="00587407">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hyperlink w:anchor="_Toc199426744" w:history="1">
            <w:r w:rsidRPr="0062555C">
              <w:rPr>
                <w:rStyle w:val="Hyperlink"/>
                <w:rFonts w:ascii="Times New Roman" w:hAnsi="Times New Roman" w:cs="Times New Roman"/>
                <w:noProof/>
              </w:rPr>
              <w:t>6</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Structure-Activity Relationship (SAR)</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_Toc199426744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21</w:t>
            </w:r>
            <w:r w:rsidRPr="0062555C">
              <w:rPr>
                <w:rFonts w:ascii="Times New Roman" w:hAnsi="Times New Roman" w:cs="Times New Roman"/>
                <w:noProof/>
                <w:webHidden/>
              </w:rPr>
              <w:fldChar w:fldCharType="end"/>
            </w:r>
          </w:hyperlink>
        </w:p>
        <w:p w14:paraId="1F1C5BF1" w14:textId="12F9C226"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45" w:history="1">
            <w:r w:rsidRPr="0062555C">
              <w:rPr>
                <w:rStyle w:val="Hyperlink"/>
                <w:rFonts w:ascii="Times New Roman" w:hAnsi="Times New Roman" w:cs="Times New Roman"/>
                <w:b/>
                <w:bCs/>
                <w:noProof/>
              </w:rPr>
              <w:t>6.1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Aromatic Preference and Workflow</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_Toc199426745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21</w:t>
            </w:r>
            <w:r w:rsidRPr="0062555C">
              <w:rPr>
                <w:rFonts w:ascii="Times New Roman" w:hAnsi="Times New Roman" w:cs="Times New Roman"/>
                <w:noProof/>
                <w:webHidden/>
              </w:rPr>
              <w:fldChar w:fldCharType="end"/>
            </w:r>
          </w:hyperlink>
        </w:p>
        <w:p w14:paraId="1DFFF190" w14:textId="28ABBCD6"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46" w:history="1">
            <w:r w:rsidRPr="0062555C">
              <w:rPr>
                <w:rStyle w:val="Hyperlink"/>
                <w:rFonts w:ascii="Times New Roman" w:hAnsi="Times New Roman" w:cs="Times New Roman"/>
                <w:noProof/>
              </w:rPr>
              <w:t>6.1.1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Library Design: Sixteen Isoindoline Esters Derived from Natural Amino Acids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_Toc199426746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21</w:t>
            </w:r>
            <w:r w:rsidRPr="0062555C">
              <w:rPr>
                <w:rFonts w:ascii="Times New Roman" w:hAnsi="Times New Roman" w:cs="Times New Roman"/>
                <w:noProof/>
                <w:webHidden/>
              </w:rPr>
              <w:fldChar w:fldCharType="end"/>
            </w:r>
          </w:hyperlink>
        </w:p>
        <w:p w14:paraId="7EE2DFF3" w14:textId="461BAF00"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47" w:history="1">
            <w:r w:rsidRPr="0062555C">
              <w:rPr>
                <w:rStyle w:val="Hyperlink"/>
                <w:rFonts w:ascii="Times New Roman" w:hAnsi="Times New Roman" w:cs="Times New Roman"/>
                <w:noProof/>
              </w:rPr>
              <w:t>6.1.2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Grouping Compounds by Side Chain Type</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_Toc199426747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21</w:t>
            </w:r>
            <w:r w:rsidRPr="0062555C">
              <w:rPr>
                <w:rFonts w:ascii="Times New Roman" w:hAnsi="Times New Roman" w:cs="Times New Roman"/>
                <w:noProof/>
                <w:webHidden/>
              </w:rPr>
              <w:fldChar w:fldCharType="end"/>
            </w:r>
          </w:hyperlink>
        </w:p>
        <w:p w14:paraId="60B667C9" w14:textId="4B6A310E"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48" w:history="1">
            <w:r w:rsidRPr="0062555C">
              <w:rPr>
                <w:rStyle w:val="Hyperlink"/>
                <w:rFonts w:ascii="Times New Roman" w:hAnsi="Times New Roman" w:cs="Times New Roman"/>
                <w:noProof/>
              </w:rPr>
              <w:t>6.1.3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Summary of Core Properties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_Toc199426748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22</w:t>
            </w:r>
            <w:r w:rsidRPr="0062555C">
              <w:rPr>
                <w:rFonts w:ascii="Times New Roman" w:hAnsi="Times New Roman" w:cs="Times New Roman"/>
                <w:noProof/>
                <w:webHidden/>
              </w:rPr>
              <w:fldChar w:fldCharType="end"/>
            </w:r>
          </w:hyperlink>
        </w:p>
        <w:p w14:paraId="50B86342" w14:textId="714727CA"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49" w:history="1">
            <w:r w:rsidRPr="0062555C">
              <w:rPr>
                <w:rStyle w:val="Hyperlink"/>
                <w:rFonts w:ascii="Times New Roman" w:hAnsi="Times New Roman" w:cs="Times New Roman"/>
                <w:b/>
                <w:bCs/>
                <w:noProof/>
              </w:rPr>
              <w:t>6.2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Physicochemical and ADMET Filtering</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_Toc199426749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23</w:t>
            </w:r>
            <w:r w:rsidRPr="0062555C">
              <w:rPr>
                <w:rFonts w:ascii="Times New Roman" w:hAnsi="Times New Roman" w:cs="Times New Roman"/>
                <w:noProof/>
                <w:webHidden/>
              </w:rPr>
              <w:fldChar w:fldCharType="end"/>
            </w:r>
          </w:hyperlink>
        </w:p>
        <w:p w14:paraId="4CC4C1A1" w14:textId="2F979799"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0" w:history="1">
            <w:r w:rsidRPr="0062555C">
              <w:rPr>
                <w:rStyle w:val="Hyperlink"/>
                <w:rFonts w:ascii="Times New Roman" w:hAnsi="Times New Roman" w:cs="Times New Roman"/>
                <w:noProof/>
              </w:rPr>
              <w:t>6.2.1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Physicochemical Space and CNS Compatibility</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_Toc199426750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23</w:t>
            </w:r>
            <w:r w:rsidRPr="0062555C">
              <w:rPr>
                <w:rFonts w:ascii="Times New Roman" w:hAnsi="Times New Roman" w:cs="Times New Roman"/>
                <w:noProof/>
                <w:webHidden/>
              </w:rPr>
              <w:fldChar w:fldCharType="end"/>
            </w:r>
          </w:hyperlink>
        </w:p>
        <w:p w14:paraId="3345117C" w14:textId="695A361A"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1" w:history="1">
            <w:r w:rsidRPr="0062555C">
              <w:rPr>
                <w:rStyle w:val="Hyperlink"/>
                <w:rFonts w:ascii="Times New Roman" w:hAnsi="Times New Roman" w:cs="Times New Roman"/>
                <w:noProof/>
              </w:rPr>
              <w:t>6.2.2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Hydrogen Bonding Profiles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_Toc199426751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24</w:t>
            </w:r>
            <w:r w:rsidRPr="0062555C">
              <w:rPr>
                <w:rFonts w:ascii="Times New Roman" w:hAnsi="Times New Roman" w:cs="Times New Roman"/>
                <w:noProof/>
                <w:webHidden/>
              </w:rPr>
              <w:fldChar w:fldCharType="end"/>
            </w:r>
          </w:hyperlink>
        </w:p>
        <w:p w14:paraId="7BBC8D46" w14:textId="2A1A2357"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2" w:history="1">
            <w:r w:rsidRPr="0062555C">
              <w:rPr>
                <w:rStyle w:val="Hyperlink"/>
                <w:rFonts w:ascii="Times New Roman" w:hAnsi="Times New Roman" w:cs="Times New Roman"/>
                <w:noProof/>
              </w:rPr>
              <w:t>6.2.3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ADMET Prediction Results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_Toc199426752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24</w:t>
            </w:r>
            <w:r w:rsidRPr="0062555C">
              <w:rPr>
                <w:rFonts w:ascii="Times New Roman" w:hAnsi="Times New Roman" w:cs="Times New Roman"/>
                <w:noProof/>
                <w:webHidden/>
              </w:rPr>
              <w:fldChar w:fldCharType="end"/>
            </w:r>
          </w:hyperlink>
        </w:p>
        <w:p w14:paraId="0B849E5C" w14:textId="04208D09"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3" w:history="1">
            <w:r w:rsidRPr="0062555C">
              <w:rPr>
                <w:rStyle w:val="Hyperlink"/>
                <w:rFonts w:ascii="Times New Roman" w:hAnsi="Times New Roman" w:cs="Times New Roman"/>
                <w:noProof/>
              </w:rPr>
              <w:t>6.2.4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Conclusion of Filtering Step</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_Toc199426753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24</w:t>
            </w:r>
            <w:r w:rsidRPr="0062555C">
              <w:rPr>
                <w:rFonts w:ascii="Times New Roman" w:hAnsi="Times New Roman" w:cs="Times New Roman"/>
                <w:noProof/>
                <w:webHidden/>
              </w:rPr>
              <w:fldChar w:fldCharType="end"/>
            </w:r>
          </w:hyperlink>
        </w:p>
        <w:p w14:paraId="79BBE07F" w14:textId="234DA328"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54" w:history="1">
            <w:r w:rsidRPr="0062555C">
              <w:rPr>
                <w:rStyle w:val="Hyperlink"/>
                <w:rFonts w:ascii="Times New Roman" w:hAnsi="Times New Roman" w:cs="Times New Roman"/>
                <w:b/>
                <w:bCs/>
                <w:noProof/>
              </w:rPr>
              <w:t>6.3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Molecular Docking &amp; π–π Interaction Profile</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_Toc199426754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25</w:t>
            </w:r>
            <w:r w:rsidRPr="0062555C">
              <w:rPr>
                <w:rFonts w:ascii="Times New Roman" w:hAnsi="Times New Roman" w:cs="Times New Roman"/>
                <w:noProof/>
                <w:webHidden/>
              </w:rPr>
              <w:fldChar w:fldCharType="end"/>
            </w:r>
          </w:hyperlink>
        </w:p>
        <w:p w14:paraId="37A0675E" w14:textId="375A874E"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5" w:history="1">
            <w:r w:rsidRPr="0062555C">
              <w:rPr>
                <w:rStyle w:val="Hyperlink"/>
                <w:rFonts w:ascii="Times New Roman" w:hAnsi="Times New Roman" w:cs="Times New Roman"/>
                <w:noProof/>
              </w:rPr>
              <w:t>6.3.1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Docking Score Comparison and Prioritization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_Toc199426755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25</w:t>
            </w:r>
            <w:r w:rsidRPr="0062555C">
              <w:rPr>
                <w:rFonts w:ascii="Times New Roman" w:hAnsi="Times New Roman" w:cs="Times New Roman"/>
                <w:noProof/>
                <w:webHidden/>
              </w:rPr>
              <w:fldChar w:fldCharType="end"/>
            </w:r>
          </w:hyperlink>
        </w:p>
        <w:p w14:paraId="1FAA44F6" w14:textId="36576E60"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6" w:history="1">
            <w:r w:rsidRPr="0062555C">
              <w:rPr>
                <w:rStyle w:val="Hyperlink"/>
                <w:rFonts w:ascii="Times New Roman" w:hAnsi="Times New Roman" w:cs="Times New Roman"/>
                <w:noProof/>
              </w:rPr>
              <w:t>6.3.2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Interaction Mapping and Pose Analysis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_Toc199426756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25</w:t>
            </w:r>
            <w:r w:rsidRPr="0062555C">
              <w:rPr>
                <w:rFonts w:ascii="Times New Roman" w:hAnsi="Times New Roman" w:cs="Times New Roman"/>
                <w:noProof/>
                <w:webHidden/>
              </w:rPr>
              <w:fldChar w:fldCharType="end"/>
            </w:r>
          </w:hyperlink>
        </w:p>
        <w:p w14:paraId="6224539A" w14:textId="1B83CD5E"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7" w:history="1">
            <w:r w:rsidRPr="0062555C">
              <w:rPr>
                <w:rStyle w:val="Hyperlink"/>
                <w:rFonts w:ascii="Times New Roman" w:hAnsi="Times New Roman" w:cs="Times New Roman"/>
                <w:noProof/>
              </w:rPr>
              <w:t>6.3.3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Receptor Environment and Aromatic Selectivity</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_Toc199426757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25</w:t>
            </w:r>
            <w:r w:rsidRPr="0062555C">
              <w:rPr>
                <w:rFonts w:ascii="Times New Roman" w:hAnsi="Times New Roman" w:cs="Times New Roman"/>
                <w:noProof/>
                <w:webHidden/>
              </w:rPr>
              <w:fldChar w:fldCharType="end"/>
            </w:r>
          </w:hyperlink>
        </w:p>
        <w:p w14:paraId="26A82AAA" w14:textId="24511287"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58" w:history="1">
            <w:r w:rsidRPr="0062555C">
              <w:rPr>
                <w:rStyle w:val="Hyperlink"/>
                <w:rFonts w:ascii="Times New Roman" w:hAnsi="Times New Roman" w:cs="Times New Roman"/>
                <w:noProof/>
              </w:rPr>
              <w:t>6.3.4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Conclusion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_Toc199426758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25</w:t>
            </w:r>
            <w:r w:rsidRPr="0062555C">
              <w:rPr>
                <w:rFonts w:ascii="Times New Roman" w:hAnsi="Times New Roman" w:cs="Times New Roman"/>
                <w:noProof/>
                <w:webHidden/>
              </w:rPr>
              <w:fldChar w:fldCharType="end"/>
            </w:r>
          </w:hyperlink>
        </w:p>
        <w:p w14:paraId="1C798EEE" w14:textId="1ED51F5A"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59" w:history="1">
            <w:r w:rsidRPr="0062555C">
              <w:rPr>
                <w:rStyle w:val="Hyperlink"/>
                <w:rFonts w:ascii="Times New Roman" w:hAnsi="Times New Roman" w:cs="Times New Roman"/>
                <w:b/>
                <w:bCs/>
                <w:noProof/>
              </w:rPr>
              <w:t>6.4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Binding Energy Landscape (Metadynamics)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_Toc199426759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26</w:t>
            </w:r>
            <w:r w:rsidRPr="0062555C">
              <w:rPr>
                <w:rFonts w:ascii="Times New Roman" w:hAnsi="Times New Roman" w:cs="Times New Roman"/>
                <w:noProof/>
                <w:webHidden/>
              </w:rPr>
              <w:fldChar w:fldCharType="end"/>
            </w:r>
          </w:hyperlink>
        </w:p>
        <w:p w14:paraId="7E6D0BC3" w14:textId="1C18FE9D"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0" w:history="1">
            <w:r w:rsidRPr="0062555C">
              <w:rPr>
                <w:rStyle w:val="Hyperlink"/>
                <w:rFonts w:ascii="Times New Roman" w:hAnsi="Times New Roman" w:cs="Times New Roman"/>
                <w:noProof/>
              </w:rPr>
              <w:t>6.4.1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Objective and Rationale</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_Toc199426760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26</w:t>
            </w:r>
            <w:r w:rsidRPr="0062555C">
              <w:rPr>
                <w:rFonts w:ascii="Times New Roman" w:hAnsi="Times New Roman" w:cs="Times New Roman"/>
                <w:noProof/>
                <w:webHidden/>
              </w:rPr>
              <w:fldChar w:fldCharType="end"/>
            </w:r>
          </w:hyperlink>
        </w:p>
        <w:p w14:paraId="386926BC" w14:textId="4EEA660F"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1" w:history="1">
            <w:r w:rsidRPr="0062555C">
              <w:rPr>
                <w:rStyle w:val="Hyperlink"/>
                <w:rFonts w:ascii="Times New Roman" w:hAnsi="Times New Roman" w:cs="Times New Roman"/>
                <w:noProof/>
              </w:rPr>
              <w:t>6.4.2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Simulation Protocol</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_Toc199426761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26</w:t>
            </w:r>
            <w:r w:rsidRPr="0062555C">
              <w:rPr>
                <w:rFonts w:ascii="Times New Roman" w:hAnsi="Times New Roman" w:cs="Times New Roman"/>
                <w:noProof/>
                <w:webHidden/>
              </w:rPr>
              <w:fldChar w:fldCharType="end"/>
            </w:r>
          </w:hyperlink>
        </w:p>
        <w:p w14:paraId="34FFCD8B" w14:textId="64171393"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2" w:history="1">
            <w:r w:rsidRPr="0062555C">
              <w:rPr>
                <w:rStyle w:val="Hyperlink"/>
                <w:rFonts w:ascii="Times New Roman" w:hAnsi="Times New Roman" w:cs="Times New Roman"/>
                <w:noProof/>
              </w:rPr>
              <w:t>6.4.3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Free Energy Profiles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_Toc199426762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27</w:t>
            </w:r>
            <w:r w:rsidRPr="0062555C">
              <w:rPr>
                <w:rFonts w:ascii="Times New Roman" w:hAnsi="Times New Roman" w:cs="Times New Roman"/>
                <w:noProof/>
                <w:webHidden/>
              </w:rPr>
              <w:fldChar w:fldCharType="end"/>
            </w:r>
          </w:hyperlink>
        </w:p>
        <w:p w14:paraId="547D1FC4" w14:textId="0CE3E07B"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3" w:history="1">
            <w:r w:rsidRPr="0062555C">
              <w:rPr>
                <w:rStyle w:val="Hyperlink"/>
                <w:rFonts w:ascii="Times New Roman" w:hAnsi="Times New Roman" w:cs="Times New Roman"/>
                <w:noProof/>
              </w:rPr>
              <w:t>6.4.4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Interpretation of Binding Modes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_Toc199426763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27</w:t>
            </w:r>
            <w:r w:rsidRPr="0062555C">
              <w:rPr>
                <w:rFonts w:ascii="Times New Roman" w:hAnsi="Times New Roman" w:cs="Times New Roman"/>
                <w:noProof/>
                <w:webHidden/>
              </w:rPr>
              <w:fldChar w:fldCharType="end"/>
            </w:r>
          </w:hyperlink>
        </w:p>
        <w:p w14:paraId="5F388CF9" w14:textId="4E0C8FA3"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4" w:history="1">
            <w:r w:rsidRPr="0062555C">
              <w:rPr>
                <w:rStyle w:val="Hyperlink"/>
                <w:rFonts w:ascii="Times New Roman" w:hAnsi="Times New Roman" w:cs="Times New Roman"/>
                <w:noProof/>
              </w:rPr>
              <w:t>6.4.5</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Summary</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_Toc199426764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27</w:t>
            </w:r>
            <w:r w:rsidRPr="0062555C">
              <w:rPr>
                <w:rFonts w:ascii="Times New Roman" w:hAnsi="Times New Roman" w:cs="Times New Roman"/>
                <w:noProof/>
                <w:webHidden/>
              </w:rPr>
              <w:fldChar w:fldCharType="end"/>
            </w:r>
          </w:hyperlink>
        </w:p>
        <w:p w14:paraId="17852671" w14:textId="473F84A3"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65" w:history="1">
            <w:r w:rsidRPr="0062555C">
              <w:rPr>
                <w:rStyle w:val="Hyperlink"/>
                <w:rFonts w:ascii="Times New Roman" w:hAnsi="Times New Roman" w:cs="Times New Roman"/>
                <w:b/>
                <w:bCs/>
                <w:noProof/>
              </w:rPr>
              <w:t>6.5</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Receptor-Specific Interpretation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_Toc199426765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28</w:t>
            </w:r>
            <w:r w:rsidRPr="0062555C">
              <w:rPr>
                <w:rFonts w:ascii="Times New Roman" w:hAnsi="Times New Roman" w:cs="Times New Roman"/>
                <w:noProof/>
                <w:webHidden/>
              </w:rPr>
              <w:fldChar w:fldCharType="end"/>
            </w:r>
          </w:hyperlink>
        </w:p>
        <w:p w14:paraId="6A208BCC" w14:textId="0F509BA6"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6" w:history="1">
            <w:r w:rsidRPr="0062555C">
              <w:rPr>
                <w:rStyle w:val="Hyperlink"/>
                <w:rFonts w:ascii="Times New Roman" w:hAnsi="Times New Roman" w:cs="Times New Roman"/>
                <w:noProof/>
              </w:rPr>
              <w:t>6.5.1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GABA</w:t>
            </w:r>
            <w:r w:rsidRPr="0062555C">
              <w:rPr>
                <w:rStyle w:val="Hyperlink"/>
                <w:rFonts w:ascii="Times New Roman" w:hAnsi="Times New Roman" w:cs="Times New Roman"/>
                <w:noProof/>
                <w:vertAlign w:val="subscript"/>
              </w:rPr>
              <w:t>A</w:t>
            </w:r>
            <w:r w:rsidRPr="0062555C">
              <w:rPr>
                <w:rStyle w:val="Hyperlink"/>
                <w:rFonts w:ascii="Times New Roman" w:hAnsi="Times New Roman" w:cs="Times New Roman"/>
                <w:noProof/>
              </w:rPr>
              <w:t xml:space="preserve"> Receptor Binding Site Characteristics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_Toc199426766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28</w:t>
            </w:r>
            <w:r w:rsidRPr="0062555C">
              <w:rPr>
                <w:rFonts w:ascii="Times New Roman" w:hAnsi="Times New Roman" w:cs="Times New Roman"/>
                <w:noProof/>
                <w:webHidden/>
              </w:rPr>
              <w:fldChar w:fldCharType="end"/>
            </w:r>
          </w:hyperlink>
        </w:p>
        <w:p w14:paraId="7DA00DA3" w14:textId="5440B4C4"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7" w:history="1">
            <w:r w:rsidRPr="0062555C">
              <w:rPr>
                <w:rStyle w:val="Hyperlink"/>
                <w:rFonts w:ascii="Times New Roman" w:hAnsi="Times New Roman" w:cs="Times New Roman"/>
                <w:noProof/>
              </w:rPr>
              <w:t>6.5.2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Implications for Ligand Design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_Toc199426767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28</w:t>
            </w:r>
            <w:r w:rsidRPr="0062555C">
              <w:rPr>
                <w:rFonts w:ascii="Times New Roman" w:hAnsi="Times New Roman" w:cs="Times New Roman"/>
                <w:noProof/>
                <w:webHidden/>
              </w:rPr>
              <w:fldChar w:fldCharType="end"/>
            </w:r>
          </w:hyperlink>
        </w:p>
        <w:p w14:paraId="00382213" w14:textId="203210C4"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8" w:history="1">
            <w:r w:rsidRPr="0062555C">
              <w:rPr>
                <w:rStyle w:val="Hyperlink"/>
                <w:rFonts w:ascii="Times New Roman" w:hAnsi="Times New Roman" w:cs="Times New Roman"/>
                <w:noProof/>
              </w:rPr>
              <w:t>6.5.3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Mimicry of Classical Benzodiazepines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_Toc199426768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28</w:t>
            </w:r>
            <w:r w:rsidRPr="0062555C">
              <w:rPr>
                <w:rFonts w:ascii="Times New Roman" w:hAnsi="Times New Roman" w:cs="Times New Roman"/>
                <w:noProof/>
                <w:webHidden/>
              </w:rPr>
              <w:fldChar w:fldCharType="end"/>
            </w:r>
          </w:hyperlink>
        </w:p>
        <w:p w14:paraId="047FF01F" w14:textId="749DBE97"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69" w:history="1">
            <w:r w:rsidRPr="0062555C">
              <w:rPr>
                <w:rStyle w:val="Hyperlink"/>
                <w:rFonts w:ascii="Times New Roman" w:hAnsi="Times New Roman" w:cs="Times New Roman"/>
                <w:noProof/>
              </w:rPr>
              <w:t>6.5.4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Conclusion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_Toc199426769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29</w:t>
            </w:r>
            <w:r w:rsidRPr="0062555C">
              <w:rPr>
                <w:rFonts w:ascii="Times New Roman" w:hAnsi="Times New Roman" w:cs="Times New Roman"/>
                <w:noProof/>
                <w:webHidden/>
              </w:rPr>
              <w:fldChar w:fldCharType="end"/>
            </w:r>
          </w:hyperlink>
        </w:p>
        <w:p w14:paraId="3B2B981A" w14:textId="7D72E312"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70" w:history="1">
            <w:r w:rsidRPr="0062555C">
              <w:rPr>
                <w:rStyle w:val="Hyperlink"/>
                <w:rFonts w:ascii="Times New Roman" w:hAnsi="Times New Roman" w:cs="Times New Roman"/>
                <w:b/>
                <w:bCs/>
                <w:noProof/>
              </w:rPr>
              <w:t>6.6</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Comparative SAR Insights and Outliers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_Toc199426770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29</w:t>
            </w:r>
            <w:r w:rsidRPr="0062555C">
              <w:rPr>
                <w:rFonts w:ascii="Times New Roman" w:hAnsi="Times New Roman" w:cs="Times New Roman"/>
                <w:noProof/>
                <w:webHidden/>
              </w:rPr>
              <w:fldChar w:fldCharType="end"/>
            </w:r>
          </w:hyperlink>
        </w:p>
        <w:p w14:paraId="1276E032" w14:textId="1EFAD5FE"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1" w:history="1">
            <w:r w:rsidRPr="0062555C">
              <w:rPr>
                <w:rStyle w:val="Hyperlink"/>
                <w:rFonts w:ascii="Times New Roman" w:hAnsi="Times New Roman" w:cs="Times New Roman"/>
                <w:noProof/>
              </w:rPr>
              <w:t>6.6.1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Ranking and Performance Clustering</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_Toc199426771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29</w:t>
            </w:r>
            <w:r w:rsidRPr="0062555C">
              <w:rPr>
                <w:rFonts w:ascii="Times New Roman" w:hAnsi="Times New Roman" w:cs="Times New Roman"/>
                <w:noProof/>
                <w:webHidden/>
              </w:rPr>
              <w:fldChar w:fldCharType="end"/>
            </w:r>
          </w:hyperlink>
        </w:p>
        <w:p w14:paraId="75839B14" w14:textId="03871BEC"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2" w:history="1">
            <w:r w:rsidRPr="0062555C">
              <w:rPr>
                <w:rStyle w:val="Hyperlink"/>
                <w:rFonts w:ascii="Times New Roman" w:hAnsi="Times New Roman" w:cs="Times New Roman"/>
                <w:noProof/>
              </w:rPr>
              <w:t>6.6.2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Outlier Analysis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_Toc199426772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29</w:t>
            </w:r>
            <w:r w:rsidRPr="0062555C">
              <w:rPr>
                <w:rFonts w:ascii="Times New Roman" w:hAnsi="Times New Roman" w:cs="Times New Roman"/>
                <w:noProof/>
                <w:webHidden/>
              </w:rPr>
              <w:fldChar w:fldCharType="end"/>
            </w:r>
          </w:hyperlink>
        </w:p>
        <w:p w14:paraId="54E141F4" w14:textId="0E492F84"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3" w:history="1">
            <w:r w:rsidRPr="0062555C">
              <w:rPr>
                <w:rStyle w:val="Hyperlink"/>
                <w:rFonts w:ascii="Times New Roman" w:hAnsi="Times New Roman" w:cs="Times New Roman"/>
                <w:noProof/>
              </w:rPr>
              <w:t>6.6.3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Non-Aromatic Class Performance</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_Toc199426773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30</w:t>
            </w:r>
            <w:r w:rsidRPr="0062555C">
              <w:rPr>
                <w:rFonts w:ascii="Times New Roman" w:hAnsi="Times New Roman" w:cs="Times New Roman"/>
                <w:noProof/>
                <w:webHidden/>
              </w:rPr>
              <w:fldChar w:fldCharType="end"/>
            </w:r>
          </w:hyperlink>
        </w:p>
        <w:p w14:paraId="60AC18DD" w14:textId="03767574"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4" w:history="1">
            <w:r w:rsidRPr="0062555C">
              <w:rPr>
                <w:rStyle w:val="Hyperlink"/>
                <w:rFonts w:ascii="Times New Roman" w:hAnsi="Times New Roman" w:cs="Times New Roman"/>
                <w:noProof/>
              </w:rPr>
              <w:t>6.6.4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SAR Summary Table Reference</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_Toc199426774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30</w:t>
            </w:r>
            <w:r w:rsidRPr="0062555C">
              <w:rPr>
                <w:rFonts w:ascii="Times New Roman" w:hAnsi="Times New Roman" w:cs="Times New Roman"/>
                <w:noProof/>
                <w:webHidden/>
              </w:rPr>
              <w:fldChar w:fldCharType="end"/>
            </w:r>
          </w:hyperlink>
        </w:p>
        <w:p w14:paraId="4542AD5A" w14:textId="1E79E6E9"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75" w:history="1">
            <w:r w:rsidRPr="0062555C">
              <w:rPr>
                <w:rStyle w:val="Hyperlink"/>
                <w:rFonts w:ascii="Times New Roman" w:hAnsi="Times New Roman" w:cs="Times New Roman"/>
                <w:b/>
                <w:bCs/>
                <w:noProof/>
              </w:rPr>
              <w:t>6.7</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Design Implications and Next-Generation Analogs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_Toc199426775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30</w:t>
            </w:r>
            <w:r w:rsidRPr="0062555C">
              <w:rPr>
                <w:rFonts w:ascii="Times New Roman" w:hAnsi="Times New Roman" w:cs="Times New Roman"/>
                <w:noProof/>
                <w:webHidden/>
              </w:rPr>
              <w:fldChar w:fldCharType="end"/>
            </w:r>
          </w:hyperlink>
        </w:p>
        <w:p w14:paraId="2A013215" w14:textId="0D2DA104"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6" w:history="1">
            <w:r w:rsidRPr="0062555C">
              <w:rPr>
                <w:rStyle w:val="Hyperlink"/>
                <w:rFonts w:ascii="Times New Roman" w:hAnsi="Times New Roman" w:cs="Times New Roman"/>
                <w:noProof/>
              </w:rPr>
              <w:t>6.7.1</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Key Design Principles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_Toc199426776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30</w:t>
            </w:r>
            <w:r w:rsidRPr="0062555C">
              <w:rPr>
                <w:rFonts w:ascii="Times New Roman" w:hAnsi="Times New Roman" w:cs="Times New Roman"/>
                <w:noProof/>
                <w:webHidden/>
              </w:rPr>
              <w:fldChar w:fldCharType="end"/>
            </w:r>
          </w:hyperlink>
        </w:p>
        <w:p w14:paraId="0AEB280C" w14:textId="77CE71AC"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7" w:history="1">
            <w:r w:rsidRPr="0062555C">
              <w:rPr>
                <w:rStyle w:val="Hyperlink"/>
                <w:rFonts w:ascii="Times New Roman" w:hAnsi="Times New Roman" w:cs="Times New Roman"/>
                <w:noProof/>
              </w:rPr>
              <w:t>6.7.2</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Recommended Modifications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_Toc199426777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30</w:t>
            </w:r>
            <w:r w:rsidRPr="0062555C">
              <w:rPr>
                <w:rFonts w:ascii="Times New Roman" w:hAnsi="Times New Roman" w:cs="Times New Roman"/>
                <w:noProof/>
                <w:webHidden/>
              </w:rPr>
              <w:fldChar w:fldCharType="end"/>
            </w:r>
          </w:hyperlink>
        </w:p>
        <w:p w14:paraId="7A6C14B8" w14:textId="1E418BB3"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8" w:history="1">
            <w:r w:rsidRPr="0062555C">
              <w:rPr>
                <w:rStyle w:val="Hyperlink"/>
                <w:rFonts w:ascii="Times New Roman" w:hAnsi="Times New Roman" w:cs="Times New Roman"/>
                <w:noProof/>
              </w:rPr>
              <w:t>6.7.3</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Broader Application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_Toc199426778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31</w:t>
            </w:r>
            <w:r w:rsidRPr="0062555C">
              <w:rPr>
                <w:rFonts w:ascii="Times New Roman" w:hAnsi="Times New Roman" w:cs="Times New Roman"/>
                <w:noProof/>
                <w:webHidden/>
              </w:rPr>
              <w:fldChar w:fldCharType="end"/>
            </w:r>
          </w:hyperlink>
        </w:p>
        <w:p w14:paraId="1F63D82C" w14:textId="6A5E0B81" w:rsidR="00587407" w:rsidRPr="0062555C" w:rsidRDefault="00587407">
          <w:pPr>
            <w:pStyle w:val="TOC3"/>
            <w:tabs>
              <w:tab w:val="left" w:pos="1200"/>
              <w:tab w:val="right" w:leader="dot" w:pos="8828"/>
            </w:tabs>
            <w:rPr>
              <w:rFonts w:ascii="Times New Roman" w:hAnsi="Times New Roman" w:cs="Times New Roman"/>
              <w:noProof/>
              <w:kern w:val="2"/>
              <w:sz w:val="24"/>
              <w:szCs w:val="24"/>
              <w:lang w:eastAsia="en-US"/>
              <w14:ligatures w14:val="standardContextual"/>
            </w:rPr>
          </w:pPr>
          <w:hyperlink w:anchor="_Toc199426779" w:history="1">
            <w:r w:rsidRPr="0062555C">
              <w:rPr>
                <w:rStyle w:val="Hyperlink"/>
                <w:rFonts w:ascii="Times New Roman" w:hAnsi="Times New Roman" w:cs="Times New Roman"/>
                <w:noProof/>
              </w:rPr>
              <w:t>6.7.4</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Conclusion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_Toc199426779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31</w:t>
            </w:r>
            <w:r w:rsidRPr="0062555C">
              <w:rPr>
                <w:rFonts w:ascii="Times New Roman" w:hAnsi="Times New Roman" w:cs="Times New Roman"/>
                <w:noProof/>
                <w:webHidden/>
              </w:rPr>
              <w:fldChar w:fldCharType="end"/>
            </w:r>
          </w:hyperlink>
        </w:p>
        <w:p w14:paraId="5468D717" w14:textId="695A5443" w:rsidR="00587407" w:rsidRPr="0062555C" w:rsidRDefault="00587407">
          <w:pPr>
            <w:pStyle w:val="TOC2"/>
            <w:tabs>
              <w:tab w:val="left" w:pos="960"/>
              <w:tab w:val="right" w:leader="dot" w:pos="8828"/>
            </w:tabs>
            <w:rPr>
              <w:rFonts w:ascii="Times New Roman" w:hAnsi="Times New Roman" w:cs="Times New Roman"/>
              <w:noProof/>
              <w:kern w:val="2"/>
              <w:sz w:val="24"/>
              <w:szCs w:val="24"/>
              <w:lang w:eastAsia="en-US"/>
              <w14:ligatures w14:val="standardContextual"/>
            </w:rPr>
          </w:pPr>
          <w:hyperlink w:anchor="_Toc199426780" w:history="1">
            <w:r w:rsidRPr="0062555C">
              <w:rPr>
                <w:rStyle w:val="Hyperlink"/>
                <w:rFonts w:ascii="Times New Roman" w:hAnsi="Times New Roman" w:cs="Times New Roman"/>
                <w:b/>
                <w:bCs/>
                <w:noProof/>
              </w:rPr>
              <w:t>6.8</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b/>
                <w:bCs/>
                <w:noProof/>
              </w:rPr>
              <w:t>SAR Conclusion</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_Toc199426780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31</w:t>
            </w:r>
            <w:r w:rsidRPr="0062555C">
              <w:rPr>
                <w:rFonts w:ascii="Times New Roman" w:hAnsi="Times New Roman" w:cs="Times New Roman"/>
                <w:noProof/>
                <w:webHidden/>
              </w:rPr>
              <w:fldChar w:fldCharType="end"/>
            </w:r>
          </w:hyperlink>
        </w:p>
        <w:p w14:paraId="551075A8" w14:textId="4E17DF31" w:rsidR="00587407" w:rsidRPr="0062555C" w:rsidRDefault="00587407">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hyperlink w:anchor="_Toc199426781" w:history="1">
            <w:r w:rsidRPr="0062555C">
              <w:rPr>
                <w:rStyle w:val="Hyperlink"/>
                <w:rFonts w:ascii="Times New Roman" w:hAnsi="Times New Roman" w:cs="Times New Roman"/>
                <w:noProof/>
              </w:rPr>
              <w:t>7</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NMR and MS Specters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_Toc199426781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33</w:t>
            </w:r>
            <w:r w:rsidRPr="0062555C">
              <w:rPr>
                <w:rFonts w:ascii="Times New Roman" w:hAnsi="Times New Roman" w:cs="Times New Roman"/>
                <w:noProof/>
                <w:webHidden/>
              </w:rPr>
              <w:fldChar w:fldCharType="end"/>
            </w:r>
          </w:hyperlink>
        </w:p>
        <w:p w14:paraId="737E81E0" w14:textId="3822BB6D" w:rsidR="00587407" w:rsidRPr="0062555C" w:rsidRDefault="00587407">
          <w:pPr>
            <w:pStyle w:val="TOC1"/>
            <w:tabs>
              <w:tab w:val="left" w:pos="440"/>
              <w:tab w:val="right" w:leader="dot" w:pos="8828"/>
            </w:tabs>
            <w:rPr>
              <w:rFonts w:ascii="Times New Roman" w:hAnsi="Times New Roman" w:cs="Times New Roman"/>
              <w:noProof/>
              <w:kern w:val="2"/>
              <w:sz w:val="24"/>
              <w:szCs w:val="24"/>
              <w:lang w:eastAsia="en-US"/>
              <w14:ligatures w14:val="standardContextual"/>
            </w:rPr>
          </w:pPr>
          <w:hyperlink w:anchor="_Toc199426782" w:history="1">
            <w:r w:rsidRPr="0062555C">
              <w:rPr>
                <w:rStyle w:val="Hyperlink"/>
                <w:rFonts w:ascii="Times New Roman" w:hAnsi="Times New Roman" w:cs="Times New Roman"/>
                <w:noProof/>
              </w:rPr>
              <w:t>8</w:t>
            </w:r>
            <w:r w:rsidRPr="0062555C">
              <w:rPr>
                <w:rFonts w:ascii="Times New Roman" w:hAnsi="Times New Roman" w:cs="Times New Roman"/>
                <w:noProof/>
                <w:kern w:val="2"/>
                <w:sz w:val="24"/>
                <w:szCs w:val="24"/>
                <w:lang w:eastAsia="en-US"/>
                <w14:ligatures w14:val="standardContextual"/>
              </w:rPr>
              <w:tab/>
            </w:r>
            <w:r w:rsidRPr="0062555C">
              <w:rPr>
                <w:rStyle w:val="Hyperlink"/>
                <w:rFonts w:ascii="Times New Roman" w:hAnsi="Times New Roman" w:cs="Times New Roman"/>
                <w:noProof/>
              </w:rPr>
              <w:t>References</w:t>
            </w:r>
            <w:r w:rsidRPr="0062555C">
              <w:rPr>
                <w:rFonts w:ascii="Times New Roman" w:hAnsi="Times New Roman" w:cs="Times New Roman"/>
                <w:noProof/>
                <w:webHidden/>
              </w:rPr>
              <w:tab/>
            </w:r>
            <w:r w:rsidRPr="0062555C">
              <w:rPr>
                <w:rFonts w:ascii="Times New Roman" w:hAnsi="Times New Roman" w:cs="Times New Roman"/>
                <w:noProof/>
                <w:webHidden/>
              </w:rPr>
              <w:fldChar w:fldCharType="begin"/>
            </w:r>
            <w:r w:rsidRPr="0062555C">
              <w:rPr>
                <w:rFonts w:ascii="Times New Roman" w:hAnsi="Times New Roman" w:cs="Times New Roman"/>
                <w:noProof/>
                <w:webHidden/>
              </w:rPr>
              <w:instrText xml:space="preserve"> PAGEREF _Toc199426782 \h </w:instrText>
            </w:r>
            <w:r w:rsidRPr="0062555C">
              <w:rPr>
                <w:rFonts w:ascii="Times New Roman" w:hAnsi="Times New Roman" w:cs="Times New Roman"/>
                <w:noProof/>
                <w:webHidden/>
              </w:rPr>
            </w:r>
            <w:r w:rsidRPr="0062555C">
              <w:rPr>
                <w:rFonts w:ascii="Times New Roman" w:hAnsi="Times New Roman" w:cs="Times New Roman"/>
                <w:noProof/>
                <w:webHidden/>
              </w:rPr>
              <w:fldChar w:fldCharType="separate"/>
            </w:r>
            <w:r w:rsidRPr="0062555C">
              <w:rPr>
                <w:rFonts w:ascii="Times New Roman" w:hAnsi="Times New Roman" w:cs="Times New Roman"/>
                <w:noProof/>
                <w:webHidden/>
              </w:rPr>
              <w:t>39</w:t>
            </w:r>
            <w:r w:rsidRPr="0062555C">
              <w:rPr>
                <w:rFonts w:ascii="Times New Roman" w:hAnsi="Times New Roman" w:cs="Times New Roman"/>
                <w:noProof/>
                <w:webHidden/>
              </w:rPr>
              <w:fldChar w:fldCharType="end"/>
            </w:r>
          </w:hyperlink>
        </w:p>
        <w:p w14:paraId="00B702AD" w14:textId="57495207" w:rsidR="009D7C56" w:rsidRDefault="005677BD" w:rsidP="005677BD">
          <w:pPr>
            <w:rPr>
              <w:rFonts w:ascii="Times New Roman" w:hAnsi="Times New Roman" w:cs="Times New Roman"/>
              <w:b/>
              <w:bCs/>
            </w:rPr>
          </w:pPr>
          <w:r w:rsidRPr="0062555C">
            <w:rPr>
              <w:rFonts w:ascii="Times New Roman" w:hAnsi="Times New Roman" w:cs="Times New Roman"/>
              <w:b/>
              <w:bCs/>
            </w:rPr>
            <w:fldChar w:fldCharType="end"/>
          </w:r>
        </w:p>
      </w:sdtContent>
    </w:sdt>
    <w:p w14:paraId="0559D018" w14:textId="77777777" w:rsidR="0062555C" w:rsidRPr="00065FE0" w:rsidRDefault="0062555C" w:rsidP="005677BD"/>
    <w:p w14:paraId="654981BC" w14:textId="1B3208A0" w:rsidR="00F2234B" w:rsidRPr="00065FE0" w:rsidRDefault="00F2234B" w:rsidP="005677BD">
      <w:pPr>
        <w:pStyle w:val="Heading1"/>
        <w:rPr>
          <w:lang w:val="en-US"/>
        </w:rPr>
      </w:pPr>
      <w:bookmarkStart w:id="0" w:name="_Toc199426736"/>
      <w:r w:rsidRPr="00065FE0">
        <w:rPr>
          <w:lang w:val="en-US"/>
        </w:rPr>
        <w:t>General Methods</w:t>
      </w:r>
      <w:bookmarkEnd w:id="0"/>
    </w:p>
    <w:p w14:paraId="11163FAF" w14:textId="77777777" w:rsidR="00B7627D" w:rsidRPr="00065FE0" w:rsidRDefault="00B7627D" w:rsidP="00B7627D">
      <w:pPr>
        <w:tabs>
          <w:tab w:val="left" w:pos="0"/>
        </w:tabs>
        <w:spacing w:after="0" w:line="480" w:lineRule="auto"/>
        <w:ind w:right="49"/>
        <w:jc w:val="both"/>
        <w:rPr>
          <w:rFonts w:ascii="Times New Roman" w:hAnsi="Times New Roman" w:cs="Times New Roman"/>
        </w:rPr>
      </w:pPr>
    </w:p>
    <w:p w14:paraId="756639B6" w14:textId="18124CBA" w:rsidR="00CB2729" w:rsidRPr="00065FE0" w:rsidRDefault="00CB2729" w:rsidP="00B7627D">
      <w:pPr>
        <w:tabs>
          <w:tab w:val="left" w:pos="0"/>
        </w:tabs>
        <w:spacing w:after="0" w:line="480" w:lineRule="auto"/>
        <w:ind w:right="49"/>
        <w:jc w:val="both"/>
        <w:rPr>
          <w:rFonts w:ascii="Times New Roman" w:hAnsi="Times New Roman" w:cs="Times New Roman"/>
        </w:rPr>
      </w:pPr>
      <w:r w:rsidRPr="00065FE0">
        <w:rPr>
          <w:rFonts w:ascii="Times New Roman" w:hAnsi="Times New Roman" w:cs="Times New Roman"/>
        </w:rPr>
        <w:t xml:space="preserve">Chemicals and reagents, including </w:t>
      </w:r>
      <w:r w:rsidR="007A1F06" w:rsidRPr="00065FE0">
        <w:rPr>
          <w:rFonts w:ascii="Times New Roman" w:hAnsi="Times New Roman" w:cs="Times New Roman"/>
        </w:rPr>
        <w:t>solvents,</w:t>
      </w:r>
      <w:r w:rsidRPr="00065FE0">
        <w:rPr>
          <w:rFonts w:ascii="Times New Roman" w:hAnsi="Times New Roman" w:cs="Times New Roman"/>
        </w:rPr>
        <w:t xml:space="preserve"> were purchased from Sigma-Aldrich and used without further purification. Glassware was oven-dried prior to use, and heating reactions were conducted in a </w:t>
      </w:r>
      <w:r w:rsidR="007A1F06" w:rsidRPr="00065FE0">
        <w:rPr>
          <w:rFonts w:ascii="Times New Roman" w:hAnsi="Times New Roman" w:cs="Times New Roman"/>
        </w:rPr>
        <w:t>heating blanket</w:t>
      </w:r>
      <w:r w:rsidRPr="00065FE0">
        <w:rPr>
          <w:rFonts w:ascii="Times New Roman" w:hAnsi="Times New Roman" w:cs="Times New Roman"/>
        </w:rPr>
        <w:t>.</w:t>
      </w:r>
    </w:p>
    <w:p w14:paraId="6DC0DF4B" w14:textId="77777777" w:rsidR="00CB2729" w:rsidRDefault="00CB2729" w:rsidP="00B7627D">
      <w:pPr>
        <w:spacing w:after="0" w:line="480" w:lineRule="auto"/>
        <w:ind w:right="49"/>
        <w:jc w:val="both"/>
        <w:rPr>
          <w:rFonts w:ascii="Times New Roman" w:hAnsi="Times New Roman" w:cs="Times New Roman"/>
        </w:rPr>
      </w:pPr>
      <w:r w:rsidRPr="00065FE0">
        <w:rPr>
          <w:rFonts w:ascii="Times New Roman" w:hAnsi="Times New Roman" w:cs="Times New Roman"/>
        </w:rPr>
        <w:t>Thin-layer chromatography (TLC) was performed on pre-coated aluminum plates of silica gel 60 F254 (0.25 mm, E. Merck). Plates were visualized under a short-wave UV lamp and by heating after dipping in a ninhydrin solution. Column chromatography was conducted using silica gel (100–200 mesh and 230–400 mesh), with eluents chosen based on polarity correlated to TLC mobility.</w:t>
      </w:r>
    </w:p>
    <w:p w14:paraId="46663418" w14:textId="75D187A8" w:rsidR="007431FD" w:rsidRPr="00065FE0" w:rsidRDefault="002A32BB" w:rsidP="00B7627D">
      <w:pPr>
        <w:spacing w:after="0" w:line="480" w:lineRule="auto"/>
        <w:ind w:right="49"/>
        <w:jc w:val="both"/>
        <w:rPr>
          <w:rFonts w:ascii="Times New Roman" w:hAnsi="Times New Roman" w:cs="Times New Roman"/>
        </w:rPr>
      </w:pPr>
      <w:r w:rsidRPr="002A32BB">
        <w:rPr>
          <w:rFonts w:ascii="Times New Roman" w:hAnsi="Times New Roman" w:cs="Times New Roman"/>
        </w:rPr>
        <w:t xml:space="preserve">The </w:t>
      </w:r>
      <w:proofErr w:type="spellStart"/>
      <w:r w:rsidRPr="002A32BB">
        <w:rPr>
          <w:rFonts w:ascii="Times New Roman" w:hAnsi="Times New Roman" w:cs="Times New Roman"/>
        </w:rPr>
        <w:t>Isolera</w:t>
      </w:r>
      <w:proofErr w:type="spellEnd"/>
      <w:r w:rsidRPr="002A32BB">
        <w:rPr>
          <w:rFonts w:ascii="Times New Roman" w:hAnsi="Times New Roman" w:cs="Times New Roman"/>
        </w:rPr>
        <w:t xml:space="preserve"> One </w:t>
      </w:r>
      <w:proofErr w:type="spellStart"/>
      <w:r w:rsidRPr="002A32BB">
        <w:rPr>
          <w:rFonts w:ascii="Times New Roman" w:hAnsi="Times New Roman" w:cs="Times New Roman"/>
        </w:rPr>
        <w:t>Biotage</w:t>
      </w:r>
      <w:proofErr w:type="spellEnd"/>
      <w:r w:rsidRPr="002A32BB">
        <w:rPr>
          <w:rFonts w:ascii="Times New Roman" w:hAnsi="Times New Roman" w:cs="Times New Roman"/>
        </w:rPr>
        <w:t xml:space="preserve"> equipment was used to purify the compounds with a </w:t>
      </w:r>
      <w:proofErr w:type="spellStart"/>
      <w:r w:rsidRPr="002A32BB">
        <w:rPr>
          <w:rFonts w:ascii="Times New Roman" w:hAnsi="Times New Roman" w:cs="Times New Roman"/>
        </w:rPr>
        <w:t>AcOEt</w:t>
      </w:r>
      <w:proofErr w:type="spellEnd"/>
      <w:r w:rsidRPr="002A32BB">
        <w:rPr>
          <w:rFonts w:ascii="Times New Roman" w:hAnsi="Times New Roman" w:cs="Times New Roman"/>
        </w:rPr>
        <w:t>/</w:t>
      </w:r>
      <w:proofErr w:type="spellStart"/>
      <w:r w:rsidRPr="002A32BB">
        <w:rPr>
          <w:rFonts w:ascii="Times New Roman" w:hAnsi="Times New Roman" w:cs="Times New Roman"/>
        </w:rPr>
        <w:t>Hx</w:t>
      </w:r>
      <w:proofErr w:type="spellEnd"/>
      <w:r w:rsidRPr="002A32BB">
        <w:rPr>
          <w:rFonts w:ascii="Times New Roman" w:hAnsi="Times New Roman" w:cs="Times New Roman"/>
        </w:rPr>
        <w:t xml:space="preserve"> 1:1 mobile phase and </w:t>
      </w:r>
      <w:proofErr w:type="spellStart"/>
      <w:r w:rsidRPr="002A32BB">
        <w:rPr>
          <w:rFonts w:ascii="Times New Roman" w:hAnsi="Times New Roman" w:cs="Times New Roman"/>
        </w:rPr>
        <w:t>Biotage</w:t>
      </w:r>
      <w:proofErr w:type="spellEnd"/>
      <w:r w:rsidRPr="002A32BB">
        <w:rPr>
          <w:rFonts w:ascii="Times New Roman" w:hAnsi="Times New Roman" w:cs="Times New Roman"/>
        </w:rPr>
        <w:t xml:space="preserve"> SNAP Cartridge, silica, 10 g.</w:t>
      </w:r>
    </w:p>
    <w:p w14:paraId="1B433AE8" w14:textId="704A3702" w:rsidR="00CB2729" w:rsidRPr="00065FE0" w:rsidRDefault="00CB2729" w:rsidP="00B7627D">
      <w:pPr>
        <w:tabs>
          <w:tab w:val="left" w:pos="0"/>
        </w:tabs>
        <w:spacing w:after="0" w:line="480" w:lineRule="auto"/>
        <w:ind w:right="49"/>
        <w:jc w:val="both"/>
        <w:rPr>
          <w:rFonts w:ascii="Times New Roman" w:hAnsi="Times New Roman" w:cs="Times New Roman"/>
        </w:rPr>
      </w:pPr>
      <w:r w:rsidRPr="00065FE0">
        <w:rPr>
          <w:rFonts w:ascii="Times New Roman" w:hAnsi="Times New Roman" w:cs="Times New Roman"/>
        </w:rPr>
        <w:t>NMR spectroscopy was conducted using a</w:t>
      </w:r>
      <w:r w:rsidR="00484B79" w:rsidRPr="00065FE0">
        <w:rPr>
          <w:rFonts w:ascii="Times New Roman" w:hAnsi="Times New Roman" w:cs="Times New Roman"/>
        </w:rPr>
        <w:t xml:space="preserve">n </w:t>
      </w:r>
      <w:bookmarkStart w:id="1" w:name="_Hlk198147264"/>
      <w:r w:rsidR="00484B79" w:rsidRPr="00065FE0">
        <w:rPr>
          <w:rFonts w:ascii="Times New Roman" w:hAnsi="Times New Roman" w:cs="Times New Roman"/>
        </w:rPr>
        <w:t xml:space="preserve">Agilent technologies NMR 500/54 premium shielded </w:t>
      </w:r>
      <w:r w:rsidRPr="00065FE0">
        <w:rPr>
          <w:rFonts w:ascii="Times New Roman" w:hAnsi="Times New Roman" w:cs="Times New Roman"/>
        </w:rPr>
        <w:t xml:space="preserve">spectrometer </w:t>
      </w:r>
      <w:bookmarkEnd w:id="1"/>
      <w:r w:rsidRPr="00065FE0">
        <w:rPr>
          <w:rFonts w:ascii="Times New Roman" w:hAnsi="Times New Roman" w:cs="Times New Roman"/>
        </w:rPr>
        <w:t xml:space="preserve">with deuterated </w:t>
      </w:r>
      <w:r w:rsidR="000F3F3B" w:rsidRPr="00065FE0">
        <w:rPr>
          <w:rFonts w:ascii="Times New Roman" w:hAnsi="Times New Roman" w:cs="Times New Roman"/>
        </w:rPr>
        <w:t>chloroform</w:t>
      </w:r>
      <w:r w:rsidRPr="00065FE0">
        <w:rPr>
          <w:rFonts w:ascii="Times New Roman" w:hAnsi="Times New Roman" w:cs="Times New Roman"/>
        </w:rPr>
        <w:t xml:space="preserve"> (</w:t>
      </w:r>
      <w:r w:rsidR="000F3F3B" w:rsidRPr="00065FE0">
        <w:rPr>
          <w:rFonts w:ascii="Times New Roman" w:hAnsi="Times New Roman" w:cs="Times New Roman"/>
        </w:rPr>
        <w:t>CDCl</w:t>
      </w:r>
      <w:r w:rsidR="000F3F3B" w:rsidRPr="00065FE0">
        <w:rPr>
          <w:rFonts w:ascii="Times New Roman" w:hAnsi="Times New Roman" w:cs="Times New Roman"/>
          <w:vertAlign w:val="subscript"/>
        </w:rPr>
        <w:t>3</w:t>
      </w:r>
      <w:r w:rsidRPr="00065FE0">
        <w:rPr>
          <w:rFonts w:ascii="Times New Roman" w:hAnsi="Times New Roman" w:cs="Times New Roman"/>
        </w:rPr>
        <w:t>-</w:t>
      </w:r>
      <w:r w:rsidRPr="00065FE0">
        <w:rPr>
          <w:rFonts w:ascii="Times New Roman" w:hAnsi="Times New Roman" w:cs="Times New Roman"/>
          <w:i/>
          <w:iCs/>
        </w:rPr>
        <w:t>d</w:t>
      </w:r>
      <w:r w:rsidRPr="00065FE0">
        <w:rPr>
          <w:rFonts w:ascii="Times New Roman" w:hAnsi="Times New Roman" w:cs="Times New Roman"/>
        </w:rPr>
        <w:t xml:space="preserve">, 99.8%) as the solvent. Chemical shifts (δ) are </w:t>
      </w:r>
      <w:r w:rsidRPr="00065FE0">
        <w:rPr>
          <w:rFonts w:ascii="Times New Roman" w:hAnsi="Times New Roman" w:cs="Times New Roman"/>
        </w:rPr>
        <w:lastRenderedPageBreak/>
        <w:t xml:space="preserve">reported in parts per million (ppm) relative to solvent peaks. Data for </w:t>
      </w:r>
      <w:r w:rsidRPr="00065FE0">
        <w:rPr>
          <w:rFonts w:ascii="Times New Roman" w:hAnsi="Times New Roman" w:cs="Times New Roman"/>
          <w:vertAlign w:val="superscript"/>
        </w:rPr>
        <w:t>1</w:t>
      </w:r>
      <w:r w:rsidRPr="00065FE0">
        <w:rPr>
          <w:rFonts w:ascii="Times New Roman" w:hAnsi="Times New Roman" w:cs="Times New Roman"/>
        </w:rPr>
        <w:t xml:space="preserve">H NMR are reported as follows: chemical shift (δ, ppm), multiplicity (s: singlet, d: doublet, dd: doublet of doublets, t: triplet, q: quartet, m: </w:t>
      </w:r>
      <w:proofErr w:type="spellStart"/>
      <w:r w:rsidRPr="00065FE0">
        <w:rPr>
          <w:rFonts w:ascii="Times New Roman" w:hAnsi="Times New Roman" w:cs="Times New Roman"/>
        </w:rPr>
        <w:t>multiplet</w:t>
      </w:r>
      <w:proofErr w:type="spellEnd"/>
      <w:r w:rsidRPr="00065FE0">
        <w:rPr>
          <w:rFonts w:ascii="Times New Roman" w:hAnsi="Times New Roman" w:cs="Times New Roman"/>
        </w:rPr>
        <w:t>), coupling constant (J in Hz), integration, and assigned protons.</w:t>
      </w:r>
    </w:p>
    <w:p w14:paraId="0FEA361C" w14:textId="77777777" w:rsidR="005677BD" w:rsidRPr="00065FE0" w:rsidRDefault="00CB2729" w:rsidP="00B7627D">
      <w:pPr>
        <w:tabs>
          <w:tab w:val="left" w:pos="0"/>
        </w:tabs>
        <w:spacing w:after="0" w:line="480" w:lineRule="auto"/>
        <w:ind w:right="49"/>
        <w:jc w:val="both"/>
        <w:rPr>
          <w:rFonts w:ascii="Times New Roman" w:hAnsi="Times New Roman" w:cs="Times New Roman"/>
        </w:rPr>
      </w:pPr>
      <w:r w:rsidRPr="00065FE0">
        <w:rPr>
          <w:rFonts w:ascii="Times New Roman" w:hAnsi="Times New Roman" w:cs="Times New Roman"/>
        </w:rPr>
        <w:t xml:space="preserve">Mass spectra were a </w:t>
      </w:r>
      <w:r w:rsidR="00050DF5" w:rsidRPr="00065FE0">
        <w:rPr>
          <w:rFonts w:ascii="Times New Roman" w:hAnsi="Times New Roman" w:cs="Times New Roman"/>
        </w:rPr>
        <w:t xml:space="preserve">were obtained by </w:t>
      </w:r>
      <w:bookmarkStart w:id="2" w:name="_Hlk198147298"/>
      <w:r w:rsidR="00050DF5" w:rsidRPr="00065FE0">
        <w:rPr>
          <w:rFonts w:ascii="Times New Roman" w:hAnsi="Times New Roman" w:cs="Times New Roman"/>
        </w:rPr>
        <w:t>electron impact ionization at 70 eV using a mass spectrometer Agilent Technologies model 5975 inert XL,</w:t>
      </w:r>
      <w:bookmarkEnd w:id="2"/>
      <w:r w:rsidRPr="00065FE0">
        <w:rPr>
          <w:rFonts w:ascii="Times New Roman" w:hAnsi="Times New Roman" w:cs="Times New Roman"/>
        </w:rPr>
        <w:t xml:space="preserve"> and the raw data were processed using the associated software. The spectra provided high-resolution mass measurements, aiding in the confirmation of molecular structures.</w:t>
      </w:r>
    </w:p>
    <w:p w14:paraId="59BB21DF" w14:textId="0A69979E" w:rsidR="00EC7767" w:rsidRPr="00065FE0" w:rsidRDefault="00F2234B" w:rsidP="00CB2729">
      <w:pPr>
        <w:tabs>
          <w:tab w:val="left" w:pos="0"/>
        </w:tabs>
        <w:spacing w:after="0" w:line="480" w:lineRule="auto"/>
        <w:ind w:right="-514"/>
        <w:jc w:val="both"/>
        <w:rPr>
          <w:rFonts w:ascii="Times New Roman" w:hAnsi="Times New Roman" w:cs="Times New Roman"/>
          <w:highlight w:val="yellow"/>
        </w:rPr>
      </w:pPr>
      <w:r w:rsidRPr="00065FE0">
        <w:rPr>
          <w:rFonts w:ascii="Times New Roman" w:hAnsi="Times New Roman" w:cs="Times New Roman"/>
        </w:rPr>
        <w:t xml:space="preserve"> </w:t>
      </w:r>
      <w:r w:rsidR="00EC7767" w:rsidRPr="00065FE0">
        <w:rPr>
          <w:rFonts w:ascii="Times New Roman" w:hAnsi="Times New Roman" w:cs="Times New Roman"/>
          <w:b/>
          <w:color w:val="292526"/>
        </w:rPr>
        <w:br w:type="page"/>
      </w:r>
    </w:p>
    <w:p w14:paraId="4B857340" w14:textId="2330E28C" w:rsidR="00EC7767" w:rsidRPr="00065FE0" w:rsidRDefault="00EC7767" w:rsidP="005677BD">
      <w:pPr>
        <w:pStyle w:val="Heading1"/>
        <w:rPr>
          <w:lang w:val="en-US"/>
        </w:rPr>
      </w:pPr>
      <w:bookmarkStart w:id="3" w:name="_Toc199426737"/>
      <w:r w:rsidRPr="00065FE0">
        <w:rPr>
          <w:lang w:val="en-US"/>
        </w:rPr>
        <w:lastRenderedPageBreak/>
        <w:t>Synthesis and Ch</w:t>
      </w:r>
      <w:r w:rsidR="00EC340A" w:rsidRPr="00065FE0">
        <w:rPr>
          <w:lang w:val="en-US"/>
        </w:rPr>
        <w:t>aracterization</w:t>
      </w:r>
      <w:bookmarkEnd w:id="3"/>
    </w:p>
    <w:p w14:paraId="5F3A3C8F" w14:textId="1F2A6346" w:rsidR="00F2234B" w:rsidRPr="00065FE0" w:rsidRDefault="00E71BA0" w:rsidP="00065FE0">
      <w:pPr>
        <w:pStyle w:val="Heading2"/>
        <w:rPr>
          <w:lang w:val="en-US"/>
        </w:rPr>
      </w:pPr>
      <w:bookmarkStart w:id="4" w:name="_Hlk198147780"/>
      <w:bookmarkStart w:id="5" w:name="_Toc199426738"/>
      <w:r w:rsidRPr="00065FE0">
        <w:rPr>
          <w:lang w:val="en-US"/>
        </w:rPr>
        <w:t xml:space="preserve">Synthesis of </w:t>
      </w:r>
      <w:r w:rsidR="00BB6F79" w:rsidRPr="00065FE0">
        <w:rPr>
          <w:lang w:val="en-US"/>
        </w:rPr>
        <w:t>methyl (</w:t>
      </w:r>
      <w:r w:rsidR="00BB6F79" w:rsidRPr="00065FE0">
        <w:rPr>
          <w:i/>
          <w:iCs/>
          <w:lang w:val="en-US"/>
        </w:rPr>
        <w:t>S</w:t>
      </w:r>
      <w:r w:rsidR="00BB6F79" w:rsidRPr="00065FE0">
        <w:rPr>
          <w:lang w:val="en-US"/>
        </w:rPr>
        <w:t>)-(1</w:t>
      </w:r>
      <w:r w:rsidR="00BB6F79" w:rsidRPr="00065FE0">
        <w:rPr>
          <w:i/>
          <w:iCs/>
          <w:lang w:val="en-US"/>
        </w:rPr>
        <w:t>H</w:t>
      </w:r>
      <w:r w:rsidR="00BB6F79" w:rsidRPr="00065FE0">
        <w:rPr>
          <w:lang w:val="en-US"/>
        </w:rPr>
        <w:t>-indol-3-yl)-2-(isoindolin-2-</w:t>
      </w:r>
      <w:r w:rsidR="0084192B" w:rsidRPr="00065FE0">
        <w:rPr>
          <w:lang w:val="en-US"/>
        </w:rPr>
        <w:t>yl) propanoate</w:t>
      </w:r>
      <w:bookmarkEnd w:id="4"/>
      <w:r w:rsidR="00EC7767" w:rsidRPr="00065FE0">
        <w:rPr>
          <w:lang w:val="en-US"/>
        </w:rPr>
        <w:t xml:space="preserve"> (</w:t>
      </w:r>
      <w:r w:rsidR="00E70D06" w:rsidRPr="00065FE0">
        <w:rPr>
          <w:lang w:val="en-US"/>
        </w:rPr>
        <w:t>1</w:t>
      </w:r>
      <w:r w:rsidR="00EC7767" w:rsidRPr="00065FE0">
        <w:rPr>
          <w:lang w:val="en-US"/>
        </w:rPr>
        <w:t>)</w:t>
      </w:r>
      <w:bookmarkEnd w:id="5"/>
    </w:p>
    <w:p w14:paraId="4565A525" w14:textId="1EA8B656" w:rsidR="00EC7767" w:rsidRPr="00065FE0" w:rsidRDefault="007975B2" w:rsidP="00493098">
      <w:pPr>
        <w:autoSpaceDE w:val="0"/>
        <w:autoSpaceDN w:val="0"/>
        <w:adjustRightInd w:val="0"/>
        <w:spacing w:before="240" w:after="0" w:line="480" w:lineRule="auto"/>
        <w:jc w:val="center"/>
        <w:rPr>
          <w:rFonts w:ascii="Times New Roman" w:hAnsi="Times New Roman" w:cs="Times New Roman"/>
          <w:b/>
          <w:highlight w:val="yellow"/>
        </w:rPr>
      </w:pPr>
      <w:r w:rsidRPr="00065FE0">
        <w:rPr>
          <w:rFonts w:ascii="Times New Roman" w:hAnsi="Times New Roman" w:cs="Times New Roman"/>
          <w:noProof/>
        </w:rPr>
        <w:object w:dxaOrig="6566" w:dyaOrig="1852" w14:anchorId="46086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28.3pt;height:92.15pt;mso-width-percent:0;mso-height-percent:0;mso-width-percent:0;mso-height-percent:0" o:ole="">
            <v:imagedata r:id="rId14" o:title=""/>
          </v:shape>
          <o:OLEObject Type="Embed" ProgID="ChemDraw_x64.Document.6.0" ShapeID="_x0000_i1026" DrawAspect="Content" ObjectID="_1812561880" r:id="rId15"/>
        </w:object>
      </w:r>
    </w:p>
    <w:p w14:paraId="13D5D27B" w14:textId="6A461AC5" w:rsidR="00E71BA0" w:rsidRPr="00065FE0" w:rsidRDefault="0084192B" w:rsidP="00830E8B">
      <w:pPr>
        <w:autoSpaceDE w:val="0"/>
        <w:autoSpaceDN w:val="0"/>
        <w:adjustRightInd w:val="0"/>
        <w:spacing w:line="480" w:lineRule="auto"/>
        <w:jc w:val="both"/>
        <w:rPr>
          <w:rFonts w:ascii="Times New Roman" w:hAnsi="Times New Roman" w:cs="Times New Roman"/>
          <w:highlight w:val="yellow"/>
        </w:rPr>
      </w:pPr>
      <w:r w:rsidRPr="00065FE0">
        <w:rPr>
          <w:rFonts w:ascii="Times New Roman" w:hAnsi="Times New Roman" w:cs="Times New Roman"/>
        </w:rPr>
        <w:t>α, α’-dibromo-</w:t>
      </w:r>
      <w:r w:rsidRPr="00065FE0">
        <w:rPr>
          <w:rFonts w:ascii="Times New Roman" w:hAnsi="Times New Roman" w:cs="Times New Roman"/>
          <w:i/>
          <w:iCs/>
        </w:rPr>
        <w:t>ο</w:t>
      </w:r>
      <w:r w:rsidRPr="00065FE0">
        <w:rPr>
          <w:rFonts w:ascii="Times New Roman" w:hAnsi="Times New Roman" w:cs="Times New Roman"/>
        </w:rPr>
        <w:t xml:space="preserve">-xylene </w:t>
      </w:r>
      <w:r w:rsidR="00E70D06" w:rsidRPr="00065FE0">
        <w:rPr>
          <w:rFonts w:ascii="Times New Roman" w:hAnsi="Times New Roman" w:cs="Times New Roman"/>
          <w:b/>
          <w:bCs/>
        </w:rPr>
        <w:t>(</w:t>
      </w:r>
      <w:proofErr w:type="spellStart"/>
      <w:r w:rsidR="00E70D06" w:rsidRPr="00065FE0">
        <w:rPr>
          <w:rFonts w:ascii="Times New Roman" w:hAnsi="Times New Roman" w:cs="Times New Roman"/>
          <w:b/>
          <w:bCs/>
        </w:rPr>
        <w:t>i</w:t>
      </w:r>
      <w:proofErr w:type="spellEnd"/>
      <w:r w:rsidR="00E70D06" w:rsidRPr="00065FE0">
        <w:rPr>
          <w:rFonts w:ascii="Times New Roman" w:hAnsi="Times New Roman" w:cs="Times New Roman"/>
          <w:b/>
          <w:bCs/>
        </w:rPr>
        <w:t>)</w:t>
      </w:r>
      <w:r w:rsidR="00E71BA0" w:rsidRPr="00065FE0">
        <w:rPr>
          <w:rFonts w:ascii="Times New Roman" w:hAnsi="Times New Roman" w:cs="Times New Roman"/>
          <w:b/>
          <w:bCs/>
        </w:rPr>
        <w:t xml:space="preserve"> </w:t>
      </w:r>
      <w:r w:rsidR="00E71BA0" w:rsidRPr="00065FE0">
        <w:rPr>
          <w:rFonts w:ascii="Times New Roman" w:hAnsi="Times New Roman" w:cs="Times New Roman"/>
        </w:rPr>
        <w:t>(</w:t>
      </w:r>
      <w:r w:rsidR="00CA5565" w:rsidRPr="00065FE0">
        <w:rPr>
          <w:rFonts w:ascii="Times New Roman" w:hAnsi="Times New Roman" w:cs="Times New Roman"/>
        </w:rPr>
        <w:t xml:space="preserve">1 </w:t>
      </w:r>
      <w:r w:rsidR="00E71BA0" w:rsidRPr="00065FE0">
        <w:rPr>
          <w:rFonts w:ascii="Times New Roman" w:hAnsi="Times New Roman" w:cs="Times New Roman"/>
        </w:rPr>
        <w:t xml:space="preserve">g, </w:t>
      </w:r>
      <w:r w:rsidR="00CA5565" w:rsidRPr="00065FE0">
        <w:rPr>
          <w:rFonts w:ascii="Times New Roman" w:hAnsi="Times New Roman" w:cs="Times New Roman"/>
        </w:rPr>
        <w:t>3.78</w:t>
      </w:r>
      <w:r w:rsidR="00E71BA0" w:rsidRPr="00065FE0">
        <w:rPr>
          <w:rFonts w:ascii="Times New Roman" w:hAnsi="Times New Roman" w:cs="Times New Roman"/>
        </w:rPr>
        <w:t xml:space="preserve"> mmol) </w:t>
      </w:r>
      <w:r w:rsidR="00CC5092" w:rsidRPr="00065FE0">
        <w:rPr>
          <w:rFonts w:ascii="Times New Roman" w:hAnsi="Times New Roman" w:cs="Times New Roman"/>
        </w:rPr>
        <w:t xml:space="preserve">with </w:t>
      </w:r>
      <w:r w:rsidR="00CC5092" w:rsidRPr="00065FE0">
        <w:rPr>
          <w:rFonts w:ascii="Times New Roman" w:hAnsi="Times New Roman" w:cs="Times New Roman"/>
          <w:i/>
          <w:iCs/>
        </w:rPr>
        <w:t>L</w:t>
      </w:r>
      <w:r w:rsidR="00CC5092" w:rsidRPr="00065FE0">
        <w:rPr>
          <w:rFonts w:ascii="Times New Roman" w:hAnsi="Times New Roman" w:cs="Times New Roman"/>
        </w:rPr>
        <w:t xml:space="preserve">-tryptophan methyl ester </w:t>
      </w:r>
      <w:r w:rsidR="00E70D06" w:rsidRPr="00065FE0">
        <w:rPr>
          <w:rFonts w:ascii="Times New Roman" w:hAnsi="Times New Roman" w:cs="Times New Roman"/>
          <w:b/>
          <w:bCs/>
        </w:rPr>
        <w:t>(ii)</w:t>
      </w:r>
      <w:r w:rsidR="00CC5092" w:rsidRPr="00065FE0">
        <w:rPr>
          <w:rFonts w:ascii="Times New Roman" w:hAnsi="Times New Roman" w:cs="Times New Roman"/>
        </w:rPr>
        <w:t xml:space="preserve"> (</w:t>
      </w:r>
      <w:r w:rsidR="00CA5565" w:rsidRPr="00065FE0">
        <w:rPr>
          <w:rFonts w:ascii="Times New Roman" w:hAnsi="Times New Roman" w:cs="Times New Roman"/>
        </w:rPr>
        <w:t>0.96</w:t>
      </w:r>
      <w:r w:rsidR="00CC5092" w:rsidRPr="00065FE0">
        <w:rPr>
          <w:rFonts w:ascii="Times New Roman" w:hAnsi="Times New Roman" w:cs="Times New Roman"/>
        </w:rPr>
        <w:t xml:space="preserve"> g, </w:t>
      </w:r>
      <w:r w:rsidR="00CA5565" w:rsidRPr="00065FE0">
        <w:rPr>
          <w:rFonts w:ascii="Times New Roman" w:hAnsi="Times New Roman" w:cs="Times New Roman"/>
        </w:rPr>
        <w:t>3.78</w:t>
      </w:r>
      <w:r w:rsidR="00CC5092" w:rsidRPr="00065FE0">
        <w:rPr>
          <w:rFonts w:ascii="Times New Roman" w:hAnsi="Times New Roman" w:cs="Times New Roman"/>
        </w:rPr>
        <w:t xml:space="preserve"> mmol) and of potassium carbonate</w:t>
      </w:r>
      <w:r w:rsidR="00BC5121" w:rsidRPr="00065FE0">
        <w:rPr>
          <w:rFonts w:ascii="Times New Roman" w:hAnsi="Times New Roman" w:cs="Times New Roman"/>
        </w:rPr>
        <w:t xml:space="preserve"> (</w:t>
      </w:r>
      <w:r w:rsidR="00CA5565" w:rsidRPr="00065FE0">
        <w:rPr>
          <w:rFonts w:ascii="Times New Roman" w:hAnsi="Times New Roman" w:cs="Times New Roman"/>
        </w:rPr>
        <w:t>1.3 g, 9.45 mmol</w:t>
      </w:r>
      <w:r w:rsidR="00BC5121" w:rsidRPr="00065FE0">
        <w:rPr>
          <w:rFonts w:ascii="Times New Roman" w:hAnsi="Times New Roman" w:cs="Times New Roman"/>
        </w:rPr>
        <w:t>) on 50 mL of acetonitrile was</w:t>
      </w:r>
      <w:r w:rsidR="00E71BA0" w:rsidRPr="00065FE0">
        <w:rPr>
          <w:rFonts w:ascii="Times New Roman" w:hAnsi="Times New Roman" w:cs="Times New Roman"/>
        </w:rPr>
        <w:t xml:space="preserve"> added and refluxed at </w:t>
      </w:r>
      <w:r w:rsidR="00BC5121" w:rsidRPr="00065FE0">
        <w:rPr>
          <w:rFonts w:ascii="Times New Roman" w:hAnsi="Times New Roman" w:cs="Times New Roman"/>
        </w:rPr>
        <w:t>85</w:t>
      </w:r>
      <w:r w:rsidR="00E71BA0" w:rsidRPr="00065FE0">
        <w:rPr>
          <w:rFonts w:ascii="Times New Roman" w:hAnsi="Times New Roman" w:cs="Times New Roman"/>
        </w:rPr>
        <w:t xml:space="preserve"> °C for </w:t>
      </w:r>
      <w:r w:rsidR="00BC5121" w:rsidRPr="00065FE0">
        <w:rPr>
          <w:rFonts w:ascii="Times New Roman" w:hAnsi="Times New Roman" w:cs="Times New Roman"/>
        </w:rPr>
        <w:t>6</w:t>
      </w:r>
      <w:r w:rsidR="00E71BA0" w:rsidRPr="00065FE0">
        <w:rPr>
          <w:rFonts w:ascii="Times New Roman" w:hAnsi="Times New Roman" w:cs="Times New Roman"/>
        </w:rPr>
        <w:t xml:space="preserve"> h. </w:t>
      </w:r>
      <w:bookmarkStart w:id="6" w:name="_Hlk198147442"/>
      <w:r w:rsidR="00ED0475" w:rsidRPr="00065FE0">
        <w:rPr>
          <w:rFonts w:ascii="Times New Roman" w:hAnsi="Times New Roman" w:cs="Times New Roman"/>
        </w:rPr>
        <w:t xml:space="preserve">Reaction mixture was filtered and concentrated and purified by </w:t>
      </w:r>
      <w:proofErr w:type="spellStart"/>
      <w:r w:rsidR="00ED0475" w:rsidRPr="00065FE0">
        <w:rPr>
          <w:rFonts w:ascii="Times New Roman" w:hAnsi="Times New Roman" w:cs="Times New Roman"/>
        </w:rPr>
        <w:t>Isolera</w:t>
      </w:r>
      <w:proofErr w:type="spellEnd"/>
      <w:r w:rsidR="00ED0475" w:rsidRPr="00065FE0">
        <w:rPr>
          <w:rFonts w:ascii="Times New Roman" w:hAnsi="Times New Roman" w:cs="Times New Roman"/>
        </w:rPr>
        <w:t xml:space="preserve"> One </w:t>
      </w:r>
      <w:proofErr w:type="spellStart"/>
      <w:r w:rsidR="00ED0475" w:rsidRPr="00065FE0">
        <w:rPr>
          <w:rFonts w:ascii="Times New Roman" w:hAnsi="Times New Roman" w:cs="Times New Roman"/>
        </w:rPr>
        <w:t>Biotage</w:t>
      </w:r>
      <w:proofErr w:type="spellEnd"/>
      <w:r w:rsidR="00ED0475" w:rsidRPr="00065FE0">
        <w:rPr>
          <w:rFonts w:ascii="Times New Roman" w:hAnsi="Times New Roman" w:cs="Times New Roman"/>
        </w:rPr>
        <w:t xml:space="preserve"> device with a </w:t>
      </w:r>
      <w:proofErr w:type="spellStart"/>
      <w:r w:rsidR="00ED0475" w:rsidRPr="00065FE0">
        <w:rPr>
          <w:rFonts w:ascii="Times New Roman" w:hAnsi="Times New Roman" w:cs="Times New Roman"/>
        </w:rPr>
        <w:t>AcOEt</w:t>
      </w:r>
      <w:proofErr w:type="spellEnd"/>
      <w:r w:rsidR="00ED0475" w:rsidRPr="00065FE0">
        <w:rPr>
          <w:rFonts w:ascii="Times New Roman" w:hAnsi="Times New Roman" w:cs="Times New Roman"/>
        </w:rPr>
        <w:t>/</w:t>
      </w:r>
      <w:proofErr w:type="spellStart"/>
      <w:r w:rsidR="00ED0475" w:rsidRPr="00065FE0">
        <w:rPr>
          <w:rFonts w:ascii="Times New Roman" w:hAnsi="Times New Roman" w:cs="Times New Roman"/>
        </w:rPr>
        <w:t>Hx</w:t>
      </w:r>
      <w:proofErr w:type="spellEnd"/>
      <w:r w:rsidR="00ED0475" w:rsidRPr="00065FE0">
        <w:rPr>
          <w:rFonts w:ascii="Times New Roman" w:hAnsi="Times New Roman" w:cs="Times New Roman"/>
        </w:rPr>
        <w:t xml:space="preserve"> 1:1 mobile phase and </w:t>
      </w:r>
      <w:proofErr w:type="spellStart"/>
      <w:r w:rsidR="00ED0475" w:rsidRPr="00065FE0">
        <w:rPr>
          <w:rFonts w:ascii="Times New Roman" w:hAnsi="Times New Roman" w:cs="Times New Roman"/>
        </w:rPr>
        <w:t>Biotage</w:t>
      </w:r>
      <w:proofErr w:type="spellEnd"/>
      <w:r w:rsidR="00ED0475" w:rsidRPr="00065FE0">
        <w:rPr>
          <w:rFonts w:ascii="Times New Roman" w:hAnsi="Times New Roman" w:cs="Times New Roman"/>
        </w:rPr>
        <w:t xml:space="preserve"> SNAP Cartridge, silica, 10 g </w:t>
      </w:r>
      <w:bookmarkEnd w:id="6"/>
      <w:r w:rsidR="00ED0475" w:rsidRPr="00065FE0">
        <w:rPr>
          <w:rFonts w:ascii="Times New Roman" w:hAnsi="Times New Roman" w:cs="Times New Roman"/>
        </w:rPr>
        <w:t xml:space="preserve">to afford isoindoline compound </w:t>
      </w:r>
      <w:r w:rsidR="003B60A1" w:rsidRPr="00065FE0">
        <w:rPr>
          <w:rFonts w:ascii="Times New Roman" w:hAnsi="Times New Roman" w:cs="Times New Roman"/>
          <w:b/>
          <w:bCs/>
        </w:rPr>
        <w:t>1</w:t>
      </w:r>
      <w:r w:rsidR="00E71BA0" w:rsidRPr="00065FE0">
        <w:rPr>
          <w:rFonts w:ascii="Times New Roman" w:hAnsi="Times New Roman" w:cs="Times New Roman"/>
          <w:b/>
          <w:bCs/>
        </w:rPr>
        <w:t xml:space="preserve"> </w:t>
      </w:r>
      <w:r w:rsidR="00E71BA0" w:rsidRPr="00065FE0">
        <w:rPr>
          <w:rFonts w:ascii="Times New Roman" w:hAnsi="Times New Roman" w:cs="Times New Roman"/>
        </w:rPr>
        <w:t xml:space="preserve">as </w:t>
      </w:r>
      <w:bookmarkStart w:id="7" w:name="_Hlk187406533"/>
      <w:r w:rsidRPr="00065FE0">
        <w:rPr>
          <w:rFonts w:ascii="Times New Roman" w:hAnsi="Times New Roman" w:cs="Times New Roman"/>
        </w:rPr>
        <w:t>brown</w:t>
      </w:r>
      <w:r w:rsidR="00E71BA0" w:rsidRPr="00065FE0">
        <w:rPr>
          <w:rFonts w:ascii="Times New Roman" w:hAnsi="Times New Roman" w:cs="Times New Roman"/>
        </w:rPr>
        <w:t xml:space="preserve"> solid (</w:t>
      </w:r>
      <w:r w:rsidR="00A95F75" w:rsidRPr="00065FE0">
        <w:rPr>
          <w:rFonts w:ascii="Times New Roman" w:hAnsi="Times New Roman" w:cs="Times New Roman"/>
        </w:rPr>
        <w:t>0.72 g; 75%</w:t>
      </w:r>
      <w:r w:rsidR="00E71BA0" w:rsidRPr="00065FE0">
        <w:rPr>
          <w:rFonts w:ascii="Times New Roman" w:hAnsi="Times New Roman" w:cs="Times New Roman"/>
        </w:rPr>
        <w:t>).</w:t>
      </w:r>
      <w:bookmarkEnd w:id="7"/>
      <w:r w:rsidR="009F6A5B" w:rsidRPr="00065FE0">
        <w:rPr>
          <w:rFonts w:ascii="Times New Roman" w:hAnsi="Times New Roman" w:cs="Times New Roman"/>
        </w:rPr>
        <w:t xml:space="preserve"> </w:t>
      </w:r>
    </w:p>
    <w:p w14:paraId="37535B84" w14:textId="13DD3A71" w:rsidR="0084192B" w:rsidRPr="00065FE0" w:rsidRDefault="00E71BA0" w:rsidP="0084192B">
      <w:pPr>
        <w:spacing w:line="480" w:lineRule="auto"/>
        <w:rPr>
          <w:rFonts w:ascii="Times New Roman" w:hAnsi="Times New Roman" w:cs="Times New Roman"/>
          <w:iCs/>
        </w:rPr>
      </w:pPr>
      <w:bookmarkStart w:id="8" w:name="_Hlk198147649"/>
      <w:bookmarkStart w:id="9" w:name="_Hlk187406419"/>
      <w:r w:rsidRPr="00065FE0">
        <w:rPr>
          <w:rFonts w:ascii="Times New Roman" w:hAnsi="Times New Roman" w:cs="Times New Roman"/>
          <w:b/>
          <w:vertAlign w:val="superscript"/>
        </w:rPr>
        <w:t>1</w:t>
      </w:r>
      <w:r w:rsidRPr="00065FE0">
        <w:rPr>
          <w:rFonts w:ascii="Times New Roman" w:hAnsi="Times New Roman" w:cs="Times New Roman"/>
          <w:b/>
        </w:rPr>
        <w:t>H NMR (</w:t>
      </w:r>
      <w:r w:rsidR="0084192B" w:rsidRPr="00065FE0">
        <w:rPr>
          <w:rFonts w:ascii="Times New Roman" w:hAnsi="Times New Roman" w:cs="Times New Roman"/>
          <w:b/>
        </w:rPr>
        <w:t>5</w:t>
      </w:r>
      <w:r w:rsidRPr="00065FE0">
        <w:rPr>
          <w:rFonts w:ascii="Times New Roman" w:hAnsi="Times New Roman" w:cs="Times New Roman"/>
          <w:b/>
        </w:rPr>
        <w:t xml:space="preserve">00 MHz, </w:t>
      </w:r>
      <w:r w:rsidR="000F3F3B" w:rsidRPr="00065FE0">
        <w:rPr>
          <w:rFonts w:ascii="Times New Roman" w:hAnsi="Times New Roman" w:cs="Times New Roman"/>
          <w:b/>
        </w:rPr>
        <w:t>CDCl</w:t>
      </w:r>
      <w:r w:rsidR="000F3F3B" w:rsidRPr="00065FE0">
        <w:rPr>
          <w:rFonts w:ascii="Times New Roman" w:hAnsi="Times New Roman" w:cs="Times New Roman"/>
          <w:b/>
          <w:vertAlign w:val="subscript"/>
        </w:rPr>
        <w:t>3</w:t>
      </w:r>
      <w:r w:rsidRPr="00065FE0">
        <w:rPr>
          <w:rFonts w:ascii="Times New Roman" w:hAnsi="Times New Roman" w:cs="Times New Roman"/>
          <w:b/>
        </w:rPr>
        <w:t>-</w:t>
      </w:r>
      <w:r w:rsidRPr="00065FE0">
        <w:rPr>
          <w:rFonts w:ascii="Times New Roman" w:hAnsi="Times New Roman" w:cs="Times New Roman"/>
          <w:b/>
          <w:i/>
          <w:iCs/>
        </w:rPr>
        <w:t>d</w:t>
      </w:r>
      <w:r w:rsidRPr="00065FE0">
        <w:rPr>
          <w:rFonts w:ascii="Times New Roman" w:hAnsi="Times New Roman" w:cs="Times New Roman"/>
          <w:b/>
        </w:rPr>
        <w:t>):</w:t>
      </w:r>
      <w:r w:rsidRPr="00065FE0">
        <w:rPr>
          <w:rFonts w:ascii="Times New Roman" w:hAnsi="Times New Roman" w:cs="Times New Roman"/>
        </w:rPr>
        <w:t xml:space="preserve"> </w:t>
      </w:r>
      <w:r w:rsidR="008F6AA8" w:rsidRPr="00065FE0">
        <w:rPr>
          <w:rFonts w:ascii="Times New Roman" w:hAnsi="Times New Roman" w:cs="Times New Roman"/>
          <w:i/>
        </w:rPr>
        <w:t>δ</w:t>
      </w:r>
      <w:r w:rsidR="003252DF" w:rsidRPr="00065FE0">
        <w:rPr>
          <w:rFonts w:ascii="Times New Roman" w:hAnsi="Times New Roman" w:cs="Times New Roman"/>
          <w:i/>
        </w:rPr>
        <w:t xml:space="preserve"> </w:t>
      </w:r>
      <w:r w:rsidR="003252DF" w:rsidRPr="00065FE0">
        <w:rPr>
          <w:rFonts w:ascii="Times New Roman" w:hAnsi="Times New Roman" w:cs="Times New Roman"/>
          <w:iCs/>
        </w:rPr>
        <w:t>7.20 (s, 4H), 7.09 – 7.04 (m, 2H), 6.71 – 6.65 (m, 2H), 4.29 – 4.21 (m, 3H), 4.18 – 4.10 (m, 2H), 3.75 (dd, J = 8.7, 6.6 Hz, 1H), 3.61 (s, 3H), 3.12 – 3.03 (m, 2H).</w:t>
      </w:r>
    </w:p>
    <w:bookmarkEnd w:id="8"/>
    <w:p w14:paraId="5886EFD8" w14:textId="5FB23FD7" w:rsidR="0084192B" w:rsidRPr="00065FE0" w:rsidRDefault="00E71BA0" w:rsidP="0084192B">
      <w:pPr>
        <w:pStyle w:val="NormalWeb"/>
        <w:spacing w:before="0" w:beforeAutospacing="0" w:after="240" w:afterAutospacing="0" w:line="480" w:lineRule="auto"/>
        <w:jc w:val="both"/>
        <w:rPr>
          <w:sz w:val="22"/>
          <w:szCs w:val="22"/>
        </w:rPr>
      </w:pPr>
      <w:r w:rsidRPr="00065FE0">
        <w:rPr>
          <w:b/>
          <w:sz w:val="22"/>
          <w:szCs w:val="22"/>
          <w:vertAlign w:val="superscript"/>
        </w:rPr>
        <w:t>13</w:t>
      </w:r>
      <w:r w:rsidRPr="00065FE0">
        <w:rPr>
          <w:b/>
          <w:sz w:val="22"/>
          <w:szCs w:val="22"/>
        </w:rPr>
        <w:t>C NMR (1</w:t>
      </w:r>
      <w:r w:rsidR="000F3F3B" w:rsidRPr="00065FE0">
        <w:rPr>
          <w:b/>
          <w:sz w:val="22"/>
          <w:szCs w:val="22"/>
        </w:rPr>
        <w:t>26</w:t>
      </w:r>
      <w:r w:rsidRPr="00065FE0">
        <w:rPr>
          <w:b/>
          <w:sz w:val="22"/>
          <w:szCs w:val="22"/>
        </w:rPr>
        <w:t xml:space="preserve"> MHz, </w:t>
      </w:r>
      <w:r w:rsidR="000F3F3B" w:rsidRPr="00065FE0">
        <w:rPr>
          <w:b/>
          <w:sz w:val="22"/>
          <w:szCs w:val="22"/>
        </w:rPr>
        <w:t>CDCl</w:t>
      </w:r>
      <w:r w:rsidR="000F3F3B" w:rsidRPr="00065FE0">
        <w:rPr>
          <w:b/>
          <w:sz w:val="22"/>
          <w:szCs w:val="22"/>
          <w:vertAlign w:val="subscript"/>
        </w:rPr>
        <w:t>3</w:t>
      </w:r>
      <w:r w:rsidRPr="00065FE0">
        <w:rPr>
          <w:b/>
          <w:sz w:val="22"/>
          <w:szCs w:val="22"/>
        </w:rPr>
        <w:t>-</w:t>
      </w:r>
      <w:r w:rsidRPr="00065FE0">
        <w:rPr>
          <w:b/>
          <w:i/>
          <w:iCs/>
          <w:sz w:val="22"/>
          <w:szCs w:val="22"/>
        </w:rPr>
        <w:t>d</w:t>
      </w:r>
      <w:r w:rsidRPr="00065FE0">
        <w:rPr>
          <w:b/>
          <w:sz w:val="22"/>
          <w:szCs w:val="22"/>
        </w:rPr>
        <w:t>):</w:t>
      </w:r>
      <w:r w:rsidRPr="00065FE0">
        <w:rPr>
          <w:i/>
          <w:sz w:val="22"/>
          <w:szCs w:val="22"/>
        </w:rPr>
        <w:t xml:space="preserve"> δ</w:t>
      </w:r>
      <w:r w:rsidRPr="00065FE0">
        <w:rPr>
          <w:sz w:val="22"/>
          <w:szCs w:val="22"/>
        </w:rPr>
        <w:t xml:space="preserve"> </w:t>
      </w:r>
      <w:r w:rsidR="008F6AA8" w:rsidRPr="00065FE0">
        <w:rPr>
          <w:sz w:val="22"/>
          <w:szCs w:val="22"/>
        </w:rPr>
        <w:t>173.09, 139.35, 136.13, 127.42, 126.85, 123.12, 122.69, 122.43, 121.95, 119.35, 118.54, 111.51, 111.24,</w:t>
      </w:r>
      <w:r w:rsidR="00F145D6" w:rsidRPr="00065FE0">
        <w:rPr>
          <w:sz w:val="22"/>
          <w:szCs w:val="22"/>
        </w:rPr>
        <w:t xml:space="preserve"> </w:t>
      </w:r>
      <w:r w:rsidR="008F6AA8" w:rsidRPr="00065FE0">
        <w:rPr>
          <w:sz w:val="22"/>
          <w:szCs w:val="22"/>
        </w:rPr>
        <w:t>77.34, 77.08, 76.83, 65.97, 55.68, 51.44, 27.00.</w:t>
      </w:r>
    </w:p>
    <w:p w14:paraId="45B7F2A8" w14:textId="54520863" w:rsidR="00F2234B" w:rsidRPr="00065FE0" w:rsidRDefault="00E71BA0" w:rsidP="0084192B">
      <w:pPr>
        <w:pStyle w:val="NormalWeb"/>
        <w:spacing w:before="0" w:beforeAutospacing="0" w:after="240" w:afterAutospacing="0" w:line="480" w:lineRule="auto"/>
        <w:jc w:val="both"/>
        <w:rPr>
          <w:sz w:val="22"/>
          <w:szCs w:val="22"/>
        </w:rPr>
      </w:pPr>
      <w:r w:rsidRPr="00065FE0">
        <w:rPr>
          <w:sz w:val="22"/>
          <w:szCs w:val="22"/>
        </w:rPr>
        <w:t xml:space="preserve"> </w:t>
      </w:r>
      <w:r w:rsidRPr="00065FE0">
        <w:rPr>
          <w:b/>
          <w:sz w:val="22"/>
          <w:szCs w:val="22"/>
        </w:rPr>
        <w:t>MS (ESI</w:t>
      </w:r>
      <w:r w:rsidR="00A95F75" w:rsidRPr="00065FE0">
        <w:rPr>
          <w:b/>
          <w:sz w:val="22"/>
          <w:szCs w:val="22"/>
        </w:rPr>
        <w:t>)</w:t>
      </w:r>
      <w:r w:rsidRPr="00065FE0">
        <w:rPr>
          <w:b/>
          <w:sz w:val="22"/>
          <w:szCs w:val="22"/>
        </w:rPr>
        <w:t xml:space="preserve"> (m/z)</w:t>
      </w:r>
      <w:r w:rsidRPr="00065FE0">
        <w:rPr>
          <w:sz w:val="22"/>
          <w:szCs w:val="22"/>
        </w:rPr>
        <w:t>: [M + H]</w:t>
      </w:r>
      <w:r w:rsidRPr="00065FE0">
        <w:rPr>
          <w:sz w:val="22"/>
          <w:szCs w:val="22"/>
          <w:vertAlign w:val="superscript"/>
        </w:rPr>
        <w:t>+</w:t>
      </w:r>
      <w:r w:rsidRPr="00065FE0">
        <w:rPr>
          <w:sz w:val="22"/>
          <w:szCs w:val="22"/>
        </w:rPr>
        <w:t xml:space="preserve"> </w:t>
      </w:r>
      <w:bookmarkStart w:id="10" w:name="_Hlk198147705"/>
      <w:r w:rsidRPr="00065FE0">
        <w:rPr>
          <w:sz w:val="22"/>
          <w:szCs w:val="22"/>
        </w:rPr>
        <w:t>calc</w:t>
      </w:r>
      <w:r w:rsidR="00C359E6" w:rsidRPr="00065FE0">
        <w:rPr>
          <w:sz w:val="22"/>
          <w:szCs w:val="22"/>
        </w:rPr>
        <w:t>ulate</w:t>
      </w:r>
      <w:r w:rsidRPr="00065FE0">
        <w:rPr>
          <w:sz w:val="22"/>
          <w:szCs w:val="22"/>
        </w:rPr>
        <w:t>d for</w:t>
      </w:r>
      <w:bookmarkEnd w:id="9"/>
      <w:r w:rsidR="00895DEC" w:rsidRPr="00065FE0">
        <w:rPr>
          <w:sz w:val="22"/>
          <w:szCs w:val="22"/>
        </w:rPr>
        <w:t xml:space="preserve"> 320.2</w:t>
      </w:r>
      <w:bookmarkEnd w:id="10"/>
    </w:p>
    <w:p w14:paraId="3CE4F285" w14:textId="10E3B3F9" w:rsidR="00F2234B" w:rsidRPr="00065FE0" w:rsidRDefault="00E71BA0" w:rsidP="00065FE0">
      <w:pPr>
        <w:pStyle w:val="Heading2"/>
        <w:rPr>
          <w:rFonts w:eastAsia="Times New Roman"/>
          <w:bCs/>
          <w:lang w:val="en-US"/>
        </w:rPr>
      </w:pPr>
      <w:bookmarkStart w:id="11" w:name="_Toc199426739"/>
      <w:r w:rsidRPr="00065FE0">
        <w:rPr>
          <w:lang w:val="en-US"/>
        </w:rPr>
        <w:t xml:space="preserve">Synthesis of </w:t>
      </w:r>
      <w:bookmarkStart w:id="12" w:name="_Hlk198147791"/>
      <w:r w:rsidR="00BC1AC8" w:rsidRPr="00065FE0">
        <w:rPr>
          <w:lang w:val="en-US"/>
        </w:rPr>
        <w:t>methyl (</w:t>
      </w:r>
      <w:r w:rsidR="00BC1AC8" w:rsidRPr="00065FE0">
        <w:rPr>
          <w:i/>
          <w:iCs/>
          <w:lang w:val="en-US"/>
        </w:rPr>
        <w:t>S</w:t>
      </w:r>
      <w:r w:rsidR="00BC1AC8" w:rsidRPr="00065FE0">
        <w:rPr>
          <w:lang w:val="en-US"/>
        </w:rPr>
        <w:t xml:space="preserve">)-3-(4-hydroxyphenyl)-2-(isoindolin-2-yl) propanoate </w:t>
      </w:r>
      <w:bookmarkEnd w:id="12"/>
      <w:r w:rsidR="00F2234B" w:rsidRPr="00065FE0">
        <w:rPr>
          <w:rFonts w:eastAsia="Times New Roman"/>
          <w:bCs/>
          <w:lang w:val="en-US"/>
        </w:rPr>
        <w:t>(</w:t>
      </w:r>
      <w:r w:rsidR="00E70D06" w:rsidRPr="00065FE0">
        <w:rPr>
          <w:rFonts w:eastAsia="Times New Roman"/>
          <w:bCs/>
          <w:lang w:val="en-US"/>
        </w:rPr>
        <w:t>2</w:t>
      </w:r>
      <w:r w:rsidR="00F2234B" w:rsidRPr="00065FE0">
        <w:rPr>
          <w:rFonts w:eastAsia="Times New Roman"/>
          <w:bCs/>
          <w:lang w:val="en-US"/>
        </w:rPr>
        <w:t>)</w:t>
      </w:r>
      <w:bookmarkEnd w:id="11"/>
    </w:p>
    <w:p w14:paraId="766760E7" w14:textId="5ECFC814" w:rsidR="00EC7767" w:rsidRPr="00065FE0" w:rsidRDefault="007975B2" w:rsidP="00493098">
      <w:pPr>
        <w:autoSpaceDE w:val="0"/>
        <w:autoSpaceDN w:val="0"/>
        <w:adjustRightInd w:val="0"/>
        <w:spacing w:before="240" w:after="0" w:line="480" w:lineRule="auto"/>
        <w:jc w:val="center"/>
        <w:rPr>
          <w:rFonts w:ascii="Times New Roman" w:hAnsi="Times New Roman" w:cs="Times New Roman"/>
          <w:highlight w:val="yellow"/>
        </w:rPr>
      </w:pPr>
      <w:r w:rsidRPr="00065FE0">
        <w:rPr>
          <w:rFonts w:ascii="Times New Roman" w:hAnsi="Times New Roman" w:cs="Times New Roman"/>
          <w:noProof/>
        </w:rPr>
        <w:object w:dxaOrig="6799" w:dyaOrig="2155" w14:anchorId="641555E2">
          <v:shape id="_x0000_i1025" type="#_x0000_t75" alt="" style="width:337.7pt;height:107.3pt;mso-width-percent:0;mso-height-percent:0;mso-width-percent:0;mso-height-percent:0" o:ole="">
            <v:imagedata r:id="rId16" o:title=""/>
          </v:shape>
          <o:OLEObject Type="Embed" ProgID="ChemDraw_x64.Document.6.0" ShapeID="_x0000_i1025" DrawAspect="Content" ObjectID="_1812561881" r:id="rId17"/>
        </w:object>
      </w:r>
    </w:p>
    <w:p w14:paraId="0E69DC8A" w14:textId="0631A8E8" w:rsidR="00BC5121" w:rsidRPr="00065FE0" w:rsidRDefault="00BC5121" w:rsidP="00BC5121">
      <w:pPr>
        <w:autoSpaceDE w:val="0"/>
        <w:autoSpaceDN w:val="0"/>
        <w:adjustRightInd w:val="0"/>
        <w:spacing w:line="480" w:lineRule="auto"/>
        <w:jc w:val="both"/>
        <w:rPr>
          <w:rFonts w:ascii="Times New Roman" w:hAnsi="Times New Roman" w:cs="Times New Roman"/>
        </w:rPr>
      </w:pPr>
      <w:bookmarkStart w:id="13" w:name="_Hlk187406499"/>
      <w:r w:rsidRPr="00065FE0">
        <w:rPr>
          <w:rFonts w:ascii="Times New Roman" w:hAnsi="Times New Roman" w:cs="Times New Roman"/>
        </w:rPr>
        <w:t>α, α’-dibromo-</w:t>
      </w:r>
      <w:r w:rsidRPr="00065FE0">
        <w:rPr>
          <w:rFonts w:ascii="Times New Roman" w:hAnsi="Times New Roman" w:cs="Times New Roman"/>
          <w:i/>
          <w:iCs/>
        </w:rPr>
        <w:t>ο</w:t>
      </w:r>
      <w:r w:rsidRPr="00065FE0">
        <w:rPr>
          <w:rFonts w:ascii="Times New Roman" w:hAnsi="Times New Roman" w:cs="Times New Roman"/>
        </w:rPr>
        <w:t xml:space="preserve">-xylene </w:t>
      </w:r>
      <w:r w:rsidR="00E70D06" w:rsidRPr="00065FE0">
        <w:rPr>
          <w:rFonts w:ascii="Times New Roman" w:hAnsi="Times New Roman" w:cs="Times New Roman"/>
          <w:b/>
          <w:bCs/>
        </w:rPr>
        <w:t>(</w:t>
      </w:r>
      <w:proofErr w:type="spellStart"/>
      <w:r w:rsidR="00E70D06" w:rsidRPr="00065FE0">
        <w:rPr>
          <w:rFonts w:ascii="Times New Roman" w:hAnsi="Times New Roman" w:cs="Times New Roman"/>
          <w:b/>
          <w:bCs/>
        </w:rPr>
        <w:t>i</w:t>
      </w:r>
      <w:proofErr w:type="spellEnd"/>
      <w:r w:rsidR="00E70D06" w:rsidRPr="00065FE0">
        <w:rPr>
          <w:rFonts w:ascii="Times New Roman" w:hAnsi="Times New Roman" w:cs="Times New Roman"/>
          <w:b/>
          <w:bCs/>
        </w:rPr>
        <w:t>)</w:t>
      </w:r>
      <w:r w:rsidRPr="00065FE0">
        <w:rPr>
          <w:rFonts w:ascii="Times New Roman" w:hAnsi="Times New Roman" w:cs="Times New Roman"/>
          <w:b/>
          <w:bCs/>
        </w:rPr>
        <w:t xml:space="preserve"> </w:t>
      </w:r>
      <w:r w:rsidRPr="00065FE0">
        <w:rPr>
          <w:rFonts w:ascii="Times New Roman" w:hAnsi="Times New Roman" w:cs="Times New Roman"/>
        </w:rPr>
        <w:t>(</w:t>
      </w:r>
      <w:r w:rsidR="00CA5565" w:rsidRPr="00065FE0">
        <w:rPr>
          <w:rFonts w:ascii="Times New Roman" w:hAnsi="Times New Roman" w:cs="Times New Roman"/>
        </w:rPr>
        <w:t>0.5</w:t>
      </w:r>
      <w:r w:rsidRPr="00065FE0">
        <w:rPr>
          <w:rFonts w:ascii="Times New Roman" w:hAnsi="Times New Roman" w:cs="Times New Roman"/>
        </w:rPr>
        <w:t xml:space="preserve"> g, </w:t>
      </w:r>
      <w:r w:rsidR="00CA5565" w:rsidRPr="00065FE0">
        <w:rPr>
          <w:rFonts w:ascii="Times New Roman" w:hAnsi="Times New Roman" w:cs="Times New Roman"/>
        </w:rPr>
        <w:t>1.90</w:t>
      </w:r>
      <w:r w:rsidRPr="00065FE0">
        <w:rPr>
          <w:rFonts w:ascii="Times New Roman" w:hAnsi="Times New Roman" w:cs="Times New Roman"/>
        </w:rPr>
        <w:t xml:space="preserve"> mmol) with </w:t>
      </w:r>
      <w:r w:rsidRPr="00065FE0">
        <w:rPr>
          <w:rFonts w:ascii="Times New Roman" w:hAnsi="Times New Roman" w:cs="Times New Roman"/>
          <w:i/>
          <w:iCs/>
        </w:rPr>
        <w:t>L</w:t>
      </w:r>
      <w:r w:rsidRPr="00065FE0">
        <w:rPr>
          <w:rFonts w:ascii="Times New Roman" w:hAnsi="Times New Roman" w:cs="Times New Roman"/>
        </w:rPr>
        <w:t>-tyrosine methyl ester</w:t>
      </w:r>
      <w:r w:rsidR="00E70D06" w:rsidRPr="00065FE0">
        <w:rPr>
          <w:rFonts w:ascii="Times New Roman" w:hAnsi="Times New Roman" w:cs="Times New Roman"/>
        </w:rPr>
        <w:t xml:space="preserve"> </w:t>
      </w:r>
      <w:r w:rsidR="00E70D06" w:rsidRPr="00065FE0">
        <w:rPr>
          <w:rFonts w:ascii="Times New Roman" w:hAnsi="Times New Roman" w:cs="Times New Roman"/>
          <w:b/>
          <w:bCs/>
        </w:rPr>
        <w:t>(ii)</w:t>
      </w:r>
      <w:r w:rsidRPr="00065FE0">
        <w:rPr>
          <w:rFonts w:ascii="Times New Roman" w:hAnsi="Times New Roman" w:cs="Times New Roman"/>
        </w:rPr>
        <w:t xml:space="preserve"> (</w:t>
      </w:r>
      <w:r w:rsidR="00CA5565" w:rsidRPr="00065FE0">
        <w:rPr>
          <w:rFonts w:ascii="Times New Roman" w:hAnsi="Times New Roman" w:cs="Times New Roman"/>
        </w:rPr>
        <w:t xml:space="preserve">0.44 </w:t>
      </w:r>
      <w:r w:rsidRPr="00065FE0">
        <w:rPr>
          <w:rFonts w:ascii="Times New Roman" w:hAnsi="Times New Roman" w:cs="Times New Roman"/>
        </w:rPr>
        <w:t xml:space="preserve">g, </w:t>
      </w:r>
      <w:r w:rsidR="00CA5565" w:rsidRPr="00065FE0">
        <w:rPr>
          <w:rFonts w:ascii="Times New Roman" w:hAnsi="Times New Roman" w:cs="Times New Roman"/>
        </w:rPr>
        <w:t>1.90</w:t>
      </w:r>
      <w:r w:rsidRPr="00065FE0">
        <w:rPr>
          <w:rFonts w:ascii="Times New Roman" w:hAnsi="Times New Roman" w:cs="Times New Roman"/>
        </w:rPr>
        <w:t xml:space="preserve"> mmol) and of potassium carbonate (</w:t>
      </w:r>
      <w:r w:rsidR="00CA5565" w:rsidRPr="00065FE0">
        <w:rPr>
          <w:rFonts w:ascii="Times New Roman" w:hAnsi="Times New Roman" w:cs="Times New Roman"/>
        </w:rPr>
        <w:t>0.65 g, 4.75 mmol</w:t>
      </w:r>
      <w:r w:rsidRPr="00065FE0">
        <w:rPr>
          <w:rFonts w:ascii="Times New Roman" w:hAnsi="Times New Roman" w:cs="Times New Roman"/>
        </w:rPr>
        <w:t xml:space="preserve">) on 50 mL of acetonitrile was added and refluxed at </w:t>
      </w:r>
      <w:r w:rsidRPr="00065FE0">
        <w:rPr>
          <w:rFonts w:ascii="Times New Roman" w:hAnsi="Times New Roman" w:cs="Times New Roman"/>
        </w:rPr>
        <w:lastRenderedPageBreak/>
        <w:t>85 °C for 6 h. Reaction mixture was filtered and concentrated and purified by</w:t>
      </w:r>
      <w:r w:rsidR="00592C4C" w:rsidRPr="00065FE0">
        <w:rPr>
          <w:rFonts w:ascii="Times New Roman" w:hAnsi="Times New Roman" w:cs="Times New Roman"/>
        </w:rPr>
        <w:t xml:space="preserve"> </w:t>
      </w:r>
      <w:proofErr w:type="spellStart"/>
      <w:r w:rsidR="00592C4C" w:rsidRPr="00065FE0">
        <w:rPr>
          <w:rFonts w:ascii="Times New Roman" w:hAnsi="Times New Roman" w:cs="Times New Roman"/>
        </w:rPr>
        <w:t>Isolera</w:t>
      </w:r>
      <w:proofErr w:type="spellEnd"/>
      <w:r w:rsidR="00592C4C" w:rsidRPr="00065FE0">
        <w:rPr>
          <w:rFonts w:ascii="Times New Roman" w:hAnsi="Times New Roman" w:cs="Times New Roman"/>
        </w:rPr>
        <w:t xml:space="preserve"> One </w:t>
      </w:r>
      <w:proofErr w:type="spellStart"/>
      <w:r w:rsidR="00592C4C" w:rsidRPr="00065FE0">
        <w:rPr>
          <w:rFonts w:ascii="Times New Roman" w:hAnsi="Times New Roman" w:cs="Times New Roman"/>
        </w:rPr>
        <w:t>Biotage</w:t>
      </w:r>
      <w:proofErr w:type="spellEnd"/>
      <w:r w:rsidR="00592C4C" w:rsidRPr="00065FE0">
        <w:rPr>
          <w:rFonts w:ascii="Times New Roman" w:hAnsi="Times New Roman" w:cs="Times New Roman"/>
        </w:rPr>
        <w:t xml:space="preserve"> device with a </w:t>
      </w:r>
      <w:proofErr w:type="spellStart"/>
      <w:r w:rsidRPr="00065FE0">
        <w:rPr>
          <w:rFonts w:ascii="Times New Roman" w:hAnsi="Times New Roman" w:cs="Times New Roman"/>
        </w:rPr>
        <w:t>AcOEt</w:t>
      </w:r>
      <w:proofErr w:type="spellEnd"/>
      <w:r w:rsidRPr="00065FE0">
        <w:rPr>
          <w:rFonts w:ascii="Times New Roman" w:hAnsi="Times New Roman" w:cs="Times New Roman"/>
        </w:rPr>
        <w:t>/</w:t>
      </w:r>
      <w:proofErr w:type="spellStart"/>
      <w:r w:rsidRPr="00065FE0">
        <w:rPr>
          <w:rFonts w:ascii="Times New Roman" w:hAnsi="Times New Roman" w:cs="Times New Roman"/>
        </w:rPr>
        <w:t>Hx</w:t>
      </w:r>
      <w:proofErr w:type="spellEnd"/>
      <w:r w:rsidRPr="00065FE0">
        <w:rPr>
          <w:rFonts w:ascii="Times New Roman" w:hAnsi="Times New Roman" w:cs="Times New Roman"/>
        </w:rPr>
        <w:t xml:space="preserve"> 1:1</w:t>
      </w:r>
      <w:r w:rsidR="00592C4C" w:rsidRPr="00065FE0">
        <w:rPr>
          <w:rFonts w:ascii="Times New Roman" w:hAnsi="Times New Roman" w:cs="Times New Roman"/>
        </w:rPr>
        <w:t xml:space="preserve"> mobile phase and </w:t>
      </w:r>
      <w:proofErr w:type="spellStart"/>
      <w:r w:rsidR="00ED0475" w:rsidRPr="00065FE0">
        <w:rPr>
          <w:rFonts w:ascii="Times New Roman" w:hAnsi="Times New Roman" w:cs="Times New Roman"/>
        </w:rPr>
        <w:t>Biotage</w:t>
      </w:r>
      <w:proofErr w:type="spellEnd"/>
      <w:r w:rsidR="00ED0475" w:rsidRPr="00065FE0">
        <w:rPr>
          <w:rFonts w:ascii="Times New Roman" w:hAnsi="Times New Roman" w:cs="Times New Roman"/>
        </w:rPr>
        <w:t xml:space="preserve"> SNAP Cartridge, silica, 10 g </w:t>
      </w:r>
      <w:r w:rsidR="00592C4C" w:rsidRPr="00065FE0">
        <w:rPr>
          <w:rFonts w:ascii="Times New Roman" w:hAnsi="Times New Roman" w:cs="Times New Roman"/>
        </w:rPr>
        <w:t>to</w:t>
      </w:r>
      <w:r w:rsidRPr="00065FE0">
        <w:rPr>
          <w:rFonts w:ascii="Times New Roman" w:hAnsi="Times New Roman" w:cs="Times New Roman"/>
        </w:rPr>
        <w:t xml:space="preserve"> afford isoindoline compound </w:t>
      </w:r>
      <w:r w:rsidR="003B60A1" w:rsidRPr="00065FE0">
        <w:rPr>
          <w:rFonts w:ascii="Times New Roman" w:hAnsi="Times New Roman" w:cs="Times New Roman"/>
          <w:b/>
          <w:bCs/>
        </w:rPr>
        <w:t>2</w:t>
      </w:r>
      <w:r w:rsidRPr="00065FE0">
        <w:rPr>
          <w:rFonts w:ascii="Times New Roman" w:hAnsi="Times New Roman" w:cs="Times New Roman"/>
          <w:b/>
          <w:bCs/>
        </w:rPr>
        <w:t xml:space="preserve"> </w:t>
      </w:r>
      <w:r w:rsidRPr="00065FE0">
        <w:rPr>
          <w:rFonts w:ascii="Times New Roman" w:hAnsi="Times New Roman" w:cs="Times New Roman"/>
        </w:rPr>
        <w:t xml:space="preserve">as </w:t>
      </w:r>
      <w:r w:rsidR="00A95F75" w:rsidRPr="00065FE0">
        <w:rPr>
          <w:rFonts w:ascii="Times New Roman" w:hAnsi="Times New Roman" w:cs="Times New Roman"/>
        </w:rPr>
        <w:t>grey solid</w:t>
      </w:r>
      <w:r w:rsidR="00ED0475" w:rsidRPr="00065FE0">
        <w:rPr>
          <w:rFonts w:ascii="Times New Roman" w:hAnsi="Times New Roman" w:cs="Times New Roman"/>
        </w:rPr>
        <w:t xml:space="preserve"> </w:t>
      </w:r>
      <w:r w:rsidRPr="00065FE0">
        <w:rPr>
          <w:rFonts w:ascii="Times New Roman" w:hAnsi="Times New Roman" w:cs="Times New Roman"/>
        </w:rPr>
        <w:t>(</w:t>
      </w:r>
      <w:r w:rsidR="00901DDD" w:rsidRPr="00065FE0">
        <w:rPr>
          <w:rFonts w:ascii="Times New Roman" w:hAnsi="Times New Roman" w:cs="Times New Roman"/>
        </w:rPr>
        <w:t>0.37</w:t>
      </w:r>
      <w:r w:rsidRPr="00065FE0">
        <w:rPr>
          <w:rFonts w:ascii="Times New Roman" w:hAnsi="Times New Roman" w:cs="Times New Roman"/>
        </w:rPr>
        <w:t xml:space="preserve"> g, </w:t>
      </w:r>
      <w:r w:rsidR="00901DDD" w:rsidRPr="00065FE0">
        <w:rPr>
          <w:rFonts w:ascii="Times New Roman" w:hAnsi="Times New Roman" w:cs="Times New Roman"/>
        </w:rPr>
        <w:t>85</w:t>
      </w:r>
      <w:r w:rsidRPr="00065FE0">
        <w:rPr>
          <w:rFonts w:ascii="Times New Roman" w:hAnsi="Times New Roman" w:cs="Times New Roman"/>
        </w:rPr>
        <w:t xml:space="preserve">%). </w:t>
      </w:r>
    </w:p>
    <w:p w14:paraId="2CAF2FBF" w14:textId="3D47EAA9" w:rsidR="00F145D6" w:rsidRPr="00065FE0" w:rsidRDefault="008F6AA8" w:rsidP="00F145D6">
      <w:pPr>
        <w:autoSpaceDE w:val="0"/>
        <w:autoSpaceDN w:val="0"/>
        <w:adjustRightInd w:val="0"/>
        <w:spacing w:line="480" w:lineRule="auto"/>
        <w:jc w:val="both"/>
        <w:rPr>
          <w:rFonts w:ascii="Times New Roman" w:hAnsi="Times New Roman" w:cs="Times New Roman"/>
          <w:highlight w:val="yellow"/>
        </w:rPr>
      </w:pPr>
      <w:bookmarkStart w:id="14" w:name="_Hlk198147855"/>
      <w:r w:rsidRPr="00065FE0">
        <w:rPr>
          <w:rFonts w:ascii="Times New Roman" w:hAnsi="Times New Roman" w:cs="Times New Roman"/>
          <w:b/>
          <w:vertAlign w:val="superscript"/>
        </w:rPr>
        <w:t>1</w:t>
      </w:r>
      <w:r w:rsidRPr="00065FE0">
        <w:rPr>
          <w:rFonts w:ascii="Times New Roman" w:hAnsi="Times New Roman" w:cs="Times New Roman"/>
          <w:b/>
        </w:rPr>
        <w:t>H NMR (500 MHz, CDCl</w:t>
      </w:r>
      <w:r w:rsidRPr="00065FE0">
        <w:rPr>
          <w:rFonts w:ascii="Times New Roman" w:hAnsi="Times New Roman" w:cs="Times New Roman"/>
          <w:b/>
          <w:vertAlign w:val="subscript"/>
        </w:rPr>
        <w:t>3</w:t>
      </w:r>
      <w:r w:rsidRPr="00065FE0">
        <w:rPr>
          <w:rFonts w:ascii="Times New Roman" w:hAnsi="Times New Roman" w:cs="Times New Roman"/>
          <w:b/>
        </w:rPr>
        <w:t>-</w:t>
      </w:r>
      <w:r w:rsidRPr="00065FE0">
        <w:rPr>
          <w:rFonts w:ascii="Times New Roman" w:hAnsi="Times New Roman" w:cs="Times New Roman"/>
          <w:b/>
          <w:i/>
          <w:iCs/>
        </w:rPr>
        <w:t>d</w:t>
      </w:r>
      <w:r w:rsidRPr="00065FE0">
        <w:rPr>
          <w:rFonts w:ascii="Times New Roman" w:hAnsi="Times New Roman" w:cs="Times New Roman"/>
          <w:b/>
        </w:rPr>
        <w:t>):</w:t>
      </w:r>
      <w:r w:rsidRPr="00065FE0">
        <w:rPr>
          <w:rFonts w:ascii="Times New Roman" w:hAnsi="Times New Roman" w:cs="Times New Roman"/>
        </w:rPr>
        <w:t xml:space="preserve"> </w:t>
      </w:r>
      <w:r w:rsidR="00BC1AC8" w:rsidRPr="00065FE0">
        <w:rPr>
          <w:rFonts w:ascii="Times New Roman" w:hAnsi="Times New Roman" w:cs="Times New Roman"/>
          <w:i/>
          <w:iCs/>
        </w:rPr>
        <w:t>δ</w:t>
      </w:r>
      <w:r w:rsidR="00F145D6" w:rsidRPr="00065FE0">
        <w:rPr>
          <w:rFonts w:ascii="Times New Roman" w:hAnsi="Times New Roman" w:cs="Times New Roman"/>
          <w:color w:val="000000"/>
          <w:sz w:val="20"/>
          <w:szCs w:val="20"/>
          <w:vertAlign w:val="superscript"/>
          <w:lang w:eastAsia="es-MX"/>
        </w:rPr>
        <w:t xml:space="preserve"> </w:t>
      </w:r>
      <w:r w:rsidR="00F145D6" w:rsidRPr="00065FE0">
        <w:rPr>
          <w:rFonts w:ascii="Times New Roman" w:hAnsi="Times New Roman" w:cs="Times New Roman"/>
        </w:rPr>
        <w:t xml:space="preserve">7.20 (s, 4H), 7.09 – 7.04 (m, 2H), 6.71 – 6.65 (m, 2H), 4.29 – 4.21 (m, 3H), 4.18 – 4.10 (m, 2H), 3.75 (dd, </w:t>
      </w:r>
      <w:r w:rsidR="00F145D6" w:rsidRPr="00065FE0">
        <w:rPr>
          <w:rFonts w:ascii="Times New Roman" w:hAnsi="Times New Roman" w:cs="Times New Roman"/>
          <w:i/>
          <w:iCs/>
        </w:rPr>
        <w:t>J</w:t>
      </w:r>
      <w:r w:rsidR="00F145D6" w:rsidRPr="00065FE0">
        <w:rPr>
          <w:rFonts w:ascii="Times New Roman" w:hAnsi="Times New Roman" w:cs="Times New Roman"/>
        </w:rPr>
        <w:t xml:space="preserve"> = 8.7, 6.6 Hz, 1H), 3.61 (s, 3H), 3.12 – 3.03 (m, 2H).</w:t>
      </w:r>
    </w:p>
    <w:p w14:paraId="72E95422" w14:textId="543DB8CA" w:rsidR="00BC1AC8" w:rsidRPr="00065FE0" w:rsidRDefault="00E71BA0" w:rsidP="004548E6">
      <w:pPr>
        <w:autoSpaceDE w:val="0"/>
        <w:autoSpaceDN w:val="0"/>
        <w:adjustRightInd w:val="0"/>
        <w:spacing w:line="480" w:lineRule="auto"/>
        <w:jc w:val="both"/>
        <w:rPr>
          <w:rFonts w:ascii="Times New Roman" w:hAnsi="Times New Roman" w:cs="Times New Roman"/>
        </w:rPr>
      </w:pPr>
      <w:r w:rsidRPr="00065FE0">
        <w:rPr>
          <w:rFonts w:ascii="Times New Roman" w:hAnsi="Times New Roman" w:cs="Times New Roman"/>
        </w:rPr>
        <w:t xml:space="preserve"> </w:t>
      </w:r>
      <w:r w:rsidR="008F6AA8" w:rsidRPr="00065FE0">
        <w:rPr>
          <w:rFonts w:ascii="Times New Roman" w:hAnsi="Times New Roman" w:cs="Times New Roman"/>
          <w:b/>
          <w:vertAlign w:val="superscript"/>
        </w:rPr>
        <w:t>13</w:t>
      </w:r>
      <w:r w:rsidR="008F6AA8" w:rsidRPr="00065FE0">
        <w:rPr>
          <w:rFonts w:ascii="Times New Roman" w:hAnsi="Times New Roman" w:cs="Times New Roman"/>
          <w:b/>
        </w:rPr>
        <w:t>C NMR (126 MHz, CDCl</w:t>
      </w:r>
      <w:r w:rsidR="008F6AA8" w:rsidRPr="00065FE0">
        <w:rPr>
          <w:rFonts w:ascii="Times New Roman" w:hAnsi="Times New Roman" w:cs="Times New Roman"/>
          <w:b/>
          <w:vertAlign w:val="subscript"/>
        </w:rPr>
        <w:t>3</w:t>
      </w:r>
      <w:r w:rsidR="008F6AA8" w:rsidRPr="00065FE0">
        <w:rPr>
          <w:rFonts w:ascii="Times New Roman" w:hAnsi="Times New Roman" w:cs="Times New Roman"/>
          <w:b/>
        </w:rPr>
        <w:t>-</w:t>
      </w:r>
      <w:r w:rsidR="008F6AA8" w:rsidRPr="00065FE0">
        <w:rPr>
          <w:rFonts w:ascii="Times New Roman" w:hAnsi="Times New Roman" w:cs="Times New Roman"/>
          <w:b/>
          <w:i/>
          <w:iCs/>
        </w:rPr>
        <w:t>d</w:t>
      </w:r>
      <w:r w:rsidR="008F6AA8" w:rsidRPr="00065FE0">
        <w:rPr>
          <w:rFonts w:ascii="Times New Roman" w:hAnsi="Times New Roman" w:cs="Times New Roman"/>
          <w:b/>
        </w:rPr>
        <w:t>):</w:t>
      </w:r>
      <w:r w:rsidR="008F6AA8" w:rsidRPr="00065FE0">
        <w:rPr>
          <w:rFonts w:ascii="Times New Roman" w:hAnsi="Times New Roman" w:cs="Times New Roman"/>
          <w:i/>
        </w:rPr>
        <w:t xml:space="preserve"> </w:t>
      </w:r>
      <w:r w:rsidRPr="00065FE0">
        <w:rPr>
          <w:rFonts w:ascii="Times New Roman" w:hAnsi="Times New Roman" w:cs="Times New Roman"/>
          <w:i/>
        </w:rPr>
        <w:t>δ</w:t>
      </w:r>
      <w:r w:rsidR="00C92B10" w:rsidRPr="00065FE0">
        <w:rPr>
          <w:rFonts w:ascii="Times New Roman" w:hAnsi="Times New Roman" w:cs="Times New Roman"/>
        </w:rPr>
        <w:t xml:space="preserve"> 172.78, 154.50, 139.11, 130.10, 126.83, 122.36, 115.40, 77.28, 77.02, 76.77, 67.08, 55.57, 51.43, 36</w:t>
      </w:r>
      <w:r w:rsidR="00F145D6" w:rsidRPr="00065FE0">
        <w:rPr>
          <w:rFonts w:ascii="Times New Roman" w:hAnsi="Times New Roman" w:cs="Times New Roman"/>
        </w:rPr>
        <w:t>.</w:t>
      </w:r>
      <w:r w:rsidR="00C92B10" w:rsidRPr="00065FE0">
        <w:rPr>
          <w:rFonts w:ascii="Times New Roman" w:hAnsi="Times New Roman" w:cs="Times New Roman"/>
        </w:rPr>
        <w:t>56.</w:t>
      </w:r>
    </w:p>
    <w:bookmarkEnd w:id="13"/>
    <w:bookmarkEnd w:id="14"/>
    <w:p w14:paraId="72BA634F" w14:textId="5DBE517E" w:rsidR="00895DEC" w:rsidRPr="00065FE0" w:rsidRDefault="00895DEC" w:rsidP="00895DEC">
      <w:pPr>
        <w:pStyle w:val="NormalWeb"/>
        <w:spacing w:before="0" w:beforeAutospacing="0" w:after="240" w:afterAutospacing="0" w:line="480" w:lineRule="auto"/>
        <w:jc w:val="both"/>
        <w:rPr>
          <w:sz w:val="22"/>
          <w:szCs w:val="22"/>
        </w:rPr>
      </w:pPr>
      <w:r w:rsidRPr="00065FE0">
        <w:rPr>
          <w:b/>
          <w:sz w:val="22"/>
          <w:szCs w:val="22"/>
        </w:rPr>
        <w:t>MS (ESI) (m/z)</w:t>
      </w:r>
      <w:r w:rsidRPr="00065FE0">
        <w:rPr>
          <w:sz w:val="22"/>
          <w:szCs w:val="22"/>
        </w:rPr>
        <w:t>: [M + H]</w:t>
      </w:r>
      <w:r w:rsidRPr="00065FE0">
        <w:rPr>
          <w:sz w:val="22"/>
          <w:szCs w:val="22"/>
          <w:vertAlign w:val="superscript"/>
        </w:rPr>
        <w:t>+</w:t>
      </w:r>
      <w:r w:rsidRPr="00065FE0">
        <w:rPr>
          <w:sz w:val="22"/>
          <w:szCs w:val="22"/>
        </w:rPr>
        <w:t xml:space="preserve"> </w:t>
      </w:r>
      <w:bookmarkStart w:id="15" w:name="_Hlk198147894"/>
      <w:r w:rsidRPr="00065FE0">
        <w:rPr>
          <w:sz w:val="22"/>
          <w:szCs w:val="22"/>
        </w:rPr>
        <w:t>calculated for 297.1</w:t>
      </w:r>
      <w:bookmarkEnd w:id="15"/>
    </w:p>
    <w:p w14:paraId="4CBE7CC9" w14:textId="77777777" w:rsidR="00A83B7A" w:rsidRPr="00065FE0" w:rsidRDefault="00A83B7A" w:rsidP="00406E6A">
      <w:pPr>
        <w:spacing w:line="480" w:lineRule="auto"/>
        <w:jc w:val="both"/>
        <w:rPr>
          <w:rFonts w:ascii="Times New Roman" w:hAnsi="Times New Roman" w:cs="Times New Roman"/>
          <w:b/>
          <w:bCs/>
        </w:rPr>
      </w:pPr>
    </w:p>
    <w:p w14:paraId="420E5996" w14:textId="77777777" w:rsidR="00A83B7A" w:rsidRPr="00065FE0" w:rsidRDefault="00A83B7A" w:rsidP="00406E6A">
      <w:pPr>
        <w:spacing w:line="480" w:lineRule="auto"/>
        <w:jc w:val="both"/>
        <w:rPr>
          <w:rFonts w:ascii="Times New Roman" w:hAnsi="Times New Roman" w:cs="Times New Roman"/>
          <w:b/>
          <w:bCs/>
        </w:rPr>
      </w:pPr>
    </w:p>
    <w:p w14:paraId="0F68EA30" w14:textId="77777777" w:rsidR="00A83B7A" w:rsidRPr="00065FE0" w:rsidRDefault="00A83B7A" w:rsidP="00406E6A">
      <w:pPr>
        <w:spacing w:line="480" w:lineRule="auto"/>
        <w:jc w:val="both"/>
        <w:rPr>
          <w:rFonts w:ascii="Times New Roman" w:hAnsi="Times New Roman" w:cs="Times New Roman"/>
          <w:b/>
          <w:bCs/>
        </w:rPr>
      </w:pPr>
    </w:p>
    <w:p w14:paraId="082A1EC8" w14:textId="77777777" w:rsidR="00A83B7A" w:rsidRPr="00065FE0" w:rsidRDefault="00A83B7A" w:rsidP="00406E6A">
      <w:pPr>
        <w:spacing w:line="480" w:lineRule="auto"/>
        <w:jc w:val="both"/>
        <w:rPr>
          <w:rFonts w:ascii="Times New Roman" w:hAnsi="Times New Roman" w:cs="Times New Roman"/>
          <w:b/>
          <w:bCs/>
        </w:rPr>
      </w:pPr>
    </w:p>
    <w:p w14:paraId="30946812" w14:textId="77777777" w:rsidR="00A83B7A" w:rsidRPr="00065FE0" w:rsidRDefault="00A83B7A" w:rsidP="00406E6A">
      <w:pPr>
        <w:spacing w:line="480" w:lineRule="auto"/>
        <w:jc w:val="both"/>
        <w:rPr>
          <w:rFonts w:ascii="Times New Roman" w:hAnsi="Times New Roman" w:cs="Times New Roman"/>
          <w:b/>
          <w:bCs/>
        </w:rPr>
      </w:pPr>
    </w:p>
    <w:p w14:paraId="09C316D7" w14:textId="77777777" w:rsidR="00A83B7A" w:rsidRPr="00065FE0" w:rsidRDefault="00A83B7A" w:rsidP="00406E6A">
      <w:pPr>
        <w:spacing w:line="480" w:lineRule="auto"/>
        <w:jc w:val="both"/>
        <w:rPr>
          <w:rFonts w:ascii="Times New Roman" w:hAnsi="Times New Roman" w:cs="Times New Roman"/>
          <w:b/>
          <w:bCs/>
        </w:rPr>
      </w:pPr>
    </w:p>
    <w:p w14:paraId="3FF4B3FC" w14:textId="77777777" w:rsidR="00A83B7A" w:rsidRPr="00065FE0" w:rsidRDefault="00A83B7A" w:rsidP="00406E6A">
      <w:pPr>
        <w:spacing w:line="480" w:lineRule="auto"/>
        <w:jc w:val="both"/>
        <w:rPr>
          <w:rFonts w:ascii="Times New Roman" w:hAnsi="Times New Roman" w:cs="Times New Roman"/>
          <w:b/>
          <w:bCs/>
        </w:rPr>
      </w:pPr>
    </w:p>
    <w:p w14:paraId="6354035B" w14:textId="77777777" w:rsidR="005677BD" w:rsidRPr="00065FE0" w:rsidRDefault="005677BD" w:rsidP="00406E6A">
      <w:pPr>
        <w:spacing w:line="480" w:lineRule="auto"/>
        <w:jc w:val="both"/>
        <w:rPr>
          <w:rFonts w:ascii="Times New Roman" w:hAnsi="Times New Roman" w:cs="Times New Roman"/>
          <w:b/>
          <w:bCs/>
        </w:rPr>
      </w:pPr>
    </w:p>
    <w:p w14:paraId="69DDF51D" w14:textId="77777777" w:rsidR="00A83B7A" w:rsidRPr="00065FE0" w:rsidRDefault="00A83B7A" w:rsidP="00406E6A">
      <w:pPr>
        <w:spacing w:line="480" w:lineRule="auto"/>
        <w:jc w:val="both"/>
        <w:rPr>
          <w:rFonts w:ascii="Times New Roman" w:hAnsi="Times New Roman" w:cs="Times New Roman"/>
          <w:b/>
          <w:bCs/>
        </w:rPr>
      </w:pPr>
    </w:p>
    <w:p w14:paraId="46CA1197" w14:textId="77777777" w:rsidR="00A83B7A" w:rsidRPr="00065FE0" w:rsidRDefault="00A83B7A" w:rsidP="00406E6A">
      <w:pPr>
        <w:spacing w:line="480" w:lineRule="auto"/>
        <w:jc w:val="both"/>
        <w:rPr>
          <w:rFonts w:ascii="Times New Roman" w:hAnsi="Times New Roman" w:cs="Times New Roman"/>
          <w:b/>
          <w:bCs/>
        </w:rPr>
      </w:pPr>
    </w:p>
    <w:p w14:paraId="2BBA7318" w14:textId="77777777" w:rsidR="00A83B7A" w:rsidRDefault="00A83B7A" w:rsidP="00406E6A">
      <w:pPr>
        <w:spacing w:line="480" w:lineRule="auto"/>
        <w:jc w:val="both"/>
        <w:rPr>
          <w:rFonts w:ascii="Times New Roman" w:hAnsi="Times New Roman" w:cs="Times New Roman"/>
          <w:b/>
          <w:bCs/>
        </w:rPr>
      </w:pPr>
    </w:p>
    <w:p w14:paraId="54D8D7B1" w14:textId="77777777" w:rsidR="00065FE0" w:rsidRPr="00065FE0" w:rsidRDefault="00065FE0" w:rsidP="00406E6A">
      <w:pPr>
        <w:spacing w:line="480" w:lineRule="auto"/>
        <w:jc w:val="both"/>
        <w:rPr>
          <w:rFonts w:ascii="Times New Roman" w:hAnsi="Times New Roman" w:cs="Times New Roman"/>
          <w:b/>
          <w:bCs/>
        </w:rPr>
      </w:pPr>
    </w:p>
    <w:p w14:paraId="72BD9533" w14:textId="43DBEE58" w:rsidR="00143575" w:rsidRPr="00065FE0" w:rsidRDefault="00AE5F15" w:rsidP="005677BD">
      <w:pPr>
        <w:pStyle w:val="Heading1"/>
        <w:rPr>
          <w:lang w:val="en-US"/>
        </w:rPr>
      </w:pPr>
      <w:bookmarkStart w:id="16" w:name="_Toc199426740"/>
      <w:r w:rsidRPr="00065FE0">
        <w:rPr>
          <w:lang w:val="en-US"/>
        </w:rPr>
        <w:lastRenderedPageBreak/>
        <w:t>Biological</w:t>
      </w:r>
      <w:r w:rsidR="00143575" w:rsidRPr="00065FE0">
        <w:rPr>
          <w:lang w:val="en-US"/>
        </w:rPr>
        <w:t xml:space="preserve"> assay</w:t>
      </w:r>
      <w:bookmarkEnd w:id="16"/>
    </w:p>
    <w:p w14:paraId="4A6699DD" w14:textId="77777777" w:rsidR="005677BD" w:rsidRPr="00065FE0" w:rsidRDefault="005677BD" w:rsidP="005677BD">
      <w:pPr>
        <w:rPr>
          <w:lang w:eastAsia="en-US"/>
        </w:rPr>
      </w:pPr>
    </w:p>
    <w:p w14:paraId="3E15B3A9" w14:textId="4B037AFD" w:rsidR="007A1987" w:rsidRPr="00065FE0" w:rsidRDefault="007A1987" w:rsidP="007A1987">
      <w:pPr>
        <w:spacing w:line="480" w:lineRule="auto"/>
        <w:jc w:val="both"/>
        <w:rPr>
          <w:rFonts w:ascii="Times New Roman" w:hAnsi="Times New Roman" w:cs="Times New Roman"/>
        </w:rPr>
      </w:pPr>
      <w:bookmarkStart w:id="17" w:name="_Hlk198147996"/>
      <w:r w:rsidRPr="00065FE0">
        <w:rPr>
          <w:rFonts w:ascii="Times New Roman" w:hAnsi="Times New Roman" w:cs="Times New Roman"/>
        </w:rPr>
        <w:t>The anticonvulsant potential of isoindoline was evaluated in adult zebrafish (</w:t>
      </w:r>
      <w:r w:rsidRPr="00065FE0">
        <w:rPr>
          <w:rFonts w:ascii="Times New Roman" w:hAnsi="Times New Roman" w:cs="Times New Roman"/>
          <w:i/>
          <w:iCs/>
        </w:rPr>
        <w:t>Danio rerio</w:t>
      </w:r>
      <w:r w:rsidRPr="00065FE0">
        <w:rPr>
          <w:rFonts w:ascii="Times New Roman" w:hAnsi="Times New Roman" w:cs="Times New Roman"/>
        </w:rPr>
        <w:t>) using a pentylenetetrazol (PTZ)-induced seizure model. Zebrafish were pre-treated by immersion in tanks containing different concentrations for 30 minutes before seizure induction.</w:t>
      </w:r>
      <w:r w:rsidR="00414B37" w:rsidRPr="00065FE0">
        <w:rPr>
          <w:rFonts w:ascii="Times New Roman" w:hAnsi="Times New Roman" w:cs="Times New Roman"/>
        </w:rPr>
        <w:t xml:space="preserve"> </w:t>
      </w:r>
      <w:r w:rsidR="00EF59E8" w:rsidRPr="00065FE0">
        <w:rPr>
          <w:rFonts w:ascii="Times New Roman" w:hAnsi="Times New Roman" w:cs="Times New Roman"/>
        </w:rPr>
        <w:t>Diazepam</w:t>
      </w:r>
      <w:r w:rsidRPr="00065FE0">
        <w:rPr>
          <w:rFonts w:ascii="Times New Roman" w:hAnsi="Times New Roman" w:cs="Times New Roman"/>
        </w:rPr>
        <w:t xml:space="preserve"> </w:t>
      </w:r>
      <w:r w:rsidR="0051000A" w:rsidRPr="00065FE0">
        <w:rPr>
          <w:rFonts w:ascii="Times New Roman" w:hAnsi="Times New Roman" w:cs="Times New Roman"/>
        </w:rPr>
        <w:t xml:space="preserve">at </w:t>
      </w:r>
      <w:r w:rsidR="00414B37" w:rsidRPr="00065FE0">
        <w:rPr>
          <w:rFonts w:ascii="Times New Roman" w:hAnsi="Times New Roman" w:cs="Times New Roman"/>
        </w:rPr>
        <w:t>75 µM</w:t>
      </w:r>
      <w:r w:rsidR="0051000A" w:rsidRPr="00065FE0">
        <w:rPr>
          <w:rFonts w:ascii="Times New Roman" w:hAnsi="Times New Roman" w:cs="Times New Roman"/>
        </w:rPr>
        <w:t xml:space="preserve"> was used as pharmacological control.</w:t>
      </w:r>
      <w:r w:rsidR="00414B37" w:rsidRPr="00065FE0">
        <w:rPr>
          <w:rFonts w:ascii="Times New Roman" w:hAnsi="Times New Roman" w:cs="Times New Roman"/>
        </w:rPr>
        <w:t xml:space="preserve"> </w:t>
      </w:r>
      <w:r w:rsidRPr="00065FE0">
        <w:rPr>
          <w:rFonts w:ascii="Times New Roman" w:hAnsi="Times New Roman" w:cs="Times New Roman"/>
        </w:rPr>
        <w:t xml:space="preserve">Isoindoline </w:t>
      </w:r>
      <w:r w:rsidR="0051000A" w:rsidRPr="00065FE0">
        <w:rPr>
          <w:rFonts w:ascii="Times New Roman" w:hAnsi="Times New Roman" w:cs="Times New Roman"/>
        </w:rPr>
        <w:t>derivate of tyrosine</w:t>
      </w:r>
      <w:r w:rsidRPr="00065FE0">
        <w:rPr>
          <w:rFonts w:ascii="Times New Roman" w:hAnsi="Times New Roman" w:cs="Times New Roman"/>
        </w:rPr>
        <w:t xml:space="preserve"> tested at </w:t>
      </w:r>
      <w:r w:rsidR="0051000A" w:rsidRPr="00065FE0">
        <w:rPr>
          <w:rFonts w:ascii="Times New Roman" w:hAnsi="Times New Roman" w:cs="Times New Roman"/>
        </w:rPr>
        <w:t xml:space="preserve">63 and 125 </w:t>
      </w:r>
      <w:r w:rsidRPr="00065FE0">
        <w:rPr>
          <w:rFonts w:ascii="Times New Roman" w:hAnsi="Times New Roman" w:cs="Times New Roman"/>
        </w:rPr>
        <w:t>µ</w:t>
      </w:r>
      <w:r w:rsidR="0051000A" w:rsidRPr="00065FE0">
        <w:rPr>
          <w:rFonts w:ascii="Times New Roman" w:hAnsi="Times New Roman" w:cs="Times New Roman"/>
        </w:rPr>
        <w:t>M</w:t>
      </w:r>
      <w:r w:rsidRPr="00065FE0">
        <w:rPr>
          <w:rFonts w:ascii="Times New Roman" w:hAnsi="Times New Roman" w:cs="Times New Roman"/>
        </w:rPr>
        <w:t>,</w:t>
      </w:r>
      <w:r w:rsidR="0051000A" w:rsidRPr="00065FE0">
        <w:rPr>
          <w:rFonts w:ascii="Times New Roman" w:hAnsi="Times New Roman" w:cs="Times New Roman"/>
        </w:rPr>
        <w:t xml:space="preserve"> while isoindolina derivate of tryptophan tested at 10 and 25 µM</w:t>
      </w:r>
      <w:r w:rsidRPr="00065FE0">
        <w:rPr>
          <w:rFonts w:ascii="Times New Roman" w:hAnsi="Times New Roman" w:cs="Times New Roman"/>
        </w:rPr>
        <w:t>.</w:t>
      </w:r>
      <w:r w:rsidR="00EF59E8" w:rsidRPr="00065FE0">
        <w:rPr>
          <w:rFonts w:ascii="Times New Roman" w:hAnsi="Times New Roman" w:cs="Times New Roman"/>
        </w:rPr>
        <w:t xml:space="preserve"> Dimethyl sulfoxide al 0.1% was used as vehicle. </w:t>
      </w:r>
    </w:p>
    <w:p w14:paraId="30A3549C" w14:textId="24D6BD39" w:rsidR="007A1987" w:rsidRPr="00065FE0" w:rsidRDefault="007A1987" w:rsidP="007A1987">
      <w:pPr>
        <w:spacing w:line="480" w:lineRule="auto"/>
        <w:jc w:val="both"/>
        <w:rPr>
          <w:rFonts w:ascii="Times New Roman" w:hAnsi="Times New Roman" w:cs="Times New Roman"/>
        </w:rPr>
      </w:pPr>
      <w:r w:rsidRPr="00065FE0">
        <w:rPr>
          <w:rFonts w:ascii="Times New Roman" w:hAnsi="Times New Roman" w:cs="Times New Roman"/>
        </w:rPr>
        <w:t xml:space="preserve">Following pre-treatment, zebrafish were transferred to a 10 mM PTZ solution </w:t>
      </w:r>
      <w:r w:rsidR="00414B37" w:rsidRPr="00065FE0">
        <w:rPr>
          <w:rFonts w:ascii="Times New Roman" w:hAnsi="Times New Roman" w:cs="Times New Roman"/>
        </w:rPr>
        <w:t xml:space="preserve">(1 L) </w:t>
      </w:r>
      <w:r w:rsidRPr="00065FE0">
        <w:rPr>
          <w:rFonts w:ascii="Times New Roman" w:hAnsi="Times New Roman" w:cs="Times New Roman"/>
        </w:rPr>
        <w:t xml:space="preserve">to induce convulsions. Behavioral responses were recorded and classified into five distinct seizure stages: </w:t>
      </w:r>
    </w:p>
    <w:p w14:paraId="617B3D13" w14:textId="77777777" w:rsidR="007F30B7" w:rsidRPr="00065FE0" w:rsidRDefault="007F30B7" w:rsidP="007F30B7">
      <w:pPr>
        <w:spacing w:line="480" w:lineRule="auto"/>
        <w:jc w:val="both"/>
        <w:rPr>
          <w:rFonts w:ascii="Times New Roman" w:hAnsi="Times New Roman" w:cs="Times New Roman"/>
        </w:rPr>
      </w:pPr>
      <w:r w:rsidRPr="00065FE0">
        <w:rPr>
          <w:rFonts w:ascii="Times New Roman" w:hAnsi="Times New Roman" w:cs="Times New Roman"/>
        </w:rPr>
        <w:t>Stage 1: Time to present increased swimming activity and high frequency of opercular movement.</w:t>
      </w:r>
    </w:p>
    <w:p w14:paraId="4FE2F9F0" w14:textId="77777777" w:rsidR="007F30B7" w:rsidRPr="00065FE0" w:rsidRDefault="007F30B7" w:rsidP="007F30B7">
      <w:pPr>
        <w:spacing w:line="480" w:lineRule="auto"/>
        <w:jc w:val="both"/>
        <w:rPr>
          <w:rFonts w:ascii="Times New Roman" w:hAnsi="Times New Roman" w:cs="Times New Roman"/>
        </w:rPr>
      </w:pPr>
      <w:r w:rsidRPr="00065FE0">
        <w:rPr>
          <w:rFonts w:ascii="Times New Roman" w:hAnsi="Times New Roman" w:cs="Times New Roman"/>
        </w:rPr>
        <w:t xml:space="preserve">Stage 2: Time to present burst swimming, left and right movements, and erratic movements. </w:t>
      </w:r>
    </w:p>
    <w:p w14:paraId="519B4594" w14:textId="77777777" w:rsidR="007F30B7" w:rsidRPr="00065FE0" w:rsidRDefault="007F30B7" w:rsidP="007F30B7">
      <w:pPr>
        <w:spacing w:line="480" w:lineRule="auto"/>
        <w:jc w:val="both"/>
        <w:rPr>
          <w:rFonts w:ascii="Times New Roman" w:hAnsi="Times New Roman" w:cs="Times New Roman"/>
        </w:rPr>
      </w:pPr>
      <w:r w:rsidRPr="00065FE0">
        <w:rPr>
          <w:rFonts w:ascii="Times New Roman" w:hAnsi="Times New Roman" w:cs="Times New Roman"/>
        </w:rPr>
        <w:t>Stage 3: Time to present circling movements.</w:t>
      </w:r>
    </w:p>
    <w:p w14:paraId="4CC90CFE" w14:textId="77777777" w:rsidR="007F30B7" w:rsidRPr="00065FE0" w:rsidRDefault="007F30B7" w:rsidP="007F30B7">
      <w:pPr>
        <w:spacing w:line="480" w:lineRule="auto"/>
        <w:jc w:val="both"/>
        <w:rPr>
          <w:rFonts w:ascii="Times New Roman" w:hAnsi="Times New Roman" w:cs="Times New Roman"/>
        </w:rPr>
      </w:pPr>
      <w:r w:rsidRPr="00065FE0">
        <w:rPr>
          <w:rFonts w:ascii="Times New Roman" w:hAnsi="Times New Roman" w:cs="Times New Roman"/>
        </w:rPr>
        <w:t>Stage 4: Time to present clonic seizure-like behavior (abnormal whole-body rhythmic muscular contraction).</w:t>
      </w:r>
    </w:p>
    <w:p w14:paraId="58043806" w14:textId="77777777" w:rsidR="007F30B7" w:rsidRPr="00065FE0" w:rsidRDefault="007F30B7" w:rsidP="007F30B7">
      <w:pPr>
        <w:spacing w:line="480" w:lineRule="auto"/>
        <w:jc w:val="both"/>
        <w:rPr>
          <w:rFonts w:ascii="Times New Roman" w:hAnsi="Times New Roman" w:cs="Times New Roman"/>
        </w:rPr>
      </w:pPr>
      <w:r w:rsidRPr="00065FE0">
        <w:rPr>
          <w:rFonts w:ascii="Times New Roman" w:hAnsi="Times New Roman" w:cs="Times New Roman"/>
        </w:rPr>
        <w:t>Stage 5: Time to present fall to the bottom of the tank, tonic seizure-like behavior (sinking to the bottom of the tank, loss of body posture, and principally by rigid extension of the body).</w:t>
      </w:r>
    </w:p>
    <w:p w14:paraId="49969438" w14:textId="0D143F15" w:rsidR="007A1987" w:rsidRPr="00065FE0" w:rsidRDefault="007F30B7" w:rsidP="007F30B7">
      <w:pPr>
        <w:spacing w:line="480" w:lineRule="auto"/>
        <w:jc w:val="both"/>
        <w:rPr>
          <w:rFonts w:ascii="Times New Roman" w:hAnsi="Times New Roman" w:cs="Times New Roman"/>
        </w:rPr>
      </w:pPr>
      <w:r w:rsidRPr="00065FE0">
        <w:rPr>
          <w:rFonts w:ascii="Times New Roman" w:hAnsi="Times New Roman" w:cs="Times New Roman"/>
        </w:rPr>
        <w:t>The five stages are described in time in seconds</w:t>
      </w:r>
      <w:r w:rsidR="00065FE0">
        <w:rPr>
          <w:rFonts w:ascii="Times New Roman" w:hAnsi="Times New Roman" w:cs="Times New Roman"/>
        </w:rPr>
        <w:t xml:space="preserve"> </w:t>
      </w:r>
      <w:r w:rsidR="00065FE0">
        <w:rPr>
          <w:rFonts w:ascii="Times New Roman" w:hAnsi="Times New Roman" w:cs="Times New Roman"/>
        </w:rPr>
        <w:fldChar w:fldCharType="begin">
          <w:fldData xml:space="preserve">PEVuZE5vdGU+PENpdGU+PEF1dGhvcj5NdXNzdWxpbmk8L0F1dGhvcj48WWVhcj4yMDEzPC9ZZWFy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</w:fldData>
        </w:fldChar>
      </w:r>
      <w:r w:rsidR="00065FE0">
        <w:rPr>
          <w:rFonts w:ascii="Times New Roman" w:hAnsi="Times New Roman" w:cs="Times New Roman"/>
        </w:rPr>
        <w:instrText xml:space="preserve"> ADDIN EN.CITE </w:instrText>
      </w:r>
      <w:r w:rsidR="00065FE0">
        <w:rPr>
          <w:rFonts w:ascii="Times New Roman" w:hAnsi="Times New Roman" w:cs="Times New Roman"/>
        </w:rPr>
        <w:fldChar w:fldCharType="begin">
          <w:fldData xml:space="preserve">PEVuZE5vdGU+PENpdGU+PEF1dGhvcj5NdXNzdWxpbmk8L0F1dGhvcj48WWVhcj4yMDEzPC9ZZWFy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</w:fldData>
        </w:fldChar>
      </w:r>
      <w:r w:rsidR="00065FE0">
        <w:rPr>
          <w:rFonts w:ascii="Times New Roman" w:hAnsi="Times New Roman" w:cs="Times New Roman"/>
        </w:rPr>
        <w:instrText xml:space="preserve"> ADDIN EN.CITE.DATA </w:instrText>
      </w:r>
      <w:r w:rsidR="00065FE0">
        <w:rPr>
          <w:rFonts w:ascii="Times New Roman" w:hAnsi="Times New Roman" w:cs="Times New Roman"/>
        </w:rPr>
      </w:r>
      <w:r w:rsidR="00065FE0">
        <w:rPr>
          <w:rFonts w:ascii="Times New Roman" w:hAnsi="Times New Roman" w:cs="Times New Roman"/>
        </w:rPr>
        <w:fldChar w:fldCharType="end"/>
      </w:r>
      <w:r w:rsidR="00065FE0">
        <w:rPr>
          <w:rFonts w:ascii="Times New Roman" w:hAnsi="Times New Roman" w:cs="Times New Roman"/>
        </w:rPr>
      </w:r>
      <w:r w:rsidR="00065FE0">
        <w:rPr>
          <w:rFonts w:ascii="Times New Roman" w:hAnsi="Times New Roman" w:cs="Times New Roman"/>
        </w:rPr>
        <w:fldChar w:fldCharType="separate"/>
      </w:r>
      <w:r w:rsidR="00065FE0">
        <w:rPr>
          <w:rFonts w:ascii="Times New Roman" w:hAnsi="Times New Roman" w:cs="Times New Roman"/>
          <w:noProof/>
        </w:rPr>
        <w:t>[1]</w:t>
      </w:r>
      <w:r w:rsidR="00065FE0">
        <w:rPr>
          <w:rFonts w:ascii="Times New Roman" w:hAnsi="Times New Roman" w:cs="Times New Roman"/>
        </w:rPr>
        <w:fldChar w:fldCharType="end"/>
      </w:r>
      <w:r w:rsidRPr="00065FE0">
        <w:rPr>
          <w:rFonts w:ascii="Times New Roman" w:hAnsi="Times New Roman" w:cs="Times New Roman"/>
        </w:rPr>
        <w:t>.</w:t>
      </w:r>
    </w:p>
    <w:bookmarkEnd w:id="17"/>
    <w:p w14:paraId="76558410" w14:textId="77777777" w:rsidR="007A1987" w:rsidRPr="00065FE0" w:rsidRDefault="007A1987" w:rsidP="009D7C56">
      <w:pPr>
        <w:spacing w:line="480" w:lineRule="auto"/>
        <w:jc w:val="both"/>
        <w:rPr>
          <w:rFonts w:ascii="Times New Roman" w:hAnsi="Times New Roman" w:cs="Times New Roman"/>
          <w:b/>
          <w:bCs/>
        </w:rPr>
      </w:pPr>
    </w:p>
    <w:p w14:paraId="40AFB9C9" w14:textId="77777777" w:rsidR="007A1987" w:rsidRPr="00065FE0" w:rsidRDefault="007A1987" w:rsidP="009D7C56">
      <w:pPr>
        <w:spacing w:line="480" w:lineRule="auto"/>
        <w:jc w:val="both"/>
        <w:rPr>
          <w:rFonts w:ascii="Times New Roman" w:hAnsi="Times New Roman" w:cs="Times New Roman"/>
          <w:b/>
          <w:bCs/>
        </w:rPr>
      </w:pPr>
    </w:p>
    <w:p w14:paraId="63FF66EF" w14:textId="77777777" w:rsidR="007A1987" w:rsidRPr="00065FE0" w:rsidRDefault="007A1987" w:rsidP="009D7C56">
      <w:pPr>
        <w:spacing w:line="480" w:lineRule="auto"/>
        <w:jc w:val="both"/>
        <w:rPr>
          <w:rFonts w:ascii="Times New Roman" w:hAnsi="Times New Roman" w:cs="Times New Roman"/>
          <w:b/>
          <w:bCs/>
        </w:rPr>
      </w:pPr>
    </w:p>
    <w:p w14:paraId="0E375E71" w14:textId="1DFC7478" w:rsidR="00434821" w:rsidRPr="00065FE0" w:rsidRDefault="00434821" w:rsidP="008E412B">
      <w:pPr>
        <w:spacing w:line="480" w:lineRule="auto"/>
        <w:jc w:val="both"/>
        <w:rPr>
          <w:rFonts w:ascii="Times New Roman" w:hAnsi="Times New Roman" w:cs="Times New Roman"/>
          <w:b/>
          <w:bCs/>
        </w:rPr>
      </w:pPr>
    </w:p>
    <w:p w14:paraId="102080D4" w14:textId="56D076F6" w:rsidR="009D7C56" w:rsidRPr="00065FE0" w:rsidRDefault="009D7C56" w:rsidP="005677BD">
      <w:pPr>
        <w:pStyle w:val="Heading1"/>
        <w:rPr>
          <w:lang w:val="en-US"/>
        </w:rPr>
      </w:pPr>
      <w:bookmarkStart w:id="18" w:name="_Toc199426741"/>
      <w:r w:rsidRPr="00065FE0">
        <w:rPr>
          <w:lang w:val="en-US"/>
        </w:rPr>
        <w:lastRenderedPageBreak/>
        <w:t xml:space="preserve">ADMET </w:t>
      </w:r>
      <w:r w:rsidR="008A4205" w:rsidRPr="00065FE0">
        <w:rPr>
          <w:lang w:val="en-US"/>
        </w:rPr>
        <w:t>P</w:t>
      </w:r>
      <w:r w:rsidRPr="00065FE0">
        <w:rPr>
          <w:lang w:val="en-US"/>
        </w:rPr>
        <w:t xml:space="preserve">rofiling of </w:t>
      </w:r>
      <w:r w:rsidR="008A4205" w:rsidRPr="00065FE0">
        <w:rPr>
          <w:lang w:val="en-US"/>
        </w:rPr>
        <w:t>S</w:t>
      </w:r>
      <w:r w:rsidRPr="00065FE0">
        <w:rPr>
          <w:lang w:val="en-US"/>
        </w:rPr>
        <w:t xml:space="preserve">elected Schiff </w:t>
      </w:r>
      <w:r w:rsidR="008A4205" w:rsidRPr="00065FE0">
        <w:rPr>
          <w:lang w:val="en-US"/>
        </w:rPr>
        <w:t>B</w:t>
      </w:r>
      <w:r w:rsidRPr="00065FE0">
        <w:rPr>
          <w:lang w:val="en-US"/>
        </w:rPr>
        <w:t xml:space="preserve">ase </w:t>
      </w:r>
      <w:r w:rsidR="008A4205" w:rsidRPr="00065FE0">
        <w:rPr>
          <w:lang w:val="en-US"/>
        </w:rPr>
        <w:t>D</w:t>
      </w:r>
      <w:r w:rsidRPr="00065FE0">
        <w:rPr>
          <w:lang w:val="en-US"/>
        </w:rPr>
        <w:t>erivatives</w:t>
      </w:r>
      <w:bookmarkEnd w:id="18"/>
    </w:p>
    <w:p w14:paraId="01AB2523" w14:textId="77777777" w:rsidR="005677BD" w:rsidRPr="00065FE0" w:rsidRDefault="005677BD" w:rsidP="005677BD">
      <w:pPr>
        <w:rPr>
          <w:lang w:eastAsia="en-US"/>
        </w:rPr>
      </w:pPr>
    </w:p>
    <w:p w14:paraId="170882F4" w14:textId="16841833" w:rsidR="00F6425F" w:rsidRPr="00065FE0" w:rsidRDefault="008A4205" w:rsidP="00F77DD4">
      <w:pPr>
        <w:spacing w:line="480" w:lineRule="auto"/>
        <w:jc w:val="both"/>
        <w:rPr>
          <w:rFonts w:ascii="Times New Roman" w:hAnsi="Times New Roman" w:cs="Times New Roman"/>
        </w:rPr>
      </w:pPr>
      <w:r w:rsidRPr="00065FE0">
        <w:rPr>
          <w:rFonts w:ascii="Times New Roman" w:hAnsi="Times New Roman" w:cs="Times New Roman"/>
        </w:rPr>
        <w:t xml:space="preserve">ADMET (Absorption, Distribution, Metabolism, Excretion, and Toxicity) profiling was performed to evaluate the drug-like properties of the active compounds using </w:t>
      </w:r>
      <w:proofErr w:type="spellStart"/>
      <w:r w:rsidRPr="00065FE0">
        <w:rPr>
          <w:rFonts w:ascii="Times New Roman" w:hAnsi="Times New Roman" w:cs="Times New Roman"/>
        </w:rPr>
        <w:t>ADMETLab</w:t>
      </w:r>
      <w:proofErr w:type="spellEnd"/>
      <w:r w:rsidRPr="00065FE0">
        <w:rPr>
          <w:rFonts w:ascii="Times New Roman" w:hAnsi="Times New Roman" w:cs="Times New Roman"/>
        </w:rPr>
        <w:t xml:space="preserve"> v3.0 (</w:t>
      </w:r>
      <w:hyperlink r:id="rId18" w:tgtFrame="_new" w:history="1">
        <w:r w:rsidRPr="00065FE0">
          <w:rPr>
            <w:rStyle w:val="Hyperlink"/>
            <w:rFonts w:ascii="Times New Roman" w:hAnsi="Times New Roman" w:cs="Times New Roman"/>
          </w:rPr>
          <w:t>https://admetlab3.scbdd.com/server/evaluationCal</w:t>
        </w:r>
      </w:hyperlink>
      <w:r w:rsidRPr="00065FE0">
        <w:rPr>
          <w:rFonts w:ascii="Times New Roman" w:hAnsi="Times New Roman" w:cs="Times New Roman"/>
        </w:rPr>
        <w:t>)</w:t>
      </w:r>
      <w:r w:rsidR="00E3049D" w:rsidRPr="00065FE0">
        <w:rPr>
          <w:rFonts w:ascii="Times New Roman" w:hAnsi="Times New Roman" w:cs="Times New Roman"/>
        </w:rPr>
        <w:t>.</w:t>
      </w:r>
      <w:r w:rsidR="008E412B" w:rsidRPr="00065FE0">
        <w:rPr>
          <w:rFonts w:ascii="Times New Roman" w:hAnsi="Times New Roman" w:cs="Times New Roman"/>
        </w:rPr>
        <w:fldChar w:fldCharType="begin">
          <w:fldData xml:space="preserve">PEVuZE5vdGU+PENpdGU+PEF1dGhvcj5Eb25nPC9BdXRob3I+PFllYXI+MjAxODwvWWVhcj48UmVj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</w:fldData>
        </w:fldChar>
      </w:r>
      <w:r w:rsidR="00065FE0">
        <w:rPr>
          <w:rFonts w:ascii="Times New Roman" w:hAnsi="Times New Roman" w:cs="Times New Roman"/>
        </w:rPr>
        <w:instrText xml:space="preserve"> ADDIN EN.CITE </w:instrText>
      </w:r>
      <w:r w:rsidR="00065FE0">
        <w:rPr>
          <w:rFonts w:ascii="Times New Roman" w:hAnsi="Times New Roman" w:cs="Times New Roman"/>
        </w:rPr>
        <w:fldChar w:fldCharType="begin">
          <w:fldData xml:space="preserve">PEVuZE5vdGU+PENpdGU+PEF1dGhvcj5Eb25nPC9BdXRob3I+PFllYXI+MjAxODwvWWVhcj48UmVj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</w:fldData>
        </w:fldChar>
      </w:r>
      <w:r w:rsidR="00065FE0">
        <w:rPr>
          <w:rFonts w:ascii="Times New Roman" w:hAnsi="Times New Roman" w:cs="Times New Roman"/>
        </w:rPr>
        <w:instrText xml:space="preserve"> ADDIN EN.CITE.DATA </w:instrText>
      </w:r>
      <w:r w:rsidR="00065FE0">
        <w:rPr>
          <w:rFonts w:ascii="Times New Roman" w:hAnsi="Times New Roman" w:cs="Times New Roman"/>
        </w:rPr>
      </w:r>
      <w:r w:rsidR="00065FE0">
        <w:rPr>
          <w:rFonts w:ascii="Times New Roman" w:hAnsi="Times New Roman" w:cs="Times New Roman"/>
        </w:rPr>
        <w:fldChar w:fldCharType="end"/>
      </w:r>
      <w:r w:rsidR="008E412B" w:rsidRPr="00065FE0">
        <w:rPr>
          <w:rFonts w:ascii="Times New Roman" w:hAnsi="Times New Roman" w:cs="Times New Roman"/>
        </w:rPr>
      </w:r>
      <w:r w:rsidR="008E412B" w:rsidRPr="00065FE0">
        <w:rPr>
          <w:rFonts w:ascii="Times New Roman" w:hAnsi="Times New Roman" w:cs="Times New Roman"/>
        </w:rPr>
        <w:fldChar w:fldCharType="separate"/>
      </w:r>
      <w:r w:rsidR="00065FE0">
        <w:rPr>
          <w:rFonts w:ascii="Times New Roman" w:hAnsi="Times New Roman" w:cs="Times New Roman"/>
          <w:noProof/>
        </w:rPr>
        <w:t>[4, 5]</w:t>
      </w:r>
      <w:r w:rsidR="008E412B" w:rsidRPr="00065FE0">
        <w:rPr>
          <w:rFonts w:ascii="Times New Roman" w:hAnsi="Times New Roman" w:cs="Times New Roman"/>
        </w:rPr>
        <w:fldChar w:fldCharType="end"/>
      </w:r>
      <w:r w:rsidRPr="00065FE0">
        <w:rPr>
          <w:rFonts w:ascii="Times New Roman" w:hAnsi="Times New Roman" w:cs="Times New Roman"/>
        </w:rPr>
        <w:t xml:space="preserve"> This platform provides a comprehensive analysis of pharmacokinetic and toxicity parameters essential for drug discovery and development. Key parameters assessed include molecular weight, lipophilicity (</w:t>
      </w:r>
      <w:proofErr w:type="spellStart"/>
      <w:r w:rsidRPr="00065FE0">
        <w:rPr>
          <w:rFonts w:ascii="Times New Roman" w:hAnsi="Times New Roman" w:cs="Times New Roman"/>
        </w:rPr>
        <w:t>logP</w:t>
      </w:r>
      <w:proofErr w:type="spellEnd"/>
      <w:r w:rsidRPr="00065FE0">
        <w:rPr>
          <w:rFonts w:ascii="Times New Roman" w:hAnsi="Times New Roman" w:cs="Times New Roman"/>
        </w:rPr>
        <w:t>), and topological polar surface area (TPSA) under physicochemical properties; human intestinal absorption (HIA), Caco-2 permeability, and bioavailability (F 50%) for absorption; plasma protein binding (PPB) and volume of distribution (</w:t>
      </w:r>
      <w:proofErr w:type="spellStart"/>
      <w:r w:rsidRPr="00065FE0">
        <w:rPr>
          <w:rFonts w:ascii="Times New Roman" w:hAnsi="Times New Roman" w:cs="Times New Roman"/>
        </w:rPr>
        <w:t>VDss</w:t>
      </w:r>
      <w:proofErr w:type="spellEnd"/>
      <w:r w:rsidRPr="00065FE0">
        <w:rPr>
          <w:rFonts w:ascii="Times New Roman" w:hAnsi="Times New Roman" w:cs="Times New Roman"/>
        </w:rPr>
        <w:t xml:space="preserve">) for distribution; interactions with cytochrome P450 enzymes (e.g., CYP1A2 and CYP3A4) for metabolism; and plasma clearance (CL plasma) and half-life (T₁/₂) for excretion. Additionally, toxicity predictions, such as </w:t>
      </w:r>
      <w:proofErr w:type="spellStart"/>
      <w:r w:rsidRPr="00065FE0">
        <w:rPr>
          <w:rFonts w:ascii="Times New Roman" w:hAnsi="Times New Roman" w:cs="Times New Roman"/>
        </w:rPr>
        <w:t>hERG</w:t>
      </w:r>
      <w:proofErr w:type="spellEnd"/>
      <w:r w:rsidRPr="00065FE0">
        <w:rPr>
          <w:rFonts w:ascii="Times New Roman" w:hAnsi="Times New Roman" w:cs="Times New Roman"/>
        </w:rPr>
        <w:t xml:space="preserve"> blockade, Ames mutagenicity, drug-induced liver injury (DILI), and carcinogenicity, were evaluated to identify potential safety concerns. The results of this profiling are summarized in Table S</w:t>
      </w:r>
      <w:r w:rsidR="005677BD" w:rsidRPr="00065FE0">
        <w:rPr>
          <w:rFonts w:ascii="Times New Roman" w:hAnsi="Times New Roman" w:cs="Times New Roman"/>
        </w:rPr>
        <w:t>1</w:t>
      </w:r>
      <w:r w:rsidRPr="00065FE0">
        <w:rPr>
          <w:rFonts w:ascii="Times New Roman" w:hAnsi="Times New Roman" w:cs="Times New Roman"/>
        </w:rPr>
        <w:t xml:space="preserve">, providing an overview of the key ADMET properties critical for determining the therapeutic potential of the compounds. The </w:t>
      </w:r>
      <w:proofErr w:type="spellStart"/>
      <w:r w:rsidRPr="00065FE0">
        <w:rPr>
          <w:rFonts w:ascii="Times New Roman" w:hAnsi="Times New Roman" w:cs="Times New Roman"/>
        </w:rPr>
        <w:t>ADMETLab</w:t>
      </w:r>
      <w:proofErr w:type="spellEnd"/>
      <w:r w:rsidRPr="00065FE0">
        <w:rPr>
          <w:rFonts w:ascii="Times New Roman" w:hAnsi="Times New Roman" w:cs="Times New Roman"/>
        </w:rPr>
        <w:t xml:space="preserve"> v3.0 tool was instrumental in offering a reliable, high-throughput computational framework for this systematic assessment.</w:t>
      </w:r>
    </w:p>
    <w:p w14:paraId="201D14B6" w14:textId="0EAD4E49" w:rsidR="00615BE3" w:rsidRPr="00065FE0" w:rsidRDefault="00053A71" w:rsidP="00053A71">
      <w:pPr>
        <w:spacing w:line="276" w:lineRule="auto"/>
        <w:jc w:val="both"/>
        <w:rPr>
          <w:rFonts w:ascii="Times New Roman" w:hAnsi="Times New Roman" w:cs="Times New Roman"/>
          <w:sz w:val="20"/>
          <w:szCs w:val="20"/>
        </w:rPr>
      </w:pPr>
      <w:r w:rsidRPr="00065FE0">
        <w:rPr>
          <w:rFonts w:ascii="Times New Roman" w:hAnsi="Times New Roman" w:cs="Times New Roman"/>
          <w:b/>
          <w:bCs/>
          <w:sz w:val="20"/>
          <w:szCs w:val="20"/>
        </w:rPr>
        <w:t>Table S</w:t>
      </w:r>
      <w:r w:rsidR="005677BD" w:rsidRPr="00065FE0">
        <w:rPr>
          <w:rFonts w:ascii="Times New Roman" w:hAnsi="Times New Roman" w:cs="Times New Roman"/>
          <w:b/>
          <w:bCs/>
          <w:sz w:val="20"/>
          <w:szCs w:val="20"/>
        </w:rPr>
        <w:t>1</w:t>
      </w:r>
      <w:r w:rsidRPr="00065FE0">
        <w:rPr>
          <w:rFonts w:ascii="Times New Roman" w:hAnsi="Times New Roman" w:cs="Times New Roman"/>
          <w:b/>
          <w:bCs/>
          <w:sz w:val="20"/>
          <w:szCs w:val="20"/>
        </w:rPr>
        <w:t xml:space="preserve">: </w:t>
      </w:r>
      <w:r w:rsidR="008A4205" w:rsidRPr="00065FE0">
        <w:rPr>
          <w:rFonts w:ascii="Times New Roman" w:hAnsi="Times New Roman" w:cs="Times New Roman"/>
          <w:sz w:val="20"/>
          <w:szCs w:val="20"/>
        </w:rPr>
        <w:t>Summary of key ADMET properties for active compounds analyzed, including molecular weight, lipophilicity (</w:t>
      </w:r>
      <w:proofErr w:type="spellStart"/>
      <w:r w:rsidR="008A4205" w:rsidRPr="00065FE0">
        <w:rPr>
          <w:rFonts w:ascii="Times New Roman" w:hAnsi="Times New Roman" w:cs="Times New Roman"/>
          <w:sz w:val="20"/>
          <w:szCs w:val="20"/>
        </w:rPr>
        <w:t>logP</w:t>
      </w:r>
      <w:proofErr w:type="spellEnd"/>
      <w:r w:rsidR="008A4205" w:rsidRPr="00065FE0">
        <w:rPr>
          <w:rFonts w:ascii="Times New Roman" w:hAnsi="Times New Roman" w:cs="Times New Roman"/>
          <w:sz w:val="20"/>
          <w:szCs w:val="20"/>
        </w:rPr>
        <w:t>), topological polar surface area (TPSA), absorption (Caco-2 permeability, human intestinal absorption, and bioavailability at 50%), distribution (plasma protein binding and volume of distribution), metabolism (CYP1A2 and CYP3A4 enzyme interactions), excretion (plasma clearance and half-life), and toxicity indicators (</w:t>
      </w:r>
      <w:proofErr w:type="spellStart"/>
      <w:r w:rsidR="008A4205" w:rsidRPr="00065FE0">
        <w:rPr>
          <w:rFonts w:ascii="Times New Roman" w:hAnsi="Times New Roman" w:cs="Times New Roman"/>
          <w:sz w:val="20"/>
          <w:szCs w:val="20"/>
        </w:rPr>
        <w:t>hERG</w:t>
      </w:r>
      <w:proofErr w:type="spellEnd"/>
      <w:r w:rsidR="008A4205" w:rsidRPr="00065FE0">
        <w:rPr>
          <w:rFonts w:ascii="Times New Roman" w:hAnsi="Times New Roman" w:cs="Times New Roman"/>
          <w:sz w:val="20"/>
          <w:szCs w:val="20"/>
        </w:rPr>
        <w:t xml:space="preserve"> blockade, Ames mutagenicity, drug-induced liver injury, and carcinogenicity).</w:t>
      </w:r>
    </w:p>
    <w:tbl>
      <w:tblPr>
        <w:tblW w:w="5000" w:type="pct"/>
        <w:tblBorders>
          <w:bottom w:val="single" w:sz="4" w:space="0" w:color="auto"/>
        </w:tblBorders>
        <w:tblLook w:val="04A0" w:firstRow="1" w:lastRow="0" w:firstColumn="1" w:lastColumn="0" w:noHBand="0" w:noVBand="1"/>
      </w:tblPr>
      <w:tblGrid>
        <w:gridCol w:w="1903"/>
        <w:gridCol w:w="822"/>
        <w:gridCol w:w="801"/>
        <w:gridCol w:w="801"/>
        <w:gridCol w:w="801"/>
        <w:gridCol w:w="986"/>
        <w:gridCol w:w="2711"/>
        <w:gridCol w:w="13"/>
      </w:tblGrid>
      <w:tr w:rsidR="00DE7FA7" w:rsidRPr="00065FE0" w14:paraId="36188A2E" w14:textId="77777777" w:rsidTr="005677BD">
        <w:trPr>
          <w:trHeight w:val="20"/>
          <w:tblHeader/>
        </w:trPr>
        <w:tc>
          <w:tcPr>
            <w:tcW w:w="1082" w:type="pct"/>
            <w:tcBorders>
              <w:top w:val="single" w:sz="4" w:space="0" w:color="auto"/>
              <w:bottom w:val="single" w:sz="4" w:space="0" w:color="auto"/>
            </w:tcBorders>
            <w:shd w:val="clear" w:color="auto" w:fill="auto"/>
            <w:vAlign w:val="center"/>
            <w:hideMark/>
          </w:tcPr>
          <w:p w14:paraId="0FBBC39C" w14:textId="77777777" w:rsidR="00615BE3" w:rsidRPr="00065FE0" w:rsidRDefault="00615BE3"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Parameter</w:t>
            </w:r>
          </w:p>
        </w:tc>
        <w:tc>
          <w:tcPr>
            <w:tcW w:w="470" w:type="pct"/>
            <w:tcBorders>
              <w:top w:val="single" w:sz="4" w:space="0" w:color="auto"/>
              <w:bottom w:val="single" w:sz="4" w:space="0" w:color="auto"/>
            </w:tcBorders>
            <w:shd w:val="clear" w:color="auto" w:fill="auto"/>
            <w:vAlign w:val="center"/>
            <w:hideMark/>
          </w:tcPr>
          <w:p w14:paraId="314BE109" w14:textId="78E5E5A1" w:rsidR="00615BE3" w:rsidRPr="00065FE0" w:rsidRDefault="00B26D61" w:rsidP="00DE7FA7">
            <w:pPr>
              <w:spacing w:after="0" w:line="240" w:lineRule="auto"/>
              <w:jc w:val="center"/>
              <w:rPr>
                <w:rFonts w:ascii="Times New Roman" w:eastAsia="Times New Roman" w:hAnsi="Times New Roman" w:cs="Times New Roman"/>
                <w:b/>
                <w:bCs/>
                <w:color w:val="000000"/>
                <w:sz w:val="18"/>
                <w:szCs w:val="18"/>
                <w:lang w:eastAsia="en-US"/>
              </w:rPr>
            </w:pPr>
            <w:r>
              <w:rPr>
                <w:rFonts w:ascii="Times New Roman" w:eastAsia="Times New Roman" w:hAnsi="Times New Roman" w:cs="Times New Roman"/>
                <w:b/>
                <w:bCs/>
                <w:color w:val="000000"/>
                <w:sz w:val="18"/>
                <w:szCs w:val="18"/>
                <w:lang w:eastAsia="en-US"/>
              </w:rPr>
              <w:t>ETYR</w:t>
            </w:r>
          </w:p>
        </w:tc>
        <w:tc>
          <w:tcPr>
            <w:tcW w:w="453" w:type="pct"/>
            <w:tcBorders>
              <w:top w:val="single" w:sz="4" w:space="0" w:color="auto"/>
              <w:bottom w:val="single" w:sz="4" w:space="0" w:color="auto"/>
            </w:tcBorders>
            <w:shd w:val="clear" w:color="auto" w:fill="auto"/>
            <w:vAlign w:val="center"/>
            <w:hideMark/>
          </w:tcPr>
          <w:p w14:paraId="4704D3EF" w14:textId="41ED1D75" w:rsidR="00615BE3" w:rsidRPr="00065FE0" w:rsidRDefault="00B26D61" w:rsidP="00DE7FA7">
            <w:pPr>
              <w:spacing w:after="0" w:line="240" w:lineRule="auto"/>
              <w:jc w:val="center"/>
              <w:rPr>
                <w:rFonts w:ascii="Times New Roman" w:eastAsia="Times New Roman" w:hAnsi="Times New Roman" w:cs="Times New Roman"/>
                <w:b/>
                <w:bCs/>
                <w:color w:val="000000"/>
                <w:sz w:val="18"/>
                <w:szCs w:val="18"/>
                <w:lang w:eastAsia="en-US"/>
              </w:rPr>
            </w:pPr>
            <w:r>
              <w:rPr>
                <w:rFonts w:ascii="Times New Roman" w:eastAsia="Times New Roman" w:hAnsi="Times New Roman" w:cs="Times New Roman"/>
                <w:b/>
                <w:bCs/>
                <w:color w:val="000000"/>
                <w:sz w:val="18"/>
                <w:szCs w:val="18"/>
                <w:lang w:eastAsia="en-US"/>
              </w:rPr>
              <w:t>ETRP</w:t>
            </w:r>
          </w:p>
        </w:tc>
        <w:tc>
          <w:tcPr>
            <w:tcW w:w="453" w:type="pct"/>
            <w:tcBorders>
              <w:top w:val="single" w:sz="4" w:space="0" w:color="auto"/>
              <w:bottom w:val="single" w:sz="4" w:space="0" w:color="auto"/>
            </w:tcBorders>
            <w:shd w:val="clear" w:color="auto" w:fill="auto"/>
            <w:vAlign w:val="center"/>
            <w:hideMark/>
          </w:tcPr>
          <w:p w14:paraId="1F436479" w14:textId="2924016F" w:rsidR="00615BE3" w:rsidRPr="00065FE0" w:rsidRDefault="00B26D61" w:rsidP="00DE7FA7">
            <w:pPr>
              <w:spacing w:after="0" w:line="240" w:lineRule="auto"/>
              <w:jc w:val="center"/>
              <w:rPr>
                <w:rFonts w:ascii="Times New Roman" w:eastAsia="Times New Roman" w:hAnsi="Times New Roman" w:cs="Times New Roman"/>
                <w:b/>
                <w:bCs/>
                <w:color w:val="000000"/>
                <w:sz w:val="18"/>
                <w:szCs w:val="18"/>
                <w:lang w:eastAsia="en-US"/>
              </w:rPr>
            </w:pPr>
            <w:r>
              <w:rPr>
                <w:rFonts w:ascii="Times New Roman" w:eastAsia="Times New Roman" w:hAnsi="Times New Roman" w:cs="Times New Roman"/>
                <w:b/>
                <w:bCs/>
                <w:color w:val="000000"/>
                <w:sz w:val="18"/>
                <w:szCs w:val="18"/>
                <w:lang w:eastAsia="en-US"/>
              </w:rPr>
              <w:t>EHIS</w:t>
            </w:r>
          </w:p>
        </w:tc>
        <w:tc>
          <w:tcPr>
            <w:tcW w:w="453" w:type="pct"/>
            <w:tcBorders>
              <w:top w:val="single" w:sz="4" w:space="0" w:color="auto"/>
              <w:bottom w:val="single" w:sz="4" w:space="0" w:color="auto"/>
            </w:tcBorders>
            <w:shd w:val="clear" w:color="auto" w:fill="auto"/>
            <w:vAlign w:val="center"/>
            <w:hideMark/>
          </w:tcPr>
          <w:p w14:paraId="777237F7" w14:textId="41CC7C0F" w:rsidR="00615BE3" w:rsidRPr="00065FE0" w:rsidRDefault="00B26D61" w:rsidP="00DE7FA7">
            <w:pPr>
              <w:spacing w:after="0" w:line="240" w:lineRule="auto"/>
              <w:jc w:val="center"/>
              <w:rPr>
                <w:rFonts w:ascii="Times New Roman" w:eastAsia="Times New Roman" w:hAnsi="Times New Roman" w:cs="Times New Roman"/>
                <w:b/>
                <w:bCs/>
                <w:color w:val="000000"/>
                <w:sz w:val="18"/>
                <w:szCs w:val="18"/>
                <w:lang w:eastAsia="en-US"/>
              </w:rPr>
            </w:pPr>
            <w:r>
              <w:rPr>
                <w:rFonts w:ascii="Times New Roman" w:eastAsia="Times New Roman" w:hAnsi="Times New Roman" w:cs="Times New Roman"/>
                <w:b/>
                <w:bCs/>
                <w:color w:val="000000"/>
                <w:sz w:val="18"/>
                <w:szCs w:val="18"/>
                <w:lang w:eastAsia="en-US"/>
              </w:rPr>
              <w:t>EPHE</w:t>
            </w:r>
          </w:p>
        </w:tc>
        <w:tc>
          <w:tcPr>
            <w:tcW w:w="542" w:type="pct"/>
            <w:tcBorders>
              <w:top w:val="single" w:sz="4" w:space="0" w:color="auto"/>
              <w:bottom w:val="single" w:sz="4" w:space="0" w:color="auto"/>
            </w:tcBorders>
            <w:shd w:val="clear" w:color="auto" w:fill="auto"/>
            <w:vAlign w:val="center"/>
            <w:hideMark/>
          </w:tcPr>
          <w:p w14:paraId="73D9FFE7" w14:textId="59C7C58F" w:rsidR="00615BE3" w:rsidRPr="00065FE0" w:rsidRDefault="00E3049D" w:rsidP="00DE7FA7">
            <w:pPr>
              <w:spacing w:after="0" w:line="240" w:lineRule="auto"/>
              <w:jc w:val="center"/>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Diazepam</w:t>
            </w:r>
          </w:p>
        </w:tc>
        <w:tc>
          <w:tcPr>
            <w:tcW w:w="1547" w:type="pct"/>
            <w:gridSpan w:val="2"/>
            <w:tcBorders>
              <w:top w:val="single" w:sz="4" w:space="0" w:color="auto"/>
              <w:bottom w:val="single" w:sz="4" w:space="0" w:color="auto"/>
            </w:tcBorders>
            <w:shd w:val="clear" w:color="auto" w:fill="auto"/>
            <w:vAlign w:val="center"/>
            <w:hideMark/>
          </w:tcPr>
          <w:p w14:paraId="0D3B46D1" w14:textId="77777777" w:rsidR="00615BE3" w:rsidRPr="00065FE0" w:rsidRDefault="00615BE3" w:rsidP="00DE7FA7">
            <w:pPr>
              <w:spacing w:after="0" w:line="240" w:lineRule="auto"/>
              <w:jc w:val="center"/>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Comment</w:t>
            </w:r>
          </w:p>
        </w:tc>
      </w:tr>
      <w:tr w:rsidR="00AD7CD2" w:rsidRPr="00065FE0" w14:paraId="6CB0F281" w14:textId="77777777" w:rsidTr="005677BD">
        <w:trPr>
          <w:gridAfter w:val="1"/>
          <w:wAfter w:w="9" w:type="pct"/>
          <w:trHeight w:val="20"/>
        </w:trPr>
        <w:tc>
          <w:tcPr>
            <w:tcW w:w="4991" w:type="pct"/>
            <w:gridSpan w:val="7"/>
            <w:tcBorders>
              <w:top w:val="single" w:sz="4" w:space="0" w:color="auto"/>
              <w:bottom w:val="single" w:sz="4" w:space="0" w:color="auto"/>
            </w:tcBorders>
            <w:shd w:val="clear" w:color="auto" w:fill="auto"/>
            <w:noWrap/>
            <w:vAlign w:val="center"/>
            <w:hideMark/>
          </w:tcPr>
          <w:p w14:paraId="6679E0C6" w14:textId="6293B407"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(A) </w:t>
            </w:r>
            <w:r w:rsidR="00615BE3" w:rsidRPr="00065FE0">
              <w:rPr>
                <w:rFonts w:ascii="Times New Roman" w:eastAsia="Times New Roman" w:hAnsi="Times New Roman" w:cs="Times New Roman"/>
                <w:b/>
                <w:bCs/>
                <w:color w:val="000000"/>
                <w:sz w:val="18"/>
                <w:szCs w:val="18"/>
                <w:lang w:eastAsia="en-US"/>
              </w:rPr>
              <w:t>Physicochemical Property</w:t>
            </w:r>
          </w:p>
        </w:tc>
      </w:tr>
      <w:tr w:rsidR="00DE7FA7" w:rsidRPr="00065FE0" w14:paraId="7C15DF72" w14:textId="77777777" w:rsidTr="005677BD">
        <w:trPr>
          <w:trHeight w:val="20"/>
        </w:trPr>
        <w:tc>
          <w:tcPr>
            <w:tcW w:w="1082" w:type="pct"/>
            <w:tcBorders>
              <w:top w:val="single" w:sz="4" w:space="0" w:color="auto"/>
            </w:tcBorders>
            <w:shd w:val="clear" w:color="auto" w:fill="auto"/>
            <w:hideMark/>
          </w:tcPr>
          <w:p w14:paraId="5B54324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Molecular Weight</w:t>
            </w:r>
          </w:p>
        </w:tc>
        <w:tc>
          <w:tcPr>
            <w:tcW w:w="470" w:type="pct"/>
            <w:tcBorders>
              <w:top w:val="single" w:sz="4" w:space="0" w:color="auto"/>
            </w:tcBorders>
            <w:shd w:val="clear" w:color="auto" w:fill="auto"/>
          </w:tcPr>
          <w:p w14:paraId="4818B6F6" w14:textId="68DFE9B8"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297.14</w:t>
            </w:r>
          </w:p>
        </w:tc>
        <w:tc>
          <w:tcPr>
            <w:tcW w:w="453" w:type="pct"/>
            <w:tcBorders>
              <w:top w:val="single" w:sz="4" w:space="0" w:color="auto"/>
            </w:tcBorders>
            <w:shd w:val="clear" w:color="auto" w:fill="auto"/>
          </w:tcPr>
          <w:p w14:paraId="772FE2EA" w14:textId="6CC6B6BD" w:rsidR="00615BE3" w:rsidRPr="00065FE0" w:rsidRDefault="00CD1EA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320.15</w:t>
            </w:r>
          </w:p>
        </w:tc>
        <w:tc>
          <w:tcPr>
            <w:tcW w:w="453" w:type="pct"/>
            <w:tcBorders>
              <w:top w:val="single" w:sz="4" w:space="0" w:color="auto"/>
            </w:tcBorders>
            <w:shd w:val="clear" w:color="auto" w:fill="auto"/>
          </w:tcPr>
          <w:p w14:paraId="03212C43" w14:textId="1038997B"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271.13</w:t>
            </w:r>
          </w:p>
        </w:tc>
        <w:tc>
          <w:tcPr>
            <w:tcW w:w="453" w:type="pct"/>
            <w:tcBorders>
              <w:top w:val="single" w:sz="4" w:space="0" w:color="auto"/>
            </w:tcBorders>
            <w:shd w:val="clear" w:color="auto" w:fill="auto"/>
          </w:tcPr>
          <w:p w14:paraId="2AABC68E" w14:textId="68DD6DD2"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281.14</w:t>
            </w:r>
          </w:p>
        </w:tc>
        <w:tc>
          <w:tcPr>
            <w:tcW w:w="542" w:type="pct"/>
            <w:tcBorders>
              <w:top w:val="single" w:sz="4" w:space="0" w:color="auto"/>
            </w:tcBorders>
            <w:shd w:val="clear" w:color="auto" w:fill="auto"/>
            <w:hideMark/>
          </w:tcPr>
          <w:p w14:paraId="1AED029E" w14:textId="1341E466"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284.070</w:t>
            </w:r>
          </w:p>
        </w:tc>
        <w:tc>
          <w:tcPr>
            <w:tcW w:w="1547" w:type="pct"/>
            <w:gridSpan w:val="2"/>
            <w:tcBorders>
              <w:top w:val="single" w:sz="4" w:space="0" w:color="auto"/>
            </w:tcBorders>
            <w:shd w:val="clear" w:color="auto" w:fill="auto"/>
            <w:hideMark/>
          </w:tcPr>
          <w:p w14:paraId="118A2764"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Contain hydrogen atoms. Optimal: 100~600</w:t>
            </w:r>
          </w:p>
        </w:tc>
      </w:tr>
      <w:tr w:rsidR="00DE7FA7" w:rsidRPr="00065FE0" w14:paraId="1AEB1A5A" w14:textId="77777777" w:rsidTr="005677BD">
        <w:trPr>
          <w:trHeight w:val="20"/>
        </w:trPr>
        <w:tc>
          <w:tcPr>
            <w:tcW w:w="1082" w:type="pct"/>
            <w:shd w:val="clear" w:color="auto" w:fill="auto"/>
            <w:hideMark/>
          </w:tcPr>
          <w:p w14:paraId="6E2A1A7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Volume</w:t>
            </w:r>
          </w:p>
        </w:tc>
        <w:tc>
          <w:tcPr>
            <w:tcW w:w="470" w:type="pct"/>
            <w:shd w:val="clear" w:color="auto" w:fill="auto"/>
          </w:tcPr>
          <w:p w14:paraId="604713D6" w14:textId="5B53297F"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313.127</w:t>
            </w:r>
          </w:p>
        </w:tc>
        <w:tc>
          <w:tcPr>
            <w:tcW w:w="453" w:type="pct"/>
            <w:shd w:val="clear" w:color="auto" w:fill="auto"/>
          </w:tcPr>
          <w:p w14:paraId="21D0DE46" w14:textId="7EEFC8A2" w:rsidR="00615BE3" w:rsidRPr="00065FE0" w:rsidRDefault="00CD1EA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338.733</w:t>
            </w:r>
          </w:p>
        </w:tc>
        <w:tc>
          <w:tcPr>
            <w:tcW w:w="453" w:type="pct"/>
            <w:shd w:val="clear" w:color="auto" w:fill="auto"/>
          </w:tcPr>
          <w:p w14:paraId="64EBDBA0" w14:textId="7394EA83"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277.079</w:t>
            </w:r>
          </w:p>
        </w:tc>
        <w:tc>
          <w:tcPr>
            <w:tcW w:w="453" w:type="pct"/>
            <w:shd w:val="clear" w:color="auto" w:fill="auto"/>
          </w:tcPr>
          <w:p w14:paraId="47556BCE" w14:textId="41FF5538"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304.337</w:t>
            </w:r>
          </w:p>
        </w:tc>
        <w:tc>
          <w:tcPr>
            <w:tcW w:w="542" w:type="pct"/>
            <w:shd w:val="clear" w:color="auto" w:fill="auto"/>
            <w:hideMark/>
          </w:tcPr>
          <w:p w14:paraId="3315A025" w14:textId="31B2ECF2"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284.526</w:t>
            </w:r>
          </w:p>
        </w:tc>
        <w:tc>
          <w:tcPr>
            <w:tcW w:w="1547" w:type="pct"/>
            <w:gridSpan w:val="2"/>
            <w:shd w:val="clear" w:color="auto" w:fill="auto"/>
            <w:hideMark/>
          </w:tcPr>
          <w:p w14:paraId="5FAD6AE7"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Van der Waals volume</w:t>
            </w:r>
          </w:p>
        </w:tc>
      </w:tr>
      <w:tr w:rsidR="00DE7FA7" w:rsidRPr="00065FE0" w14:paraId="60C7290F" w14:textId="77777777" w:rsidTr="005677BD">
        <w:trPr>
          <w:trHeight w:val="20"/>
        </w:trPr>
        <w:tc>
          <w:tcPr>
            <w:tcW w:w="1082" w:type="pct"/>
            <w:shd w:val="clear" w:color="auto" w:fill="auto"/>
            <w:hideMark/>
          </w:tcPr>
          <w:p w14:paraId="485EC0E4"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Density</w:t>
            </w:r>
          </w:p>
        </w:tc>
        <w:tc>
          <w:tcPr>
            <w:tcW w:w="470" w:type="pct"/>
            <w:shd w:val="clear" w:color="auto" w:fill="auto"/>
          </w:tcPr>
          <w:p w14:paraId="761ACEA1" w14:textId="0AAD8CE2"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0.949</w:t>
            </w:r>
          </w:p>
        </w:tc>
        <w:tc>
          <w:tcPr>
            <w:tcW w:w="453" w:type="pct"/>
            <w:shd w:val="clear" w:color="auto" w:fill="auto"/>
          </w:tcPr>
          <w:p w14:paraId="7D75F497" w14:textId="38128D2E"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0.945</w:t>
            </w:r>
          </w:p>
        </w:tc>
        <w:tc>
          <w:tcPr>
            <w:tcW w:w="453" w:type="pct"/>
            <w:shd w:val="clear" w:color="auto" w:fill="auto"/>
          </w:tcPr>
          <w:p w14:paraId="313539AB" w14:textId="32211AC4"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0.979</w:t>
            </w:r>
          </w:p>
        </w:tc>
        <w:tc>
          <w:tcPr>
            <w:tcW w:w="453" w:type="pct"/>
            <w:shd w:val="clear" w:color="auto" w:fill="auto"/>
          </w:tcPr>
          <w:p w14:paraId="61F235DA" w14:textId="5059B0D0"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0.924</w:t>
            </w:r>
          </w:p>
        </w:tc>
        <w:tc>
          <w:tcPr>
            <w:tcW w:w="542" w:type="pct"/>
            <w:shd w:val="clear" w:color="auto" w:fill="auto"/>
            <w:hideMark/>
          </w:tcPr>
          <w:p w14:paraId="2408D925" w14:textId="482D968E"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0.998</w:t>
            </w:r>
          </w:p>
        </w:tc>
        <w:tc>
          <w:tcPr>
            <w:tcW w:w="1547" w:type="pct"/>
            <w:gridSpan w:val="2"/>
            <w:shd w:val="clear" w:color="auto" w:fill="auto"/>
            <w:hideMark/>
          </w:tcPr>
          <w:p w14:paraId="027F17F8"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Density = MW / Volume</w:t>
            </w:r>
          </w:p>
        </w:tc>
      </w:tr>
      <w:tr w:rsidR="00DE7FA7" w:rsidRPr="00065FE0" w14:paraId="22972784" w14:textId="77777777" w:rsidTr="005677BD">
        <w:trPr>
          <w:trHeight w:val="20"/>
        </w:trPr>
        <w:tc>
          <w:tcPr>
            <w:tcW w:w="1082" w:type="pct"/>
            <w:shd w:val="clear" w:color="auto" w:fill="auto"/>
            <w:hideMark/>
          </w:tcPr>
          <w:p w14:paraId="537F057C"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nHA</w:t>
            </w:r>
            <w:proofErr w:type="spellEnd"/>
          </w:p>
        </w:tc>
        <w:tc>
          <w:tcPr>
            <w:tcW w:w="470" w:type="pct"/>
            <w:shd w:val="clear" w:color="auto" w:fill="auto"/>
          </w:tcPr>
          <w:p w14:paraId="4B023924" w14:textId="40A0C165"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w:t>
            </w:r>
          </w:p>
        </w:tc>
        <w:tc>
          <w:tcPr>
            <w:tcW w:w="453" w:type="pct"/>
            <w:shd w:val="clear" w:color="auto" w:fill="auto"/>
          </w:tcPr>
          <w:p w14:paraId="2F5704C7" w14:textId="3ABEFDEB"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w:t>
            </w:r>
          </w:p>
        </w:tc>
        <w:tc>
          <w:tcPr>
            <w:tcW w:w="453" w:type="pct"/>
            <w:shd w:val="clear" w:color="auto" w:fill="auto"/>
          </w:tcPr>
          <w:p w14:paraId="385F12F2" w14:textId="3B0CAFD7"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w:t>
            </w:r>
          </w:p>
        </w:tc>
        <w:tc>
          <w:tcPr>
            <w:tcW w:w="453" w:type="pct"/>
            <w:shd w:val="clear" w:color="auto" w:fill="auto"/>
          </w:tcPr>
          <w:p w14:paraId="3266A0C9" w14:textId="1BE0E931"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w:t>
            </w:r>
          </w:p>
        </w:tc>
        <w:tc>
          <w:tcPr>
            <w:tcW w:w="542" w:type="pct"/>
            <w:shd w:val="clear" w:color="auto" w:fill="auto"/>
            <w:hideMark/>
          </w:tcPr>
          <w:p w14:paraId="263314D0" w14:textId="79B15FCA"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w:t>
            </w:r>
          </w:p>
        </w:tc>
        <w:tc>
          <w:tcPr>
            <w:tcW w:w="1547" w:type="pct"/>
            <w:gridSpan w:val="2"/>
            <w:shd w:val="clear" w:color="auto" w:fill="auto"/>
            <w:hideMark/>
          </w:tcPr>
          <w:p w14:paraId="10B24895"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Number of hydrogen bond acceptors. Optimal: 0~12</w:t>
            </w:r>
          </w:p>
        </w:tc>
      </w:tr>
      <w:tr w:rsidR="00DE7FA7" w:rsidRPr="00065FE0" w14:paraId="49FC8ABD" w14:textId="77777777" w:rsidTr="005677BD">
        <w:trPr>
          <w:trHeight w:val="20"/>
        </w:trPr>
        <w:tc>
          <w:tcPr>
            <w:tcW w:w="1082" w:type="pct"/>
            <w:shd w:val="clear" w:color="auto" w:fill="auto"/>
            <w:hideMark/>
          </w:tcPr>
          <w:p w14:paraId="1BD3ACF3"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nHD</w:t>
            </w:r>
            <w:proofErr w:type="spellEnd"/>
          </w:p>
        </w:tc>
        <w:tc>
          <w:tcPr>
            <w:tcW w:w="470" w:type="pct"/>
            <w:shd w:val="clear" w:color="auto" w:fill="auto"/>
          </w:tcPr>
          <w:p w14:paraId="229EB062" w14:textId="7228049F"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453" w:type="pct"/>
            <w:shd w:val="clear" w:color="auto" w:fill="auto"/>
          </w:tcPr>
          <w:p w14:paraId="3CE16BBB" w14:textId="4C2002E7"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453" w:type="pct"/>
            <w:shd w:val="clear" w:color="auto" w:fill="auto"/>
          </w:tcPr>
          <w:p w14:paraId="2EEEAD64" w14:textId="70C28E63"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453" w:type="pct"/>
            <w:shd w:val="clear" w:color="auto" w:fill="auto"/>
          </w:tcPr>
          <w:p w14:paraId="157EA19C" w14:textId="1E5EB72C"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hideMark/>
          </w:tcPr>
          <w:p w14:paraId="360A8DB4" w14:textId="696CDE1A"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4DEAF66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Number of hydrogen bond donors. Optimal: 0~7</w:t>
            </w:r>
          </w:p>
        </w:tc>
      </w:tr>
      <w:tr w:rsidR="00DE7FA7" w:rsidRPr="00065FE0" w14:paraId="247C2A0C" w14:textId="77777777" w:rsidTr="005677BD">
        <w:trPr>
          <w:trHeight w:val="20"/>
        </w:trPr>
        <w:tc>
          <w:tcPr>
            <w:tcW w:w="1082" w:type="pct"/>
            <w:shd w:val="clear" w:color="auto" w:fill="auto"/>
            <w:hideMark/>
          </w:tcPr>
          <w:p w14:paraId="78635803"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nRot</w:t>
            </w:r>
            <w:proofErr w:type="spellEnd"/>
          </w:p>
        </w:tc>
        <w:tc>
          <w:tcPr>
            <w:tcW w:w="470" w:type="pct"/>
            <w:shd w:val="clear" w:color="auto" w:fill="auto"/>
          </w:tcPr>
          <w:p w14:paraId="163465C0" w14:textId="04464C2A"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w:t>
            </w:r>
          </w:p>
        </w:tc>
        <w:tc>
          <w:tcPr>
            <w:tcW w:w="453" w:type="pct"/>
            <w:shd w:val="clear" w:color="auto" w:fill="auto"/>
          </w:tcPr>
          <w:p w14:paraId="7330378F" w14:textId="031C2C4B"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w:t>
            </w:r>
          </w:p>
        </w:tc>
        <w:tc>
          <w:tcPr>
            <w:tcW w:w="453" w:type="pct"/>
            <w:shd w:val="clear" w:color="auto" w:fill="auto"/>
          </w:tcPr>
          <w:p w14:paraId="1BD06DBA" w14:textId="72DD7083"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w:t>
            </w:r>
          </w:p>
        </w:tc>
        <w:tc>
          <w:tcPr>
            <w:tcW w:w="453" w:type="pct"/>
            <w:shd w:val="clear" w:color="auto" w:fill="auto"/>
          </w:tcPr>
          <w:p w14:paraId="260E26F4" w14:textId="32A5D991"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w:t>
            </w:r>
          </w:p>
        </w:tc>
        <w:tc>
          <w:tcPr>
            <w:tcW w:w="542" w:type="pct"/>
            <w:shd w:val="clear" w:color="auto" w:fill="auto"/>
            <w:hideMark/>
          </w:tcPr>
          <w:p w14:paraId="07F922D4" w14:textId="36A7DF04"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1547" w:type="pct"/>
            <w:gridSpan w:val="2"/>
            <w:shd w:val="clear" w:color="auto" w:fill="auto"/>
            <w:hideMark/>
          </w:tcPr>
          <w:p w14:paraId="7BB9DDBA"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Number of rotatable bonds. Optimal: 0~11</w:t>
            </w:r>
          </w:p>
        </w:tc>
      </w:tr>
      <w:tr w:rsidR="00DE7FA7" w:rsidRPr="00065FE0" w14:paraId="6788BB82" w14:textId="77777777" w:rsidTr="005677BD">
        <w:trPr>
          <w:trHeight w:val="20"/>
        </w:trPr>
        <w:tc>
          <w:tcPr>
            <w:tcW w:w="1082" w:type="pct"/>
            <w:shd w:val="clear" w:color="auto" w:fill="auto"/>
            <w:hideMark/>
          </w:tcPr>
          <w:p w14:paraId="4A65E367"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nRing</w:t>
            </w:r>
            <w:proofErr w:type="spellEnd"/>
          </w:p>
        </w:tc>
        <w:tc>
          <w:tcPr>
            <w:tcW w:w="470" w:type="pct"/>
            <w:shd w:val="clear" w:color="auto" w:fill="auto"/>
          </w:tcPr>
          <w:p w14:paraId="41D1C67A" w14:textId="17E4993D"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w:t>
            </w:r>
          </w:p>
        </w:tc>
        <w:tc>
          <w:tcPr>
            <w:tcW w:w="453" w:type="pct"/>
            <w:shd w:val="clear" w:color="auto" w:fill="auto"/>
          </w:tcPr>
          <w:p w14:paraId="27B80AEB" w14:textId="6ADBDA96"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w:t>
            </w:r>
          </w:p>
        </w:tc>
        <w:tc>
          <w:tcPr>
            <w:tcW w:w="453" w:type="pct"/>
            <w:shd w:val="clear" w:color="auto" w:fill="auto"/>
          </w:tcPr>
          <w:p w14:paraId="5A878F9E" w14:textId="343237DE"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w:t>
            </w:r>
          </w:p>
        </w:tc>
        <w:tc>
          <w:tcPr>
            <w:tcW w:w="453" w:type="pct"/>
            <w:shd w:val="clear" w:color="auto" w:fill="auto"/>
          </w:tcPr>
          <w:p w14:paraId="1D9D8DB9" w14:textId="1F986D90"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w:t>
            </w:r>
          </w:p>
        </w:tc>
        <w:tc>
          <w:tcPr>
            <w:tcW w:w="542" w:type="pct"/>
            <w:shd w:val="clear" w:color="auto" w:fill="auto"/>
            <w:hideMark/>
          </w:tcPr>
          <w:p w14:paraId="4052A635" w14:textId="79471AFD"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w:t>
            </w:r>
          </w:p>
        </w:tc>
        <w:tc>
          <w:tcPr>
            <w:tcW w:w="1547" w:type="pct"/>
            <w:gridSpan w:val="2"/>
            <w:shd w:val="clear" w:color="auto" w:fill="auto"/>
            <w:hideMark/>
          </w:tcPr>
          <w:p w14:paraId="3DBF1B57"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Number of rings. Optimal: 0~6</w:t>
            </w:r>
          </w:p>
        </w:tc>
      </w:tr>
      <w:tr w:rsidR="00DE7FA7" w:rsidRPr="00065FE0" w14:paraId="2B64358D" w14:textId="77777777" w:rsidTr="005677BD">
        <w:trPr>
          <w:trHeight w:val="20"/>
        </w:trPr>
        <w:tc>
          <w:tcPr>
            <w:tcW w:w="1082" w:type="pct"/>
            <w:shd w:val="clear" w:color="auto" w:fill="auto"/>
            <w:hideMark/>
          </w:tcPr>
          <w:p w14:paraId="038E617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lastRenderedPageBreak/>
              <w:t>MaxRing</w:t>
            </w:r>
            <w:proofErr w:type="spellEnd"/>
          </w:p>
        </w:tc>
        <w:tc>
          <w:tcPr>
            <w:tcW w:w="470" w:type="pct"/>
            <w:shd w:val="clear" w:color="auto" w:fill="auto"/>
          </w:tcPr>
          <w:p w14:paraId="083CDF28" w14:textId="37D7728E"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w:t>
            </w:r>
          </w:p>
        </w:tc>
        <w:tc>
          <w:tcPr>
            <w:tcW w:w="453" w:type="pct"/>
            <w:shd w:val="clear" w:color="auto" w:fill="auto"/>
          </w:tcPr>
          <w:p w14:paraId="2249B05D" w14:textId="0F5DA62E"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w:t>
            </w:r>
          </w:p>
        </w:tc>
        <w:tc>
          <w:tcPr>
            <w:tcW w:w="453" w:type="pct"/>
            <w:shd w:val="clear" w:color="auto" w:fill="auto"/>
          </w:tcPr>
          <w:p w14:paraId="7FFFA76A" w14:textId="0596173E"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w:t>
            </w:r>
          </w:p>
        </w:tc>
        <w:tc>
          <w:tcPr>
            <w:tcW w:w="453" w:type="pct"/>
            <w:shd w:val="clear" w:color="auto" w:fill="auto"/>
          </w:tcPr>
          <w:p w14:paraId="0DC6803A" w14:textId="35AFF7A4"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w:t>
            </w:r>
          </w:p>
        </w:tc>
        <w:tc>
          <w:tcPr>
            <w:tcW w:w="542" w:type="pct"/>
            <w:shd w:val="clear" w:color="auto" w:fill="auto"/>
            <w:hideMark/>
          </w:tcPr>
          <w:p w14:paraId="1331E825" w14:textId="6CF0F7AA"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11</w:t>
            </w:r>
          </w:p>
        </w:tc>
        <w:tc>
          <w:tcPr>
            <w:tcW w:w="1547" w:type="pct"/>
            <w:gridSpan w:val="2"/>
            <w:shd w:val="clear" w:color="auto" w:fill="auto"/>
            <w:hideMark/>
          </w:tcPr>
          <w:p w14:paraId="7CA39A52"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Number of atoms in the biggest ring. Optimal: 0~18</w:t>
            </w:r>
          </w:p>
        </w:tc>
      </w:tr>
      <w:tr w:rsidR="00DE7FA7" w:rsidRPr="00065FE0" w14:paraId="7221B35D" w14:textId="77777777" w:rsidTr="005677BD">
        <w:trPr>
          <w:trHeight w:val="20"/>
        </w:trPr>
        <w:tc>
          <w:tcPr>
            <w:tcW w:w="1082" w:type="pct"/>
            <w:shd w:val="clear" w:color="auto" w:fill="auto"/>
            <w:hideMark/>
          </w:tcPr>
          <w:p w14:paraId="3E671C25"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nHet</w:t>
            </w:r>
            <w:proofErr w:type="spellEnd"/>
          </w:p>
        </w:tc>
        <w:tc>
          <w:tcPr>
            <w:tcW w:w="470" w:type="pct"/>
            <w:shd w:val="clear" w:color="auto" w:fill="auto"/>
          </w:tcPr>
          <w:p w14:paraId="14AF7A95" w14:textId="5F5290AB"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w:t>
            </w:r>
          </w:p>
        </w:tc>
        <w:tc>
          <w:tcPr>
            <w:tcW w:w="453" w:type="pct"/>
            <w:shd w:val="clear" w:color="auto" w:fill="auto"/>
          </w:tcPr>
          <w:p w14:paraId="2AFE5004" w14:textId="16BCFCAB"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w:t>
            </w:r>
          </w:p>
        </w:tc>
        <w:tc>
          <w:tcPr>
            <w:tcW w:w="453" w:type="pct"/>
            <w:shd w:val="clear" w:color="auto" w:fill="auto"/>
          </w:tcPr>
          <w:p w14:paraId="79507188" w14:textId="6A0665F6"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w:t>
            </w:r>
          </w:p>
        </w:tc>
        <w:tc>
          <w:tcPr>
            <w:tcW w:w="453" w:type="pct"/>
            <w:shd w:val="clear" w:color="auto" w:fill="auto"/>
          </w:tcPr>
          <w:p w14:paraId="1E206492" w14:textId="3ABC2F9C"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w:t>
            </w:r>
          </w:p>
        </w:tc>
        <w:tc>
          <w:tcPr>
            <w:tcW w:w="542" w:type="pct"/>
            <w:shd w:val="clear" w:color="auto" w:fill="auto"/>
            <w:hideMark/>
          </w:tcPr>
          <w:p w14:paraId="5BBEF9BF" w14:textId="6458AE03"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w:t>
            </w:r>
          </w:p>
        </w:tc>
        <w:tc>
          <w:tcPr>
            <w:tcW w:w="1547" w:type="pct"/>
            <w:gridSpan w:val="2"/>
            <w:shd w:val="clear" w:color="auto" w:fill="auto"/>
            <w:hideMark/>
          </w:tcPr>
          <w:p w14:paraId="488003E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Number of heteroatoms. Optimal: 1~15</w:t>
            </w:r>
          </w:p>
        </w:tc>
      </w:tr>
      <w:tr w:rsidR="00DE7FA7" w:rsidRPr="00065FE0" w14:paraId="5A931B6F" w14:textId="77777777" w:rsidTr="005677BD">
        <w:trPr>
          <w:trHeight w:val="20"/>
        </w:trPr>
        <w:tc>
          <w:tcPr>
            <w:tcW w:w="1082" w:type="pct"/>
            <w:shd w:val="clear" w:color="auto" w:fill="auto"/>
            <w:hideMark/>
          </w:tcPr>
          <w:p w14:paraId="11EAF4D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fChar</w:t>
            </w:r>
            <w:proofErr w:type="spellEnd"/>
          </w:p>
        </w:tc>
        <w:tc>
          <w:tcPr>
            <w:tcW w:w="470" w:type="pct"/>
            <w:shd w:val="clear" w:color="auto" w:fill="auto"/>
          </w:tcPr>
          <w:p w14:paraId="7DBEBD7B" w14:textId="3B84561A"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978036F" w14:textId="19B390D2"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C287498" w14:textId="1282704D"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70DB8B2" w14:textId="607B5620"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hideMark/>
          </w:tcPr>
          <w:p w14:paraId="54735775"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67EF18B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Formal charge. Optimal: -4~4</w:t>
            </w:r>
          </w:p>
        </w:tc>
      </w:tr>
      <w:tr w:rsidR="00DE7FA7" w:rsidRPr="00065FE0" w14:paraId="7166D22B" w14:textId="77777777" w:rsidTr="005677BD">
        <w:trPr>
          <w:trHeight w:val="20"/>
        </w:trPr>
        <w:tc>
          <w:tcPr>
            <w:tcW w:w="1082" w:type="pct"/>
            <w:shd w:val="clear" w:color="auto" w:fill="auto"/>
            <w:hideMark/>
          </w:tcPr>
          <w:p w14:paraId="5890690F"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nRig</w:t>
            </w:r>
            <w:proofErr w:type="spellEnd"/>
          </w:p>
        </w:tc>
        <w:tc>
          <w:tcPr>
            <w:tcW w:w="470" w:type="pct"/>
            <w:shd w:val="clear" w:color="auto" w:fill="auto"/>
          </w:tcPr>
          <w:p w14:paraId="371B4854" w14:textId="6072B089"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17</w:t>
            </w:r>
          </w:p>
        </w:tc>
        <w:tc>
          <w:tcPr>
            <w:tcW w:w="453" w:type="pct"/>
            <w:shd w:val="clear" w:color="auto" w:fill="auto"/>
          </w:tcPr>
          <w:p w14:paraId="2CB29D3A" w14:textId="0E052145"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21</w:t>
            </w:r>
          </w:p>
        </w:tc>
        <w:tc>
          <w:tcPr>
            <w:tcW w:w="453" w:type="pct"/>
            <w:shd w:val="clear" w:color="auto" w:fill="auto"/>
          </w:tcPr>
          <w:p w14:paraId="5B468453" w14:textId="092BE43E"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16</w:t>
            </w:r>
          </w:p>
        </w:tc>
        <w:tc>
          <w:tcPr>
            <w:tcW w:w="453" w:type="pct"/>
            <w:shd w:val="clear" w:color="auto" w:fill="auto"/>
          </w:tcPr>
          <w:p w14:paraId="3B4F3E37" w14:textId="0C3CB129"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17</w:t>
            </w:r>
          </w:p>
        </w:tc>
        <w:tc>
          <w:tcPr>
            <w:tcW w:w="542" w:type="pct"/>
            <w:shd w:val="clear" w:color="auto" w:fill="auto"/>
            <w:hideMark/>
          </w:tcPr>
          <w:p w14:paraId="6A12AA8E" w14:textId="12CE6FDB"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19</w:t>
            </w:r>
          </w:p>
        </w:tc>
        <w:tc>
          <w:tcPr>
            <w:tcW w:w="1547" w:type="pct"/>
            <w:gridSpan w:val="2"/>
            <w:shd w:val="clear" w:color="auto" w:fill="auto"/>
            <w:hideMark/>
          </w:tcPr>
          <w:p w14:paraId="6925FCF9"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Number of rigid bonds. Optimal: 0~30</w:t>
            </w:r>
          </w:p>
        </w:tc>
      </w:tr>
      <w:tr w:rsidR="00DE7FA7" w:rsidRPr="00065FE0" w14:paraId="6848A60F" w14:textId="77777777" w:rsidTr="005677BD">
        <w:trPr>
          <w:trHeight w:val="20"/>
        </w:trPr>
        <w:tc>
          <w:tcPr>
            <w:tcW w:w="1082" w:type="pct"/>
            <w:shd w:val="clear" w:color="auto" w:fill="auto"/>
            <w:hideMark/>
          </w:tcPr>
          <w:p w14:paraId="1099A32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Flexibility</w:t>
            </w:r>
          </w:p>
        </w:tc>
        <w:tc>
          <w:tcPr>
            <w:tcW w:w="470" w:type="pct"/>
            <w:shd w:val="clear" w:color="auto" w:fill="auto"/>
          </w:tcPr>
          <w:p w14:paraId="7115AA05" w14:textId="19BD7AB9"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0.294</w:t>
            </w:r>
          </w:p>
        </w:tc>
        <w:tc>
          <w:tcPr>
            <w:tcW w:w="453" w:type="pct"/>
            <w:shd w:val="clear" w:color="auto" w:fill="auto"/>
          </w:tcPr>
          <w:p w14:paraId="67287641" w14:textId="249FA92F"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0.238</w:t>
            </w:r>
          </w:p>
        </w:tc>
        <w:tc>
          <w:tcPr>
            <w:tcW w:w="453" w:type="pct"/>
            <w:shd w:val="clear" w:color="auto" w:fill="auto"/>
          </w:tcPr>
          <w:p w14:paraId="164D7FF2" w14:textId="5D62B0F9"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0.312</w:t>
            </w:r>
          </w:p>
        </w:tc>
        <w:tc>
          <w:tcPr>
            <w:tcW w:w="453" w:type="pct"/>
            <w:shd w:val="clear" w:color="auto" w:fill="auto"/>
          </w:tcPr>
          <w:p w14:paraId="363222B5" w14:textId="4583A44F"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0.294</w:t>
            </w:r>
          </w:p>
        </w:tc>
        <w:tc>
          <w:tcPr>
            <w:tcW w:w="542" w:type="pct"/>
            <w:shd w:val="clear" w:color="auto" w:fill="auto"/>
            <w:hideMark/>
          </w:tcPr>
          <w:p w14:paraId="3C6A51A5" w14:textId="634D308C"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0.053</w:t>
            </w:r>
          </w:p>
        </w:tc>
        <w:tc>
          <w:tcPr>
            <w:tcW w:w="1547" w:type="pct"/>
            <w:gridSpan w:val="2"/>
            <w:shd w:val="clear" w:color="auto" w:fill="auto"/>
            <w:hideMark/>
          </w:tcPr>
          <w:p w14:paraId="55CB034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Flexibility = </w:t>
            </w:r>
            <w:proofErr w:type="spellStart"/>
            <w:r w:rsidRPr="00065FE0">
              <w:rPr>
                <w:rFonts w:ascii="Times New Roman" w:eastAsia="Times New Roman" w:hAnsi="Times New Roman" w:cs="Times New Roman"/>
                <w:color w:val="000000"/>
                <w:sz w:val="18"/>
                <w:szCs w:val="18"/>
                <w:lang w:eastAsia="en-US"/>
              </w:rPr>
              <w:t>nRot</w:t>
            </w:r>
            <w:proofErr w:type="spellEnd"/>
            <w:r w:rsidRPr="00065FE0">
              <w:rPr>
                <w:rFonts w:ascii="Times New Roman" w:eastAsia="Times New Roman" w:hAnsi="Times New Roman" w:cs="Times New Roman"/>
                <w:color w:val="000000"/>
                <w:sz w:val="18"/>
                <w:szCs w:val="18"/>
                <w:lang w:eastAsia="en-US"/>
              </w:rPr>
              <w:t xml:space="preserve"> / </w:t>
            </w:r>
            <w:proofErr w:type="spellStart"/>
            <w:r w:rsidRPr="00065FE0">
              <w:rPr>
                <w:rFonts w:ascii="Times New Roman" w:eastAsia="Times New Roman" w:hAnsi="Times New Roman" w:cs="Times New Roman"/>
                <w:color w:val="000000"/>
                <w:sz w:val="18"/>
                <w:szCs w:val="18"/>
                <w:lang w:eastAsia="en-US"/>
              </w:rPr>
              <w:t>nRig</w:t>
            </w:r>
            <w:proofErr w:type="spellEnd"/>
          </w:p>
        </w:tc>
      </w:tr>
      <w:tr w:rsidR="00DE7FA7" w:rsidRPr="00065FE0" w14:paraId="63EE2239" w14:textId="77777777" w:rsidTr="005677BD">
        <w:trPr>
          <w:trHeight w:val="20"/>
        </w:trPr>
        <w:tc>
          <w:tcPr>
            <w:tcW w:w="1082" w:type="pct"/>
            <w:shd w:val="clear" w:color="auto" w:fill="auto"/>
            <w:hideMark/>
          </w:tcPr>
          <w:p w14:paraId="4617784C"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Stereo Centers</w:t>
            </w:r>
          </w:p>
        </w:tc>
        <w:tc>
          <w:tcPr>
            <w:tcW w:w="470" w:type="pct"/>
            <w:shd w:val="clear" w:color="auto" w:fill="auto"/>
          </w:tcPr>
          <w:p w14:paraId="0D6ED633" w14:textId="1519C056"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453" w:type="pct"/>
            <w:shd w:val="clear" w:color="auto" w:fill="auto"/>
          </w:tcPr>
          <w:p w14:paraId="701C2D27" w14:textId="1C2A2979"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453" w:type="pct"/>
            <w:shd w:val="clear" w:color="auto" w:fill="auto"/>
          </w:tcPr>
          <w:p w14:paraId="03FD2E14" w14:textId="2E2C1640"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453" w:type="pct"/>
            <w:shd w:val="clear" w:color="auto" w:fill="auto"/>
          </w:tcPr>
          <w:p w14:paraId="22DD60F3" w14:textId="6643468F"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542" w:type="pct"/>
            <w:shd w:val="clear" w:color="auto" w:fill="auto"/>
            <w:hideMark/>
          </w:tcPr>
          <w:p w14:paraId="21DD2026" w14:textId="4E86D40A"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3B270B6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Stereo Centers. Optimal: ≤ 2</w:t>
            </w:r>
          </w:p>
        </w:tc>
      </w:tr>
      <w:tr w:rsidR="00DE7FA7" w:rsidRPr="00065FE0" w14:paraId="6FCE27E3" w14:textId="77777777" w:rsidTr="005677BD">
        <w:trPr>
          <w:trHeight w:val="20"/>
        </w:trPr>
        <w:tc>
          <w:tcPr>
            <w:tcW w:w="1082" w:type="pct"/>
            <w:shd w:val="clear" w:color="auto" w:fill="auto"/>
            <w:hideMark/>
          </w:tcPr>
          <w:p w14:paraId="41A3C57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TPSA</w:t>
            </w:r>
          </w:p>
        </w:tc>
        <w:tc>
          <w:tcPr>
            <w:tcW w:w="470" w:type="pct"/>
            <w:shd w:val="clear" w:color="auto" w:fill="auto"/>
          </w:tcPr>
          <w:p w14:paraId="42DA46A2" w14:textId="10F5C0F6"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49.77</w:t>
            </w:r>
          </w:p>
        </w:tc>
        <w:tc>
          <w:tcPr>
            <w:tcW w:w="453" w:type="pct"/>
            <w:shd w:val="clear" w:color="auto" w:fill="auto"/>
          </w:tcPr>
          <w:p w14:paraId="4AD492BD" w14:textId="2FB3F7E6"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45.33</w:t>
            </w:r>
          </w:p>
        </w:tc>
        <w:tc>
          <w:tcPr>
            <w:tcW w:w="453" w:type="pct"/>
            <w:shd w:val="clear" w:color="auto" w:fill="auto"/>
          </w:tcPr>
          <w:p w14:paraId="580E26FD" w14:textId="53DF4A2D"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58.22</w:t>
            </w:r>
          </w:p>
        </w:tc>
        <w:tc>
          <w:tcPr>
            <w:tcW w:w="453" w:type="pct"/>
            <w:shd w:val="clear" w:color="auto" w:fill="auto"/>
          </w:tcPr>
          <w:p w14:paraId="31FA98F2" w14:textId="328CCF3D"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29.54</w:t>
            </w:r>
          </w:p>
        </w:tc>
        <w:tc>
          <w:tcPr>
            <w:tcW w:w="542" w:type="pct"/>
            <w:shd w:val="clear" w:color="auto" w:fill="auto"/>
            <w:hideMark/>
          </w:tcPr>
          <w:p w14:paraId="75CA3801" w14:textId="24073D0B"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32.670</w:t>
            </w:r>
          </w:p>
        </w:tc>
        <w:tc>
          <w:tcPr>
            <w:tcW w:w="1547" w:type="pct"/>
            <w:gridSpan w:val="2"/>
            <w:shd w:val="clear" w:color="auto" w:fill="auto"/>
            <w:hideMark/>
          </w:tcPr>
          <w:p w14:paraId="69D3722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Topological Polar Surface Area. Optimal: 0~140</w:t>
            </w:r>
          </w:p>
        </w:tc>
      </w:tr>
      <w:tr w:rsidR="00DE7FA7" w:rsidRPr="00065FE0" w14:paraId="6B5A885B" w14:textId="77777777" w:rsidTr="005677BD">
        <w:trPr>
          <w:trHeight w:val="20"/>
        </w:trPr>
        <w:tc>
          <w:tcPr>
            <w:tcW w:w="1082" w:type="pct"/>
            <w:shd w:val="clear" w:color="auto" w:fill="auto"/>
            <w:hideMark/>
          </w:tcPr>
          <w:p w14:paraId="52DD2FBE"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logS</w:t>
            </w:r>
            <w:proofErr w:type="spellEnd"/>
          </w:p>
        </w:tc>
        <w:tc>
          <w:tcPr>
            <w:tcW w:w="470" w:type="pct"/>
            <w:shd w:val="clear" w:color="auto" w:fill="auto"/>
          </w:tcPr>
          <w:p w14:paraId="0A7D64AB" w14:textId="2427ECA0"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-2.849</w:t>
            </w:r>
          </w:p>
        </w:tc>
        <w:tc>
          <w:tcPr>
            <w:tcW w:w="453" w:type="pct"/>
            <w:shd w:val="clear" w:color="auto" w:fill="auto"/>
          </w:tcPr>
          <w:p w14:paraId="078BA308" w14:textId="7D860F3B"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-3.514</w:t>
            </w:r>
          </w:p>
        </w:tc>
        <w:tc>
          <w:tcPr>
            <w:tcW w:w="453" w:type="pct"/>
            <w:shd w:val="clear" w:color="auto" w:fill="auto"/>
          </w:tcPr>
          <w:p w14:paraId="12FA1225" w14:textId="1C81F52A"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-1.998</w:t>
            </w:r>
          </w:p>
        </w:tc>
        <w:tc>
          <w:tcPr>
            <w:tcW w:w="453" w:type="pct"/>
            <w:shd w:val="clear" w:color="auto" w:fill="auto"/>
          </w:tcPr>
          <w:p w14:paraId="1E96DDAD" w14:textId="0053ACDE"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-2.882</w:t>
            </w:r>
          </w:p>
        </w:tc>
        <w:tc>
          <w:tcPr>
            <w:tcW w:w="542" w:type="pct"/>
            <w:shd w:val="clear" w:color="auto" w:fill="auto"/>
            <w:hideMark/>
          </w:tcPr>
          <w:p w14:paraId="1CC2ED39" w14:textId="16FB760A"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-4.073</w:t>
            </w:r>
          </w:p>
        </w:tc>
        <w:tc>
          <w:tcPr>
            <w:tcW w:w="1547" w:type="pct"/>
            <w:gridSpan w:val="2"/>
            <w:shd w:val="clear" w:color="auto" w:fill="auto"/>
            <w:hideMark/>
          </w:tcPr>
          <w:p w14:paraId="7D136019"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The logarithm of aqueous solubility value.</w:t>
            </w:r>
          </w:p>
        </w:tc>
      </w:tr>
      <w:tr w:rsidR="00DE7FA7" w:rsidRPr="00065FE0" w14:paraId="4A35987B" w14:textId="77777777" w:rsidTr="005677BD">
        <w:trPr>
          <w:trHeight w:val="20"/>
        </w:trPr>
        <w:tc>
          <w:tcPr>
            <w:tcW w:w="1082" w:type="pct"/>
            <w:shd w:val="clear" w:color="auto" w:fill="auto"/>
            <w:hideMark/>
          </w:tcPr>
          <w:p w14:paraId="0B2DECD8"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logP</w:t>
            </w:r>
            <w:proofErr w:type="spellEnd"/>
          </w:p>
        </w:tc>
        <w:tc>
          <w:tcPr>
            <w:tcW w:w="470" w:type="pct"/>
            <w:shd w:val="clear" w:color="auto" w:fill="auto"/>
          </w:tcPr>
          <w:p w14:paraId="7BE3CF97" w14:textId="03F3603F"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2.333</w:t>
            </w:r>
          </w:p>
        </w:tc>
        <w:tc>
          <w:tcPr>
            <w:tcW w:w="453" w:type="pct"/>
            <w:shd w:val="clear" w:color="auto" w:fill="auto"/>
          </w:tcPr>
          <w:p w14:paraId="6D9FCBBD" w14:textId="633346A1"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2.923</w:t>
            </w:r>
          </w:p>
        </w:tc>
        <w:tc>
          <w:tcPr>
            <w:tcW w:w="453" w:type="pct"/>
            <w:shd w:val="clear" w:color="auto" w:fill="auto"/>
          </w:tcPr>
          <w:p w14:paraId="2658037A" w14:textId="6AAD1529"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1.111</w:t>
            </w:r>
          </w:p>
        </w:tc>
        <w:tc>
          <w:tcPr>
            <w:tcW w:w="453" w:type="pct"/>
            <w:shd w:val="clear" w:color="auto" w:fill="auto"/>
          </w:tcPr>
          <w:p w14:paraId="198A35DD" w14:textId="3433265B"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2.905</w:t>
            </w:r>
          </w:p>
        </w:tc>
        <w:tc>
          <w:tcPr>
            <w:tcW w:w="542" w:type="pct"/>
            <w:shd w:val="clear" w:color="auto" w:fill="auto"/>
            <w:hideMark/>
          </w:tcPr>
          <w:p w14:paraId="66413141" w14:textId="0E247F0A"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2.823</w:t>
            </w:r>
          </w:p>
        </w:tc>
        <w:tc>
          <w:tcPr>
            <w:tcW w:w="1547" w:type="pct"/>
            <w:gridSpan w:val="2"/>
            <w:shd w:val="clear" w:color="auto" w:fill="auto"/>
            <w:hideMark/>
          </w:tcPr>
          <w:p w14:paraId="6E0B7FE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The logarithm of the n-octanol/water distribution coefficients at pH=7.4.</w:t>
            </w:r>
          </w:p>
        </w:tc>
      </w:tr>
      <w:tr w:rsidR="00DE7FA7" w:rsidRPr="00065FE0" w14:paraId="6D8D9751" w14:textId="77777777" w:rsidTr="005677BD">
        <w:trPr>
          <w:trHeight w:val="20"/>
        </w:trPr>
        <w:tc>
          <w:tcPr>
            <w:tcW w:w="1082" w:type="pct"/>
            <w:shd w:val="clear" w:color="auto" w:fill="auto"/>
            <w:hideMark/>
          </w:tcPr>
          <w:p w14:paraId="052773F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logD</w:t>
            </w:r>
            <w:proofErr w:type="spellEnd"/>
          </w:p>
        </w:tc>
        <w:tc>
          <w:tcPr>
            <w:tcW w:w="470" w:type="pct"/>
            <w:shd w:val="clear" w:color="auto" w:fill="auto"/>
          </w:tcPr>
          <w:p w14:paraId="55977C14" w14:textId="1D1385F5"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2.351</w:t>
            </w:r>
          </w:p>
        </w:tc>
        <w:tc>
          <w:tcPr>
            <w:tcW w:w="453" w:type="pct"/>
            <w:shd w:val="clear" w:color="auto" w:fill="auto"/>
          </w:tcPr>
          <w:p w14:paraId="2F7FE674" w14:textId="13497AD0"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2.906</w:t>
            </w:r>
          </w:p>
        </w:tc>
        <w:tc>
          <w:tcPr>
            <w:tcW w:w="453" w:type="pct"/>
            <w:shd w:val="clear" w:color="auto" w:fill="auto"/>
          </w:tcPr>
          <w:p w14:paraId="58B8CC27" w14:textId="6C85B62D"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1.195</w:t>
            </w:r>
          </w:p>
        </w:tc>
        <w:tc>
          <w:tcPr>
            <w:tcW w:w="453" w:type="pct"/>
            <w:shd w:val="clear" w:color="auto" w:fill="auto"/>
          </w:tcPr>
          <w:p w14:paraId="447CD01B" w14:textId="7D30178C"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2.91</w:t>
            </w:r>
          </w:p>
        </w:tc>
        <w:tc>
          <w:tcPr>
            <w:tcW w:w="542" w:type="pct"/>
            <w:shd w:val="clear" w:color="auto" w:fill="auto"/>
            <w:hideMark/>
          </w:tcPr>
          <w:p w14:paraId="034870C8" w14:textId="506BB93D" w:rsidR="00615BE3" w:rsidRPr="00065FE0" w:rsidRDefault="002865CD"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2.571</w:t>
            </w:r>
          </w:p>
        </w:tc>
        <w:tc>
          <w:tcPr>
            <w:tcW w:w="1547" w:type="pct"/>
            <w:gridSpan w:val="2"/>
            <w:shd w:val="clear" w:color="auto" w:fill="auto"/>
            <w:hideMark/>
          </w:tcPr>
          <w:p w14:paraId="0D1B5B63"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The logarithm of the n-octanol/water distribution coefficient.</w:t>
            </w:r>
          </w:p>
        </w:tc>
      </w:tr>
      <w:tr w:rsidR="00DE7FA7" w:rsidRPr="00065FE0" w14:paraId="6860E975" w14:textId="77777777" w:rsidTr="005677BD">
        <w:trPr>
          <w:trHeight w:val="20"/>
        </w:trPr>
        <w:tc>
          <w:tcPr>
            <w:tcW w:w="1082" w:type="pct"/>
            <w:shd w:val="clear" w:color="auto" w:fill="auto"/>
            <w:hideMark/>
          </w:tcPr>
          <w:p w14:paraId="6BF2F1A7"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pKa</w:t>
            </w:r>
            <w:proofErr w:type="spellEnd"/>
            <w:r w:rsidRPr="00065FE0">
              <w:rPr>
                <w:rFonts w:ascii="Times New Roman" w:eastAsia="Times New Roman" w:hAnsi="Times New Roman" w:cs="Times New Roman"/>
                <w:color w:val="000000"/>
                <w:sz w:val="18"/>
                <w:szCs w:val="18"/>
                <w:lang w:eastAsia="en-US"/>
              </w:rPr>
              <w:t xml:space="preserve"> (Acid)</w:t>
            </w:r>
          </w:p>
        </w:tc>
        <w:tc>
          <w:tcPr>
            <w:tcW w:w="470" w:type="pct"/>
            <w:shd w:val="clear" w:color="auto" w:fill="auto"/>
          </w:tcPr>
          <w:p w14:paraId="622D92AB" w14:textId="56582A4A"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9.705</w:t>
            </w:r>
          </w:p>
        </w:tc>
        <w:tc>
          <w:tcPr>
            <w:tcW w:w="453" w:type="pct"/>
            <w:shd w:val="clear" w:color="auto" w:fill="auto"/>
          </w:tcPr>
          <w:p w14:paraId="0960A5D5" w14:textId="38C57A08"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9.627</w:t>
            </w:r>
          </w:p>
        </w:tc>
        <w:tc>
          <w:tcPr>
            <w:tcW w:w="453" w:type="pct"/>
            <w:shd w:val="clear" w:color="auto" w:fill="auto"/>
          </w:tcPr>
          <w:p w14:paraId="5BC68B95" w14:textId="39279761"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10.8</w:t>
            </w:r>
          </w:p>
        </w:tc>
        <w:tc>
          <w:tcPr>
            <w:tcW w:w="453" w:type="pct"/>
            <w:shd w:val="clear" w:color="auto" w:fill="auto"/>
          </w:tcPr>
          <w:p w14:paraId="6AE5BD9A" w14:textId="59769C1E"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8.956</w:t>
            </w:r>
          </w:p>
        </w:tc>
        <w:tc>
          <w:tcPr>
            <w:tcW w:w="542" w:type="pct"/>
            <w:shd w:val="clear" w:color="auto" w:fill="auto"/>
          </w:tcPr>
          <w:p w14:paraId="0AA79B0F" w14:textId="5B99F8BD"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7.836</w:t>
            </w:r>
          </w:p>
        </w:tc>
        <w:tc>
          <w:tcPr>
            <w:tcW w:w="1547" w:type="pct"/>
            <w:gridSpan w:val="2"/>
            <w:shd w:val="clear" w:color="auto" w:fill="auto"/>
            <w:hideMark/>
          </w:tcPr>
          <w:p w14:paraId="5AF44752"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Acid-base dissociation constant (</w:t>
            </w:r>
            <w:proofErr w:type="spellStart"/>
            <w:r w:rsidRPr="00065FE0">
              <w:rPr>
                <w:rFonts w:ascii="Times New Roman" w:eastAsia="Times New Roman" w:hAnsi="Times New Roman" w:cs="Times New Roman"/>
                <w:color w:val="000000"/>
                <w:sz w:val="18"/>
                <w:szCs w:val="18"/>
                <w:lang w:eastAsia="en-US"/>
              </w:rPr>
              <w:t>pKa</w:t>
            </w:r>
            <w:proofErr w:type="spellEnd"/>
            <w:r w:rsidRPr="00065FE0">
              <w:rPr>
                <w:rFonts w:ascii="Times New Roman" w:eastAsia="Times New Roman" w:hAnsi="Times New Roman" w:cs="Times New Roman"/>
                <w:color w:val="000000"/>
                <w:sz w:val="18"/>
                <w:szCs w:val="18"/>
                <w:lang w:eastAsia="en-US"/>
              </w:rPr>
              <w:t>) value represents the strength of a drug molecule's acidity or basicity.</w:t>
            </w:r>
          </w:p>
        </w:tc>
      </w:tr>
      <w:tr w:rsidR="00DE7FA7" w:rsidRPr="00065FE0" w14:paraId="46E06009" w14:textId="77777777" w:rsidTr="005677BD">
        <w:trPr>
          <w:trHeight w:val="20"/>
        </w:trPr>
        <w:tc>
          <w:tcPr>
            <w:tcW w:w="1082" w:type="pct"/>
            <w:shd w:val="clear" w:color="auto" w:fill="auto"/>
            <w:hideMark/>
          </w:tcPr>
          <w:p w14:paraId="68E91115"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pKa</w:t>
            </w:r>
            <w:proofErr w:type="spellEnd"/>
            <w:r w:rsidRPr="00065FE0">
              <w:rPr>
                <w:rFonts w:ascii="Times New Roman" w:eastAsia="Times New Roman" w:hAnsi="Times New Roman" w:cs="Times New Roman"/>
                <w:color w:val="000000"/>
                <w:sz w:val="18"/>
                <w:szCs w:val="18"/>
                <w:lang w:eastAsia="en-US"/>
              </w:rPr>
              <w:t xml:space="preserve"> (Base)</w:t>
            </w:r>
          </w:p>
        </w:tc>
        <w:tc>
          <w:tcPr>
            <w:tcW w:w="470" w:type="pct"/>
            <w:shd w:val="clear" w:color="auto" w:fill="auto"/>
          </w:tcPr>
          <w:p w14:paraId="50413BD4" w14:textId="6BF6BA88"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8.029</w:t>
            </w:r>
          </w:p>
        </w:tc>
        <w:tc>
          <w:tcPr>
            <w:tcW w:w="453" w:type="pct"/>
            <w:shd w:val="clear" w:color="auto" w:fill="auto"/>
          </w:tcPr>
          <w:p w14:paraId="71A10EC0" w14:textId="5FBD4D47"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7.317</w:t>
            </w:r>
          </w:p>
        </w:tc>
        <w:tc>
          <w:tcPr>
            <w:tcW w:w="453" w:type="pct"/>
            <w:shd w:val="clear" w:color="auto" w:fill="auto"/>
          </w:tcPr>
          <w:p w14:paraId="4ABFDAAE" w14:textId="25F592E1"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6.275</w:t>
            </w:r>
          </w:p>
        </w:tc>
        <w:tc>
          <w:tcPr>
            <w:tcW w:w="453" w:type="pct"/>
            <w:shd w:val="clear" w:color="auto" w:fill="auto"/>
          </w:tcPr>
          <w:p w14:paraId="3D3513A9" w14:textId="5E750463"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6.547</w:t>
            </w:r>
          </w:p>
        </w:tc>
        <w:tc>
          <w:tcPr>
            <w:tcW w:w="542" w:type="pct"/>
            <w:shd w:val="clear" w:color="auto" w:fill="auto"/>
          </w:tcPr>
          <w:p w14:paraId="38401B0E" w14:textId="4DBCE673"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1.11</w:t>
            </w:r>
          </w:p>
        </w:tc>
        <w:tc>
          <w:tcPr>
            <w:tcW w:w="1547" w:type="pct"/>
            <w:gridSpan w:val="2"/>
            <w:shd w:val="clear" w:color="auto" w:fill="auto"/>
            <w:hideMark/>
          </w:tcPr>
          <w:p w14:paraId="0E5AA7B4"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Acid-base dissociation constant (</w:t>
            </w:r>
            <w:proofErr w:type="spellStart"/>
            <w:r w:rsidRPr="00065FE0">
              <w:rPr>
                <w:rFonts w:ascii="Times New Roman" w:eastAsia="Times New Roman" w:hAnsi="Times New Roman" w:cs="Times New Roman"/>
                <w:color w:val="000000"/>
                <w:sz w:val="18"/>
                <w:szCs w:val="18"/>
                <w:lang w:eastAsia="en-US"/>
              </w:rPr>
              <w:t>pKa</w:t>
            </w:r>
            <w:proofErr w:type="spellEnd"/>
            <w:r w:rsidRPr="00065FE0">
              <w:rPr>
                <w:rFonts w:ascii="Times New Roman" w:eastAsia="Times New Roman" w:hAnsi="Times New Roman" w:cs="Times New Roman"/>
                <w:color w:val="000000"/>
                <w:sz w:val="18"/>
                <w:szCs w:val="18"/>
                <w:lang w:eastAsia="en-US"/>
              </w:rPr>
              <w:t>) value represents the strength of a drug molecule's acidity or basicity.</w:t>
            </w:r>
          </w:p>
        </w:tc>
      </w:tr>
      <w:tr w:rsidR="00DE7FA7" w:rsidRPr="00065FE0" w14:paraId="1FA20660" w14:textId="77777777" w:rsidTr="005677BD">
        <w:trPr>
          <w:trHeight w:val="20"/>
        </w:trPr>
        <w:tc>
          <w:tcPr>
            <w:tcW w:w="1082" w:type="pct"/>
            <w:shd w:val="clear" w:color="auto" w:fill="auto"/>
            <w:hideMark/>
          </w:tcPr>
          <w:p w14:paraId="28D1033A"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Melting Point</w:t>
            </w:r>
          </w:p>
        </w:tc>
        <w:tc>
          <w:tcPr>
            <w:tcW w:w="470" w:type="pct"/>
            <w:shd w:val="clear" w:color="auto" w:fill="auto"/>
          </w:tcPr>
          <w:p w14:paraId="75758642" w14:textId="75DD1B25"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122.169</w:t>
            </w:r>
          </w:p>
        </w:tc>
        <w:tc>
          <w:tcPr>
            <w:tcW w:w="453" w:type="pct"/>
            <w:shd w:val="clear" w:color="auto" w:fill="auto"/>
          </w:tcPr>
          <w:p w14:paraId="38AC890A" w14:textId="35D12016"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119.189</w:t>
            </w:r>
          </w:p>
        </w:tc>
        <w:tc>
          <w:tcPr>
            <w:tcW w:w="453" w:type="pct"/>
            <w:shd w:val="clear" w:color="auto" w:fill="auto"/>
          </w:tcPr>
          <w:p w14:paraId="4E12103C" w14:textId="3870458E"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137.22</w:t>
            </w:r>
          </w:p>
        </w:tc>
        <w:tc>
          <w:tcPr>
            <w:tcW w:w="453" w:type="pct"/>
            <w:shd w:val="clear" w:color="auto" w:fill="auto"/>
          </w:tcPr>
          <w:p w14:paraId="2605B234" w14:textId="45AA2AF2"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79.974</w:t>
            </w:r>
          </w:p>
        </w:tc>
        <w:tc>
          <w:tcPr>
            <w:tcW w:w="542" w:type="pct"/>
            <w:shd w:val="clear" w:color="auto" w:fill="auto"/>
          </w:tcPr>
          <w:p w14:paraId="439237A7" w14:textId="305D85E5"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173.215</w:t>
            </w:r>
          </w:p>
        </w:tc>
        <w:tc>
          <w:tcPr>
            <w:tcW w:w="1547" w:type="pct"/>
            <w:gridSpan w:val="2"/>
            <w:shd w:val="clear" w:color="auto" w:fill="auto"/>
            <w:hideMark/>
          </w:tcPr>
          <w:p w14:paraId="5B6DD57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The predicted melting point of a compound is expressed in degrees Celsius (°C). Solid if &gt;25°C.</w:t>
            </w:r>
          </w:p>
        </w:tc>
      </w:tr>
      <w:tr w:rsidR="00DE7FA7" w:rsidRPr="00065FE0" w14:paraId="20708351" w14:textId="77777777" w:rsidTr="005677BD">
        <w:trPr>
          <w:trHeight w:val="20"/>
        </w:trPr>
        <w:tc>
          <w:tcPr>
            <w:tcW w:w="1082" w:type="pct"/>
            <w:tcBorders>
              <w:bottom w:val="nil"/>
            </w:tcBorders>
            <w:shd w:val="clear" w:color="auto" w:fill="auto"/>
            <w:hideMark/>
          </w:tcPr>
          <w:p w14:paraId="25DB5EC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Boiling Point</w:t>
            </w:r>
          </w:p>
        </w:tc>
        <w:tc>
          <w:tcPr>
            <w:tcW w:w="470" w:type="pct"/>
            <w:tcBorders>
              <w:bottom w:val="nil"/>
            </w:tcBorders>
            <w:shd w:val="clear" w:color="auto" w:fill="auto"/>
          </w:tcPr>
          <w:p w14:paraId="6BD0B4B6" w14:textId="4BB99A6B"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281.407</w:t>
            </w:r>
          </w:p>
        </w:tc>
        <w:tc>
          <w:tcPr>
            <w:tcW w:w="453" w:type="pct"/>
            <w:tcBorders>
              <w:bottom w:val="nil"/>
            </w:tcBorders>
            <w:shd w:val="clear" w:color="auto" w:fill="auto"/>
          </w:tcPr>
          <w:p w14:paraId="40B1ACF1" w14:textId="221B7AF0"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289.9</w:t>
            </w:r>
          </w:p>
        </w:tc>
        <w:tc>
          <w:tcPr>
            <w:tcW w:w="453" w:type="pct"/>
            <w:tcBorders>
              <w:bottom w:val="nil"/>
            </w:tcBorders>
            <w:shd w:val="clear" w:color="auto" w:fill="auto"/>
          </w:tcPr>
          <w:p w14:paraId="7B447915" w14:textId="3081850B"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317.764</w:t>
            </w:r>
          </w:p>
        </w:tc>
        <w:tc>
          <w:tcPr>
            <w:tcW w:w="453" w:type="pct"/>
            <w:tcBorders>
              <w:bottom w:val="nil"/>
            </w:tcBorders>
            <w:shd w:val="clear" w:color="auto" w:fill="auto"/>
          </w:tcPr>
          <w:p w14:paraId="0CE60B2D" w14:textId="09F65760"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297.346</w:t>
            </w:r>
          </w:p>
        </w:tc>
        <w:tc>
          <w:tcPr>
            <w:tcW w:w="542" w:type="pct"/>
            <w:tcBorders>
              <w:bottom w:val="nil"/>
            </w:tcBorders>
            <w:shd w:val="clear" w:color="auto" w:fill="auto"/>
          </w:tcPr>
          <w:p w14:paraId="70476A3A" w14:textId="6EADE6EF"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332.033</w:t>
            </w:r>
          </w:p>
        </w:tc>
        <w:tc>
          <w:tcPr>
            <w:tcW w:w="1547" w:type="pct"/>
            <w:gridSpan w:val="2"/>
            <w:tcBorders>
              <w:bottom w:val="nil"/>
            </w:tcBorders>
            <w:shd w:val="clear" w:color="auto" w:fill="auto"/>
            <w:hideMark/>
          </w:tcPr>
          <w:p w14:paraId="7EC32BB4"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The predicted boiling point of a compound is expressed in degrees Celsius (°C). Gas if &lt;25°C.</w:t>
            </w:r>
          </w:p>
        </w:tc>
      </w:tr>
      <w:tr w:rsidR="00AD7CD2" w:rsidRPr="00065FE0" w14:paraId="6A31FB23"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176A75B2" w14:textId="0CE4AC04"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(B) </w:t>
            </w:r>
            <w:r w:rsidR="00615BE3" w:rsidRPr="00065FE0">
              <w:rPr>
                <w:rFonts w:ascii="Times New Roman" w:eastAsia="Times New Roman" w:hAnsi="Times New Roman" w:cs="Times New Roman"/>
                <w:b/>
                <w:bCs/>
                <w:color w:val="000000"/>
                <w:sz w:val="18"/>
                <w:szCs w:val="18"/>
                <w:lang w:eastAsia="en-US"/>
              </w:rPr>
              <w:t>Medicinal Chemistry</w:t>
            </w:r>
          </w:p>
        </w:tc>
      </w:tr>
      <w:tr w:rsidR="00DE7FA7" w:rsidRPr="00065FE0" w14:paraId="6315A1CD" w14:textId="77777777" w:rsidTr="005677BD">
        <w:trPr>
          <w:trHeight w:val="20"/>
        </w:trPr>
        <w:tc>
          <w:tcPr>
            <w:tcW w:w="1082" w:type="pct"/>
            <w:tcBorders>
              <w:top w:val="single" w:sz="4" w:space="0" w:color="auto"/>
            </w:tcBorders>
            <w:shd w:val="clear" w:color="auto" w:fill="auto"/>
            <w:hideMark/>
          </w:tcPr>
          <w:p w14:paraId="1A7C66E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QED</w:t>
            </w:r>
          </w:p>
        </w:tc>
        <w:tc>
          <w:tcPr>
            <w:tcW w:w="470" w:type="pct"/>
            <w:tcBorders>
              <w:top w:val="single" w:sz="4" w:space="0" w:color="auto"/>
            </w:tcBorders>
            <w:shd w:val="clear" w:color="auto" w:fill="auto"/>
          </w:tcPr>
          <w:p w14:paraId="31836E33" w14:textId="69DD021B"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0.881</w:t>
            </w:r>
          </w:p>
        </w:tc>
        <w:tc>
          <w:tcPr>
            <w:tcW w:w="453" w:type="pct"/>
            <w:tcBorders>
              <w:top w:val="single" w:sz="4" w:space="0" w:color="auto"/>
            </w:tcBorders>
            <w:shd w:val="clear" w:color="auto" w:fill="auto"/>
          </w:tcPr>
          <w:p w14:paraId="1A2777AA" w14:textId="78F0C85E"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0.751</w:t>
            </w:r>
          </w:p>
        </w:tc>
        <w:tc>
          <w:tcPr>
            <w:tcW w:w="453" w:type="pct"/>
            <w:tcBorders>
              <w:top w:val="single" w:sz="4" w:space="0" w:color="auto"/>
            </w:tcBorders>
            <w:shd w:val="clear" w:color="auto" w:fill="auto"/>
          </w:tcPr>
          <w:p w14:paraId="77268620" w14:textId="7623055B"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0.856</w:t>
            </w:r>
          </w:p>
        </w:tc>
        <w:tc>
          <w:tcPr>
            <w:tcW w:w="453" w:type="pct"/>
            <w:tcBorders>
              <w:top w:val="single" w:sz="4" w:space="0" w:color="auto"/>
            </w:tcBorders>
            <w:shd w:val="clear" w:color="auto" w:fill="auto"/>
          </w:tcPr>
          <w:p w14:paraId="1BF483DF" w14:textId="5814B95B"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0.807</w:t>
            </w:r>
          </w:p>
        </w:tc>
        <w:tc>
          <w:tcPr>
            <w:tcW w:w="542" w:type="pct"/>
            <w:tcBorders>
              <w:top w:val="single" w:sz="4" w:space="0" w:color="auto"/>
            </w:tcBorders>
            <w:shd w:val="clear" w:color="auto" w:fill="auto"/>
          </w:tcPr>
          <w:p w14:paraId="0E73BA70" w14:textId="2415943D"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0.792</w:t>
            </w:r>
          </w:p>
        </w:tc>
        <w:tc>
          <w:tcPr>
            <w:tcW w:w="1547" w:type="pct"/>
            <w:gridSpan w:val="2"/>
            <w:tcBorders>
              <w:top w:val="single" w:sz="4" w:space="0" w:color="auto"/>
            </w:tcBorders>
            <w:shd w:val="clear" w:color="auto" w:fill="auto"/>
            <w:hideMark/>
          </w:tcPr>
          <w:p w14:paraId="08C4058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 measure of drug-likeness based on desirability; Attractive: &gt; 0.67; Unattractive: 0.49~0.67; Too complex: &lt; 0.34</w:t>
            </w:r>
          </w:p>
        </w:tc>
      </w:tr>
      <w:tr w:rsidR="00DE7FA7" w:rsidRPr="00065FE0" w14:paraId="5B1FA4B6" w14:textId="77777777" w:rsidTr="005677BD">
        <w:trPr>
          <w:trHeight w:val="20"/>
        </w:trPr>
        <w:tc>
          <w:tcPr>
            <w:tcW w:w="1082" w:type="pct"/>
            <w:shd w:val="clear" w:color="auto" w:fill="auto"/>
            <w:hideMark/>
          </w:tcPr>
          <w:p w14:paraId="4FED1C6C"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GASA</w:t>
            </w:r>
          </w:p>
        </w:tc>
        <w:tc>
          <w:tcPr>
            <w:tcW w:w="470" w:type="pct"/>
            <w:shd w:val="clear" w:color="auto" w:fill="auto"/>
          </w:tcPr>
          <w:p w14:paraId="56684B1A" w14:textId="62F9604E"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7A16058D" w14:textId="0B889F92"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39DFDBA6" w14:textId="10F376E7"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5BFA38A8" w14:textId="42B75D55"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542" w:type="pct"/>
            <w:shd w:val="clear" w:color="auto" w:fill="auto"/>
          </w:tcPr>
          <w:p w14:paraId="295C7E91" w14:textId="04AD9A5D"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shd w:val="clear" w:color="auto" w:fill="auto"/>
            <w:hideMark/>
          </w:tcPr>
          <w:p w14:paraId="5C704BFA"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Easy to synthesize (ES); Hard to synthesize (HS). Value indicates the probability of being difficult to synthesize.</w:t>
            </w:r>
          </w:p>
        </w:tc>
      </w:tr>
      <w:tr w:rsidR="00DE7FA7" w:rsidRPr="00065FE0" w14:paraId="04D9B2A5" w14:textId="77777777" w:rsidTr="005677BD">
        <w:trPr>
          <w:trHeight w:val="20"/>
        </w:trPr>
        <w:tc>
          <w:tcPr>
            <w:tcW w:w="1082" w:type="pct"/>
            <w:shd w:val="clear" w:color="auto" w:fill="auto"/>
            <w:hideMark/>
          </w:tcPr>
          <w:p w14:paraId="67FED3B9"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Synth</w:t>
            </w:r>
          </w:p>
        </w:tc>
        <w:tc>
          <w:tcPr>
            <w:tcW w:w="470" w:type="pct"/>
            <w:shd w:val="clear" w:color="auto" w:fill="auto"/>
          </w:tcPr>
          <w:p w14:paraId="360D58D8" w14:textId="709E828F"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2.0</w:t>
            </w:r>
          </w:p>
        </w:tc>
        <w:tc>
          <w:tcPr>
            <w:tcW w:w="453" w:type="pct"/>
            <w:shd w:val="clear" w:color="auto" w:fill="auto"/>
          </w:tcPr>
          <w:p w14:paraId="39161AE1" w14:textId="75A48FFA"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2.0</w:t>
            </w:r>
          </w:p>
        </w:tc>
        <w:tc>
          <w:tcPr>
            <w:tcW w:w="453" w:type="pct"/>
            <w:shd w:val="clear" w:color="auto" w:fill="auto"/>
          </w:tcPr>
          <w:p w14:paraId="2011FD5C" w14:textId="3E560BF7" w:rsidR="00615BE3" w:rsidRPr="00065FE0" w:rsidRDefault="00ED29B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3.0</w:t>
            </w:r>
          </w:p>
        </w:tc>
        <w:tc>
          <w:tcPr>
            <w:tcW w:w="453" w:type="pct"/>
            <w:shd w:val="clear" w:color="auto" w:fill="auto"/>
          </w:tcPr>
          <w:p w14:paraId="6D31812B" w14:textId="12556AFA"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2.0</w:t>
            </w:r>
          </w:p>
        </w:tc>
        <w:tc>
          <w:tcPr>
            <w:tcW w:w="542" w:type="pct"/>
            <w:shd w:val="clear" w:color="auto" w:fill="auto"/>
          </w:tcPr>
          <w:p w14:paraId="1F354B27" w14:textId="1D739161"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2.0</w:t>
            </w:r>
          </w:p>
        </w:tc>
        <w:tc>
          <w:tcPr>
            <w:tcW w:w="1547" w:type="pct"/>
            <w:gridSpan w:val="2"/>
            <w:shd w:val="clear" w:color="auto" w:fill="auto"/>
            <w:hideMark/>
          </w:tcPr>
          <w:p w14:paraId="5A90ECCF"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Synthetic accessibility score. Easy if &lt;6; Difficult if ≥6.</w:t>
            </w:r>
          </w:p>
        </w:tc>
      </w:tr>
      <w:tr w:rsidR="00DE7FA7" w:rsidRPr="00065FE0" w14:paraId="2C7E7808" w14:textId="77777777" w:rsidTr="005677BD">
        <w:trPr>
          <w:trHeight w:val="20"/>
        </w:trPr>
        <w:tc>
          <w:tcPr>
            <w:tcW w:w="1082" w:type="pct"/>
            <w:shd w:val="clear" w:color="auto" w:fill="auto"/>
            <w:hideMark/>
          </w:tcPr>
          <w:p w14:paraId="2EA71792"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Fsp3</w:t>
            </w:r>
          </w:p>
        </w:tc>
        <w:tc>
          <w:tcPr>
            <w:tcW w:w="470" w:type="pct"/>
            <w:shd w:val="clear" w:color="auto" w:fill="auto"/>
          </w:tcPr>
          <w:p w14:paraId="5B3FF548" w14:textId="51962019"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0.278</w:t>
            </w:r>
          </w:p>
        </w:tc>
        <w:tc>
          <w:tcPr>
            <w:tcW w:w="453" w:type="pct"/>
            <w:shd w:val="clear" w:color="auto" w:fill="auto"/>
          </w:tcPr>
          <w:p w14:paraId="3FB1C2AB" w14:textId="6C08164F"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0.25</w:t>
            </w:r>
          </w:p>
        </w:tc>
        <w:tc>
          <w:tcPr>
            <w:tcW w:w="453" w:type="pct"/>
            <w:shd w:val="clear" w:color="auto" w:fill="auto"/>
          </w:tcPr>
          <w:p w14:paraId="2185E919" w14:textId="417FF0F6"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0.333</w:t>
            </w:r>
          </w:p>
        </w:tc>
        <w:tc>
          <w:tcPr>
            <w:tcW w:w="453" w:type="pct"/>
            <w:shd w:val="clear" w:color="auto" w:fill="auto"/>
          </w:tcPr>
          <w:p w14:paraId="294C28CB" w14:textId="00AB079D"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0.278</w:t>
            </w:r>
          </w:p>
        </w:tc>
        <w:tc>
          <w:tcPr>
            <w:tcW w:w="542" w:type="pct"/>
            <w:shd w:val="clear" w:color="auto" w:fill="auto"/>
          </w:tcPr>
          <w:p w14:paraId="69C5BCE0" w14:textId="2EE1DBA7"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0.125</w:t>
            </w:r>
          </w:p>
        </w:tc>
        <w:tc>
          <w:tcPr>
            <w:tcW w:w="1547" w:type="pct"/>
            <w:gridSpan w:val="2"/>
            <w:shd w:val="clear" w:color="auto" w:fill="auto"/>
            <w:hideMark/>
          </w:tcPr>
          <w:p w14:paraId="61EBC20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The number of sp3 hybridized carbons / total carbon count. Fsp3 ≥0.42 is suitable.</w:t>
            </w:r>
          </w:p>
        </w:tc>
      </w:tr>
      <w:tr w:rsidR="00DE7FA7" w:rsidRPr="00065FE0" w14:paraId="263F76FE" w14:textId="77777777" w:rsidTr="005677BD">
        <w:trPr>
          <w:trHeight w:val="20"/>
        </w:trPr>
        <w:tc>
          <w:tcPr>
            <w:tcW w:w="1082" w:type="pct"/>
            <w:shd w:val="clear" w:color="auto" w:fill="auto"/>
            <w:hideMark/>
          </w:tcPr>
          <w:p w14:paraId="0ACF925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MCE-18</w:t>
            </w:r>
          </w:p>
        </w:tc>
        <w:tc>
          <w:tcPr>
            <w:tcW w:w="470" w:type="pct"/>
            <w:shd w:val="clear" w:color="auto" w:fill="auto"/>
          </w:tcPr>
          <w:p w14:paraId="582CE4DF" w14:textId="0153C34B"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50.783</w:t>
            </w:r>
          </w:p>
        </w:tc>
        <w:tc>
          <w:tcPr>
            <w:tcW w:w="453" w:type="pct"/>
            <w:shd w:val="clear" w:color="auto" w:fill="auto"/>
          </w:tcPr>
          <w:p w14:paraId="4D5528BC" w14:textId="2F135996"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63.2</w:t>
            </w:r>
          </w:p>
        </w:tc>
        <w:tc>
          <w:tcPr>
            <w:tcW w:w="453" w:type="pct"/>
            <w:shd w:val="clear" w:color="auto" w:fill="auto"/>
          </w:tcPr>
          <w:p w14:paraId="57089973" w14:textId="6AD4B8B6"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48.0</w:t>
            </w:r>
          </w:p>
        </w:tc>
        <w:tc>
          <w:tcPr>
            <w:tcW w:w="453" w:type="pct"/>
            <w:shd w:val="clear" w:color="auto" w:fill="auto"/>
          </w:tcPr>
          <w:p w14:paraId="7FF3B2DB" w14:textId="1C8EDB4A"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47.609</w:t>
            </w:r>
          </w:p>
        </w:tc>
        <w:tc>
          <w:tcPr>
            <w:tcW w:w="542" w:type="pct"/>
            <w:shd w:val="clear" w:color="auto" w:fill="auto"/>
          </w:tcPr>
          <w:p w14:paraId="432172D8" w14:textId="790894E2"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33.778</w:t>
            </w:r>
          </w:p>
        </w:tc>
        <w:tc>
          <w:tcPr>
            <w:tcW w:w="1547" w:type="pct"/>
            <w:gridSpan w:val="2"/>
            <w:shd w:val="clear" w:color="auto" w:fill="auto"/>
            <w:hideMark/>
          </w:tcPr>
          <w:p w14:paraId="753FA8E6"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Medicinal Chemistry Evolution score. Suitable if ≥45.</w:t>
            </w:r>
          </w:p>
        </w:tc>
      </w:tr>
      <w:tr w:rsidR="00DE7FA7" w:rsidRPr="00065FE0" w14:paraId="74E23834" w14:textId="77777777" w:rsidTr="005677BD">
        <w:trPr>
          <w:trHeight w:val="20"/>
        </w:trPr>
        <w:tc>
          <w:tcPr>
            <w:tcW w:w="1082" w:type="pct"/>
            <w:shd w:val="clear" w:color="auto" w:fill="auto"/>
            <w:hideMark/>
          </w:tcPr>
          <w:p w14:paraId="6BC4B66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NPscore</w:t>
            </w:r>
            <w:proofErr w:type="spellEnd"/>
          </w:p>
        </w:tc>
        <w:tc>
          <w:tcPr>
            <w:tcW w:w="470" w:type="pct"/>
            <w:shd w:val="clear" w:color="auto" w:fill="auto"/>
          </w:tcPr>
          <w:p w14:paraId="749770BA" w14:textId="094508B9"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-0.122</w:t>
            </w:r>
          </w:p>
        </w:tc>
        <w:tc>
          <w:tcPr>
            <w:tcW w:w="453" w:type="pct"/>
            <w:shd w:val="clear" w:color="auto" w:fill="auto"/>
          </w:tcPr>
          <w:p w14:paraId="70CC7698" w14:textId="0AC65BFB"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-0.304</w:t>
            </w:r>
          </w:p>
        </w:tc>
        <w:tc>
          <w:tcPr>
            <w:tcW w:w="453" w:type="pct"/>
            <w:shd w:val="clear" w:color="auto" w:fill="auto"/>
          </w:tcPr>
          <w:p w14:paraId="6EEE9C21" w14:textId="63EBEA6B"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-0.369</w:t>
            </w:r>
          </w:p>
        </w:tc>
        <w:tc>
          <w:tcPr>
            <w:tcW w:w="453" w:type="pct"/>
            <w:shd w:val="clear" w:color="auto" w:fill="auto"/>
          </w:tcPr>
          <w:p w14:paraId="52E88204" w14:textId="48AF9E90"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-0.396</w:t>
            </w:r>
          </w:p>
        </w:tc>
        <w:tc>
          <w:tcPr>
            <w:tcW w:w="542" w:type="pct"/>
            <w:shd w:val="clear" w:color="auto" w:fill="auto"/>
          </w:tcPr>
          <w:p w14:paraId="3CD0C02D" w14:textId="079C4580"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-0.558</w:t>
            </w:r>
          </w:p>
        </w:tc>
        <w:tc>
          <w:tcPr>
            <w:tcW w:w="1547" w:type="pct"/>
            <w:gridSpan w:val="2"/>
            <w:shd w:val="clear" w:color="auto" w:fill="auto"/>
            <w:hideMark/>
          </w:tcPr>
          <w:p w14:paraId="2F694754"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Natural product-likeness score. Higher scores indicate higher natural product likelihood.</w:t>
            </w:r>
          </w:p>
        </w:tc>
      </w:tr>
      <w:tr w:rsidR="00DE7FA7" w:rsidRPr="00065FE0" w14:paraId="393D2995" w14:textId="77777777" w:rsidTr="005677BD">
        <w:trPr>
          <w:trHeight w:val="20"/>
        </w:trPr>
        <w:tc>
          <w:tcPr>
            <w:tcW w:w="1082" w:type="pct"/>
            <w:shd w:val="clear" w:color="auto" w:fill="auto"/>
            <w:hideMark/>
          </w:tcPr>
          <w:p w14:paraId="2593292A"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Lipinski Rule</w:t>
            </w:r>
          </w:p>
        </w:tc>
        <w:tc>
          <w:tcPr>
            <w:tcW w:w="470" w:type="pct"/>
            <w:shd w:val="clear" w:color="auto" w:fill="auto"/>
          </w:tcPr>
          <w:p w14:paraId="199EF6EB" w14:textId="4AE6460D"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027353DE" w14:textId="2AEC8781"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D650B7F" w14:textId="6C8CEA1A"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4876C22F" w14:textId="1462E5EA"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0F0454A7" w14:textId="486107D2"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34303A66"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MW ≤ 500; </w:t>
            </w:r>
            <w:proofErr w:type="spellStart"/>
            <w:r w:rsidRPr="00065FE0">
              <w:rPr>
                <w:rFonts w:ascii="Times New Roman" w:eastAsia="Times New Roman" w:hAnsi="Times New Roman" w:cs="Times New Roman"/>
                <w:color w:val="000000"/>
                <w:sz w:val="18"/>
                <w:szCs w:val="18"/>
                <w:lang w:eastAsia="en-US"/>
              </w:rPr>
              <w:t>logP</w:t>
            </w:r>
            <w:proofErr w:type="spellEnd"/>
            <w:r w:rsidRPr="00065FE0">
              <w:rPr>
                <w:rFonts w:ascii="Times New Roman" w:eastAsia="Times New Roman" w:hAnsi="Times New Roman" w:cs="Times New Roman"/>
                <w:color w:val="000000"/>
                <w:sz w:val="18"/>
                <w:szCs w:val="18"/>
                <w:lang w:eastAsia="en-US"/>
              </w:rPr>
              <w:t xml:space="preserve"> ≤ 5; </w:t>
            </w:r>
            <w:proofErr w:type="spellStart"/>
            <w:r w:rsidRPr="00065FE0">
              <w:rPr>
                <w:rFonts w:ascii="Times New Roman" w:eastAsia="Times New Roman" w:hAnsi="Times New Roman" w:cs="Times New Roman"/>
                <w:color w:val="000000"/>
                <w:sz w:val="18"/>
                <w:szCs w:val="18"/>
                <w:lang w:eastAsia="en-US"/>
              </w:rPr>
              <w:t>Hacc</w:t>
            </w:r>
            <w:proofErr w:type="spellEnd"/>
            <w:r w:rsidRPr="00065FE0">
              <w:rPr>
                <w:rFonts w:ascii="Times New Roman" w:eastAsia="Times New Roman" w:hAnsi="Times New Roman" w:cs="Times New Roman"/>
                <w:color w:val="000000"/>
                <w:sz w:val="18"/>
                <w:szCs w:val="18"/>
                <w:lang w:eastAsia="en-US"/>
              </w:rPr>
              <w:t xml:space="preserve"> ≤ 10; </w:t>
            </w:r>
            <w:proofErr w:type="spellStart"/>
            <w:r w:rsidRPr="00065FE0">
              <w:rPr>
                <w:rFonts w:ascii="Times New Roman" w:eastAsia="Times New Roman" w:hAnsi="Times New Roman" w:cs="Times New Roman"/>
                <w:color w:val="000000"/>
                <w:sz w:val="18"/>
                <w:szCs w:val="18"/>
                <w:lang w:eastAsia="en-US"/>
              </w:rPr>
              <w:t>Hdon</w:t>
            </w:r>
            <w:proofErr w:type="spellEnd"/>
            <w:r w:rsidRPr="00065FE0">
              <w:rPr>
                <w:rFonts w:ascii="Times New Roman" w:eastAsia="Times New Roman" w:hAnsi="Times New Roman" w:cs="Times New Roman"/>
                <w:color w:val="000000"/>
                <w:sz w:val="18"/>
                <w:szCs w:val="18"/>
                <w:lang w:eastAsia="en-US"/>
              </w:rPr>
              <w:t xml:space="preserve"> ≤ 5. One property out of range acceptable; two properties indicate poor absorption/permeability.</w:t>
            </w:r>
          </w:p>
        </w:tc>
      </w:tr>
      <w:tr w:rsidR="00DE7FA7" w:rsidRPr="00065FE0" w14:paraId="62C83AC8" w14:textId="77777777" w:rsidTr="005677BD">
        <w:trPr>
          <w:trHeight w:val="20"/>
        </w:trPr>
        <w:tc>
          <w:tcPr>
            <w:tcW w:w="1082" w:type="pct"/>
            <w:shd w:val="clear" w:color="auto" w:fill="auto"/>
            <w:hideMark/>
          </w:tcPr>
          <w:p w14:paraId="7A70FA63"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Pfizer Rule</w:t>
            </w:r>
          </w:p>
        </w:tc>
        <w:tc>
          <w:tcPr>
            <w:tcW w:w="470" w:type="pct"/>
            <w:shd w:val="clear" w:color="auto" w:fill="auto"/>
          </w:tcPr>
          <w:p w14:paraId="5B42B02F" w14:textId="402F2FF3"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86DDD9B" w14:textId="5789BD24"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9DB57AE" w14:textId="2161BF68"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0EBF75EC" w14:textId="311AEF31"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621B8BB1" w14:textId="18508A67"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55CADE8A"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logP</w:t>
            </w:r>
            <w:proofErr w:type="spellEnd"/>
            <w:r w:rsidRPr="00065FE0">
              <w:rPr>
                <w:rFonts w:ascii="Times New Roman" w:eastAsia="Times New Roman" w:hAnsi="Times New Roman" w:cs="Times New Roman"/>
                <w:color w:val="000000"/>
                <w:sz w:val="18"/>
                <w:szCs w:val="18"/>
                <w:lang w:eastAsia="en-US"/>
              </w:rPr>
              <w:t xml:space="preserve"> &gt; 3; TPSA &lt; 75. Compounds with high </w:t>
            </w:r>
            <w:proofErr w:type="spellStart"/>
            <w:r w:rsidRPr="00065FE0">
              <w:rPr>
                <w:rFonts w:ascii="Times New Roman" w:eastAsia="Times New Roman" w:hAnsi="Times New Roman" w:cs="Times New Roman"/>
                <w:color w:val="000000"/>
                <w:sz w:val="18"/>
                <w:szCs w:val="18"/>
                <w:lang w:eastAsia="en-US"/>
              </w:rPr>
              <w:t>logP</w:t>
            </w:r>
            <w:proofErr w:type="spellEnd"/>
            <w:r w:rsidRPr="00065FE0">
              <w:rPr>
                <w:rFonts w:ascii="Times New Roman" w:eastAsia="Times New Roman" w:hAnsi="Times New Roman" w:cs="Times New Roman"/>
                <w:color w:val="000000"/>
                <w:sz w:val="18"/>
                <w:szCs w:val="18"/>
                <w:lang w:eastAsia="en-US"/>
              </w:rPr>
              <w:t xml:space="preserve"> and low TPSA are likely toxic.</w:t>
            </w:r>
          </w:p>
        </w:tc>
      </w:tr>
      <w:tr w:rsidR="00DE7FA7" w:rsidRPr="00065FE0" w14:paraId="5528C3FA" w14:textId="77777777" w:rsidTr="005677BD">
        <w:trPr>
          <w:trHeight w:val="20"/>
        </w:trPr>
        <w:tc>
          <w:tcPr>
            <w:tcW w:w="1082" w:type="pct"/>
            <w:shd w:val="clear" w:color="auto" w:fill="auto"/>
            <w:hideMark/>
          </w:tcPr>
          <w:p w14:paraId="36840504"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lastRenderedPageBreak/>
              <w:t>GSK Rule</w:t>
            </w:r>
          </w:p>
        </w:tc>
        <w:tc>
          <w:tcPr>
            <w:tcW w:w="470" w:type="pct"/>
            <w:shd w:val="clear" w:color="auto" w:fill="auto"/>
          </w:tcPr>
          <w:p w14:paraId="01C135AF" w14:textId="17FFAD88"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6C353C22" w14:textId="0B891573"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5150E215" w14:textId="3DF8B8D8"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6FE289B" w14:textId="7156F294"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7F688823" w14:textId="26DC3C7C"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683BB20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MW ≤ 400; </w:t>
            </w:r>
            <w:proofErr w:type="spellStart"/>
            <w:r w:rsidRPr="00065FE0">
              <w:rPr>
                <w:rFonts w:ascii="Times New Roman" w:eastAsia="Times New Roman" w:hAnsi="Times New Roman" w:cs="Times New Roman"/>
                <w:color w:val="000000"/>
                <w:sz w:val="18"/>
                <w:szCs w:val="18"/>
                <w:lang w:eastAsia="en-US"/>
              </w:rPr>
              <w:t>logP</w:t>
            </w:r>
            <w:proofErr w:type="spellEnd"/>
            <w:r w:rsidRPr="00065FE0">
              <w:rPr>
                <w:rFonts w:ascii="Times New Roman" w:eastAsia="Times New Roman" w:hAnsi="Times New Roman" w:cs="Times New Roman"/>
                <w:color w:val="000000"/>
                <w:sz w:val="18"/>
                <w:szCs w:val="18"/>
                <w:lang w:eastAsia="en-US"/>
              </w:rPr>
              <w:t xml:space="preserve"> ≤ 4. Satisfying the GSK rule indicates a favorable ADMET profile.</w:t>
            </w:r>
          </w:p>
        </w:tc>
      </w:tr>
      <w:tr w:rsidR="00DE7FA7" w:rsidRPr="00065FE0" w14:paraId="046EC9CA" w14:textId="77777777" w:rsidTr="005677BD">
        <w:trPr>
          <w:trHeight w:val="20"/>
        </w:trPr>
        <w:tc>
          <w:tcPr>
            <w:tcW w:w="1082" w:type="pct"/>
            <w:shd w:val="clear" w:color="auto" w:fill="auto"/>
            <w:hideMark/>
          </w:tcPr>
          <w:p w14:paraId="17F33214"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Golden Triangle</w:t>
            </w:r>
          </w:p>
        </w:tc>
        <w:tc>
          <w:tcPr>
            <w:tcW w:w="470" w:type="pct"/>
            <w:shd w:val="clear" w:color="auto" w:fill="auto"/>
          </w:tcPr>
          <w:p w14:paraId="67D4DE17" w14:textId="79D2656F"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6C58F45D" w14:textId="30293A00"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BA39616" w14:textId="09D81BED"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3DC19F09" w14:textId="2FA5186B"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47FEFC54" w14:textId="595EB565"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1C22F71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200 ≤ MW ≤ 500; -2 ≤ </w:t>
            </w:r>
            <w:proofErr w:type="spellStart"/>
            <w:r w:rsidRPr="00065FE0">
              <w:rPr>
                <w:rFonts w:ascii="Times New Roman" w:eastAsia="Times New Roman" w:hAnsi="Times New Roman" w:cs="Times New Roman"/>
                <w:color w:val="000000"/>
                <w:sz w:val="18"/>
                <w:szCs w:val="18"/>
                <w:lang w:eastAsia="en-US"/>
              </w:rPr>
              <w:t>logD</w:t>
            </w:r>
            <w:proofErr w:type="spellEnd"/>
            <w:r w:rsidRPr="00065FE0">
              <w:rPr>
                <w:rFonts w:ascii="Times New Roman" w:eastAsia="Times New Roman" w:hAnsi="Times New Roman" w:cs="Times New Roman"/>
                <w:color w:val="000000"/>
                <w:sz w:val="18"/>
                <w:szCs w:val="18"/>
                <w:lang w:eastAsia="en-US"/>
              </w:rPr>
              <w:t xml:space="preserve"> ≤ 5. Indicates a favorable ADMET profile.</w:t>
            </w:r>
          </w:p>
        </w:tc>
      </w:tr>
      <w:tr w:rsidR="00DE7FA7" w:rsidRPr="00065FE0" w14:paraId="305F15B9" w14:textId="77777777" w:rsidTr="005677BD">
        <w:trPr>
          <w:trHeight w:val="20"/>
        </w:trPr>
        <w:tc>
          <w:tcPr>
            <w:tcW w:w="1082" w:type="pct"/>
            <w:shd w:val="clear" w:color="auto" w:fill="auto"/>
            <w:hideMark/>
          </w:tcPr>
          <w:p w14:paraId="293FEAFA"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PAINS</w:t>
            </w:r>
          </w:p>
        </w:tc>
        <w:tc>
          <w:tcPr>
            <w:tcW w:w="470" w:type="pct"/>
            <w:shd w:val="clear" w:color="auto" w:fill="auto"/>
          </w:tcPr>
          <w:p w14:paraId="14265330" w14:textId="69EEA225"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D520E2A" w14:textId="41306630"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6FF61DCC" w14:textId="42B40453"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4FE21252" w14:textId="6BA69610"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2EE5AD54" w14:textId="34DED8CD"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3C374BAE"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Frequent hitters, alpha-screen artifacts, or reactive compound substructures.</w:t>
            </w:r>
          </w:p>
        </w:tc>
      </w:tr>
      <w:tr w:rsidR="00DE7FA7" w:rsidRPr="00065FE0" w14:paraId="2E71FC5A" w14:textId="77777777" w:rsidTr="005677BD">
        <w:trPr>
          <w:trHeight w:val="20"/>
        </w:trPr>
        <w:tc>
          <w:tcPr>
            <w:tcW w:w="1082" w:type="pct"/>
            <w:shd w:val="clear" w:color="auto" w:fill="auto"/>
            <w:hideMark/>
          </w:tcPr>
          <w:p w14:paraId="4AD126EF"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ALARM NMR</w:t>
            </w:r>
          </w:p>
        </w:tc>
        <w:tc>
          <w:tcPr>
            <w:tcW w:w="470" w:type="pct"/>
            <w:shd w:val="clear" w:color="auto" w:fill="auto"/>
          </w:tcPr>
          <w:p w14:paraId="54CF78AA" w14:textId="02CF4906"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w:t>
            </w:r>
          </w:p>
        </w:tc>
        <w:tc>
          <w:tcPr>
            <w:tcW w:w="453" w:type="pct"/>
            <w:shd w:val="clear" w:color="auto" w:fill="auto"/>
          </w:tcPr>
          <w:p w14:paraId="3654E36E" w14:textId="78CD2470"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71A5CC59" w14:textId="0F16CAF5"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009D66ED" w14:textId="70D7D1CE"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3182377D" w14:textId="642FF57B"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6B978263"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Thiol-reactive compounds.</w:t>
            </w:r>
          </w:p>
        </w:tc>
      </w:tr>
      <w:tr w:rsidR="00DE7FA7" w:rsidRPr="00065FE0" w14:paraId="1D27F87B" w14:textId="77777777" w:rsidTr="005677BD">
        <w:trPr>
          <w:trHeight w:val="20"/>
        </w:trPr>
        <w:tc>
          <w:tcPr>
            <w:tcW w:w="1082" w:type="pct"/>
            <w:shd w:val="clear" w:color="auto" w:fill="auto"/>
            <w:hideMark/>
          </w:tcPr>
          <w:p w14:paraId="65EAC59C"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BMS</w:t>
            </w:r>
          </w:p>
        </w:tc>
        <w:tc>
          <w:tcPr>
            <w:tcW w:w="470" w:type="pct"/>
            <w:shd w:val="clear" w:color="auto" w:fill="auto"/>
          </w:tcPr>
          <w:p w14:paraId="7AABE55C" w14:textId="65312E04"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F8AE5A5" w14:textId="70FBD731"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7E98C214" w14:textId="7874D492"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455A82FC" w14:textId="2298BE8E"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3C5FD1FE" w14:textId="1EE954B0"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4307CBF3" w14:textId="4F5F14CE"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undesirable, reactive</w:t>
            </w:r>
            <w:r w:rsidR="00DE7FA7" w:rsidRPr="00065FE0">
              <w:rPr>
                <w:rFonts w:ascii="Times New Roman" w:eastAsia="Times New Roman" w:hAnsi="Times New Roman" w:cs="Times New Roman"/>
                <w:color w:val="000000"/>
                <w:sz w:val="18"/>
                <w:szCs w:val="18"/>
                <w:lang w:eastAsia="en-US"/>
              </w:rPr>
              <w:t xml:space="preserve"> </w:t>
            </w:r>
            <w:r w:rsidRPr="00065FE0">
              <w:rPr>
                <w:rFonts w:ascii="Times New Roman" w:eastAsia="Times New Roman" w:hAnsi="Times New Roman" w:cs="Times New Roman"/>
                <w:color w:val="000000"/>
                <w:sz w:val="18"/>
                <w:szCs w:val="18"/>
                <w:lang w:eastAsia="en-US"/>
              </w:rPr>
              <w:t>compounds.</w:t>
            </w:r>
          </w:p>
        </w:tc>
      </w:tr>
      <w:tr w:rsidR="00DE7FA7" w:rsidRPr="00065FE0" w14:paraId="2F40C140" w14:textId="77777777" w:rsidTr="005677BD">
        <w:trPr>
          <w:trHeight w:val="20"/>
        </w:trPr>
        <w:tc>
          <w:tcPr>
            <w:tcW w:w="1082" w:type="pct"/>
            <w:shd w:val="clear" w:color="auto" w:fill="auto"/>
            <w:hideMark/>
          </w:tcPr>
          <w:p w14:paraId="217439F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Chelator Rule</w:t>
            </w:r>
          </w:p>
        </w:tc>
        <w:tc>
          <w:tcPr>
            <w:tcW w:w="470" w:type="pct"/>
            <w:shd w:val="clear" w:color="auto" w:fill="auto"/>
          </w:tcPr>
          <w:p w14:paraId="02DF68F5" w14:textId="2ABF2A32"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4FCA3E65" w14:textId="087B7268"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CC875CC" w14:textId="350BCE64"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515BDA11" w14:textId="58D304A8"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4BC9988A" w14:textId="7862B814"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0FEDC239"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chelating compounds.</w:t>
            </w:r>
          </w:p>
        </w:tc>
      </w:tr>
      <w:tr w:rsidR="00DE7FA7" w:rsidRPr="00065FE0" w14:paraId="7E6B9F42" w14:textId="77777777" w:rsidTr="005677BD">
        <w:trPr>
          <w:trHeight w:val="20"/>
        </w:trPr>
        <w:tc>
          <w:tcPr>
            <w:tcW w:w="1082" w:type="pct"/>
            <w:tcBorders>
              <w:bottom w:val="nil"/>
            </w:tcBorders>
            <w:shd w:val="clear" w:color="auto" w:fill="auto"/>
            <w:hideMark/>
          </w:tcPr>
          <w:p w14:paraId="62428519"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Colloidal Aggregators</w:t>
            </w:r>
          </w:p>
        </w:tc>
        <w:tc>
          <w:tcPr>
            <w:tcW w:w="470" w:type="pct"/>
            <w:tcBorders>
              <w:bottom w:val="nil"/>
            </w:tcBorders>
            <w:shd w:val="clear" w:color="auto" w:fill="auto"/>
          </w:tcPr>
          <w:p w14:paraId="2CF8E98C" w14:textId="0345D833"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0.227</w:t>
            </w:r>
          </w:p>
        </w:tc>
        <w:tc>
          <w:tcPr>
            <w:tcW w:w="453" w:type="pct"/>
            <w:tcBorders>
              <w:bottom w:val="nil"/>
            </w:tcBorders>
            <w:shd w:val="clear" w:color="auto" w:fill="auto"/>
          </w:tcPr>
          <w:p w14:paraId="6424750D" w14:textId="12A93358"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0.719</w:t>
            </w:r>
          </w:p>
        </w:tc>
        <w:tc>
          <w:tcPr>
            <w:tcW w:w="453" w:type="pct"/>
            <w:tcBorders>
              <w:bottom w:val="nil"/>
            </w:tcBorders>
            <w:shd w:val="clear" w:color="auto" w:fill="auto"/>
          </w:tcPr>
          <w:p w14:paraId="65AB61B7" w14:textId="0F48AFAE"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0.172</w:t>
            </w:r>
          </w:p>
        </w:tc>
        <w:tc>
          <w:tcPr>
            <w:tcW w:w="453" w:type="pct"/>
            <w:tcBorders>
              <w:bottom w:val="nil"/>
            </w:tcBorders>
            <w:shd w:val="clear" w:color="auto" w:fill="auto"/>
          </w:tcPr>
          <w:p w14:paraId="7AD09C31" w14:textId="69883C53"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0.272</w:t>
            </w:r>
          </w:p>
        </w:tc>
        <w:tc>
          <w:tcPr>
            <w:tcW w:w="542" w:type="pct"/>
            <w:tcBorders>
              <w:bottom w:val="nil"/>
            </w:tcBorders>
            <w:shd w:val="clear" w:color="auto" w:fill="auto"/>
          </w:tcPr>
          <w:p w14:paraId="30050787" w14:textId="4EEBD783" w:rsidR="00615BE3" w:rsidRPr="00065FE0" w:rsidRDefault="00CE725A"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0.211</w:t>
            </w:r>
          </w:p>
        </w:tc>
        <w:tc>
          <w:tcPr>
            <w:tcW w:w="1547" w:type="pct"/>
            <w:gridSpan w:val="2"/>
            <w:tcBorders>
              <w:bottom w:val="nil"/>
            </w:tcBorders>
            <w:shd w:val="clear" w:color="auto" w:fill="auto"/>
            <w:hideMark/>
          </w:tcPr>
          <w:p w14:paraId="4BFE861B"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Category 0: non-colloidal aggregators; Category 1: colloidal aggregators.</w:t>
            </w:r>
          </w:p>
        </w:tc>
      </w:tr>
      <w:tr w:rsidR="00AD7CD2" w:rsidRPr="00065FE0" w14:paraId="2FC92557"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01C9A4EF" w14:textId="37372D9C"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(C) </w:t>
            </w:r>
            <w:r w:rsidR="00615BE3" w:rsidRPr="00065FE0">
              <w:rPr>
                <w:rFonts w:ascii="Times New Roman" w:eastAsia="Times New Roman" w:hAnsi="Times New Roman" w:cs="Times New Roman"/>
                <w:b/>
                <w:bCs/>
                <w:color w:val="000000"/>
                <w:sz w:val="18"/>
                <w:szCs w:val="18"/>
                <w:lang w:eastAsia="en-US"/>
              </w:rPr>
              <w:t>Absorption</w:t>
            </w:r>
          </w:p>
        </w:tc>
      </w:tr>
      <w:tr w:rsidR="00DE7FA7" w:rsidRPr="00065FE0" w14:paraId="16CFA518" w14:textId="77777777" w:rsidTr="005677BD">
        <w:trPr>
          <w:trHeight w:val="20"/>
        </w:trPr>
        <w:tc>
          <w:tcPr>
            <w:tcW w:w="1082" w:type="pct"/>
            <w:tcBorders>
              <w:top w:val="single" w:sz="4" w:space="0" w:color="auto"/>
            </w:tcBorders>
            <w:shd w:val="clear" w:color="auto" w:fill="auto"/>
            <w:hideMark/>
          </w:tcPr>
          <w:p w14:paraId="52AA3D25" w14:textId="06412292"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Caco-2</w:t>
            </w:r>
          </w:p>
        </w:tc>
        <w:tc>
          <w:tcPr>
            <w:tcW w:w="470" w:type="pct"/>
            <w:tcBorders>
              <w:top w:val="single" w:sz="4" w:space="0" w:color="auto"/>
            </w:tcBorders>
            <w:shd w:val="clear" w:color="auto" w:fill="auto"/>
          </w:tcPr>
          <w:p w14:paraId="67F88A4F" w14:textId="7240C51B"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-4.865</w:t>
            </w:r>
          </w:p>
        </w:tc>
        <w:tc>
          <w:tcPr>
            <w:tcW w:w="453" w:type="pct"/>
            <w:tcBorders>
              <w:top w:val="single" w:sz="4" w:space="0" w:color="auto"/>
            </w:tcBorders>
            <w:shd w:val="clear" w:color="auto" w:fill="auto"/>
          </w:tcPr>
          <w:p w14:paraId="44DED8AF" w14:textId="4D7B2F9A"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-4.786</w:t>
            </w:r>
          </w:p>
        </w:tc>
        <w:tc>
          <w:tcPr>
            <w:tcW w:w="453" w:type="pct"/>
            <w:tcBorders>
              <w:top w:val="single" w:sz="4" w:space="0" w:color="auto"/>
            </w:tcBorders>
            <w:shd w:val="clear" w:color="auto" w:fill="auto"/>
          </w:tcPr>
          <w:p w14:paraId="342B7F33" w14:textId="4EB08CC2"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-5.365</w:t>
            </w:r>
          </w:p>
        </w:tc>
        <w:tc>
          <w:tcPr>
            <w:tcW w:w="453" w:type="pct"/>
            <w:tcBorders>
              <w:top w:val="single" w:sz="4" w:space="0" w:color="auto"/>
            </w:tcBorders>
            <w:shd w:val="clear" w:color="auto" w:fill="auto"/>
          </w:tcPr>
          <w:p w14:paraId="03BBA844" w14:textId="54BB5998"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-4.641</w:t>
            </w:r>
          </w:p>
        </w:tc>
        <w:tc>
          <w:tcPr>
            <w:tcW w:w="542" w:type="pct"/>
            <w:tcBorders>
              <w:top w:val="single" w:sz="4" w:space="0" w:color="auto"/>
            </w:tcBorders>
            <w:shd w:val="clear" w:color="auto" w:fill="auto"/>
          </w:tcPr>
          <w:p w14:paraId="5132D8EC" w14:textId="0A65772E"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-4.265</w:t>
            </w:r>
          </w:p>
        </w:tc>
        <w:tc>
          <w:tcPr>
            <w:tcW w:w="1547" w:type="pct"/>
            <w:gridSpan w:val="2"/>
            <w:tcBorders>
              <w:top w:val="single" w:sz="4" w:space="0" w:color="auto"/>
            </w:tcBorders>
            <w:shd w:val="clear" w:color="auto" w:fill="auto"/>
            <w:hideMark/>
          </w:tcPr>
          <w:p w14:paraId="26B8B39F" w14:textId="0EF5370A" w:rsidR="00615BE3" w:rsidRPr="00065FE0" w:rsidRDefault="00AD7CD2"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Caco-2 Permeability; </w:t>
            </w:r>
            <w:r w:rsidR="00615BE3" w:rsidRPr="00065FE0">
              <w:rPr>
                <w:rFonts w:ascii="Times New Roman" w:eastAsia="Times New Roman" w:hAnsi="Times New Roman" w:cs="Times New Roman"/>
                <w:color w:val="000000"/>
                <w:sz w:val="18"/>
                <w:szCs w:val="18"/>
                <w:lang w:eastAsia="en-US"/>
              </w:rPr>
              <w:t>Optimal: higher than -5.15 Log unit</w:t>
            </w:r>
          </w:p>
        </w:tc>
      </w:tr>
      <w:tr w:rsidR="00DE7FA7" w:rsidRPr="00065FE0" w14:paraId="43797920" w14:textId="77777777" w:rsidTr="005677BD">
        <w:trPr>
          <w:trHeight w:val="20"/>
        </w:trPr>
        <w:tc>
          <w:tcPr>
            <w:tcW w:w="1082" w:type="pct"/>
            <w:shd w:val="clear" w:color="auto" w:fill="auto"/>
            <w:hideMark/>
          </w:tcPr>
          <w:p w14:paraId="36FD4463"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MDCK Permeability</w:t>
            </w:r>
          </w:p>
        </w:tc>
        <w:tc>
          <w:tcPr>
            <w:tcW w:w="470" w:type="pct"/>
            <w:shd w:val="clear" w:color="auto" w:fill="auto"/>
          </w:tcPr>
          <w:p w14:paraId="2D356C6C" w14:textId="3113DF2B"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-4.438</w:t>
            </w:r>
          </w:p>
        </w:tc>
        <w:tc>
          <w:tcPr>
            <w:tcW w:w="453" w:type="pct"/>
            <w:shd w:val="clear" w:color="auto" w:fill="auto"/>
          </w:tcPr>
          <w:p w14:paraId="758D38A2" w14:textId="3014FCB5"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-4.585</w:t>
            </w:r>
          </w:p>
        </w:tc>
        <w:tc>
          <w:tcPr>
            <w:tcW w:w="453" w:type="pct"/>
            <w:shd w:val="clear" w:color="auto" w:fill="auto"/>
          </w:tcPr>
          <w:p w14:paraId="45C2910B" w14:textId="23A0EC13"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-4.882</w:t>
            </w:r>
          </w:p>
        </w:tc>
        <w:tc>
          <w:tcPr>
            <w:tcW w:w="453" w:type="pct"/>
            <w:shd w:val="clear" w:color="auto" w:fill="auto"/>
          </w:tcPr>
          <w:p w14:paraId="544325F1" w14:textId="66F0BF87"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-4.522</w:t>
            </w:r>
          </w:p>
        </w:tc>
        <w:tc>
          <w:tcPr>
            <w:tcW w:w="542" w:type="pct"/>
            <w:shd w:val="clear" w:color="auto" w:fill="auto"/>
          </w:tcPr>
          <w:p w14:paraId="2F136B50" w14:textId="7866F42E"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-4.349</w:t>
            </w:r>
          </w:p>
        </w:tc>
        <w:tc>
          <w:tcPr>
            <w:tcW w:w="1547" w:type="pct"/>
            <w:gridSpan w:val="2"/>
            <w:shd w:val="clear" w:color="auto" w:fill="auto"/>
            <w:hideMark/>
          </w:tcPr>
          <w:p w14:paraId="1708B0F6"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Low permeability: &lt; 2 × 10⁻⁶ cm/s; Medium: 2-20 × 10⁻⁶ cm/s; High: &gt; 20 × 10⁻⁶ cm/s</w:t>
            </w:r>
          </w:p>
        </w:tc>
      </w:tr>
      <w:tr w:rsidR="00DE7FA7" w:rsidRPr="00065FE0" w14:paraId="0E836E9D" w14:textId="77777777" w:rsidTr="005677BD">
        <w:trPr>
          <w:trHeight w:val="20"/>
        </w:trPr>
        <w:tc>
          <w:tcPr>
            <w:tcW w:w="1082" w:type="pct"/>
            <w:shd w:val="clear" w:color="auto" w:fill="auto"/>
            <w:hideMark/>
          </w:tcPr>
          <w:p w14:paraId="26289D77"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PAMPA</w:t>
            </w:r>
          </w:p>
        </w:tc>
        <w:tc>
          <w:tcPr>
            <w:tcW w:w="470" w:type="pct"/>
            <w:shd w:val="clear" w:color="auto" w:fill="auto"/>
          </w:tcPr>
          <w:p w14:paraId="7F2D93BA" w14:textId="395848F3"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0.041</w:t>
            </w:r>
          </w:p>
        </w:tc>
        <w:tc>
          <w:tcPr>
            <w:tcW w:w="453" w:type="pct"/>
            <w:shd w:val="clear" w:color="auto" w:fill="auto"/>
          </w:tcPr>
          <w:p w14:paraId="12893AF0" w14:textId="16943110"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0.031</w:t>
            </w:r>
          </w:p>
        </w:tc>
        <w:tc>
          <w:tcPr>
            <w:tcW w:w="453" w:type="pct"/>
            <w:shd w:val="clear" w:color="auto" w:fill="auto"/>
          </w:tcPr>
          <w:p w14:paraId="35A6C01C" w14:textId="131BFCA6"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0.04</w:t>
            </w:r>
          </w:p>
        </w:tc>
        <w:tc>
          <w:tcPr>
            <w:tcW w:w="453" w:type="pct"/>
            <w:shd w:val="clear" w:color="auto" w:fill="auto"/>
          </w:tcPr>
          <w:p w14:paraId="5924D17B" w14:textId="788EDD72"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w:t>
            </w:r>
          </w:p>
        </w:tc>
        <w:tc>
          <w:tcPr>
            <w:tcW w:w="542" w:type="pct"/>
            <w:shd w:val="clear" w:color="auto" w:fill="auto"/>
          </w:tcPr>
          <w:p w14:paraId="74853751" w14:textId="17D6D6CC"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shd w:val="clear" w:color="auto" w:fill="auto"/>
            <w:hideMark/>
          </w:tcPr>
          <w:p w14:paraId="35A82440"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Molecules with </w:t>
            </w:r>
            <w:proofErr w:type="spellStart"/>
            <w:r w:rsidRPr="00065FE0">
              <w:rPr>
                <w:rFonts w:ascii="Times New Roman" w:eastAsia="Times New Roman" w:hAnsi="Times New Roman" w:cs="Times New Roman"/>
                <w:color w:val="000000"/>
                <w:sz w:val="18"/>
                <w:szCs w:val="18"/>
                <w:lang w:eastAsia="en-US"/>
              </w:rPr>
              <w:t>logPeff</w:t>
            </w:r>
            <w:proofErr w:type="spellEnd"/>
            <w:r w:rsidRPr="00065FE0">
              <w:rPr>
                <w:rFonts w:ascii="Times New Roman" w:eastAsia="Times New Roman" w:hAnsi="Times New Roman" w:cs="Times New Roman"/>
                <w:color w:val="000000"/>
                <w:sz w:val="18"/>
                <w:szCs w:val="18"/>
                <w:lang w:eastAsia="en-US"/>
              </w:rPr>
              <w:t xml:space="preserve"> below 2.0 classified as low-permeability; above 2.5 as high-permeability</w:t>
            </w:r>
          </w:p>
        </w:tc>
      </w:tr>
      <w:tr w:rsidR="00DE7FA7" w:rsidRPr="00065FE0" w14:paraId="64BB6852" w14:textId="77777777" w:rsidTr="005677BD">
        <w:trPr>
          <w:trHeight w:val="20"/>
        </w:trPr>
        <w:tc>
          <w:tcPr>
            <w:tcW w:w="1082" w:type="pct"/>
            <w:shd w:val="clear" w:color="auto" w:fill="auto"/>
            <w:hideMark/>
          </w:tcPr>
          <w:p w14:paraId="63373BD3"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Pgp</w:t>
            </w:r>
            <w:proofErr w:type="spellEnd"/>
            <w:r w:rsidRPr="00065FE0">
              <w:rPr>
                <w:rFonts w:ascii="Times New Roman" w:eastAsia="Times New Roman" w:hAnsi="Times New Roman" w:cs="Times New Roman"/>
                <w:color w:val="000000"/>
                <w:sz w:val="18"/>
                <w:szCs w:val="18"/>
                <w:lang w:eastAsia="en-US"/>
              </w:rPr>
              <w:t>-inhibitor</w:t>
            </w:r>
          </w:p>
        </w:tc>
        <w:tc>
          <w:tcPr>
            <w:tcW w:w="470" w:type="pct"/>
            <w:shd w:val="clear" w:color="auto" w:fill="auto"/>
          </w:tcPr>
          <w:p w14:paraId="58FEEFBB" w14:textId="44CAA8EF"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0.849</w:t>
            </w:r>
          </w:p>
        </w:tc>
        <w:tc>
          <w:tcPr>
            <w:tcW w:w="453" w:type="pct"/>
            <w:shd w:val="clear" w:color="auto" w:fill="auto"/>
          </w:tcPr>
          <w:p w14:paraId="473FD038" w14:textId="32A8AA53"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0.938</w:t>
            </w:r>
          </w:p>
        </w:tc>
        <w:tc>
          <w:tcPr>
            <w:tcW w:w="453" w:type="pct"/>
            <w:shd w:val="clear" w:color="auto" w:fill="auto"/>
          </w:tcPr>
          <w:p w14:paraId="7623D4C6" w14:textId="5DDA45AF"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0.888</w:t>
            </w:r>
          </w:p>
        </w:tc>
        <w:tc>
          <w:tcPr>
            <w:tcW w:w="453" w:type="pct"/>
            <w:shd w:val="clear" w:color="auto" w:fill="auto"/>
          </w:tcPr>
          <w:p w14:paraId="57A6A75D" w14:textId="60302E54"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0.989</w:t>
            </w:r>
          </w:p>
        </w:tc>
        <w:tc>
          <w:tcPr>
            <w:tcW w:w="542" w:type="pct"/>
            <w:shd w:val="clear" w:color="auto" w:fill="auto"/>
          </w:tcPr>
          <w:p w14:paraId="2F6F894E" w14:textId="59055A9B"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0.037</w:t>
            </w:r>
          </w:p>
        </w:tc>
        <w:tc>
          <w:tcPr>
            <w:tcW w:w="1547" w:type="pct"/>
            <w:gridSpan w:val="2"/>
            <w:shd w:val="clear" w:color="auto" w:fill="auto"/>
            <w:hideMark/>
          </w:tcPr>
          <w:p w14:paraId="64F34C1A"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Category 0: Non-inhibitor; Category 1: Inhibitor</w:t>
            </w:r>
          </w:p>
        </w:tc>
      </w:tr>
      <w:tr w:rsidR="00DE7FA7" w:rsidRPr="00065FE0" w14:paraId="7F6CD619" w14:textId="77777777" w:rsidTr="005677BD">
        <w:trPr>
          <w:trHeight w:val="20"/>
        </w:trPr>
        <w:tc>
          <w:tcPr>
            <w:tcW w:w="1082" w:type="pct"/>
            <w:shd w:val="clear" w:color="auto" w:fill="auto"/>
            <w:hideMark/>
          </w:tcPr>
          <w:p w14:paraId="049DFAB1"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Pgp</w:t>
            </w:r>
            <w:proofErr w:type="spellEnd"/>
            <w:r w:rsidRPr="00065FE0">
              <w:rPr>
                <w:rFonts w:ascii="Times New Roman" w:eastAsia="Times New Roman" w:hAnsi="Times New Roman" w:cs="Times New Roman"/>
                <w:color w:val="000000"/>
                <w:sz w:val="18"/>
                <w:szCs w:val="18"/>
                <w:lang w:eastAsia="en-US"/>
              </w:rPr>
              <w:t>-substrate</w:t>
            </w:r>
          </w:p>
        </w:tc>
        <w:tc>
          <w:tcPr>
            <w:tcW w:w="470" w:type="pct"/>
            <w:shd w:val="clear" w:color="auto" w:fill="auto"/>
          </w:tcPr>
          <w:p w14:paraId="3BA7172B" w14:textId="7C8E7056"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0.733</w:t>
            </w:r>
          </w:p>
        </w:tc>
        <w:tc>
          <w:tcPr>
            <w:tcW w:w="453" w:type="pct"/>
            <w:shd w:val="clear" w:color="auto" w:fill="auto"/>
          </w:tcPr>
          <w:p w14:paraId="14308F4F" w14:textId="354762C1"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0.797</w:t>
            </w:r>
          </w:p>
        </w:tc>
        <w:tc>
          <w:tcPr>
            <w:tcW w:w="453" w:type="pct"/>
            <w:shd w:val="clear" w:color="auto" w:fill="auto"/>
          </w:tcPr>
          <w:p w14:paraId="25F69681" w14:textId="4B67BF41"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0.88</w:t>
            </w:r>
          </w:p>
        </w:tc>
        <w:tc>
          <w:tcPr>
            <w:tcW w:w="453" w:type="pct"/>
            <w:shd w:val="clear" w:color="auto" w:fill="auto"/>
          </w:tcPr>
          <w:p w14:paraId="7FF88D4E" w14:textId="7CD1EABA"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0.855</w:t>
            </w:r>
          </w:p>
        </w:tc>
        <w:tc>
          <w:tcPr>
            <w:tcW w:w="542" w:type="pct"/>
            <w:shd w:val="clear" w:color="auto" w:fill="auto"/>
          </w:tcPr>
          <w:p w14:paraId="7D51DD3F" w14:textId="73AEBEF0"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0.792</w:t>
            </w:r>
          </w:p>
        </w:tc>
        <w:tc>
          <w:tcPr>
            <w:tcW w:w="1547" w:type="pct"/>
            <w:gridSpan w:val="2"/>
            <w:shd w:val="clear" w:color="auto" w:fill="auto"/>
            <w:hideMark/>
          </w:tcPr>
          <w:p w14:paraId="48A1BA17"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Category 0: Non-substrate; Category 1: Substrate</w:t>
            </w:r>
          </w:p>
        </w:tc>
      </w:tr>
      <w:tr w:rsidR="00DE7FA7" w:rsidRPr="00065FE0" w14:paraId="79EAFEB1" w14:textId="77777777" w:rsidTr="005677BD">
        <w:trPr>
          <w:trHeight w:val="20"/>
        </w:trPr>
        <w:tc>
          <w:tcPr>
            <w:tcW w:w="1082" w:type="pct"/>
            <w:shd w:val="clear" w:color="auto" w:fill="auto"/>
            <w:hideMark/>
          </w:tcPr>
          <w:p w14:paraId="0D5E83CE"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HIA</w:t>
            </w:r>
          </w:p>
        </w:tc>
        <w:tc>
          <w:tcPr>
            <w:tcW w:w="470" w:type="pct"/>
            <w:shd w:val="clear" w:color="auto" w:fill="auto"/>
          </w:tcPr>
          <w:p w14:paraId="7DF34016" w14:textId="13B53F8C"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77EE8C6B" w14:textId="651D00F2"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58DCB9A" w14:textId="66210CF5"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7BC8879E" w14:textId="1C26D111"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5707ACD6" w14:textId="3FD323BA"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5C7E7212"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Human Intestinal Absorption. Category 1: HIA+ (&lt;30%); Category 0: HIA- (≥30%)</w:t>
            </w:r>
          </w:p>
        </w:tc>
      </w:tr>
      <w:tr w:rsidR="00DE7FA7" w:rsidRPr="00065FE0" w14:paraId="4CC6F324" w14:textId="77777777" w:rsidTr="005677BD">
        <w:trPr>
          <w:trHeight w:val="20"/>
        </w:trPr>
        <w:tc>
          <w:tcPr>
            <w:tcW w:w="1082" w:type="pct"/>
            <w:shd w:val="clear" w:color="auto" w:fill="auto"/>
            <w:hideMark/>
          </w:tcPr>
          <w:p w14:paraId="4739CA8E"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 20%</w:t>
            </w:r>
          </w:p>
        </w:tc>
        <w:tc>
          <w:tcPr>
            <w:tcW w:w="470" w:type="pct"/>
            <w:shd w:val="clear" w:color="auto" w:fill="auto"/>
          </w:tcPr>
          <w:p w14:paraId="0F1C85FA" w14:textId="68B04F6F"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0.333</w:t>
            </w:r>
          </w:p>
        </w:tc>
        <w:tc>
          <w:tcPr>
            <w:tcW w:w="453" w:type="pct"/>
            <w:shd w:val="clear" w:color="auto" w:fill="auto"/>
          </w:tcPr>
          <w:p w14:paraId="544C79DF" w14:textId="6071A65C"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0.003</w:t>
            </w:r>
          </w:p>
        </w:tc>
        <w:tc>
          <w:tcPr>
            <w:tcW w:w="453" w:type="pct"/>
            <w:shd w:val="clear" w:color="auto" w:fill="auto"/>
          </w:tcPr>
          <w:p w14:paraId="14EC46BE" w14:textId="5F0E10E1"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0.038</w:t>
            </w:r>
          </w:p>
        </w:tc>
        <w:tc>
          <w:tcPr>
            <w:tcW w:w="453" w:type="pct"/>
            <w:shd w:val="clear" w:color="auto" w:fill="auto"/>
          </w:tcPr>
          <w:p w14:paraId="47629B9F" w14:textId="24A8192D"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0.034</w:t>
            </w:r>
          </w:p>
        </w:tc>
        <w:tc>
          <w:tcPr>
            <w:tcW w:w="542" w:type="pct"/>
            <w:shd w:val="clear" w:color="auto" w:fill="auto"/>
          </w:tcPr>
          <w:p w14:paraId="2CF9103C" w14:textId="1C0FDF72"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69F08FBB"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20% Bioavailability. Category 1: F 20%+ (&lt;20%); Category 0: F 20%- (≥20%)</w:t>
            </w:r>
          </w:p>
        </w:tc>
      </w:tr>
      <w:tr w:rsidR="00DE7FA7" w:rsidRPr="00065FE0" w14:paraId="56862B9C" w14:textId="77777777" w:rsidTr="005677BD">
        <w:trPr>
          <w:trHeight w:val="20"/>
        </w:trPr>
        <w:tc>
          <w:tcPr>
            <w:tcW w:w="1082" w:type="pct"/>
            <w:shd w:val="clear" w:color="auto" w:fill="auto"/>
            <w:hideMark/>
          </w:tcPr>
          <w:p w14:paraId="076A8FB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 30%</w:t>
            </w:r>
          </w:p>
        </w:tc>
        <w:tc>
          <w:tcPr>
            <w:tcW w:w="470" w:type="pct"/>
            <w:shd w:val="clear" w:color="auto" w:fill="auto"/>
          </w:tcPr>
          <w:p w14:paraId="1E18E91B" w14:textId="6BA4BD2B"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0.53</w:t>
            </w:r>
          </w:p>
        </w:tc>
        <w:tc>
          <w:tcPr>
            <w:tcW w:w="453" w:type="pct"/>
            <w:shd w:val="clear" w:color="auto" w:fill="auto"/>
          </w:tcPr>
          <w:p w14:paraId="3CB36110" w14:textId="4E5260AB"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0.053</w:t>
            </w:r>
          </w:p>
        </w:tc>
        <w:tc>
          <w:tcPr>
            <w:tcW w:w="453" w:type="pct"/>
            <w:shd w:val="clear" w:color="auto" w:fill="auto"/>
          </w:tcPr>
          <w:p w14:paraId="489F7BC1" w14:textId="2C481072"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0.087</w:t>
            </w:r>
          </w:p>
        </w:tc>
        <w:tc>
          <w:tcPr>
            <w:tcW w:w="453" w:type="pct"/>
            <w:shd w:val="clear" w:color="auto" w:fill="auto"/>
          </w:tcPr>
          <w:p w14:paraId="295B65E5" w14:textId="42BA4EAE"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0.165</w:t>
            </w:r>
          </w:p>
        </w:tc>
        <w:tc>
          <w:tcPr>
            <w:tcW w:w="542" w:type="pct"/>
            <w:shd w:val="clear" w:color="auto" w:fill="auto"/>
          </w:tcPr>
          <w:p w14:paraId="3260C04F" w14:textId="651D6929"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44BE606E"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30% Bioavailability. Category 1: F 30%+ (&lt;30%); Category 0: F 30%- (≥30%)</w:t>
            </w:r>
          </w:p>
        </w:tc>
      </w:tr>
      <w:tr w:rsidR="00DE7FA7" w:rsidRPr="00065FE0" w14:paraId="7428C0C0" w14:textId="77777777" w:rsidTr="005677BD">
        <w:trPr>
          <w:trHeight w:val="20"/>
        </w:trPr>
        <w:tc>
          <w:tcPr>
            <w:tcW w:w="1082" w:type="pct"/>
            <w:tcBorders>
              <w:bottom w:val="nil"/>
            </w:tcBorders>
            <w:shd w:val="clear" w:color="auto" w:fill="auto"/>
            <w:hideMark/>
          </w:tcPr>
          <w:p w14:paraId="7443DCBB"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 50%</w:t>
            </w:r>
          </w:p>
        </w:tc>
        <w:tc>
          <w:tcPr>
            <w:tcW w:w="470" w:type="pct"/>
            <w:tcBorders>
              <w:bottom w:val="nil"/>
            </w:tcBorders>
            <w:shd w:val="clear" w:color="auto" w:fill="auto"/>
          </w:tcPr>
          <w:p w14:paraId="6A77E2B3" w14:textId="4F18B83C" w:rsidR="00615BE3" w:rsidRPr="00065FE0" w:rsidRDefault="00A676D6"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0.954</w:t>
            </w:r>
          </w:p>
        </w:tc>
        <w:tc>
          <w:tcPr>
            <w:tcW w:w="453" w:type="pct"/>
            <w:tcBorders>
              <w:bottom w:val="nil"/>
            </w:tcBorders>
            <w:shd w:val="clear" w:color="auto" w:fill="auto"/>
          </w:tcPr>
          <w:p w14:paraId="1440D51B" w14:textId="5052BA88" w:rsidR="00615BE3" w:rsidRPr="00065FE0" w:rsidRDefault="00EC68FC"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0.383</w:t>
            </w:r>
          </w:p>
        </w:tc>
        <w:tc>
          <w:tcPr>
            <w:tcW w:w="453" w:type="pct"/>
            <w:tcBorders>
              <w:bottom w:val="nil"/>
            </w:tcBorders>
            <w:shd w:val="clear" w:color="auto" w:fill="auto"/>
          </w:tcPr>
          <w:p w14:paraId="163C2BC0" w14:textId="63F3A9F7" w:rsidR="00615BE3" w:rsidRPr="00065FE0" w:rsidRDefault="0029434B"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0.263</w:t>
            </w:r>
          </w:p>
        </w:tc>
        <w:tc>
          <w:tcPr>
            <w:tcW w:w="453" w:type="pct"/>
            <w:tcBorders>
              <w:bottom w:val="nil"/>
            </w:tcBorders>
            <w:shd w:val="clear" w:color="auto" w:fill="auto"/>
          </w:tcPr>
          <w:p w14:paraId="1D672E68" w14:textId="48FDF4A9" w:rsidR="00615BE3" w:rsidRPr="00065FE0" w:rsidRDefault="006C5BD9"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0.533</w:t>
            </w:r>
          </w:p>
        </w:tc>
        <w:tc>
          <w:tcPr>
            <w:tcW w:w="542" w:type="pct"/>
            <w:tcBorders>
              <w:bottom w:val="nil"/>
            </w:tcBorders>
            <w:shd w:val="clear" w:color="auto" w:fill="auto"/>
          </w:tcPr>
          <w:p w14:paraId="1A6C1477" w14:textId="35318B87" w:rsidR="00615BE3" w:rsidRPr="00065FE0" w:rsidRDefault="00B35D10"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tcBorders>
              <w:bottom w:val="nil"/>
            </w:tcBorders>
            <w:shd w:val="clear" w:color="auto" w:fill="auto"/>
            <w:hideMark/>
          </w:tcPr>
          <w:p w14:paraId="3F59D40D" w14:textId="77777777" w:rsidR="00615BE3" w:rsidRPr="00065FE0" w:rsidRDefault="00615BE3" w:rsidP="00DE7FA7">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50% Bioavailability. Category 1: F 50%+ (&lt;50%); Category 0: F 50%- (≥50%)</w:t>
            </w:r>
          </w:p>
        </w:tc>
      </w:tr>
      <w:tr w:rsidR="00AD7CD2" w:rsidRPr="00065FE0" w14:paraId="33415715"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5A777145" w14:textId="601E2A4C"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(D) </w:t>
            </w:r>
            <w:r w:rsidR="00615BE3" w:rsidRPr="00065FE0">
              <w:rPr>
                <w:rFonts w:ascii="Times New Roman" w:eastAsia="Times New Roman" w:hAnsi="Times New Roman" w:cs="Times New Roman"/>
                <w:b/>
                <w:bCs/>
                <w:color w:val="000000"/>
                <w:sz w:val="18"/>
                <w:szCs w:val="18"/>
                <w:lang w:eastAsia="en-US"/>
              </w:rPr>
              <w:t>Distribution</w:t>
            </w:r>
          </w:p>
        </w:tc>
      </w:tr>
      <w:tr w:rsidR="00DE7FA7" w:rsidRPr="00065FE0" w14:paraId="164A524F" w14:textId="77777777" w:rsidTr="005677BD">
        <w:trPr>
          <w:trHeight w:val="20"/>
        </w:trPr>
        <w:tc>
          <w:tcPr>
            <w:tcW w:w="1082" w:type="pct"/>
            <w:tcBorders>
              <w:top w:val="single" w:sz="4" w:space="0" w:color="auto"/>
            </w:tcBorders>
            <w:shd w:val="clear" w:color="auto" w:fill="auto"/>
            <w:hideMark/>
          </w:tcPr>
          <w:p w14:paraId="6CB6937F"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PPB</w:t>
            </w:r>
          </w:p>
        </w:tc>
        <w:tc>
          <w:tcPr>
            <w:tcW w:w="470" w:type="pct"/>
            <w:tcBorders>
              <w:top w:val="single" w:sz="4" w:space="0" w:color="auto"/>
            </w:tcBorders>
            <w:shd w:val="clear" w:color="auto" w:fill="auto"/>
          </w:tcPr>
          <w:p w14:paraId="33456B4B" w14:textId="0003532E" w:rsidR="00615BE3" w:rsidRPr="00065FE0" w:rsidRDefault="00A676D6"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96.931</w:t>
            </w:r>
          </w:p>
        </w:tc>
        <w:tc>
          <w:tcPr>
            <w:tcW w:w="453" w:type="pct"/>
            <w:tcBorders>
              <w:top w:val="single" w:sz="4" w:space="0" w:color="auto"/>
            </w:tcBorders>
            <w:shd w:val="clear" w:color="auto" w:fill="auto"/>
          </w:tcPr>
          <w:p w14:paraId="0931F557" w14:textId="524A92AE"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96.656</w:t>
            </w:r>
          </w:p>
        </w:tc>
        <w:tc>
          <w:tcPr>
            <w:tcW w:w="453" w:type="pct"/>
            <w:tcBorders>
              <w:top w:val="single" w:sz="4" w:space="0" w:color="auto"/>
            </w:tcBorders>
            <w:shd w:val="clear" w:color="auto" w:fill="auto"/>
          </w:tcPr>
          <w:p w14:paraId="5C9DBCF5" w14:textId="38E71E19" w:rsidR="00615BE3"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86.492</w:t>
            </w:r>
          </w:p>
        </w:tc>
        <w:tc>
          <w:tcPr>
            <w:tcW w:w="453" w:type="pct"/>
            <w:tcBorders>
              <w:top w:val="single" w:sz="4" w:space="0" w:color="auto"/>
            </w:tcBorders>
            <w:shd w:val="clear" w:color="auto" w:fill="auto"/>
          </w:tcPr>
          <w:p w14:paraId="2A66DF3E" w14:textId="43BEE7B9" w:rsidR="00615BE3"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96.057</w:t>
            </w:r>
          </w:p>
        </w:tc>
        <w:tc>
          <w:tcPr>
            <w:tcW w:w="542" w:type="pct"/>
            <w:tcBorders>
              <w:top w:val="single" w:sz="4" w:space="0" w:color="auto"/>
            </w:tcBorders>
            <w:shd w:val="clear" w:color="auto" w:fill="auto"/>
          </w:tcPr>
          <w:p w14:paraId="478F1801" w14:textId="7E2C8F41"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97.981</w:t>
            </w:r>
          </w:p>
        </w:tc>
        <w:tc>
          <w:tcPr>
            <w:tcW w:w="1547" w:type="pct"/>
            <w:gridSpan w:val="2"/>
            <w:tcBorders>
              <w:top w:val="single" w:sz="4" w:space="0" w:color="auto"/>
            </w:tcBorders>
            <w:shd w:val="clear" w:color="auto" w:fill="auto"/>
            <w:hideMark/>
          </w:tcPr>
          <w:p w14:paraId="5798A6F8"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Plasma Protein Binding. Optimal: &lt;90%. High binding indicates a low therapeutic index.</w:t>
            </w:r>
          </w:p>
        </w:tc>
      </w:tr>
      <w:tr w:rsidR="00DE7FA7" w:rsidRPr="00065FE0" w14:paraId="7D17DA9C" w14:textId="77777777" w:rsidTr="005677BD">
        <w:trPr>
          <w:trHeight w:val="20"/>
        </w:trPr>
        <w:tc>
          <w:tcPr>
            <w:tcW w:w="1082" w:type="pct"/>
            <w:shd w:val="clear" w:color="auto" w:fill="auto"/>
            <w:hideMark/>
          </w:tcPr>
          <w:p w14:paraId="3C446EDA"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VDss</w:t>
            </w:r>
            <w:proofErr w:type="spellEnd"/>
          </w:p>
        </w:tc>
        <w:tc>
          <w:tcPr>
            <w:tcW w:w="470" w:type="pct"/>
            <w:shd w:val="clear" w:color="auto" w:fill="auto"/>
          </w:tcPr>
          <w:p w14:paraId="285D65FB" w14:textId="6085DD90" w:rsidR="00615BE3" w:rsidRPr="00065FE0" w:rsidRDefault="00A676D6"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-0.031</w:t>
            </w:r>
          </w:p>
        </w:tc>
        <w:tc>
          <w:tcPr>
            <w:tcW w:w="453" w:type="pct"/>
            <w:shd w:val="clear" w:color="auto" w:fill="auto"/>
          </w:tcPr>
          <w:p w14:paraId="221E1E49" w14:textId="02294649"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-0.058</w:t>
            </w:r>
          </w:p>
        </w:tc>
        <w:tc>
          <w:tcPr>
            <w:tcW w:w="453" w:type="pct"/>
            <w:shd w:val="clear" w:color="auto" w:fill="auto"/>
          </w:tcPr>
          <w:p w14:paraId="787C90A9" w14:textId="7A870942" w:rsidR="00615BE3"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0.076</w:t>
            </w:r>
          </w:p>
        </w:tc>
        <w:tc>
          <w:tcPr>
            <w:tcW w:w="453" w:type="pct"/>
            <w:shd w:val="clear" w:color="auto" w:fill="auto"/>
          </w:tcPr>
          <w:p w14:paraId="5DC6A1CC" w14:textId="2E56AA0C" w:rsidR="00615BE3"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0.026</w:t>
            </w:r>
          </w:p>
        </w:tc>
        <w:tc>
          <w:tcPr>
            <w:tcW w:w="542" w:type="pct"/>
            <w:shd w:val="clear" w:color="auto" w:fill="auto"/>
          </w:tcPr>
          <w:p w14:paraId="2839F96F" w14:textId="61CF5082"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-0.124</w:t>
            </w:r>
          </w:p>
        </w:tc>
        <w:tc>
          <w:tcPr>
            <w:tcW w:w="1547" w:type="pct"/>
            <w:gridSpan w:val="2"/>
            <w:shd w:val="clear" w:color="auto" w:fill="auto"/>
            <w:hideMark/>
          </w:tcPr>
          <w:p w14:paraId="5322E77F"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Volume of Distribution. Optimal: 0.04–20 L/kg</w:t>
            </w:r>
          </w:p>
        </w:tc>
      </w:tr>
      <w:tr w:rsidR="00DE7FA7" w:rsidRPr="00065FE0" w14:paraId="09EDDCCE" w14:textId="77777777" w:rsidTr="005677BD">
        <w:trPr>
          <w:trHeight w:val="20"/>
        </w:trPr>
        <w:tc>
          <w:tcPr>
            <w:tcW w:w="1082" w:type="pct"/>
            <w:shd w:val="clear" w:color="auto" w:fill="auto"/>
            <w:hideMark/>
          </w:tcPr>
          <w:p w14:paraId="172A8CF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BBB</w:t>
            </w:r>
          </w:p>
        </w:tc>
        <w:tc>
          <w:tcPr>
            <w:tcW w:w="470" w:type="pct"/>
            <w:shd w:val="clear" w:color="auto" w:fill="auto"/>
          </w:tcPr>
          <w:p w14:paraId="566E5743" w14:textId="5A967A53" w:rsidR="00615BE3" w:rsidRPr="00065FE0" w:rsidRDefault="00A676D6"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0.023</w:t>
            </w:r>
          </w:p>
        </w:tc>
        <w:tc>
          <w:tcPr>
            <w:tcW w:w="453" w:type="pct"/>
            <w:shd w:val="clear" w:color="auto" w:fill="auto"/>
          </w:tcPr>
          <w:p w14:paraId="62169162" w14:textId="192BE491"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0.037</w:t>
            </w:r>
          </w:p>
        </w:tc>
        <w:tc>
          <w:tcPr>
            <w:tcW w:w="453" w:type="pct"/>
            <w:shd w:val="clear" w:color="auto" w:fill="auto"/>
          </w:tcPr>
          <w:p w14:paraId="16D459F6" w14:textId="7A526B65" w:rsidR="00615BE3"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0.033</w:t>
            </w:r>
          </w:p>
        </w:tc>
        <w:tc>
          <w:tcPr>
            <w:tcW w:w="453" w:type="pct"/>
            <w:shd w:val="clear" w:color="auto" w:fill="auto"/>
          </w:tcPr>
          <w:p w14:paraId="6B8BE16B" w14:textId="5F3BED50" w:rsidR="00615BE3"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0.114</w:t>
            </w:r>
          </w:p>
        </w:tc>
        <w:tc>
          <w:tcPr>
            <w:tcW w:w="542" w:type="pct"/>
            <w:shd w:val="clear" w:color="auto" w:fill="auto"/>
          </w:tcPr>
          <w:p w14:paraId="7053C8C5" w14:textId="40B3A071"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shd w:val="clear" w:color="auto" w:fill="auto"/>
            <w:hideMark/>
          </w:tcPr>
          <w:p w14:paraId="594A13FE"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Blood-Brain Barrier Penetration. Category 1: BBB+; Category 0: BBB-</w:t>
            </w:r>
          </w:p>
        </w:tc>
      </w:tr>
      <w:tr w:rsidR="00DE7FA7" w:rsidRPr="00065FE0" w14:paraId="63BCC81F" w14:textId="77777777" w:rsidTr="005677BD">
        <w:trPr>
          <w:trHeight w:val="20"/>
        </w:trPr>
        <w:tc>
          <w:tcPr>
            <w:tcW w:w="1082" w:type="pct"/>
            <w:shd w:val="clear" w:color="auto" w:fill="auto"/>
            <w:hideMark/>
          </w:tcPr>
          <w:p w14:paraId="053C8309"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Fu</w:t>
            </w:r>
          </w:p>
        </w:tc>
        <w:tc>
          <w:tcPr>
            <w:tcW w:w="470" w:type="pct"/>
            <w:shd w:val="clear" w:color="auto" w:fill="auto"/>
          </w:tcPr>
          <w:p w14:paraId="7D7BAC95" w14:textId="6FCFDF9B" w:rsidR="00615BE3" w:rsidRPr="00065FE0" w:rsidRDefault="00A676D6"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2.791</w:t>
            </w:r>
          </w:p>
        </w:tc>
        <w:tc>
          <w:tcPr>
            <w:tcW w:w="453" w:type="pct"/>
            <w:shd w:val="clear" w:color="auto" w:fill="auto"/>
          </w:tcPr>
          <w:p w14:paraId="0C98D8CD" w14:textId="1E63229A"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3.794</w:t>
            </w:r>
          </w:p>
        </w:tc>
        <w:tc>
          <w:tcPr>
            <w:tcW w:w="453" w:type="pct"/>
            <w:shd w:val="clear" w:color="auto" w:fill="auto"/>
          </w:tcPr>
          <w:p w14:paraId="5EC1EFEF" w14:textId="631F5977" w:rsidR="00615BE3"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15.123</w:t>
            </w:r>
          </w:p>
        </w:tc>
        <w:tc>
          <w:tcPr>
            <w:tcW w:w="453" w:type="pct"/>
            <w:shd w:val="clear" w:color="auto" w:fill="auto"/>
          </w:tcPr>
          <w:p w14:paraId="511E9E42" w14:textId="1EB3E342" w:rsidR="00615BE3"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4.204</w:t>
            </w:r>
          </w:p>
        </w:tc>
        <w:tc>
          <w:tcPr>
            <w:tcW w:w="542" w:type="pct"/>
            <w:shd w:val="clear" w:color="auto" w:fill="auto"/>
          </w:tcPr>
          <w:p w14:paraId="1EAA1C2D" w14:textId="78195CF3"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1.772</w:t>
            </w:r>
          </w:p>
        </w:tc>
        <w:tc>
          <w:tcPr>
            <w:tcW w:w="1547" w:type="pct"/>
            <w:gridSpan w:val="2"/>
            <w:shd w:val="clear" w:color="auto" w:fill="auto"/>
            <w:hideMark/>
          </w:tcPr>
          <w:p w14:paraId="7F07A7C9"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Fraction unbound in plasma. Low: &lt;5%; Medium: 5~20%; High: &gt;20%</w:t>
            </w:r>
          </w:p>
        </w:tc>
      </w:tr>
      <w:tr w:rsidR="0026227B" w:rsidRPr="00065FE0" w14:paraId="4EBE6C39" w14:textId="77777777" w:rsidTr="005677BD">
        <w:trPr>
          <w:trHeight w:val="20"/>
        </w:trPr>
        <w:tc>
          <w:tcPr>
            <w:tcW w:w="1082" w:type="pct"/>
            <w:shd w:val="clear" w:color="auto" w:fill="auto"/>
            <w:hideMark/>
          </w:tcPr>
          <w:p w14:paraId="5C564213"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OATP1B1 inhibitor</w:t>
            </w:r>
          </w:p>
        </w:tc>
        <w:tc>
          <w:tcPr>
            <w:tcW w:w="470" w:type="pct"/>
            <w:shd w:val="clear" w:color="auto" w:fill="auto"/>
          </w:tcPr>
          <w:p w14:paraId="7431B38F" w14:textId="5A8809AE"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0.996</w:t>
            </w:r>
          </w:p>
        </w:tc>
        <w:tc>
          <w:tcPr>
            <w:tcW w:w="453" w:type="pct"/>
            <w:shd w:val="clear" w:color="auto" w:fill="auto"/>
          </w:tcPr>
          <w:p w14:paraId="31C25AEE" w14:textId="15CAC791"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0.988</w:t>
            </w:r>
          </w:p>
        </w:tc>
        <w:tc>
          <w:tcPr>
            <w:tcW w:w="453" w:type="pct"/>
            <w:shd w:val="clear" w:color="auto" w:fill="auto"/>
          </w:tcPr>
          <w:p w14:paraId="0827182F" w14:textId="6A61EC19"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0.942</w:t>
            </w:r>
          </w:p>
        </w:tc>
        <w:tc>
          <w:tcPr>
            <w:tcW w:w="453" w:type="pct"/>
            <w:shd w:val="clear" w:color="auto" w:fill="auto"/>
          </w:tcPr>
          <w:p w14:paraId="5ED76DA2" w14:textId="213118D1"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0.968</w:t>
            </w:r>
          </w:p>
        </w:tc>
        <w:tc>
          <w:tcPr>
            <w:tcW w:w="542" w:type="pct"/>
            <w:shd w:val="clear" w:color="auto" w:fill="auto"/>
          </w:tcPr>
          <w:p w14:paraId="0995C04A" w14:textId="39400FAB"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vMerge w:val="restart"/>
            <w:shd w:val="clear" w:color="auto" w:fill="auto"/>
            <w:hideMark/>
          </w:tcPr>
          <w:p w14:paraId="50FE8197"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Category 0: Non-inhibitor; Category 1: Inhibitor</w:t>
            </w:r>
          </w:p>
        </w:tc>
      </w:tr>
      <w:tr w:rsidR="0026227B" w:rsidRPr="00065FE0" w14:paraId="747452E1" w14:textId="77777777" w:rsidTr="005677BD">
        <w:trPr>
          <w:trHeight w:val="20"/>
        </w:trPr>
        <w:tc>
          <w:tcPr>
            <w:tcW w:w="1082" w:type="pct"/>
            <w:shd w:val="clear" w:color="auto" w:fill="auto"/>
            <w:hideMark/>
          </w:tcPr>
          <w:p w14:paraId="7A4AB5E6"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OATP1B3 inhibitor</w:t>
            </w:r>
          </w:p>
        </w:tc>
        <w:tc>
          <w:tcPr>
            <w:tcW w:w="470" w:type="pct"/>
            <w:shd w:val="clear" w:color="auto" w:fill="auto"/>
          </w:tcPr>
          <w:p w14:paraId="1F3127AD" w14:textId="134115F4"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w:t>
            </w:r>
          </w:p>
        </w:tc>
        <w:tc>
          <w:tcPr>
            <w:tcW w:w="453" w:type="pct"/>
            <w:shd w:val="clear" w:color="auto" w:fill="auto"/>
          </w:tcPr>
          <w:p w14:paraId="3BCBD9B6" w14:textId="33B62011"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0.983</w:t>
            </w:r>
          </w:p>
        </w:tc>
        <w:tc>
          <w:tcPr>
            <w:tcW w:w="453" w:type="pct"/>
            <w:shd w:val="clear" w:color="auto" w:fill="auto"/>
          </w:tcPr>
          <w:p w14:paraId="166BE7FF" w14:textId="37FE7038"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0.883</w:t>
            </w:r>
          </w:p>
        </w:tc>
        <w:tc>
          <w:tcPr>
            <w:tcW w:w="453" w:type="pct"/>
            <w:shd w:val="clear" w:color="auto" w:fill="auto"/>
          </w:tcPr>
          <w:p w14:paraId="44AFE30D" w14:textId="16AB9A12"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0.954</w:t>
            </w:r>
          </w:p>
        </w:tc>
        <w:tc>
          <w:tcPr>
            <w:tcW w:w="542" w:type="pct"/>
            <w:shd w:val="clear" w:color="auto" w:fill="auto"/>
          </w:tcPr>
          <w:p w14:paraId="2AA63327" w14:textId="3EE5D197"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vMerge/>
            <w:shd w:val="clear" w:color="auto" w:fill="auto"/>
          </w:tcPr>
          <w:p w14:paraId="4505394F" w14:textId="525470CC"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2FEA9CEA" w14:textId="77777777" w:rsidTr="005677BD">
        <w:trPr>
          <w:trHeight w:val="20"/>
        </w:trPr>
        <w:tc>
          <w:tcPr>
            <w:tcW w:w="1082" w:type="pct"/>
            <w:shd w:val="clear" w:color="auto" w:fill="auto"/>
            <w:hideMark/>
          </w:tcPr>
          <w:p w14:paraId="2D9C7102"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BCRP inhibitor</w:t>
            </w:r>
          </w:p>
        </w:tc>
        <w:tc>
          <w:tcPr>
            <w:tcW w:w="470" w:type="pct"/>
            <w:shd w:val="clear" w:color="auto" w:fill="auto"/>
          </w:tcPr>
          <w:p w14:paraId="65A82986" w14:textId="431B9296"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0.033</w:t>
            </w:r>
          </w:p>
        </w:tc>
        <w:tc>
          <w:tcPr>
            <w:tcW w:w="453" w:type="pct"/>
            <w:shd w:val="clear" w:color="auto" w:fill="auto"/>
          </w:tcPr>
          <w:p w14:paraId="7F4DE4AC" w14:textId="067050D9"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0.012</w:t>
            </w:r>
          </w:p>
        </w:tc>
        <w:tc>
          <w:tcPr>
            <w:tcW w:w="453" w:type="pct"/>
            <w:shd w:val="clear" w:color="auto" w:fill="auto"/>
          </w:tcPr>
          <w:p w14:paraId="6A4AA95F" w14:textId="5AC183F6"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0.002</w:t>
            </w:r>
          </w:p>
        </w:tc>
        <w:tc>
          <w:tcPr>
            <w:tcW w:w="453" w:type="pct"/>
            <w:shd w:val="clear" w:color="auto" w:fill="auto"/>
          </w:tcPr>
          <w:p w14:paraId="4D508A56" w14:textId="178C8C79"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w:t>
            </w:r>
          </w:p>
        </w:tc>
        <w:tc>
          <w:tcPr>
            <w:tcW w:w="542" w:type="pct"/>
            <w:shd w:val="clear" w:color="auto" w:fill="auto"/>
          </w:tcPr>
          <w:p w14:paraId="25D7E381" w14:textId="5FEB7C65"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vMerge/>
            <w:shd w:val="clear" w:color="auto" w:fill="auto"/>
          </w:tcPr>
          <w:p w14:paraId="663F92AB" w14:textId="0C781D3A"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4B3C3CD0" w14:textId="77777777" w:rsidTr="005677BD">
        <w:trPr>
          <w:trHeight w:val="324"/>
        </w:trPr>
        <w:tc>
          <w:tcPr>
            <w:tcW w:w="1082" w:type="pct"/>
            <w:tcBorders>
              <w:bottom w:val="nil"/>
            </w:tcBorders>
            <w:shd w:val="clear" w:color="auto" w:fill="auto"/>
            <w:hideMark/>
          </w:tcPr>
          <w:p w14:paraId="56927AF9"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MRP1 inhibitor</w:t>
            </w:r>
          </w:p>
        </w:tc>
        <w:tc>
          <w:tcPr>
            <w:tcW w:w="470" w:type="pct"/>
            <w:tcBorders>
              <w:bottom w:val="nil"/>
            </w:tcBorders>
            <w:shd w:val="clear" w:color="auto" w:fill="auto"/>
          </w:tcPr>
          <w:p w14:paraId="4C84849D" w14:textId="3E6612EE"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0.765</w:t>
            </w:r>
          </w:p>
        </w:tc>
        <w:tc>
          <w:tcPr>
            <w:tcW w:w="453" w:type="pct"/>
            <w:tcBorders>
              <w:bottom w:val="nil"/>
            </w:tcBorders>
            <w:shd w:val="clear" w:color="auto" w:fill="auto"/>
          </w:tcPr>
          <w:p w14:paraId="12E052EE" w14:textId="22033E48"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0.548</w:t>
            </w:r>
          </w:p>
        </w:tc>
        <w:tc>
          <w:tcPr>
            <w:tcW w:w="453" w:type="pct"/>
            <w:tcBorders>
              <w:bottom w:val="nil"/>
            </w:tcBorders>
            <w:shd w:val="clear" w:color="auto" w:fill="auto"/>
          </w:tcPr>
          <w:p w14:paraId="42DA2A69" w14:textId="21515296"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0.695</w:t>
            </w:r>
          </w:p>
        </w:tc>
        <w:tc>
          <w:tcPr>
            <w:tcW w:w="453" w:type="pct"/>
            <w:tcBorders>
              <w:bottom w:val="nil"/>
            </w:tcBorders>
            <w:shd w:val="clear" w:color="auto" w:fill="auto"/>
          </w:tcPr>
          <w:p w14:paraId="4699CF97" w14:textId="21B1C070"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0.567</w:t>
            </w:r>
          </w:p>
        </w:tc>
        <w:tc>
          <w:tcPr>
            <w:tcW w:w="542" w:type="pct"/>
            <w:tcBorders>
              <w:bottom w:val="nil"/>
            </w:tcBorders>
            <w:shd w:val="clear" w:color="auto" w:fill="auto"/>
          </w:tcPr>
          <w:p w14:paraId="15BDBEB5" w14:textId="7B16EF34"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0.829</w:t>
            </w:r>
          </w:p>
        </w:tc>
        <w:tc>
          <w:tcPr>
            <w:tcW w:w="1547" w:type="pct"/>
            <w:gridSpan w:val="2"/>
            <w:vMerge/>
            <w:tcBorders>
              <w:bottom w:val="nil"/>
            </w:tcBorders>
            <w:shd w:val="clear" w:color="auto" w:fill="auto"/>
          </w:tcPr>
          <w:p w14:paraId="2B49D9FB" w14:textId="7705E8BF"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AD7CD2" w:rsidRPr="00065FE0" w14:paraId="50F0B3C8"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60F5CE1A" w14:textId="213A92F7"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(E) </w:t>
            </w:r>
            <w:r w:rsidR="00615BE3" w:rsidRPr="00065FE0">
              <w:rPr>
                <w:rFonts w:ascii="Times New Roman" w:eastAsia="Times New Roman" w:hAnsi="Times New Roman" w:cs="Times New Roman"/>
                <w:b/>
                <w:bCs/>
                <w:color w:val="000000"/>
                <w:sz w:val="18"/>
                <w:szCs w:val="18"/>
                <w:lang w:eastAsia="en-US"/>
              </w:rPr>
              <w:t>Metabolism</w:t>
            </w:r>
          </w:p>
        </w:tc>
      </w:tr>
      <w:tr w:rsidR="0026227B" w:rsidRPr="00065FE0" w14:paraId="4C609720" w14:textId="77777777" w:rsidTr="005677BD">
        <w:trPr>
          <w:trHeight w:val="20"/>
        </w:trPr>
        <w:tc>
          <w:tcPr>
            <w:tcW w:w="1082" w:type="pct"/>
            <w:tcBorders>
              <w:top w:val="single" w:sz="4" w:space="0" w:color="auto"/>
            </w:tcBorders>
            <w:shd w:val="clear" w:color="auto" w:fill="auto"/>
            <w:hideMark/>
          </w:tcPr>
          <w:p w14:paraId="3D2DCE8E"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CYP1A2 inhibitor</w:t>
            </w:r>
          </w:p>
        </w:tc>
        <w:tc>
          <w:tcPr>
            <w:tcW w:w="470" w:type="pct"/>
            <w:tcBorders>
              <w:top w:val="single" w:sz="4" w:space="0" w:color="auto"/>
            </w:tcBorders>
            <w:shd w:val="clear" w:color="auto" w:fill="auto"/>
          </w:tcPr>
          <w:p w14:paraId="215A01B1" w14:textId="0090B7A5"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0.97</w:t>
            </w:r>
          </w:p>
        </w:tc>
        <w:tc>
          <w:tcPr>
            <w:tcW w:w="453" w:type="pct"/>
            <w:tcBorders>
              <w:top w:val="single" w:sz="4" w:space="0" w:color="auto"/>
            </w:tcBorders>
            <w:shd w:val="clear" w:color="auto" w:fill="auto"/>
          </w:tcPr>
          <w:p w14:paraId="14FFB08E" w14:textId="752C13B9"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0.992</w:t>
            </w:r>
          </w:p>
        </w:tc>
        <w:tc>
          <w:tcPr>
            <w:tcW w:w="453" w:type="pct"/>
            <w:tcBorders>
              <w:top w:val="single" w:sz="4" w:space="0" w:color="auto"/>
            </w:tcBorders>
            <w:shd w:val="clear" w:color="auto" w:fill="auto"/>
          </w:tcPr>
          <w:p w14:paraId="3024F57A" w14:textId="6473FAE9"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038</w:t>
            </w:r>
          </w:p>
        </w:tc>
        <w:tc>
          <w:tcPr>
            <w:tcW w:w="453" w:type="pct"/>
            <w:tcBorders>
              <w:top w:val="single" w:sz="4" w:space="0" w:color="auto"/>
            </w:tcBorders>
            <w:shd w:val="clear" w:color="auto" w:fill="auto"/>
          </w:tcPr>
          <w:p w14:paraId="14EA2483" w14:textId="28685673"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0.96</w:t>
            </w:r>
          </w:p>
        </w:tc>
        <w:tc>
          <w:tcPr>
            <w:tcW w:w="542" w:type="pct"/>
            <w:tcBorders>
              <w:top w:val="single" w:sz="4" w:space="0" w:color="auto"/>
            </w:tcBorders>
            <w:shd w:val="clear" w:color="auto" w:fill="auto"/>
          </w:tcPr>
          <w:p w14:paraId="75876B3C" w14:textId="6AA731F8"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0.987</w:t>
            </w:r>
          </w:p>
        </w:tc>
        <w:tc>
          <w:tcPr>
            <w:tcW w:w="1547" w:type="pct"/>
            <w:gridSpan w:val="2"/>
            <w:vMerge w:val="restart"/>
            <w:tcBorders>
              <w:top w:val="single" w:sz="4" w:space="0" w:color="auto"/>
            </w:tcBorders>
            <w:shd w:val="clear" w:color="auto" w:fill="auto"/>
            <w:hideMark/>
          </w:tcPr>
          <w:p w14:paraId="021F918C"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Category 0: Non-inhibitor; Category 1: Inhibitor</w:t>
            </w:r>
          </w:p>
          <w:p w14:paraId="6729DF18" w14:textId="101F676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lastRenderedPageBreak/>
              <w:t>Category 0: Non-substrate; Category 1: Substrate</w:t>
            </w:r>
          </w:p>
        </w:tc>
      </w:tr>
      <w:tr w:rsidR="0026227B" w:rsidRPr="00065FE0" w14:paraId="20292E37" w14:textId="77777777" w:rsidTr="005677BD">
        <w:trPr>
          <w:trHeight w:val="20"/>
        </w:trPr>
        <w:tc>
          <w:tcPr>
            <w:tcW w:w="1082" w:type="pct"/>
            <w:shd w:val="clear" w:color="auto" w:fill="auto"/>
            <w:hideMark/>
          </w:tcPr>
          <w:p w14:paraId="309286AF"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CYP1A2 substrate</w:t>
            </w:r>
          </w:p>
        </w:tc>
        <w:tc>
          <w:tcPr>
            <w:tcW w:w="470" w:type="pct"/>
            <w:shd w:val="clear" w:color="auto" w:fill="auto"/>
          </w:tcPr>
          <w:p w14:paraId="0045BC2C" w14:textId="383598AD"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0.716</w:t>
            </w:r>
          </w:p>
        </w:tc>
        <w:tc>
          <w:tcPr>
            <w:tcW w:w="453" w:type="pct"/>
            <w:shd w:val="clear" w:color="auto" w:fill="auto"/>
          </w:tcPr>
          <w:p w14:paraId="0E509A3C" w14:textId="20DBB0B0"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0.97</w:t>
            </w:r>
          </w:p>
        </w:tc>
        <w:tc>
          <w:tcPr>
            <w:tcW w:w="453" w:type="pct"/>
            <w:shd w:val="clear" w:color="auto" w:fill="auto"/>
          </w:tcPr>
          <w:p w14:paraId="4539B6C1" w14:textId="2F30389F"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328</w:t>
            </w:r>
          </w:p>
        </w:tc>
        <w:tc>
          <w:tcPr>
            <w:tcW w:w="453" w:type="pct"/>
            <w:shd w:val="clear" w:color="auto" w:fill="auto"/>
          </w:tcPr>
          <w:p w14:paraId="5224F2D8" w14:textId="751DCEF2"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0.991</w:t>
            </w:r>
          </w:p>
        </w:tc>
        <w:tc>
          <w:tcPr>
            <w:tcW w:w="542" w:type="pct"/>
            <w:shd w:val="clear" w:color="auto" w:fill="auto"/>
          </w:tcPr>
          <w:p w14:paraId="6E8527A0" w14:textId="301F8B80"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vMerge/>
            <w:shd w:val="clear" w:color="auto" w:fill="auto"/>
            <w:hideMark/>
          </w:tcPr>
          <w:p w14:paraId="054E1931" w14:textId="34F04F50"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639E3FAD" w14:textId="77777777" w:rsidTr="005677BD">
        <w:trPr>
          <w:trHeight w:val="20"/>
        </w:trPr>
        <w:tc>
          <w:tcPr>
            <w:tcW w:w="1082" w:type="pct"/>
            <w:shd w:val="clear" w:color="auto" w:fill="auto"/>
            <w:hideMark/>
          </w:tcPr>
          <w:p w14:paraId="66DEBD68"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CYP2C19 inhibitor</w:t>
            </w:r>
          </w:p>
        </w:tc>
        <w:tc>
          <w:tcPr>
            <w:tcW w:w="470" w:type="pct"/>
            <w:shd w:val="clear" w:color="auto" w:fill="auto"/>
          </w:tcPr>
          <w:p w14:paraId="0A153F49" w14:textId="5866843F"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453" w:type="pct"/>
            <w:shd w:val="clear" w:color="auto" w:fill="auto"/>
          </w:tcPr>
          <w:p w14:paraId="6C299AB3" w14:textId="4B05FF6A"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453" w:type="pct"/>
            <w:shd w:val="clear" w:color="auto" w:fill="auto"/>
          </w:tcPr>
          <w:p w14:paraId="1320B44D" w14:textId="387F9763"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w:t>
            </w:r>
            <w:r w:rsidR="004C27BB" w:rsidRPr="00065FE0">
              <w:rPr>
                <w:rFonts w:ascii="Times New Roman" w:eastAsia="Times New Roman" w:hAnsi="Times New Roman" w:cs="Times New Roman"/>
                <w:color w:val="000000"/>
                <w:sz w:val="18"/>
                <w:szCs w:val="18"/>
                <w:lang w:eastAsia="en-US"/>
              </w:rPr>
              <w:t>76</w:t>
            </w:r>
          </w:p>
        </w:tc>
        <w:tc>
          <w:tcPr>
            <w:tcW w:w="453" w:type="pct"/>
            <w:shd w:val="clear" w:color="auto" w:fill="auto"/>
          </w:tcPr>
          <w:p w14:paraId="68B19768" w14:textId="5E327179"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542" w:type="pct"/>
            <w:shd w:val="clear" w:color="auto" w:fill="auto"/>
          </w:tcPr>
          <w:p w14:paraId="000A5BC8" w14:textId="30FB5FA1"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0.046</w:t>
            </w:r>
          </w:p>
        </w:tc>
        <w:tc>
          <w:tcPr>
            <w:tcW w:w="1547" w:type="pct"/>
            <w:gridSpan w:val="2"/>
            <w:vMerge/>
            <w:shd w:val="clear" w:color="auto" w:fill="auto"/>
          </w:tcPr>
          <w:p w14:paraId="286FC9D2" w14:textId="7A5E9A12"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7972CB5A" w14:textId="77777777" w:rsidTr="005677BD">
        <w:trPr>
          <w:trHeight w:val="20"/>
        </w:trPr>
        <w:tc>
          <w:tcPr>
            <w:tcW w:w="1082" w:type="pct"/>
            <w:shd w:val="clear" w:color="auto" w:fill="auto"/>
            <w:hideMark/>
          </w:tcPr>
          <w:p w14:paraId="48FDB4C7"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lastRenderedPageBreak/>
              <w:t>CYP2C19 substrate</w:t>
            </w:r>
          </w:p>
        </w:tc>
        <w:tc>
          <w:tcPr>
            <w:tcW w:w="470" w:type="pct"/>
            <w:shd w:val="clear" w:color="auto" w:fill="auto"/>
          </w:tcPr>
          <w:p w14:paraId="480D0378" w14:textId="2CEB9CCC"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0.829</w:t>
            </w:r>
          </w:p>
        </w:tc>
        <w:tc>
          <w:tcPr>
            <w:tcW w:w="453" w:type="pct"/>
            <w:shd w:val="clear" w:color="auto" w:fill="auto"/>
          </w:tcPr>
          <w:p w14:paraId="364AEFE1" w14:textId="47FB4B1A"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0.983</w:t>
            </w:r>
          </w:p>
        </w:tc>
        <w:tc>
          <w:tcPr>
            <w:tcW w:w="453" w:type="pct"/>
            <w:shd w:val="clear" w:color="auto" w:fill="auto"/>
          </w:tcPr>
          <w:p w14:paraId="73E16A0B" w14:textId="69E36A73"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928</w:t>
            </w:r>
          </w:p>
        </w:tc>
        <w:tc>
          <w:tcPr>
            <w:tcW w:w="453" w:type="pct"/>
            <w:shd w:val="clear" w:color="auto" w:fill="auto"/>
          </w:tcPr>
          <w:p w14:paraId="29AE2A00" w14:textId="691358E7" w:rsidR="0026227B" w:rsidRPr="00065FE0" w:rsidRDefault="006C5BD9"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0.805</w:t>
            </w:r>
          </w:p>
        </w:tc>
        <w:tc>
          <w:tcPr>
            <w:tcW w:w="542" w:type="pct"/>
            <w:shd w:val="clear" w:color="auto" w:fill="auto"/>
          </w:tcPr>
          <w:p w14:paraId="198DFB2C" w14:textId="79E468BD"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vMerge/>
            <w:shd w:val="clear" w:color="auto" w:fill="auto"/>
          </w:tcPr>
          <w:p w14:paraId="76E99129" w14:textId="1A49A844"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77B2A16B" w14:textId="77777777" w:rsidTr="005677BD">
        <w:trPr>
          <w:trHeight w:val="20"/>
        </w:trPr>
        <w:tc>
          <w:tcPr>
            <w:tcW w:w="1082" w:type="pct"/>
            <w:shd w:val="clear" w:color="auto" w:fill="auto"/>
            <w:hideMark/>
          </w:tcPr>
          <w:p w14:paraId="43F02678"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CYP2C9 inhibitor</w:t>
            </w:r>
          </w:p>
        </w:tc>
        <w:tc>
          <w:tcPr>
            <w:tcW w:w="470" w:type="pct"/>
            <w:shd w:val="clear" w:color="auto" w:fill="auto"/>
          </w:tcPr>
          <w:p w14:paraId="6F009D49" w14:textId="7C7E26B2"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0.855</w:t>
            </w:r>
          </w:p>
        </w:tc>
        <w:tc>
          <w:tcPr>
            <w:tcW w:w="453" w:type="pct"/>
            <w:shd w:val="clear" w:color="auto" w:fill="auto"/>
          </w:tcPr>
          <w:p w14:paraId="059EF59B" w14:textId="3A3A78EC"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0.681</w:t>
            </w:r>
          </w:p>
        </w:tc>
        <w:tc>
          <w:tcPr>
            <w:tcW w:w="453" w:type="pct"/>
            <w:shd w:val="clear" w:color="auto" w:fill="auto"/>
          </w:tcPr>
          <w:p w14:paraId="3E40E6FE" w14:textId="63BBD58E"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18</w:t>
            </w:r>
          </w:p>
        </w:tc>
        <w:tc>
          <w:tcPr>
            <w:tcW w:w="453" w:type="pct"/>
            <w:shd w:val="clear" w:color="auto" w:fill="auto"/>
          </w:tcPr>
          <w:p w14:paraId="5AEA7424" w14:textId="37A06B9D"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0.986</w:t>
            </w:r>
          </w:p>
        </w:tc>
        <w:tc>
          <w:tcPr>
            <w:tcW w:w="542" w:type="pct"/>
            <w:shd w:val="clear" w:color="auto" w:fill="auto"/>
          </w:tcPr>
          <w:p w14:paraId="6F76690F" w14:textId="522BD5CD"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0.083</w:t>
            </w:r>
          </w:p>
        </w:tc>
        <w:tc>
          <w:tcPr>
            <w:tcW w:w="1547" w:type="pct"/>
            <w:gridSpan w:val="2"/>
            <w:vMerge/>
            <w:shd w:val="clear" w:color="auto" w:fill="auto"/>
          </w:tcPr>
          <w:p w14:paraId="2CA95871" w14:textId="16C8F8C5"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313AF109" w14:textId="77777777" w:rsidTr="005677BD">
        <w:trPr>
          <w:trHeight w:val="20"/>
        </w:trPr>
        <w:tc>
          <w:tcPr>
            <w:tcW w:w="1082" w:type="pct"/>
            <w:shd w:val="clear" w:color="auto" w:fill="auto"/>
            <w:hideMark/>
          </w:tcPr>
          <w:p w14:paraId="1AE772D2"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CYP2C9 substrate</w:t>
            </w:r>
          </w:p>
        </w:tc>
        <w:tc>
          <w:tcPr>
            <w:tcW w:w="470" w:type="pct"/>
            <w:shd w:val="clear" w:color="auto" w:fill="auto"/>
          </w:tcPr>
          <w:p w14:paraId="3C2C99F6" w14:textId="6983600E"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0.977</w:t>
            </w:r>
          </w:p>
        </w:tc>
        <w:tc>
          <w:tcPr>
            <w:tcW w:w="453" w:type="pct"/>
            <w:shd w:val="clear" w:color="auto" w:fill="auto"/>
          </w:tcPr>
          <w:p w14:paraId="161B4AA3" w14:textId="131D7536"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0.986</w:t>
            </w:r>
          </w:p>
        </w:tc>
        <w:tc>
          <w:tcPr>
            <w:tcW w:w="453" w:type="pct"/>
            <w:shd w:val="clear" w:color="auto" w:fill="auto"/>
          </w:tcPr>
          <w:p w14:paraId="300B01A5" w14:textId="5CC16523"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435</w:t>
            </w:r>
          </w:p>
        </w:tc>
        <w:tc>
          <w:tcPr>
            <w:tcW w:w="453" w:type="pct"/>
            <w:shd w:val="clear" w:color="auto" w:fill="auto"/>
          </w:tcPr>
          <w:p w14:paraId="314AD3C9" w14:textId="19BA5B3F"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0.975</w:t>
            </w:r>
          </w:p>
        </w:tc>
        <w:tc>
          <w:tcPr>
            <w:tcW w:w="542" w:type="pct"/>
            <w:shd w:val="clear" w:color="auto" w:fill="auto"/>
          </w:tcPr>
          <w:p w14:paraId="1EAB8C61" w14:textId="581F0888"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vMerge/>
            <w:shd w:val="clear" w:color="auto" w:fill="auto"/>
          </w:tcPr>
          <w:p w14:paraId="36352E38" w14:textId="36FC5CA8"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383F4AA0" w14:textId="77777777" w:rsidTr="005677BD">
        <w:trPr>
          <w:trHeight w:val="20"/>
        </w:trPr>
        <w:tc>
          <w:tcPr>
            <w:tcW w:w="1082" w:type="pct"/>
            <w:shd w:val="clear" w:color="auto" w:fill="auto"/>
            <w:hideMark/>
          </w:tcPr>
          <w:p w14:paraId="3D3DC62E"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CYP2D6 inhibitor</w:t>
            </w:r>
          </w:p>
        </w:tc>
        <w:tc>
          <w:tcPr>
            <w:tcW w:w="470" w:type="pct"/>
            <w:shd w:val="clear" w:color="auto" w:fill="auto"/>
          </w:tcPr>
          <w:p w14:paraId="05E8995F" w14:textId="09637465"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0.194</w:t>
            </w:r>
          </w:p>
        </w:tc>
        <w:tc>
          <w:tcPr>
            <w:tcW w:w="453" w:type="pct"/>
            <w:shd w:val="clear" w:color="auto" w:fill="auto"/>
          </w:tcPr>
          <w:p w14:paraId="47509000" w14:textId="7D99FA39"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0.174</w:t>
            </w:r>
          </w:p>
        </w:tc>
        <w:tc>
          <w:tcPr>
            <w:tcW w:w="453" w:type="pct"/>
            <w:shd w:val="clear" w:color="auto" w:fill="auto"/>
          </w:tcPr>
          <w:p w14:paraId="78B13C91" w14:textId="12810084"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19</w:t>
            </w:r>
          </w:p>
        </w:tc>
        <w:tc>
          <w:tcPr>
            <w:tcW w:w="453" w:type="pct"/>
            <w:shd w:val="clear" w:color="auto" w:fill="auto"/>
          </w:tcPr>
          <w:p w14:paraId="426D8E72" w14:textId="283A0FCE"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0.833</w:t>
            </w:r>
          </w:p>
        </w:tc>
        <w:tc>
          <w:tcPr>
            <w:tcW w:w="542" w:type="pct"/>
            <w:shd w:val="clear" w:color="auto" w:fill="auto"/>
          </w:tcPr>
          <w:p w14:paraId="7FFE8A58" w14:textId="163D2519"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0.005</w:t>
            </w:r>
          </w:p>
        </w:tc>
        <w:tc>
          <w:tcPr>
            <w:tcW w:w="1547" w:type="pct"/>
            <w:gridSpan w:val="2"/>
            <w:vMerge/>
            <w:shd w:val="clear" w:color="auto" w:fill="auto"/>
          </w:tcPr>
          <w:p w14:paraId="630E577D" w14:textId="0A7B70A0"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6CE0586A" w14:textId="77777777" w:rsidTr="005677BD">
        <w:trPr>
          <w:trHeight w:val="20"/>
        </w:trPr>
        <w:tc>
          <w:tcPr>
            <w:tcW w:w="1082" w:type="pct"/>
            <w:shd w:val="clear" w:color="auto" w:fill="auto"/>
            <w:hideMark/>
          </w:tcPr>
          <w:p w14:paraId="6F1EAB66"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CYP2D6 substrate</w:t>
            </w:r>
          </w:p>
        </w:tc>
        <w:tc>
          <w:tcPr>
            <w:tcW w:w="470" w:type="pct"/>
            <w:shd w:val="clear" w:color="auto" w:fill="auto"/>
          </w:tcPr>
          <w:p w14:paraId="06A248A4" w14:textId="2F2AD1A0"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0.997</w:t>
            </w:r>
          </w:p>
        </w:tc>
        <w:tc>
          <w:tcPr>
            <w:tcW w:w="453" w:type="pct"/>
            <w:shd w:val="clear" w:color="auto" w:fill="auto"/>
          </w:tcPr>
          <w:p w14:paraId="1AC9744D" w14:textId="5FEEE9D9"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0.762</w:t>
            </w:r>
          </w:p>
        </w:tc>
        <w:tc>
          <w:tcPr>
            <w:tcW w:w="453" w:type="pct"/>
            <w:shd w:val="clear" w:color="auto" w:fill="auto"/>
          </w:tcPr>
          <w:p w14:paraId="3D7F74B5" w14:textId="03460A2C"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445</w:t>
            </w:r>
          </w:p>
        </w:tc>
        <w:tc>
          <w:tcPr>
            <w:tcW w:w="453" w:type="pct"/>
            <w:shd w:val="clear" w:color="auto" w:fill="auto"/>
          </w:tcPr>
          <w:p w14:paraId="5DAD0936" w14:textId="1486B695"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0.325</w:t>
            </w:r>
          </w:p>
        </w:tc>
        <w:tc>
          <w:tcPr>
            <w:tcW w:w="542" w:type="pct"/>
            <w:shd w:val="clear" w:color="auto" w:fill="auto"/>
          </w:tcPr>
          <w:p w14:paraId="52474511" w14:textId="585DBF7F"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vMerge/>
            <w:shd w:val="clear" w:color="auto" w:fill="auto"/>
          </w:tcPr>
          <w:p w14:paraId="13317EF6" w14:textId="3C9C6A90"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3DFECB3B" w14:textId="77777777" w:rsidTr="005677BD">
        <w:trPr>
          <w:trHeight w:val="20"/>
        </w:trPr>
        <w:tc>
          <w:tcPr>
            <w:tcW w:w="1082" w:type="pct"/>
            <w:shd w:val="clear" w:color="auto" w:fill="auto"/>
            <w:hideMark/>
          </w:tcPr>
          <w:p w14:paraId="75ACCB6C"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CYP3A4 inhibitor</w:t>
            </w:r>
          </w:p>
        </w:tc>
        <w:tc>
          <w:tcPr>
            <w:tcW w:w="470" w:type="pct"/>
            <w:shd w:val="clear" w:color="auto" w:fill="auto"/>
          </w:tcPr>
          <w:p w14:paraId="0104E440" w14:textId="5A5C5603"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0.979</w:t>
            </w:r>
          </w:p>
        </w:tc>
        <w:tc>
          <w:tcPr>
            <w:tcW w:w="453" w:type="pct"/>
            <w:shd w:val="clear" w:color="auto" w:fill="auto"/>
          </w:tcPr>
          <w:p w14:paraId="33B52206" w14:textId="74842E98"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0.983</w:t>
            </w:r>
          </w:p>
        </w:tc>
        <w:tc>
          <w:tcPr>
            <w:tcW w:w="453" w:type="pct"/>
            <w:shd w:val="clear" w:color="auto" w:fill="auto"/>
          </w:tcPr>
          <w:p w14:paraId="46E7118E" w14:textId="317F8E72"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w:t>
            </w:r>
            <w:r w:rsidR="004C27BB" w:rsidRPr="00065FE0">
              <w:rPr>
                <w:rFonts w:ascii="Times New Roman" w:eastAsia="Times New Roman" w:hAnsi="Times New Roman" w:cs="Times New Roman"/>
                <w:color w:val="000000"/>
                <w:sz w:val="18"/>
                <w:szCs w:val="18"/>
                <w:lang w:eastAsia="en-US"/>
              </w:rPr>
              <w:t>56</w:t>
            </w:r>
          </w:p>
        </w:tc>
        <w:tc>
          <w:tcPr>
            <w:tcW w:w="453" w:type="pct"/>
            <w:shd w:val="clear" w:color="auto" w:fill="auto"/>
          </w:tcPr>
          <w:p w14:paraId="29993D9B" w14:textId="67CEC0B4"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0.658</w:t>
            </w:r>
          </w:p>
        </w:tc>
        <w:tc>
          <w:tcPr>
            <w:tcW w:w="542" w:type="pct"/>
            <w:shd w:val="clear" w:color="auto" w:fill="auto"/>
          </w:tcPr>
          <w:p w14:paraId="76DD2A56" w14:textId="0AE7EFD9"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vMerge/>
            <w:shd w:val="clear" w:color="auto" w:fill="auto"/>
          </w:tcPr>
          <w:p w14:paraId="1DAE2CF1" w14:textId="57B0F83E"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76ADBF79" w14:textId="77777777" w:rsidTr="005677BD">
        <w:trPr>
          <w:trHeight w:val="20"/>
        </w:trPr>
        <w:tc>
          <w:tcPr>
            <w:tcW w:w="1082" w:type="pct"/>
            <w:shd w:val="clear" w:color="auto" w:fill="auto"/>
            <w:hideMark/>
          </w:tcPr>
          <w:p w14:paraId="72C75A51"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CYP3A4 substrate</w:t>
            </w:r>
          </w:p>
        </w:tc>
        <w:tc>
          <w:tcPr>
            <w:tcW w:w="470" w:type="pct"/>
            <w:shd w:val="clear" w:color="auto" w:fill="auto"/>
          </w:tcPr>
          <w:p w14:paraId="64E0C4FE" w14:textId="185315B7"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w:t>
            </w:r>
          </w:p>
        </w:tc>
        <w:tc>
          <w:tcPr>
            <w:tcW w:w="453" w:type="pct"/>
            <w:shd w:val="clear" w:color="auto" w:fill="auto"/>
          </w:tcPr>
          <w:p w14:paraId="1DF22FF3" w14:textId="464BEAC0"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453" w:type="pct"/>
            <w:shd w:val="clear" w:color="auto" w:fill="auto"/>
          </w:tcPr>
          <w:p w14:paraId="6F26316D" w14:textId="58F3ADD7" w:rsidR="0026227B"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0.988</w:t>
            </w:r>
          </w:p>
        </w:tc>
        <w:tc>
          <w:tcPr>
            <w:tcW w:w="453" w:type="pct"/>
            <w:shd w:val="clear" w:color="auto" w:fill="auto"/>
          </w:tcPr>
          <w:p w14:paraId="27430C9F" w14:textId="4CD92822"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0.981</w:t>
            </w:r>
          </w:p>
        </w:tc>
        <w:tc>
          <w:tcPr>
            <w:tcW w:w="542" w:type="pct"/>
            <w:shd w:val="clear" w:color="auto" w:fill="auto"/>
          </w:tcPr>
          <w:p w14:paraId="52480A80" w14:textId="22FC5F5C"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vMerge/>
            <w:shd w:val="clear" w:color="auto" w:fill="auto"/>
          </w:tcPr>
          <w:p w14:paraId="30C7A911" w14:textId="3B304BE0"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448EC2C4" w14:textId="77777777" w:rsidTr="005677BD">
        <w:trPr>
          <w:trHeight w:val="20"/>
        </w:trPr>
        <w:tc>
          <w:tcPr>
            <w:tcW w:w="1082" w:type="pct"/>
            <w:shd w:val="clear" w:color="auto" w:fill="auto"/>
            <w:hideMark/>
          </w:tcPr>
          <w:p w14:paraId="02977E0C"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CYP2B6 inhibitor</w:t>
            </w:r>
          </w:p>
        </w:tc>
        <w:tc>
          <w:tcPr>
            <w:tcW w:w="470" w:type="pct"/>
            <w:shd w:val="clear" w:color="auto" w:fill="auto"/>
          </w:tcPr>
          <w:p w14:paraId="08CB33DB" w14:textId="0BB8ED52"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0.988</w:t>
            </w:r>
          </w:p>
        </w:tc>
        <w:tc>
          <w:tcPr>
            <w:tcW w:w="453" w:type="pct"/>
            <w:shd w:val="clear" w:color="auto" w:fill="auto"/>
          </w:tcPr>
          <w:p w14:paraId="76911374" w14:textId="41A62534"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0.998</w:t>
            </w:r>
          </w:p>
        </w:tc>
        <w:tc>
          <w:tcPr>
            <w:tcW w:w="453" w:type="pct"/>
            <w:shd w:val="clear" w:color="auto" w:fill="auto"/>
          </w:tcPr>
          <w:p w14:paraId="36A43122" w14:textId="79E1481D"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241</w:t>
            </w:r>
          </w:p>
        </w:tc>
        <w:tc>
          <w:tcPr>
            <w:tcW w:w="453" w:type="pct"/>
            <w:shd w:val="clear" w:color="auto" w:fill="auto"/>
          </w:tcPr>
          <w:p w14:paraId="53FDB48D" w14:textId="131421AF"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0.996</w:t>
            </w:r>
          </w:p>
        </w:tc>
        <w:tc>
          <w:tcPr>
            <w:tcW w:w="542" w:type="pct"/>
            <w:shd w:val="clear" w:color="auto" w:fill="auto"/>
          </w:tcPr>
          <w:p w14:paraId="47045ED6" w14:textId="3C5A3563"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0.779</w:t>
            </w:r>
          </w:p>
        </w:tc>
        <w:tc>
          <w:tcPr>
            <w:tcW w:w="1547" w:type="pct"/>
            <w:gridSpan w:val="2"/>
            <w:vMerge/>
            <w:shd w:val="clear" w:color="auto" w:fill="auto"/>
          </w:tcPr>
          <w:p w14:paraId="0DB71AE0" w14:textId="46DB92B0"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26227B" w:rsidRPr="00065FE0" w14:paraId="0F906D75" w14:textId="77777777" w:rsidTr="005677BD">
        <w:trPr>
          <w:trHeight w:val="20"/>
        </w:trPr>
        <w:tc>
          <w:tcPr>
            <w:tcW w:w="1082" w:type="pct"/>
            <w:shd w:val="clear" w:color="auto" w:fill="auto"/>
            <w:hideMark/>
          </w:tcPr>
          <w:p w14:paraId="33D2A64E" w14:textId="77777777"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CYP2B6 substrate</w:t>
            </w:r>
          </w:p>
        </w:tc>
        <w:tc>
          <w:tcPr>
            <w:tcW w:w="470" w:type="pct"/>
            <w:shd w:val="clear" w:color="auto" w:fill="auto"/>
          </w:tcPr>
          <w:p w14:paraId="3342D4A8" w14:textId="6F2AA4BE" w:rsidR="0026227B"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0.245</w:t>
            </w:r>
          </w:p>
        </w:tc>
        <w:tc>
          <w:tcPr>
            <w:tcW w:w="453" w:type="pct"/>
            <w:shd w:val="clear" w:color="auto" w:fill="auto"/>
          </w:tcPr>
          <w:p w14:paraId="25E4EE1A" w14:textId="7694A794" w:rsidR="0026227B"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0.997</w:t>
            </w:r>
          </w:p>
        </w:tc>
        <w:tc>
          <w:tcPr>
            <w:tcW w:w="453" w:type="pct"/>
            <w:shd w:val="clear" w:color="auto" w:fill="auto"/>
          </w:tcPr>
          <w:p w14:paraId="5A8F1058" w14:textId="45DBD658" w:rsidR="0026227B"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r w:rsidR="004C27BB" w:rsidRPr="00065FE0">
              <w:rPr>
                <w:rFonts w:ascii="Times New Roman" w:eastAsia="Times New Roman" w:hAnsi="Times New Roman" w:cs="Times New Roman"/>
                <w:color w:val="000000"/>
                <w:sz w:val="18"/>
                <w:szCs w:val="18"/>
                <w:lang w:eastAsia="en-US"/>
              </w:rPr>
              <w:t>481</w:t>
            </w:r>
          </w:p>
        </w:tc>
        <w:tc>
          <w:tcPr>
            <w:tcW w:w="453" w:type="pct"/>
            <w:shd w:val="clear" w:color="auto" w:fill="auto"/>
          </w:tcPr>
          <w:p w14:paraId="3D72E2F3" w14:textId="48811970" w:rsidR="0026227B"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0.999</w:t>
            </w:r>
          </w:p>
        </w:tc>
        <w:tc>
          <w:tcPr>
            <w:tcW w:w="542" w:type="pct"/>
            <w:shd w:val="clear" w:color="auto" w:fill="auto"/>
          </w:tcPr>
          <w:p w14:paraId="7B795C17" w14:textId="43ABC995" w:rsidR="0026227B"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vMerge/>
            <w:shd w:val="clear" w:color="auto" w:fill="auto"/>
          </w:tcPr>
          <w:p w14:paraId="79CEDA0F" w14:textId="70973A42" w:rsidR="0026227B" w:rsidRPr="00065FE0" w:rsidRDefault="0026227B" w:rsidP="00AD7CD2">
            <w:pPr>
              <w:spacing w:after="0" w:line="240" w:lineRule="auto"/>
              <w:rPr>
                <w:rFonts w:ascii="Times New Roman" w:eastAsia="Times New Roman" w:hAnsi="Times New Roman" w:cs="Times New Roman"/>
                <w:color w:val="000000"/>
                <w:sz w:val="18"/>
                <w:szCs w:val="18"/>
                <w:lang w:eastAsia="en-US"/>
              </w:rPr>
            </w:pPr>
          </w:p>
        </w:tc>
      </w:tr>
      <w:tr w:rsidR="00DE7FA7" w:rsidRPr="00065FE0" w14:paraId="4A938EB2" w14:textId="77777777" w:rsidTr="005677BD">
        <w:trPr>
          <w:trHeight w:val="20"/>
        </w:trPr>
        <w:tc>
          <w:tcPr>
            <w:tcW w:w="1082" w:type="pct"/>
            <w:shd w:val="clear" w:color="auto" w:fill="auto"/>
            <w:hideMark/>
          </w:tcPr>
          <w:p w14:paraId="32C3ECA8"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CYP2C8 inhibitor</w:t>
            </w:r>
          </w:p>
        </w:tc>
        <w:tc>
          <w:tcPr>
            <w:tcW w:w="470" w:type="pct"/>
            <w:shd w:val="clear" w:color="auto" w:fill="auto"/>
          </w:tcPr>
          <w:p w14:paraId="215AC9FE" w14:textId="44777FC6"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0.966</w:t>
            </w:r>
          </w:p>
        </w:tc>
        <w:tc>
          <w:tcPr>
            <w:tcW w:w="453" w:type="pct"/>
            <w:shd w:val="clear" w:color="auto" w:fill="auto"/>
          </w:tcPr>
          <w:p w14:paraId="3303CA66" w14:textId="129070F2"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0.991</w:t>
            </w:r>
          </w:p>
        </w:tc>
        <w:tc>
          <w:tcPr>
            <w:tcW w:w="453" w:type="pct"/>
            <w:shd w:val="clear" w:color="auto" w:fill="auto"/>
          </w:tcPr>
          <w:p w14:paraId="33787C94" w14:textId="3696593A" w:rsidR="00615BE3"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0.988</w:t>
            </w:r>
          </w:p>
        </w:tc>
        <w:tc>
          <w:tcPr>
            <w:tcW w:w="453" w:type="pct"/>
            <w:shd w:val="clear" w:color="auto" w:fill="auto"/>
          </w:tcPr>
          <w:p w14:paraId="30500538" w14:textId="25A4895A"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0.892</w:t>
            </w:r>
          </w:p>
        </w:tc>
        <w:tc>
          <w:tcPr>
            <w:tcW w:w="542" w:type="pct"/>
            <w:shd w:val="clear" w:color="auto" w:fill="auto"/>
          </w:tcPr>
          <w:p w14:paraId="08E50BD1" w14:textId="7E46BA59"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shd w:val="clear" w:color="auto" w:fill="auto"/>
          </w:tcPr>
          <w:p w14:paraId="5602F591" w14:textId="74A2EB63"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p>
        </w:tc>
      </w:tr>
      <w:tr w:rsidR="00DE7FA7" w:rsidRPr="00065FE0" w14:paraId="28E17CEA" w14:textId="77777777" w:rsidTr="005677BD">
        <w:trPr>
          <w:trHeight w:val="20"/>
        </w:trPr>
        <w:tc>
          <w:tcPr>
            <w:tcW w:w="1082" w:type="pct"/>
            <w:tcBorders>
              <w:bottom w:val="nil"/>
            </w:tcBorders>
            <w:shd w:val="clear" w:color="auto" w:fill="auto"/>
            <w:hideMark/>
          </w:tcPr>
          <w:p w14:paraId="19D6266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HLM Stability</w:t>
            </w:r>
          </w:p>
        </w:tc>
        <w:tc>
          <w:tcPr>
            <w:tcW w:w="470" w:type="pct"/>
            <w:shd w:val="clear" w:color="auto" w:fill="auto"/>
          </w:tcPr>
          <w:p w14:paraId="478BC177" w14:textId="49CB031B"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0.945</w:t>
            </w:r>
          </w:p>
        </w:tc>
        <w:tc>
          <w:tcPr>
            <w:tcW w:w="453" w:type="pct"/>
            <w:shd w:val="clear" w:color="auto" w:fill="auto"/>
          </w:tcPr>
          <w:p w14:paraId="5789C4BA" w14:textId="4CCBD5DD"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0.997</w:t>
            </w:r>
          </w:p>
        </w:tc>
        <w:tc>
          <w:tcPr>
            <w:tcW w:w="453" w:type="pct"/>
            <w:shd w:val="clear" w:color="auto" w:fill="auto"/>
          </w:tcPr>
          <w:p w14:paraId="5B4CECE2" w14:textId="15D506ED" w:rsidR="00615BE3" w:rsidRPr="00065FE0" w:rsidRDefault="0029434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0.569</w:t>
            </w:r>
          </w:p>
        </w:tc>
        <w:tc>
          <w:tcPr>
            <w:tcW w:w="453" w:type="pct"/>
            <w:shd w:val="clear" w:color="auto" w:fill="auto"/>
          </w:tcPr>
          <w:p w14:paraId="312887B9" w14:textId="78B18B11"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0.955</w:t>
            </w:r>
          </w:p>
        </w:tc>
        <w:tc>
          <w:tcPr>
            <w:tcW w:w="542" w:type="pct"/>
            <w:shd w:val="clear" w:color="auto" w:fill="auto"/>
          </w:tcPr>
          <w:p w14:paraId="7AEB9414" w14:textId="3D4A72D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shd w:val="clear" w:color="auto" w:fill="auto"/>
            <w:hideMark/>
          </w:tcPr>
          <w:p w14:paraId="3A9CB53B"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Human liver microsomal stability. Probability of instability: value closer to 1 indicates higher likelihood of instability.</w:t>
            </w:r>
          </w:p>
        </w:tc>
      </w:tr>
      <w:tr w:rsidR="00DE7FA7" w:rsidRPr="00065FE0" w14:paraId="5C826CA5"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4904E999" w14:textId="22EF0D77" w:rsidR="00DE7FA7"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(F) Excretion</w:t>
            </w:r>
          </w:p>
        </w:tc>
      </w:tr>
      <w:tr w:rsidR="00DE7FA7" w:rsidRPr="00065FE0" w14:paraId="4F6D4E3E" w14:textId="77777777" w:rsidTr="005677BD">
        <w:trPr>
          <w:trHeight w:val="20"/>
        </w:trPr>
        <w:tc>
          <w:tcPr>
            <w:tcW w:w="1082" w:type="pct"/>
            <w:tcBorders>
              <w:top w:val="single" w:sz="4" w:space="0" w:color="auto"/>
            </w:tcBorders>
            <w:shd w:val="clear" w:color="auto" w:fill="auto"/>
            <w:hideMark/>
          </w:tcPr>
          <w:p w14:paraId="128EDC85" w14:textId="77777777" w:rsidR="00615BE3" w:rsidRPr="00065FE0" w:rsidRDefault="00615BE3"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CL plasma</w:t>
            </w:r>
          </w:p>
        </w:tc>
        <w:tc>
          <w:tcPr>
            <w:tcW w:w="470" w:type="pct"/>
            <w:shd w:val="clear" w:color="auto" w:fill="auto"/>
          </w:tcPr>
          <w:p w14:paraId="0DAEA759" w14:textId="06308B81" w:rsidR="00615BE3" w:rsidRPr="00065FE0" w:rsidRDefault="00BE7DE8"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10.057</w:t>
            </w:r>
          </w:p>
        </w:tc>
        <w:tc>
          <w:tcPr>
            <w:tcW w:w="453" w:type="pct"/>
            <w:shd w:val="clear" w:color="auto" w:fill="auto"/>
          </w:tcPr>
          <w:p w14:paraId="0056AA52" w14:textId="26F8F5D8" w:rsidR="00615BE3" w:rsidRPr="00065FE0" w:rsidRDefault="00EC68FC"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7.288</w:t>
            </w:r>
          </w:p>
        </w:tc>
        <w:tc>
          <w:tcPr>
            <w:tcW w:w="453" w:type="pct"/>
            <w:shd w:val="clear" w:color="auto" w:fill="auto"/>
          </w:tcPr>
          <w:p w14:paraId="17D0CCFB" w14:textId="46636B60" w:rsidR="00615BE3" w:rsidRPr="00065FE0" w:rsidRDefault="004C27BB"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8.488</w:t>
            </w:r>
          </w:p>
        </w:tc>
        <w:tc>
          <w:tcPr>
            <w:tcW w:w="453" w:type="pct"/>
            <w:shd w:val="clear" w:color="auto" w:fill="auto"/>
          </w:tcPr>
          <w:p w14:paraId="40546DB6" w14:textId="1AAF8D14" w:rsidR="00615BE3" w:rsidRPr="00065FE0" w:rsidRDefault="002C6EB1"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8.278</w:t>
            </w:r>
          </w:p>
        </w:tc>
        <w:tc>
          <w:tcPr>
            <w:tcW w:w="542" w:type="pct"/>
            <w:shd w:val="clear" w:color="auto" w:fill="auto"/>
          </w:tcPr>
          <w:p w14:paraId="0201ADA1" w14:textId="32DA37D3" w:rsidR="00615BE3" w:rsidRPr="00065FE0" w:rsidRDefault="00B35D10"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2.448</w:t>
            </w:r>
          </w:p>
        </w:tc>
        <w:tc>
          <w:tcPr>
            <w:tcW w:w="1547" w:type="pct"/>
            <w:gridSpan w:val="2"/>
            <w:shd w:val="clear" w:color="auto" w:fill="auto"/>
            <w:hideMark/>
          </w:tcPr>
          <w:p w14:paraId="156E9C42" w14:textId="77777777" w:rsidR="00615BE3" w:rsidRPr="00065FE0" w:rsidRDefault="00615BE3"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Plasma clearance in ml/min/kg. High clearance: &gt;15 ml/min/kg; Moderate: 5–15 ml/min/kg; Low: &lt;5 ml/min/kg</w:t>
            </w:r>
          </w:p>
        </w:tc>
      </w:tr>
      <w:tr w:rsidR="00DE7FA7" w:rsidRPr="00065FE0" w14:paraId="2C33A82C" w14:textId="77777777" w:rsidTr="005677BD">
        <w:trPr>
          <w:trHeight w:val="20"/>
        </w:trPr>
        <w:tc>
          <w:tcPr>
            <w:tcW w:w="1082" w:type="pct"/>
            <w:tcBorders>
              <w:bottom w:val="nil"/>
            </w:tcBorders>
            <w:shd w:val="clear" w:color="auto" w:fill="auto"/>
            <w:hideMark/>
          </w:tcPr>
          <w:p w14:paraId="2F5F8F32" w14:textId="77777777" w:rsidR="00615BE3" w:rsidRPr="00065FE0" w:rsidRDefault="00615BE3"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T₁/₂</w:t>
            </w:r>
          </w:p>
        </w:tc>
        <w:tc>
          <w:tcPr>
            <w:tcW w:w="470" w:type="pct"/>
            <w:tcBorders>
              <w:bottom w:val="nil"/>
            </w:tcBorders>
            <w:shd w:val="clear" w:color="auto" w:fill="auto"/>
          </w:tcPr>
          <w:p w14:paraId="00052F82" w14:textId="64BB9D1D" w:rsidR="00615BE3" w:rsidRPr="00065FE0" w:rsidRDefault="00BE7DE8"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0.527</w:t>
            </w:r>
          </w:p>
        </w:tc>
        <w:tc>
          <w:tcPr>
            <w:tcW w:w="453" w:type="pct"/>
            <w:tcBorders>
              <w:bottom w:val="nil"/>
            </w:tcBorders>
            <w:shd w:val="clear" w:color="auto" w:fill="auto"/>
          </w:tcPr>
          <w:p w14:paraId="61FC467F" w14:textId="6D67561C" w:rsidR="00615BE3" w:rsidRPr="00065FE0" w:rsidRDefault="00EC68FC"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0.377</w:t>
            </w:r>
          </w:p>
        </w:tc>
        <w:tc>
          <w:tcPr>
            <w:tcW w:w="453" w:type="pct"/>
            <w:tcBorders>
              <w:bottom w:val="nil"/>
            </w:tcBorders>
            <w:shd w:val="clear" w:color="auto" w:fill="auto"/>
          </w:tcPr>
          <w:p w14:paraId="26295FCA" w14:textId="0E3FFAE7" w:rsidR="00615BE3" w:rsidRPr="00065FE0" w:rsidRDefault="004C27BB"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0.705</w:t>
            </w:r>
          </w:p>
        </w:tc>
        <w:tc>
          <w:tcPr>
            <w:tcW w:w="453" w:type="pct"/>
            <w:tcBorders>
              <w:bottom w:val="nil"/>
            </w:tcBorders>
            <w:shd w:val="clear" w:color="auto" w:fill="auto"/>
          </w:tcPr>
          <w:p w14:paraId="1C4C8E12" w14:textId="05E136D2" w:rsidR="00615BE3" w:rsidRPr="00065FE0" w:rsidRDefault="002C6EB1"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0.667</w:t>
            </w:r>
          </w:p>
        </w:tc>
        <w:tc>
          <w:tcPr>
            <w:tcW w:w="542" w:type="pct"/>
            <w:tcBorders>
              <w:bottom w:val="nil"/>
            </w:tcBorders>
            <w:shd w:val="clear" w:color="auto" w:fill="auto"/>
          </w:tcPr>
          <w:p w14:paraId="3FF2F92B" w14:textId="4B12DFD7" w:rsidR="00615BE3" w:rsidRPr="00065FE0" w:rsidRDefault="00B35D10"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0.917</w:t>
            </w:r>
          </w:p>
        </w:tc>
        <w:tc>
          <w:tcPr>
            <w:tcW w:w="1547" w:type="pct"/>
            <w:gridSpan w:val="2"/>
            <w:tcBorders>
              <w:bottom w:val="nil"/>
            </w:tcBorders>
            <w:shd w:val="clear" w:color="auto" w:fill="auto"/>
            <w:hideMark/>
          </w:tcPr>
          <w:p w14:paraId="674DBC0A" w14:textId="77777777" w:rsidR="00615BE3" w:rsidRPr="00065FE0" w:rsidRDefault="00615BE3" w:rsidP="0026227B">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Half-life (hours). Ultra-short: &lt;1 hour; Short: 1–4 hours; Intermediate: 4–8 hours; Long: &gt;8 hours</w:t>
            </w:r>
          </w:p>
        </w:tc>
      </w:tr>
      <w:tr w:rsidR="00AD7CD2" w:rsidRPr="00065FE0" w14:paraId="7FB9B1F0"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54C75FF9" w14:textId="0563A828"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(G) </w:t>
            </w:r>
            <w:r w:rsidR="00615BE3" w:rsidRPr="00065FE0">
              <w:rPr>
                <w:rFonts w:ascii="Times New Roman" w:eastAsia="Times New Roman" w:hAnsi="Times New Roman" w:cs="Times New Roman"/>
                <w:b/>
                <w:bCs/>
                <w:color w:val="000000"/>
                <w:sz w:val="18"/>
                <w:szCs w:val="18"/>
                <w:lang w:eastAsia="en-US"/>
              </w:rPr>
              <w:t>Toxicity</w:t>
            </w:r>
          </w:p>
        </w:tc>
      </w:tr>
      <w:tr w:rsidR="00DE7FA7" w:rsidRPr="00065FE0" w14:paraId="45F488B0" w14:textId="77777777" w:rsidTr="005677BD">
        <w:trPr>
          <w:trHeight w:val="20"/>
        </w:trPr>
        <w:tc>
          <w:tcPr>
            <w:tcW w:w="1082" w:type="pct"/>
            <w:tcBorders>
              <w:top w:val="single" w:sz="4" w:space="0" w:color="auto"/>
            </w:tcBorders>
            <w:shd w:val="clear" w:color="auto" w:fill="auto"/>
            <w:hideMark/>
          </w:tcPr>
          <w:p w14:paraId="11EC4644"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hERG</w:t>
            </w:r>
            <w:proofErr w:type="spellEnd"/>
            <w:r w:rsidRPr="00065FE0">
              <w:rPr>
                <w:rFonts w:ascii="Times New Roman" w:eastAsia="Times New Roman" w:hAnsi="Times New Roman" w:cs="Times New Roman"/>
                <w:color w:val="000000"/>
                <w:sz w:val="18"/>
                <w:szCs w:val="18"/>
                <w:lang w:eastAsia="en-US"/>
              </w:rPr>
              <w:t xml:space="preserve"> Blockers</w:t>
            </w:r>
          </w:p>
        </w:tc>
        <w:tc>
          <w:tcPr>
            <w:tcW w:w="470" w:type="pct"/>
            <w:tcBorders>
              <w:top w:val="single" w:sz="4" w:space="0" w:color="auto"/>
            </w:tcBorders>
            <w:shd w:val="clear" w:color="auto" w:fill="auto"/>
          </w:tcPr>
          <w:p w14:paraId="30505EC5" w14:textId="0A0938B3"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0.386</w:t>
            </w:r>
          </w:p>
        </w:tc>
        <w:tc>
          <w:tcPr>
            <w:tcW w:w="453" w:type="pct"/>
            <w:tcBorders>
              <w:top w:val="single" w:sz="4" w:space="0" w:color="auto"/>
            </w:tcBorders>
            <w:shd w:val="clear" w:color="auto" w:fill="auto"/>
          </w:tcPr>
          <w:p w14:paraId="16506AA9" w14:textId="5865729A"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0.33</w:t>
            </w:r>
          </w:p>
        </w:tc>
        <w:tc>
          <w:tcPr>
            <w:tcW w:w="453" w:type="pct"/>
            <w:tcBorders>
              <w:top w:val="single" w:sz="4" w:space="0" w:color="auto"/>
            </w:tcBorders>
            <w:shd w:val="clear" w:color="auto" w:fill="auto"/>
          </w:tcPr>
          <w:p w14:paraId="261886A0" w14:textId="09624D57"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0.146</w:t>
            </w:r>
          </w:p>
        </w:tc>
        <w:tc>
          <w:tcPr>
            <w:tcW w:w="453" w:type="pct"/>
            <w:tcBorders>
              <w:top w:val="single" w:sz="4" w:space="0" w:color="auto"/>
            </w:tcBorders>
            <w:shd w:val="clear" w:color="auto" w:fill="auto"/>
          </w:tcPr>
          <w:p w14:paraId="15F16891" w14:textId="0E6B4074"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0.416</w:t>
            </w:r>
          </w:p>
        </w:tc>
        <w:tc>
          <w:tcPr>
            <w:tcW w:w="542" w:type="pct"/>
            <w:tcBorders>
              <w:top w:val="single" w:sz="4" w:space="0" w:color="auto"/>
            </w:tcBorders>
            <w:shd w:val="clear" w:color="auto" w:fill="auto"/>
          </w:tcPr>
          <w:p w14:paraId="69453E3E" w14:textId="7874629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0.464</w:t>
            </w:r>
          </w:p>
        </w:tc>
        <w:tc>
          <w:tcPr>
            <w:tcW w:w="1547" w:type="pct"/>
            <w:gridSpan w:val="2"/>
            <w:tcBorders>
              <w:top w:val="single" w:sz="4" w:space="0" w:color="auto"/>
            </w:tcBorders>
            <w:shd w:val="clear" w:color="auto" w:fill="auto"/>
            <w:hideMark/>
          </w:tcPr>
          <w:p w14:paraId="2071B9E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Probability of being </w:t>
            </w:r>
            <w:proofErr w:type="spellStart"/>
            <w:r w:rsidRPr="00065FE0">
              <w:rPr>
                <w:rFonts w:ascii="Times New Roman" w:eastAsia="Times New Roman" w:hAnsi="Times New Roman" w:cs="Times New Roman"/>
                <w:color w:val="000000"/>
                <w:sz w:val="18"/>
                <w:szCs w:val="18"/>
                <w:lang w:eastAsia="en-US"/>
              </w:rPr>
              <w:t>hERG</w:t>
            </w:r>
            <w:proofErr w:type="spellEnd"/>
            <w:r w:rsidRPr="00065FE0">
              <w:rPr>
                <w:rFonts w:ascii="Times New Roman" w:eastAsia="Times New Roman" w:hAnsi="Times New Roman" w:cs="Times New Roman"/>
                <w:color w:val="000000"/>
                <w:sz w:val="18"/>
                <w:szCs w:val="18"/>
                <w:lang w:eastAsia="en-US"/>
              </w:rPr>
              <w:t xml:space="preserve">+. Molecules with IC50 ≤10 µM are classified as </w:t>
            </w:r>
            <w:proofErr w:type="spellStart"/>
            <w:r w:rsidRPr="00065FE0">
              <w:rPr>
                <w:rFonts w:ascii="Times New Roman" w:eastAsia="Times New Roman" w:hAnsi="Times New Roman" w:cs="Times New Roman"/>
                <w:color w:val="000000"/>
                <w:sz w:val="18"/>
                <w:szCs w:val="18"/>
                <w:lang w:eastAsia="en-US"/>
              </w:rPr>
              <w:t>hERG</w:t>
            </w:r>
            <w:proofErr w:type="spellEnd"/>
            <w:r w:rsidRPr="00065FE0">
              <w:rPr>
                <w:rFonts w:ascii="Times New Roman" w:eastAsia="Times New Roman" w:hAnsi="Times New Roman" w:cs="Times New Roman"/>
                <w:color w:val="000000"/>
                <w:sz w:val="18"/>
                <w:szCs w:val="18"/>
                <w:lang w:eastAsia="en-US"/>
              </w:rPr>
              <w:t>+ (Category 1).</w:t>
            </w:r>
          </w:p>
        </w:tc>
      </w:tr>
      <w:tr w:rsidR="00DE7FA7" w:rsidRPr="00065FE0" w14:paraId="4E3F127F" w14:textId="77777777" w:rsidTr="005677BD">
        <w:trPr>
          <w:trHeight w:val="20"/>
        </w:trPr>
        <w:tc>
          <w:tcPr>
            <w:tcW w:w="1082" w:type="pct"/>
            <w:shd w:val="clear" w:color="auto" w:fill="auto"/>
            <w:hideMark/>
          </w:tcPr>
          <w:p w14:paraId="512C9843"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hERG</w:t>
            </w:r>
            <w:proofErr w:type="spellEnd"/>
            <w:r w:rsidRPr="00065FE0">
              <w:rPr>
                <w:rFonts w:ascii="Times New Roman" w:eastAsia="Times New Roman" w:hAnsi="Times New Roman" w:cs="Times New Roman"/>
                <w:color w:val="000000"/>
                <w:sz w:val="18"/>
                <w:szCs w:val="18"/>
                <w:lang w:eastAsia="en-US"/>
              </w:rPr>
              <w:t xml:space="preserve"> Blockers (10 µM)</w:t>
            </w:r>
          </w:p>
        </w:tc>
        <w:tc>
          <w:tcPr>
            <w:tcW w:w="470" w:type="pct"/>
            <w:shd w:val="clear" w:color="auto" w:fill="auto"/>
          </w:tcPr>
          <w:p w14:paraId="36DA1164" w14:textId="4621E46E"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0.634</w:t>
            </w:r>
          </w:p>
        </w:tc>
        <w:tc>
          <w:tcPr>
            <w:tcW w:w="453" w:type="pct"/>
            <w:shd w:val="clear" w:color="auto" w:fill="auto"/>
          </w:tcPr>
          <w:p w14:paraId="66D9F501" w14:textId="403F6B1E"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0.616</w:t>
            </w:r>
          </w:p>
        </w:tc>
        <w:tc>
          <w:tcPr>
            <w:tcW w:w="453" w:type="pct"/>
            <w:shd w:val="clear" w:color="auto" w:fill="auto"/>
          </w:tcPr>
          <w:p w14:paraId="529912BC" w14:textId="2BAE5865"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0.436</w:t>
            </w:r>
          </w:p>
        </w:tc>
        <w:tc>
          <w:tcPr>
            <w:tcW w:w="453" w:type="pct"/>
            <w:shd w:val="clear" w:color="auto" w:fill="auto"/>
          </w:tcPr>
          <w:p w14:paraId="55709B4D" w14:textId="5AE2756D"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0.637</w:t>
            </w:r>
          </w:p>
        </w:tc>
        <w:tc>
          <w:tcPr>
            <w:tcW w:w="542" w:type="pct"/>
            <w:shd w:val="clear" w:color="auto" w:fill="auto"/>
          </w:tcPr>
          <w:p w14:paraId="5C02AD1E" w14:textId="125F6EC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0.65</w:t>
            </w:r>
          </w:p>
        </w:tc>
        <w:tc>
          <w:tcPr>
            <w:tcW w:w="1547" w:type="pct"/>
            <w:gridSpan w:val="2"/>
            <w:shd w:val="clear" w:color="auto" w:fill="auto"/>
            <w:hideMark/>
          </w:tcPr>
          <w:p w14:paraId="6DB8311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Probability of being </w:t>
            </w:r>
            <w:proofErr w:type="spellStart"/>
            <w:r w:rsidRPr="00065FE0">
              <w:rPr>
                <w:rFonts w:ascii="Times New Roman" w:eastAsia="Times New Roman" w:hAnsi="Times New Roman" w:cs="Times New Roman"/>
                <w:color w:val="000000"/>
                <w:sz w:val="18"/>
                <w:szCs w:val="18"/>
                <w:lang w:eastAsia="en-US"/>
              </w:rPr>
              <w:t>hERG</w:t>
            </w:r>
            <w:proofErr w:type="spellEnd"/>
            <w:r w:rsidRPr="00065FE0">
              <w:rPr>
                <w:rFonts w:ascii="Times New Roman" w:eastAsia="Times New Roman" w:hAnsi="Times New Roman" w:cs="Times New Roman"/>
                <w:color w:val="000000"/>
                <w:sz w:val="18"/>
                <w:szCs w:val="18"/>
                <w:lang w:eastAsia="en-US"/>
              </w:rPr>
              <w:t xml:space="preserve">+. Molecules with IC50 ≤10 µM are classified as </w:t>
            </w:r>
            <w:proofErr w:type="spellStart"/>
            <w:r w:rsidRPr="00065FE0">
              <w:rPr>
                <w:rFonts w:ascii="Times New Roman" w:eastAsia="Times New Roman" w:hAnsi="Times New Roman" w:cs="Times New Roman"/>
                <w:color w:val="000000"/>
                <w:sz w:val="18"/>
                <w:szCs w:val="18"/>
                <w:lang w:eastAsia="en-US"/>
              </w:rPr>
              <w:t>hERG</w:t>
            </w:r>
            <w:proofErr w:type="spellEnd"/>
            <w:r w:rsidRPr="00065FE0">
              <w:rPr>
                <w:rFonts w:ascii="Times New Roman" w:eastAsia="Times New Roman" w:hAnsi="Times New Roman" w:cs="Times New Roman"/>
                <w:color w:val="000000"/>
                <w:sz w:val="18"/>
                <w:szCs w:val="18"/>
                <w:lang w:eastAsia="en-US"/>
              </w:rPr>
              <w:t>+ (Category 1).</w:t>
            </w:r>
          </w:p>
        </w:tc>
      </w:tr>
      <w:tr w:rsidR="00DE7FA7" w:rsidRPr="00065FE0" w14:paraId="1B11BC80" w14:textId="77777777" w:rsidTr="005677BD">
        <w:trPr>
          <w:trHeight w:val="20"/>
        </w:trPr>
        <w:tc>
          <w:tcPr>
            <w:tcW w:w="1082" w:type="pct"/>
            <w:shd w:val="clear" w:color="auto" w:fill="auto"/>
            <w:hideMark/>
          </w:tcPr>
          <w:p w14:paraId="64B56A53"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DILI</w:t>
            </w:r>
          </w:p>
        </w:tc>
        <w:tc>
          <w:tcPr>
            <w:tcW w:w="470" w:type="pct"/>
            <w:shd w:val="clear" w:color="auto" w:fill="auto"/>
          </w:tcPr>
          <w:p w14:paraId="1EBCEA57" w14:textId="0E17F155"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0.086</w:t>
            </w:r>
          </w:p>
        </w:tc>
        <w:tc>
          <w:tcPr>
            <w:tcW w:w="453" w:type="pct"/>
            <w:shd w:val="clear" w:color="auto" w:fill="auto"/>
          </w:tcPr>
          <w:p w14:paraId="5076CC91" w14:textId="3209D6B5"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0.294</w:t>
            </w:r>
          </w:p>
        </w:tc>
        <w:tc>
          <w:tcPr>
            <w:tcW w:w="453" w:type="pct"/>
            <w:shd w:val="clear" w:color="auto" w:fill="auto"/>
          </w:tcPr>
          <w:p w14:paraId="7892C305" w14:textId="36D8AD2B"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0.63</w:t>
            </w:r>
          </w:p>
        </w:tc>
        <w:tc>
          <w:tcPr>
            <w:tcW w:w="453" w:type="pct"/>
            <w:shd w:val="clear" w:color="auto" w:fill="auto"/>
          </w:tcPr>
          <w:p w14:paraId="315089AF" w14:textId="2D39B863"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0.14</w:t>
            </w:r>
          </w:p>
        </w:tc>
        <w:tc>
          <w:tcPr>
            <w:tcW w:w="542" w:type="pct"/>
            <w:shd w:val="clear" w:color="auto" w:fill="auto"/>
          </w:tcPr>
          <w:p w14:paraId="79BEC394" w14:textId="78A22D16"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0.175</w:t>
            </w:r>
          </w:p>
        </w:tc>
        <w:tc>
          <w:tcPr>
            <w:tcW w:w="1547" w:type="pct"/>
            <w:gridSpan w:val="2"/>
            <w:shd w:val="clear" w:color="auto" w:fill="auto"/>
            <w:hideMark/>
          </w:tcPr>
          <w:p w14:paraId="26621022"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Drug-Induced Liver Injury. Category 1: High risk; Category 0: Low risk.</w:t>
            </w:r>
          </w:p>
        </w:tc>
      </w:tr>
      <w:tr w:rsidR="00DE7FA7" w:rsidRPr="00065FE0" w14:paraId="2684049C" w14:textId="77777777" w:rsidTr="005677BD">
        <w:trPr>
          <w:trHeight w:val="20"/>
        </w:trPr>
        <w:tc>
          <w:tcPr>
            <w:tcW w:w="1082" w:type="pct"/>
            <w:shd w:val="clear" w:color="auto" w:fill="auto"/>
            <w:hideMark/>
          </w:tcPr>
          <w:p w14:paraId="12792D4E"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AMES Mutagenicity</w:t>
            </w:r>
          </w:p>
        </w:tc>
        <w:tc>
          <w:tcPr>
            <w:tcW w:w="470" w:type="pct"/>
            <w:shd w:val="clear" w:color="auto" w:fill="auto"/>
          </w:tcPr>
          <w:p w14:paraId="4DCBC2A8" w14:textId="1DBFB20D"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0.513</w:t>
            </w:r>
          </w:p>
        </w:tc>
        <w:tc>
          <w:tcPr>
            <w:tcW w:w="453" w:type="pct"/>
            <w:shd w:val="clear" w:color="auto" w:fill="auto"/>
          </w:tcPr>
          <w:p w14:paraId="1CF77F26" w14:textId="13D57675"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0.593</w:t>
            </w:r>
          </w:p>
        </w:tc>
        <w:tc>
          <w:tcPr>
            <w:tcW w:w="453" w:type="pct"/>
            <w:shd w:val="clear" w:color="auto" w:fill="auto"/>
          </w:tcPr>
          <w:p w14:paraId="5DD59FA8" w14:textId="107080B6"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0.496</w:t>
            </w:r>
          </w:p>
        </w:tc>
        <w:tc>
          <w:tcPr>
            <w:tcW w:w="453" w:type="pct"/>
            <w:shd w:val="clear" w:color="auto" w:fill="auto"/>
          </w:tcPr>
          <w:p w14:paraId="675ADB7A" w14:textId="61CE6D85"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0.52</w:t>
            </w:r>
          </w:p>
        </w:tc>
        <w:tc>
          <w:tcPr>
            <w:tcW w:w="542" w:type="pct"/>
            <w:shd w:val="clear" w:color="auto" w:fill="auto"/>
          </w:tcPr>
          <w:p w14:paraId="23A2C34B" w14:textId="7558FA0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w:t>
            </w:r>
          </w:p>
        </w:tc>
        <w:tc>
          <w:tcPr>
            <w:tcW w:w="1547" w:type="pct"/>
            <w:gridSpan w:val="2"/>
            <w:shd w:val="clear" w:color="auto" w:fill="auto"/>
            <w:hideMark/>
          </w:tcPr>
          <w:p w14:paraId="362AE44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AMES toxicity. Category 1: Ames positive (mutagenic); Category 0: Ames negative (non-mutagenic).</w:t>
            </w:r>
          </w:p>
        </w:tc>
      </w:tr>
      <w:tr w:rsidR="00DE7FA7" w:rsidRPr="00065FE0" w14:paraId="6AEE3163" w14:textId="77777777" w:rsidTr="005677BD">
        <w:trPr>
          <w:trHeight w:val="20"/>
        </w:trPr>
        <w:tc>
          <w:tcPr>
            <w:tcW w:w="1082" w:type="pct"/>
            <w:shd w:val="clear" w:color="auto" w:fill="auto"/>
            <w:hideMark/>
          </w:tcPr>
          <w:p w14:paraId="31B18A79"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Rat Oral Acute Toxicity</w:t>
            </w:r>
          </w:p>
        </w:tc>
        <w:tc>
          <w:tcPr>
            <w:tcW w:w="470" w:type="pct"/>
            <w:shd w:val="clear" w:color="auto" w:fill="auto"/>
          </w:tcPr>
          <w:p w14:paraId="031A0779" w14:textId="0EC7E46E"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0.477</w:t>
            </w:r>
          </w:p>
        </w:tc>
        <w:tc>
          <w:tcPr>
            <w:tcW w:w="453" w:type="pct"/>
            <w:shd w:val="clear" w:color="auto" w:fill="auto"/>
          </w:tcPr>
          <w:p w14:paraId="189D5353" w14:textId="22E35E69"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0.568</w:t>
            </w:r>
          </w:p>
        </w:tc>
        <w:tc>
          <w:tcPr>
            <w:tcW w:w="453" w:type="pct"/>
            <w:shd w:val="clear" w:color="auto" w:fill="auto"/>
          </w:tcPr>
          <w:p w14:paraId="66924AA1" w14:textId="78A2F9BE"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w:t>
            </w:r>
          </w:p>
        </w:tc>
        <w:tc>
          <w:tcPr>
            <w:tcW w:w="453" w:type="pct"/>
            <w:shd w:val="clear" w:color="auto" w:fill="auto"/>
          </w:tcPr>
          <w:p w14:paraId="1545EB2B" w14:textId="45DF1614"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0.467</w:t>
            </w:r>
          </w:p>
        </w:tc>
        <w:tc>
          <w:tcPr>
            <w:tcW w:w="542" w:type="pct"/>
            <w:shd w:val="clear" w:color="auto" w:fill="auto"/>
          </w:tcPr>
          <w:p w14:paraId="365B7A95" w14:textId="664F3D83"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0.159</w:t>
            </w:r>
          </w:p>
        </w:tc>
        <w:tc>
          <w:tcPr>
            <w:tcW w:w="1547" w:type="pct"/>
            <w:gridSpan w:val="2"/>
            <w:shd w:val="clear" w:color="auto" w:fill="auto"/>
            <w:hideMark/>
          </w:tcPr>
          <w:p w14:paraId="6E7A752D"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toxic. Low-toxicity: &gt;500 mg/kg; High-toxicity: &lt;500 mg/kg.</w:t>
            </w:r>
          </w:p>
        </w:tc>
      </w:tr>
      <w:tr w:rsidR="00DE7FA7" w:rsidRPr="00065FE0" w14:paraId="03B6E4FF" w14:textId="77777777" w:rsidTr="005677BD">
        <w:trPr>
          <w:trHeight w:val="20"/>
        </w:trPr>
        <w:tc>
          <w:tcPr>
            <w:tcW w:w="1082" w:type="pct"/>
            <w:shd w:val="clear" w:color="auto" w:fill="auto"/>
            <w:hideMark/>
          </w:tcPr>
          <w:p w14:paraId="4EE98E7D"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FDAMDD</w:t>
            </w:r>
          </w:p>
        </w:tc>
        <w:tc>
          <w:tcPr>
            <w:tcW w:w="470" w:type="pct"/>
            <w:shd w:val="clear" w:color="auto" w:fill="auto"/>
          </w:tcPr>
          <w:p w14:paraId="710C1E0F" w14:textId="7A30D0E6"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0.644</w:t>
            </w:r>
          </w:p>
        </w:tc>
        <w:tc>
          <w:tcPr>
            <w:tcW w:w="453" w:type="pct"/>
            <w:shd w:val="clear" w:color="auto" w:fill="auto"/>
          </w:tcPr>
          <w:p w14:paraId="78EA1EAE" w14:textId="2290F59A"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0.729</w:t>
            </w:r>
          </w:p>
        </w:tc>
        <w:tc>
          <w:tcPr>
            <w:tcW w:w="453" w:type="pct"/>
            <w:shd w:val="clear" w:color="auto" w:fill="auto"/>
          </w:tcPr>
          <w:p w14:paraId="48A7F584" w14:textId="78D5BF04"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0.448</w:t>
            </w:r>
          </w:p>
        </w:tc>
        <w:tc>
          <w:tcPr>
            <w:tcW w:w="453" w:type="pct"/>
            <w:shd w:val="clear" w:color="auto" w:fill="auto"/>
          </w:tcPr>
          <w:p w14:paraId="6E82AFFA" w14:textId="2D580910"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0.755</w:t>
            </w:r>
          </w:p>
        </w:tc>
        <w:tc>
          <w:tcPr>
            <w:tcW w:w="542" w:type="pct"/>
            <w:shd w:val="clear" w:color="auto" w:fill="auto"/>
          </w:tcPr>
          <w:p w14:paraId="26A600A9" w14:textId="14E80FD0"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0.989</w:t>
            </w:r>
          </w:p>
        </w:tc>
        <w:tc>
          <w:tcPr>
            <w:tcW w:w="1547" w:type="pct"/>
            <w:gridSpan w:val="2"/>
            <w:shd w:val="clear" w:color="auto" w:fill="auto"/>
            <w:hideMark/>
          </w:tcPr>
          <w:p w14:paraId="49740A2B"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FDA Maximum Daily Dose. Category 1: Positive; Category 0: Negative.</w:t>
            </w:r>
          </w:p>
        </w:tc>
      </w:tr>
      <w:tr w:rsidR="00DE7FA7" w:rsidRPr="00065FE0" w14:paraId="33763C7B" w14:textId="77777777" w:rsidTr="005677BD">
        <w:trPr>
          <w:trHeight w:val="20"/>
        </w:trPr>
        <w:tc>
          <w:tcPr>
            <w:tcW w:w="1082" w:type="pct"/>
            <w:shd w:val="clear" w:color="auto" w:fill="auto"/>
            <w:hideMark/>
          </w:tcPr>
          <w:p w14:paraId="1A7BC828"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Skin Sensitization</w:t>
            </w:r>
          </w:p>
        </w:tc>
        <w:tc>
          <w:tcPr>
            <w:tcW w:w="470" w:type="pct"/>
            <w:shd w:val="clear" w:color="auto" w:fill="auto"/>
          </w:tcPr>
          <w:p w14:paraId="19BA5EE1" w14:textId="7ECE71BB"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0.762</w:t>
            </w:r>
          </w:p>
        </w:tc>
        <w:tc>
          <w:tcPr>
            <w:tcW w:w="453" w:type="pct"/>
            <w:shd w:val="clear" w:color="auto" w:fill="auto"/>
          </w:tcPr>
          <w:p w14:paraId="1DD6A7FF" w14:textId="60C8788A"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0.565</w:t>
            </w:r>
          </w:p>
        </w:tc>
        <w:tc>
          <w:tcPr>
            <w:tcW w:w="453" w:type="pct"/>
            <w:shd w:val="clear" w:color="auto" w:fill="auto"/>
          </w:tcPr>
          <w:p w14:paraId="4EF79556" w14:textId="2C64576B"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0.184</w:t>
            </w:r>
          </w:p>
        </w:tc>
        <w:tc>
          <w:tcPr>
            <w:tcW w:w="453" w:type="pct"/>
            <w:shd w:val="clear" w:color="auto" w:fill="auto"/>
          </w:tcPr>
          <w:p w14:paraId="0B28EAD3" w14:textId="04BFF80E"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0.409</w:t>
            </w:r>
          </w:p>
        </w:tc>
        <w:tc>
          <w:tcPr>
            <w:tcW w:w="542" w:type="pct"/>
            <w:shd w:val="clear" w:color="auto" w:fill="auto"/>
          </w:tcPr>
          <w:p w14:paraId="3BC54751" w14:textId="576E0991"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0.965</w:t>
            </w:r>
          </w:p>
        </w:tc>
        <w:tc>
          <w:tcPr>
            <w:tcW w:w="1547" w:type="pct"/>
            <w:gridSpan w:val="2"/>
            <w:shd w:val="clear" w:color="auto" w:fill="auto"/>
            <w:hideMark/>
          </w:tcPr>
          <w:p w14:paraId="1A4DBDC7"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a skin sensitizer. Category 1: Sensitizer; Category 0: Non-sensitizer.</w:t>
            </w:r>
          </w:p>
        </w:tc>
      </w:tr>
      <w:tr w:rsidR="00DE7FA7" w:rsidRPr="00065FE0" w14:paraId="0AB9AB66" w14:textId="77777777" w:rsidTr="005677BD">
        <w:trPr>
          <w:trHeight w:val="20"/>
        </w:trPr>
        <w:tc>
          <w:tcPr>
            <w:tcW w:w="1082" w:type="pct"/>
            <w:shd w:val="clear" w:color="auto" w:fill="auto"/>
            <w:hideMark/>
          </w:tcPr>
          <w:p w14:paraId="59FB1592"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Carcinogenicity</w:t>
            </w:r>
          </w:p>
        </w:tc>
        <w:tc>
          <w:tcPr>
            <w:tcW w:w="470" w:type="pct"/>
            <w:shd w:val="clear" w:color="auto" w:fill="auto"/>
          </w:tcPr>
          <w:p w14:paraId="1077688B" w14:textId="750AFEC9"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0.474</w:t>
            </w:r>
          </w:p>
        </w:tc>
        <w:tc>
          <w:tcPr>
            <w:tcW w:w="453" w:type="pct"/>
            <w:shd w:val="clear" w:color="auto" w:fill="auto"/>
          </w:tcPr>
          <w:p w14:paraId="4FF2628E" w14:textId="10BE6DA6" w:rsidR="00615BE3" w:rsidRPr="00065FE0" w:rsidRDefault="00EC68F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0.492</w:t>
            </w:r>
          </w:p>
        </w:tc>
        <w:tc>
          <w:tcPr>
            <w:tcW w:w="453" w:type="pct"/>
            <w:shd w:val="clear" w:color="auto" w:fill="auto"/>
          </w:tcPr>
          <w:p w14:paraId="20BBB50F" w14:textId="4B7244B5"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0.408</w:t>
            </w:r>
          </w:p>
        </w:tc>
        <w:tc>
          <w:tcPr>
            <w:tcW w:w="453" w:type="pct"/>
            <w:shd w:val="clear" w:color="auto" w:fill="auto"/>
          </w:tcPr>
          <w:p w14:paraId="5C1DC143" w14:textId="25B8E974"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0.009</w:t>
            </w:r>
          </w:p>
        </w:tc>
        <w:tc>
          <w:tcPr>
            <w:tcW w:w="542" w:type="pct"/>
            <w:shd w:val="clear" w:color="auto" w:fill="auto"/>
          </w:tcPr>
          <w:p w14:paraId="7C8C05BF" w14:textId="1FB87438"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0.093</w:t>
            </w:r>
          </w:p>
        </w:tc>
        <w:tc>
          <w:tcPr>
            <w:tcW w:w="1547" w:type="pct"/>
            <w:gridSpan w:val="2"/>
            <w:shd w:val="clear" w:color="auto" w:fill="auto"/>
            <w:hideMark/>
          </w:tcPr>
          <w:p w14:paraId="22C56B7F"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a carcinogen. Category 1: Carcinogenic; Category 0: Non-carcinogenic.</w:t>
            </w:r>
          </w:p>
        </w:tc>
      </w:tr>
      <w:tr w:rsidR="00DE7FA7" w:rsidRPr="00065FE0" w14:paraId="5C178BE0" w14:textId="77777777" w:rsidTr="005677BD">
        <w:trPr>
          <w:trHeight w:val="20"/>
        </w:trPr>
        <w:tc>
          <w:tcPr>
            <w:tcW w:w="1082" w:type="pct"/>
            <w:shd w:val="clear" w:color="auto" w:fill="auto"/>
            <w:hideMark/>
          </w:tcPr>
          <w:p w14:paraId="0FF12DBE"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Eye Corrosion</w:t>
            </w:r>
          </w:p>
        </w:tc>
        <w:tc>
          <w:tcPr>
            <w:tcW w:w="470" w:type="pct"/>
            <w:shd w:val="clear" w:color="auto" w:fill="auto"/>
          </w:tcPr>
          <w:p w14:paraId="327482A7" w14:textId="0BE94E1A"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0.007</w:t>
            </w:r>
          </w:p>
        </w:tc>
        <w:tc>
          <w:tcPr>
            <w:tcW w:w="453" w:type="pct"/>
            <w:shd w:val="clear" w:color="auto" w:fill="auto"/>
          </w:tcPr>
          <w:p w14:paraId="3AC51616" w14:textId="3990B113"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0.003</w:t>
            </w:r>
          </w:p>
        </w:tc>
        <w:tc>
          <w:tcPr>
            <w:tcW w:w="453" w:type="pct"/>
            <w:shd w:val="clear" w:color="auto" w:fill="auto"/>
          </w:tcPr>
          <w:p w14:paraId="35ED2688" w14:textId="3DABB2DA"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0.005</w:t>
            </w:r>
          </w:p>
        </w:tc>
        <w:tc>
          <w:tcPr>
            <w:tcW w:w="453" w:type="pct"/>
            <w:shd w:val="clear" w:color="auto" w:fill="auto"/>
          </w:tcPr>
          <w:p w14:paraId="65EBEF65" w14:textId="66980359"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0.401</w:t>
            </w:r>
          </w:p>
        </w:tc>
        <w:tc>
          <w:tcPr>
            <w:tcW w:w="542" w:type="pct"/>
            <w:shd w:val="clear" w:color="auto" w:fill="auto"/>
          </w:tcPr>
          <w:p w14:paraId="274BD42E" w14:textId="0BB31106"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shd w:val="clear" w:color="auto" w:fill="auto"/>
            <w:hideMark/>
          </w:tcPr>
          <w:p w14:paraId="23179E1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causing eye corrosion. Category 1: Corrosive; Category 0: Non-corrosive.</w:t>
            </w:r>
          </w:p>
        </w:tc>
      </w:tr>
      <w:tr w:rsidR="00DE7FA7" w:rsidRPr="00065FE0" w14:paraId="5FE90FFF" w14:textId="77777777" w:rsidTr="005677BD">
        <w:trPr>
          <w:trHeight w:val="20"/>
        </w:trPr>
        <w:tc>
          <w:tcPr>
            <w:tcW w:w="1082" w:type="pct"/>
            <w:shd w:val="clear" w:color="auto" w:fill="auto"/>
            <w:hideMark/>
          </w:tcPr>
          <w:p w14:paraId="0E5DF5D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Eye Irritation</w:t>
            </w:r>
          </w:p>
        </w:tc>
        <w:tc>
          <w:tcPr>
            <w:tcW w:w="470" w:type="pct"/>
            <w:shd w:val="clear" w:color="auto" w:fill="auto"/>
          </w:tcPr>
          <w:p w14:paraId="45AC9D9B" w14:textId="30F739EE"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0.535</w:t>
            </w:r>
          </w:p>
        </w:tc>
        <w:tc>
          <w:tcPr>
            <w:tcW w:w="453" w:type="pct"/>
            <w:shd w:val="clear" w:color="auto" w:fill="auto"/>
          </w:tcPr>
          <w:p w14:paraId="0A272A1D" w14:textId="1E3FF931"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0.505</w:t>
            </w:r>
          </w:p>
        </w:tc>
        <w:tc>
          <w:tcPr>
            <w:tcW w:w="453" w:type="pct"/>
            <w:shd w:val="clear" w:color="auto" w:fill="auto"/>
          </w:tcPr>
          <w:p w14:paraId="1B87561B" w14:textId="19B0FA45"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0.692</w:t>
            </w:r>
          </w:p>
        </w:tc>
        <w:tc>
          <w:tcPr>
            <w:tcW w:w="453" w:type="pct"/>
            <w:shd w:val="clear" w:color="auto" w:fill="auto"/>
          </w:tcPr>
          <w:p w14:paraId="31FF0CCC" w14:textId="7B6B8045"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0.752</w:t>
            </w:r>
          </w:p>
        </w:tc>
        <w:tc>
          <w:tcPr>
            <w:tcW w:w="542" w:type="pct"/>
            <w:shd w:val="clear" w:color="auto" w:fill="auto"/>
          </w:tcPr>
          <w:p w14:paraId="209AB06C" w14:textId="18FCB8C8"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0.032</w:t>
            </w:r>
          </w:p>
        </w:tc>
        <w:tc>
          <w:tcPr>
            <w:tcW w:w="1547" w:type="pct"/>
            <w:gridSpan w:val="2"/>
            <w:shd w:val="clear" w:color="auto" w:fill="auto"/>
            <w:hideMark/>
          </w:tcPr>
          <w:p w14:paraId="696EEF8E"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causing eye irritation. Category 1: Irritant; Category 0: Non-irritant.</w:t>
            </w:r>
          </w:p>
        </w:tc>
      </w:tr>
      <w:tr w:rsidR="00DE7FA7" w:rsidRPr="00065FE0" w14:paraId="0037CA95" w14:textId="77777777" w:rsidTr="005677BD">
        <w:trPr>
          <w:trHeight w:val="20"/>
        </w:trPr>
        <w:tc>
          <w:tcPr>
            <w:tcW w:w="1082" w:type="pct"/>
            <w:shd w:val="clear" w:color="auto" w:fill="auto"/>
            <w:hideMark/>
          </w:tcPr>
          <w:p w14:paraId="0B179BAE"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Respiratory</w:t>
            </w:r>
          </w:p>
        </w:tc>
        <w:tc>
          <w:tcPr>
            <w:tcW w:w="470" w:type="pct"/>
            <w:shd w:val="clear" w:color="auto" w:fill="auto"/>
          </w:tcPr>
          <w:p w14:paraId="23BC2739" w14:textId="47D35B9B"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0.761</w:t>
            </w:r>
          </w:p>
        </w:tc>
        <w:tc>
          <w:tcPr>
            <w:tcW w:w="453" w:type="pct"/>
            <w:shd w:val="clear" w:color="auto" w:fill="auto"/>
          </w:tcPr>
          <w:p w14:paraId="0439745A" w14:textId="15DD283F"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0.812</w:t>
            </w:r>
          </w:p>
        </w:tc>
        <w:tc>
          <w:tcPr>
            <w:tcW w:w="453" w:type="pct"/>
            <w:shd w:val="clear" w:color="auto" w:fill="auto"/>
          </w:tcPr>
          <w:p w14:paraId="2B314E7A" w14:textId="74665166"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0.676</w:t>
            </w:r>
          </w:p>
        </w:tc>
        <w:tc>
          <w:tcPr>
            <w:tcW w:w="453" w:type="pct"/>
            <w:shd w:val="clear" w:color="auto" w:fill="auto"/>
          </w:tcPr>
          <w:p w14:paraId="1D9C777D" w14:textId="3A26D27C"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0.996</w:t>
            </w:r>
          </w:p>
        </w:tc>
        <w:tc>
          <w:tcPr>
            <w:tcW w:w="542" w:type="pct"/>
            <w:shd w:val="clear" w:color="auto" w:fill="auto"/>
          </w:tcPr>
          <w:p w14:paraId="16A0AFBC" w14:textId="62EDB971"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0.23</w:t>
            </w:r>
          </w:p>
        </w:tc>
        <w:tc>
          <w:tcPr>
            <w:tcW w:w="1547" w:type="pct"/>
            <w:gridSpan w:val="2"/>
            <w:shd w:val="clear" w:color="auto" w:fill="auto"/>
            <w:hideMark/>
          </w:tcPr>
          <w:p w14:paraId="2D82710D"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a respiratory toxicant. Category 1: Toxicant; Category 0: Non-toxicant.</w:t>
            </w:r>
          </w:p>
        </w:tc>
      </w:tr>
      <w:tr w:rsidR="00DE7FA7" w:rsidRPr="00065FE0" w14:paraId="5051015D" w14:textId="77777777" w:rsidTr="005677BD">
        <w:trPr>
          <w:trHeight w:val="20"/>
        </w:trPr>
        <w:tc>
          <w:tcPr>
            <w:tcW w:w="1082" w:type="pct"/>
            <w:shd w:val="clear" w:color="auto" w:fill="auto"/>
            <w:hideMark/>
          </w:tcPr>
          <w:p w14:paraId="776354D9"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Human Hepatotoxicity</w:t>
            </w:r>
          </w:p>
        </w:tc>
        <w:tc>
          <w:tcPr>
            <w:tcW w:w="470" w:type="pct"/>
            <w:shd w:val="clear" w:color="auto" w:fill="auto"/>
          </w:tcPr>
          <w:p w14:paraId="38BAF4CE" w14:textId="4AC24094"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0.63</w:t>
            </w:r>
          </w:p>
        </w:tc>
        <w:tc>
          <w:tcPr>
            <w:tcW w:w="453" w:type="pct"/>
            <w:shd w:val="clear" w:color="auto" w:fill="auto"/>
          </w:tcPr>
          <w:p w14:paraId="774E6151" w14:textId="46A0E59A"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0.654</w:t>
            </w:r>
          </w:p>
        </w:tc>
        <w:tc>
          <w:tcPr>
            <w:tcW w:w="453" w:type="pct"/>
            <w:shd w:val="clear" w:color="auto" w:fill="auto"/>
          </w:tcPr>
          <w:p w14:paraId="14F86281" w14:textId="6081D4B5"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0.653</w:t>
            </w:r>
          </w:p>
        </w:tc>
        <w:tc>
          <w:tcPr>
            <w:tcW w:w="453" w:type="pct"/>
            <w:shd w:val="clear" w:color="auto" w:fill="auto"/>
          </w:tcPr>
          <w:p w14:paraId="17E7AEEE" w14:textId="25FA42BB"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0.669</w:t>
            </w:r>
          </w:p>
        </w:tc>
        <w:tc>
          <w:tcPr>
            <w:tcW w:w="542" w:type="pct"/>
            <w:shd w:val="clear" w:color="auto" w:fill="auto"/>
          </w:tcPr>
          <w:p w14:paraId="2E2E9F8D" w14:textId="79EAB0CB"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0.646</w:t>
            </w:r>
          </w:p>
        </w:tc>
        <w:tc>
          <w:tcPr>
            <w:tcW w:w="1547" w:type="pct"/>
            <w:gridSpan w:val="2"/>
            <w:shd w:val="clear" w:color="auto" w:fill="auto"/>
            <w:hideMark/>
          </w:tcPr>
          <w:p w14:paraId="4DABBBD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hepatotoxic. Category 1: Positive; Category 0: Negative.</w:t>
            </w:r>
          </w:p>
        </w:tc>
      </w:tr>
      <w:tr w:rsidR="00DE7FA7" w:rsidRPr="00065FE0" w14:paraId="26C1AC3A" w14:textId="77777777" w:rsidTr="005677BD">
        <w:trPr>
          <w:trHeight w:val="20"/>
        </w:trPr>
        <w:tc>
          <w:tcPr>
            <w:tcW w:w="1082" w:type="pct"/>
            <w:shd w:val="clear" w:color="auto" w:fill="auto"/>
            <w:hideMark/>
          </w:tcPr>
          <w:p w14:paraId="4EAE2EB7"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lastRenderedPageBreak/>
              <w:t>Drug-Induced Nephrotoxicity</w:t>
            </w:r>
          </w:p>
        </w:tc>
        <w:tc>
          <w:tcPr>
            <w:tcW w:w="470" w:type="pct"/>
            <w:shd w:val="clear" w:color="auto" w:fill="auto"/>
          </w:tcPr>
          <w:p w14:paraId="0B430BD5" w14:textId="35467203"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0.335</w:t>
            </w:r>
          </w:p>
        </w:tc>
        <w:tc>
          <w:tcPr>
            <w:tcW w:w="453" w:type="pct"/>
            <w:shd w:val="clear" w:color="auto" w:fill="auto"/>
          </w:tcPr>
          <w:p w14:paraId="2629ACB1" w14:textId="2D4B673D"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0.552</w:t>
            </w:r>
          </w:p>
        </w:tc>
        <w:tc>
          <w:tcPr>
            <w:tcW w:w="453" w:type="pct"/>
            <w:shd w:val="clear" w:color="auto" w:fill="auto"/>
          </w:tcPr>
          <w:p w14:paraId="27D2D2A0" w14:textId="646158D7"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0.506</w:t>
            </w:r>
          </w:p>
        </w:tc>
        <w:tc>
          <w:tcPr>
            <w:tcW w:w="453" w:type="pct"/>
            <w:shd w:val="clear" w:color="auto" w:fill="auto"/>
          </w:tcPr>
          <w:p w14:paraId="5DE7132C" w14:textId="7F4E12F4"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0.511</w:t>
            </w:r>
          </w:p>
        </w:tc>
        <w:tc>
          <w:tcPr>
            <w:tcW w:w="542" w:type="pct"/>
            <w:shd w:val="clear" w:color="auto" w:fill="auto"/>
          </w:tcPr>
          <w:p w14:paraId="04D77107" w14:textId="3FD3CA9C"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0.812</w:t>
            </w:r>
          </w:p>
        </w:tc>
        <w:tc>
          <w:tcPr>
            <w:tcW w:w="1547" w:type="pct"/>
            <w:gridSpan w:val="2"/>
            <w:shd w:val="clear" w:color="auto" w:fill="auto"/>
            <w:hideMark/>
          </w:tcPr>
          <w:p w14:paraId="5817DE8D"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nephrotoxic. Category 1: Nephrotoxic; Category 0: Non-nephrotoxic.</w:t>
            </w:r>
          </w:p>
        </w:tc>
      </w:tr>
      <w:tr w:rsidR="00DE7FA7" w:rsidRPr="00065FE0" w14:paraId="5B24D52D" w14:textId="77777777" w:rsidTr="005677BD">
        <w:trPr>
          <w:trHeight w:val="20"/>
        </w:trPr>
        <w:tc>
          <w:tcPr>
            <w:tcW w:w="1082" w:type="pct"/>
            <w:shd w:val="clear" w:color="auto" w:fill="auto"/>
            <w:hideMark/>
          </w:tcPr>
          <w:p w14:paraId="6EF90136"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Ototoxicity</w:t>
            </w:r>
          </w:p>
        </w:tc>
        <w:tc>
          <w:tcPr>
            <w:tcW w:w="470" w:type="pct"/>
            <w:shd w:val="clear" w:color="auto" w:fill="auto"/>
          </w:tcPr>
          <w:p w14:paraId="61B07425" w14:textId="5FC6AEC8"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0.43</w:t>
            </w:r>
          </w:p>
        </w:tc>
        <w:tc>
          <w:tcPr>
            <w:tcW w:w="453" w:type="pct"/>
            <w:shd w:val="clear" w:color="auto" w:fill="auto"/>
          </w:tcPr>
          <w:p w14:paraId="49648F46" w14:textId="1E8902B9"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0.524</w:t>
            </w:r>
          </w:p>
        </w:tc>
        <w:tc>
          <w:tcPr>
            <w:tcW w:w="453" w:type="pct"/>
            <w:shd w:val="clear" w:color="auto" w:fill="auto"/>
          </w:tcPr>
          <w:p w14:paraId="31D9567C" w14:textId="1CBAD052"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0.506</w:t>
            </w:r>
          </w:p>
        </w:tc>
        <w:tc>
          <w:tcPr>
            <w:tcW w:w="453" w:type="pct"/>
            <w:shd w:val="clear" w:color="auto" w:fill="auto"/>
          </w:tcPr>
          <w:p w14:paraId="79D795A8" w14:textId="3790108C"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0.415</w:t>
            </w:r>
          </w:p>
        </w:tc>
        <w:tc>
          <w:tcPr>
            <w:tcW w:w="542" w:type="pct"/>
            <w:shd w:val="clear" w:color="auto" w:fill="auto"/>
          </w:tcPr>
          <w:p w14:paraId="5E953A3A" w14:textId="3050DB97"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0.254</w:t>
            </w:r>
          </w:p>
        </w:tc>
        <w:tc>
          <w:tcPr>
            <w:tcW w:w="1547" w:type="pct"/>
            <w:gridSpan w:val="2"/>
            <w:shd w:val="clear" w:color="auto" w:fill="auto"/>
            <w:hideMark/>
          </w:tcPr>
          <w:p w14:paraId="1DE7A80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ototoxic. Category 1: Ototoxic; Category 0: Non-ototoxic.</w:t>
            </w:r>
          </w:p>
        </w:tc>
      </w:tr>
      <w:tr w:rsidR="00DE7FA7" w:rsidRPr="00065FE0" w14:paraId="5CCE2149" w14:textId="77777777" w:rsidTr="005677BD">
        <w:trPr>
          <w:trHeight w:val="20"/>
        </w:trPr>
        <w:tc>
          <w:tcPr>
            <w:tcW w:w="1082" w:type="pct"/>
            <w:shd w:val="clear" w:color="auto" w:fill="auto"/>
            <w:hideMark/>
          </w:tcPr>
          <w:p w14:paraId="2F12FCA2"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Hematotoxicity</w:t>
            </w:r>
            <w:proofErr w:type="spellEnd"/>
          </w:p>
        </w:tc>
        <w:tc>
          <w:tcPr>
            <w:tcW w:w="470" w:type="pct"/>
            <w:shd w:val="clear" w:color="auto" w:fill="auto"/>
          </w:tcPr>
          <w:p w14:paraId="0672B22A" w14:textId="2E8FA963"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0.225</w:t>
            </w:r>
          </w:p>
        </w:tc>
        <w:tc>
          <w:tcPr>
            <w:tcW w:w="453" w:type="pct"/>
            <w:shd w:val="clear" w:color="auto" w:fill="auto"/>
          </w:tcPr>
          <w:p w14:paraId="7929AA87" w14:textId="369BA688"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0.37</w:t>
            </w:r>
          </w:p>
        </w:tc>
        <w:tc>
          <w:tcPr>
            <w:tcW w:w="453" w:type="pct"/>
            <w:shd w:val="clear" w:color="auto" w:fill="auto"/>
          </w:tcPr>
          <w:p w14:paraId="4E8002DD" w14:textId="629F33E2"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0.43</w:t>
            </w:r>
          </w:p>
        </w:tc>
        <w:tc>
          <w:tcPr>
            <w:tcW w:w="453" w:type="pct"/>
            <w:shd w:val="clear" w:color="auto" w:fill="auto"/>
          </w:tcPr>
          <w:p w14:paraId="1FFAC203" w14:textId="4AC83705"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0.366</w:t>
            </w:r>
          </w:p>
        </w:tc>
        <w:tc>
          <w:tcPr>
            <w:tcW w:w="542" w:type="pct"/>
            <w:shd w:val="clear" w:color="auto" w:fill="auto"/>
          </w:tcPr>
          <w:p w14:paraId="71F1ABE1" w14:textId="233B6C41"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0.914</w:t>
            </w:r>
          </w:p>
        </w:tc>
        <w:tc>
          <w:tcPr>
            <w:tcW w:w="1547" w:type="pct"/>
            <w:gridSpan w:val="2"/>
            <w:shd w:val="clear" w:color="auto" w:fill="auto"/>
            <w:hideMark/>
          </w:tcPr>
          <w:p w14:paraId="5F5BB8D1"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Probability of being </w:t>
            </w:r>
            <w:proofErr w:type="spellStart"/>
            <w:r w:rsidRPr="00065FE0">
              <w:rPr>
                <w:rFonts w:ascii="Times New Roman" w:eastAsia="Times New Roman" w:hAnsi="Times New Roman" w:cs="Times New Roman"/>
                <w:color w:val="000000"/>
                <w:sz w:val="18"/>
                <w:szCs w:val="18"/>
                <w:lang w:eastAsia="en-US"/>
              </w:rPr>
              <w:t>hematotoxic</w:t>
            </w:r>
            <w:proofErr w:type="spellEnd"/>
            <w:r w:rsidRPr="00065FE0">
              <w:rPr>
                <w:rFonts w:ascii="Times New Roman" w:eastAsia="Times New Roman" w:hAnsi="Times New Roman" w:cs="Times New Roman"/>
                <w:color w:val="000000"/>
                <w:sz w:val="18"/>
                <w:szCs w:val="18"/>
                <w:lang w:eastAsia="en-US"/>
              </w:rPr>
              <w:t xml:space="preserve">. Category 1: </w:t>
            </w:r>
            <w:proofErr w:type="spellStart"/>
            <w:r w:rsidRPr="00065FE0">
              <w:rPr>
                <w:rFonts w:ascii="Times New Roman" w:eastAsia="Times New Roman" w:hAnsi="Times New Roman" w:cs="Times New Roman"/>
                <w:color w:val="000000"/>
                <w:sz w:val="18"/>
                <w:szCs w:val="18"/>
                <w:lang w:eastAsia="en-US"/>
              </w:rPr>
              <w:t>Hematotoxic</w:t>
            </w:r>
            <w:proofErr w:type="spellEnd"/>
            <w:r w:rsidRPr="00065FE0">
              <w:rPr>
                <w:rFonts w:ascii="Times New Roman" w:eastAsia="Times New Roman" w:hAnsi="Times New Roman" w:cs="Times New Roman"/>
                <w:color w:val="000000"/>
                <w:sz w:val="18"/>
                <w:szCs w:val="18"/>
                <w:lang w:eastAsia="en-US"/>
              </w:rPr>
              <w:t>; Category 0: Non-</w:t>
            </w:r>
            <w:proofErr w:type="spellStart"/>
            <w:r w:rsidRPr="00065FE0">
              <w:rPr>
                <w:rFonts w:ascii="Times New Roman" w:eastAsia="Times New Roman" w:hAnsi="Times New Roman" w:cs="Times New Roman"/>
                <w:color w:val="000000"/>
                <w:sz w:val="18"/>
                <w:szCs w:val="18"/>
                <w:lang w:eastAsia="en-US"/>
              </w:rPr>
              <w:t>hematotoxic</w:t>
            </w:r>
            <w:proofErr w:type="spellEnd"/>
            <w:r w:rsidRPr="00065FE0">
              <w:rPr>
                <w:rFonts w:ascii="Times New Roman" w:eastAsia="Times New Roman" w:hAnsi="Times New Roman" w:cs="Times New Roman"/>
                <w:color w:val="000000"/>
                <w:sz w:val="18"/>
                <w:szCs w:val="18"/>
                <w:lang w:eastAsia="en-US"/>
              </w:rPr>
              <w:t>.</w:t>
            </w:r>
          </w:p>
        </w:tc>
      </w:tr>
      <w:tr w:rsidR="00DE7FA7" w:rsidRPr="00065FE0" w14:paraId="77E51258" w14:textId="77777777" w:rsidTr="005677BD">
        <w:trPr>
          <w:trHeight w:val="20"/>
        </w:trPr>
        <w:tc>
          <w:tcPr>
            <w:tcW w:w="1082" w:type="pct"/>
            <w:shd w:val="clear" w:color="auto" w:fill="auto"/>
            <w:hideMark/>
          </w:tcPr>
          <w:p w14:paraId="6ADFD4EB"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Genotoxicity</w:t>
            </w:r>
          </w:p>
        </w:tc>
        <w:tc>
          <w:tcPr>
            <w:tcW w:w="470" w:type="pct"/>
            <w:shd w:val="clear" w:color="auto" w:fill="auto"/>
          </w:tcPr>
          <w:p w14:paraId="27F82EB0" w14:textId="71ED3F96"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0.874</w:t>
            </w:r>
          </w:p>
        </w:tc>
        <w:tc>
          <w:tcPr>
            <w:tcW w:w="453" w:type="pct"/>
            <w:shd w:val="clear" w:color="auto" w:fill="auto"/>
          </w:tcPr>
          <w:p w14:paraId="7723DE64" w14:textId="715B02B0"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0.785</w:t>
            </w:r>
          </w:p>
        </w:tc>
        <w:tc>
          <w:tcPr>
            <w:tcW w:w="453" w:type="pct"/>
            <w:shd w:val="clear" w:color="auto" w:fill="auto"/>
          </w:tcPr>
          <w:p w14:paraId="361794F8" w14:textId="0F066C2F"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0.976</w:t>
            </w:r>
          </w:p>
        </w:tc>
        <w:tc>
          <w:tcPr>
            <w:tcW w:w="453" w:type="pct"/>
            <w:shd w:val="clear" w:color="auto" w:fill="auto"/>
          </w:tcPr>
          <w:p w14:paraId="41BAC4A3" w14:textId="04CF48BD"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0.706</w:t>
            </w:r>
          </w:p>
        </w:tc>
        <w:tc>
          <w:tcPr>
            <w:tcW w:w="542" w:type="pct"/>
            <w:shd w:val="clear" w:color="auto" w:fill="auto"/>
          </w:tcPr>
          <w:p w14:paraId="35167330" w14:textId="6FD622E3"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0.999</w:t>
            </w:r>
          </w:p>
        </w:tc>
        <w:tc>
          <w:tcPr>
            <w:tcW w:w="1547" w:type="pct"/>
            <w:gridSpan w:val="2"/>
            <w:shd w:val="clear" w:color="auto" w:fill="auto"/>
            <w:hideMark/>
          </w:tcPr>
          <w:p w14:paraId="394DC756"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genotoxic. Category 1: Genotoxic; Category 0: Non-genotoxic.</w:t>
            </w:r>
          </w:p>
        </w:tc>
      </w:tr>
      <w:tr w:rsidR="00DE7FA7" w:rsidRPr="00065FE0" w14:paraId="72FF4C16" w14:textId="77777777" w:rsidTr="005677BD">
        <w:trPr>
          <w:trHeight w:val="20"/>
        </w:trPr>
        <w:tc>
          <w:tcPr>
            <w:tcW w:w="1082" w:type="pct"/>
            <w:shd w:val="clear" w:color="auto" w:fill="auto"/>
            <w:hideMark/>
          </w:tcPr>
          <w:p w14:paraId="29FDAD96"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RPMI-8226 Immunotoxicity</w:t>
            </w:r>
          </w:p>
        </w:tc>
        <w:tc>
          <w:tcPr>
            <w:tcW w:w="470" w:type="pct"/>
            <w:shd w:val="clear" w:color="auto" w:fill="auto"/>
          </w:tcPr>
          <w:p w14:paraId="03F91176" w14:textId="01B15259"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0.036</w:t>
            </w:r>
          </w:p>
        </w:tc>
        <w:tc>
          <w:tcPr>
            <w:tcW w:w="453" w:type="pct"/>
            <w:shd w:val="clear" w:color="auto" w:fill="auto"/>
          </w:tcPr>
          <w:p w14:paraId="051F97AA" w14:textId="0807B2AD"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0.035</w:t>
            </w:r>
          </w:p>
        </w:tc>
        <w:tc>
          <w:tcPr>
            <w:tcW w:w="453" w:type="pct"/>
            <w:shd w:val="clear" w:color="auto" w:fill="auto"/>
          </w:tcPr>
          <w:p w14:paraId="280A064A" w14:textId="691035E7"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0.037</w:t>
            </w:r>
          </w:p>
        </w:tc>
        <w:tc>
          <w:tcPr>
            <w:tcW w:w="453" w:type="pct"/>
            <w:shd w:val="clear" w:color="auto" w:fill="auto"/>
          </w:tcPr>
          <w:p w14:paraId="239FFAD5" w14:textId="784BF969"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0.039</w:t>
            </w:r>
          </w:p>
        </w:tc>
        <w:tc>
          <w:tcPr>
            <w:tcW w:w="542" w:type="pct"/>
            <w:shd w:val="clear" w:color="auto" w:fill="auto"/>
          </w:tcPr>
          <w:p w14:paraId="4B668ED3" w14:textId="7A403A0F"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0.062</w:t>
            </w:r>
          </w:p>
        </w:tc>
        <w:tc>
          <w:tcPr>
            <w:tcW w:w="1547" w:type="pct"/>
            <w:gridSpan w:val="2"/>
            <w:shd w:val="clear" w:color="auto" w:fill="auto"/>
            <w:hideMark/>
          </w:tcPr>
          <w:p w14:paraId="38821F8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Probability of being </w:t>
            </w:r>
            <w:proofErr w:type="spellStart"/>
            <w:r w:rsidRPr="00065FE0">
              <w:rPr>
                <w:rFonts w:ascii="Times New Roman" w:eastAsia="Times New Roman" w:hAnsi="Times New Roman" w:cs="Times New Roman"/>
                <w:color w:val="000000"/>
                <w:sz w:val="18"/>
                <w:szCs w:val="18"/>
                <w:lang w:eastAsia="en-US"/>
              </w:rPr>
              <w:t>immunotoxic</w:t>
            </w:r>
            <w:proofErr w:type="spellEnd"/>
            <w:r w:rsidRPr="00065FE0">
              <w:rPr>
                <w:rFonts w:ascii="Times New Roman" w:eastAsia="Times New Roman" w:hAnsi="Times New Roman" w:cs="Times New Roman"/>
                <w:color w:val="000000"/>
                <w:sz w:val="18"/>
                <w:szCs w:val="18"/>
                <w:lang w:eastAsia="en-US"/>
              </w:rPr>
              <w:t>. Category 1: Cytotoxic; Category 0: Non-cytotoxic.</w:t>
            </w:r>
          </w:p>
        </w:tc>
      </w:tr>
      <w:tr w:rsidR="00DE7FA7" w:rsidRPr="00065FE0" w14:paraId="560D67FD" w14:textId="77777777" w:rsidTr="005677BD">
        <w:trPr>
          <w:trHeight w:val="20"/>
        </w:trPr>
        <w:tc>
          <w:tcPr>
            <w:tcW w:w="1082" w:type="pct"/>
            <w:shd w:val="clear" w:color="auto" w:fill="auto"/>
            <w:hideMark/>
          </w:tcPr>
          <w:p w14:paraId="4716D8FC"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A549 Cytotoxicity</w:t>
            </w:r>
          </w:p>
        </w:tc>
        <w:tc>
          <w:tcPr>
            <w:tcW w:w="470" w:type="pct"/>
            <w:shd w:val="clear" w:color="auto" w:fill="auto"/>
          </w:tcPr>
          <w:p w14:paraId="528F1217" w14:textId="783DAAD0"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0.08</w:t>
            </w:r>
          </w:p>
        </w:tc>
        <w:tc>
          <w:tcPr>
            <w:tcW w:w="453" w:type="pct"/>
            <w:shd w:val="clear" w:color="auto" w:fill="auto"/>
          </w:tcPr>
          <w:p w14:paraId="55B5CE53" w14:textId="76BD37D9"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0.07</w:t>
            </w:r>
          </w:p>
        </w:tc>
        <w:tc>
          <w:tcPr>
            <w:tcW w:w="453" w:type="pct"/>
            <w:shd w:val="clear" w:color="auto" w:fill="auto"/>
          </w:tcPr>
          <w:p w14:paraId="3AB93B6A" w14:textId="772F4484"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0.026</w:t>
            </w:r>
          </w:p>
        </w:tc>
        <w:tc>
          <w:tcPr>
            <w:tcW w:w="453" w:type="pct"/>
            <w:shd w:val="clear" w:color="auto" w:fill="auto"/>
          </w:tcPr>
          <w:p w14:paraId="6F29359C" w14:textId="446FA79B"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0.058</w:t>
            </w:r>
          </w:p>
        </w:tc>
        <w:tc>
          <w:tcPr>
            <w:tcW w:w="542" w:type="pct"/>
            <w:shd w:val="clear" w:color="auto" w:fill="auto"/>
          </w:tcPr>
          <w:p w14:paraId="1AFA954A" w14:textId="7056C898"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0.014</w:t>
            </w:r>
          </w:p>
        </w:tc>
        <w:tc>
          <w:tcPr>
            <w:tcW w:w="1547" w:type="pct"/>
            <w:gridSpan w:val="2"/>
            <w:shd w:val="clear" w:color="auto" w:fill="auto"/>
            <w:hideMark/>
          </w:tcPr>
          <w:p w14:paraId="1A3DF5DA"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cytotoxic. Category 1: Cytotoxic; Category 0: Non-cytotoxic.</w:t>
            </w:r>
          </w:p>
        </w:tc>
      </w:tr>
      <w:tr w:rsidR="00DE7FA7" w:rsidRPr="00065FE0" w14:paraId="7C40B327" w14:textId="77777777" w:rsidTr="005677BD">
        <w:trPr>
          <w:trHeight w:val="20"/>
        </w:trPr>
        <w:tc>
          <w:tcPr>
            <w:tcW w:w="1082" w:type="pct"/>
            <w:shd w:val="clear" w:color="auto" w:fill="auto"/>
            <w:hideMark/>
          </w:tcPr>
          <w:p w14:paraId="5B5B2CCD"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Hek293 Cytotoxicity</w:t>
            </w:r>
          </w:p>
        </w:tc>
        <w:tc>
          <w:tcPr>
            <w:tcW w:w="470" w:type="pct"/>
            <w:shd w:val="clear" w:color="auto" w:fill="auto"/>
          </w:tcPr>
          <w:p w14:paraId="53D290C9" w14:textId="2994A3AB"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0.468</w:t>
            </w:r>
          </w:p>
        </w:tc>
        <w:tc>
          <w:tcPr>
            <w:tcW w:w="453" w:type="pct"/>
            <w:shd w:val="clear" w:color="auto" w:fill="auto"/>
          </w:tcPr>
          <w:p w14:paraId="50094077" w14:textId="1351E86A"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0.228</w:t>
            </w:r>
          </w:p>
        </w:tc>
        <w:tc>
          <w:tcPr>
            <w:tcW w:w="453" w:type="pct"/>
            <w:shd w:val="clear" w:color="auto" w:fill="auto"/>
          </w:tcPr>
          <w:p w14:paraId="0DFB0015" w14:textId="79C35CDD"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0.164</w:t>
            </w:r>
          </w:p>
        </w:tc>
        <w:tc>
          <w:tcPr>
            <w:tcW w:w="453" w:type="pct"/>
            <w:shd w:val="clear" w:color="auto" w:fill="auto"/>
          </w:tcPr>
          <w:p w14:paraId="713ED9DA" w14:textId="24CE7D56"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0.272</w:t>
            </w:r>
          </w:p>
        </w:tc>
        <w:tc>
          <w:tcPr>
            <w:tcW w:w="542" w:type="pct"/>
            <w:shd w:val="clear" w:color="auto" w:fill="auto"/>
          </w:tcPr>
          <w:p w14:paraId="13387131" w14:textId="564C08A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0.616</w:t>
            </w:r>
          </w:p>
        </w:tc>
        <w:tc>
          <w:tcPr>
            <w:tcW w:w="1547" w:type="pct"/>
            <w:gridSpan w:val="2"/>
            <w:shd w:val="clear" w:color="auto" w:fill="auto"/>
            <w:hideMark/>
          </w:tcPr>
          <w:p w14:paraId="775B14FA"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cytotoxic. Category 1: Cytotoxic; Category 0: Non-cytotoxic.</w:t>
            </w:r>
          </w:p>
        </w:tc>
      </w:tr>
      <w:tr w:rsidR="00DE7FA7" w:rsidRPr="00065FE0" w14:paraId="02C02C60" w14:textId="77777777" w:rsidTr="005677BD">
        <w:trPr>
          <w:trHeight w:val="20"/>
        </w:trPr>
        <w:tc>
          <w:tcPr>
            <w:tcW w:w="1082" w:type="pct"/>
            <w:tcBorders>
              <w:bottom w:val="nil"/>
            </w:tcBorders>
            <w:shd w:val="clear" w:color="auto" w:fill="auto"/>
            <w:hideMark/>
          </w:tcPr>
          <w:p w14:paraId="5925D494"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Drug-Induced Neurotoxicity</w:t>
            </w:r>
          </w:p>
        </w:tc>
        <w:tc>
          <w:tcPr>
            <w:tcW w:w="470" w:type="pct"/>
            <w:tcBorders>
              <w:bottom w:val="nil"/>
            </w:tcBorders>
            <w:shd w:val="clear" w:color="auto" w:fill="auto"/>
          </w:tcPr>
          <w:p w14:paraId="1B5923E2" w14:textId="79633FBF"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0.748</w:t>
            </w:r>
          </w:p>
        </w:tc>
        <w:tc>
          <w:tcPr>
            <w:tcW w:w="453" w:type="pct"/>
            <w:tcBorders>
              <w:bottom w:val="nil"/>
            </w:tcBorders>
            <w:shd w:val="clear" w:color="auto" w:fill="auto"/>
          </w:tcPr>
          <w:p w14:paraId="45C26114" w14:textId="088803E5"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0.816</w:t>
            </w:r>
          </w:p>
        </w:tc>
        <w:tc>
          <w:tcPr>
            <w:tcW w:w="453" w:type="pct"/>
            <w:tcBorders>
              <w:bottom w:val="nil"/>
            </w:tcBorders>
            <w:shd w:val="clear" w:color="auto" w:fill="auto"/>
          </w:tcPr>
          <w:p w14:paraId="4D131D26" w14:textId="0C622292"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0.89</w:t>
            </w:r>
          </w:p>
        </w:tc>
        <w:tc>
          <w:tcPr>
            <w:tcW w:w="453" w:type="pct"/>
            <w:tcBorders>
              <w:bottom w:val="nil"/>
            </w:tcBorders>
            <w:shd w:val="clear" w:color="auto" w:fill="auto"/>
          </w:tcPr>
          <w:p w14:paraId="71520F52" w14:textId="40256D6D"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0.826</w:t>
            </w:r>
          </w:p>
        </w:tc>
        <w:tc>
          <w:tcPr>
            <w:tcW w:w="542" w:type="pct"/>
            <w:tcBorders>
              <w:bottom w:val="nil"/>
            </w:tcBorders>
            <w:shd w:val="clear" w:color="auto" w:fill="auto"/>
          </w:tcPr>
          <w:p w14:paraId="7422B8CB" w14:textId="1F3FCA95"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1.0</w:t>
            </w:r>
          </w:p>
        </w:tc>
        <w:tc>
          <w:tcPr>
            <w:tcW w:w="1547" w:type="pct"/>
            <w:gridSpan w:val="2"/>
            <w:tcBorders>
              <w:bottom w:val="nil"/>
            </w:tcBorders>
            <w:shd w:val="clear" w:color="auto" w:fill="auto"/>
            <w:hideMark/>
          </w:tcPr>
          <w:p w14:paraId="73183542"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Probability of being neurotoxic. Category 1: Neurotoxic; Category 0: Non-neurotoxic.</w:t>
            </w:r>
          </w:p>
        </w:tc>
      </w:tr>
      <w:tr w:rsidR="00AD7CD2" w:rsidRPr="00065FE0" w14:paraId="57E1495E"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21731B0B" w14:textId="51905D7E"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(H) </w:t>
            </w:r>
            <w:r w:rsidR="00615BE3" w:rsidRPr="00065FE0">
              <w:rPr>
                <w:rFonts w:ascii="Times New Roman" w:eastAsia="Times New Roman" w:hAnsi="Times New Roman" w:cs="Times New Roman"/>
                <w:b/>
                <w:bCs/>
                <w:color w:val="000000"/>
                <w:sz w:val="18"/>
                <w:szCs w:val="18"/>
                <w:lang w:eastAsia="en-US"/>
              </w:rPr>
              <w:t>Environmental Toxicity</w:t>
            </w:r>
          </w:p>
        </w:tc>
      </w:tr>
      <w:tr w:rsidR="00DE7FA7" w:rsidRPr="00065FE0" w14:paraId="67A36DF5" w14:textId="77777777" w:rsidTr="005677BD">
        <w:trPr>
          <w:trHeight w:val="20"/>
        </w:trPr>
        <w:tc>
          <w:tcPr>
            <w:tcW w:w="1082" w:type="pct"/>
            <w:tcBorders>
              <w:top w:val="single" w:sz="4" w:space="0" w:color="auto"/>
            </w:tcBorders>
            <w:shd w:val="clear" w:color="auto" w:fill="auto"/>
            <w:hideMark/>
          </w:tcPr>
          <w:p w14:paraId="78C879DB"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Bioconcentration Factors</w:t>
            </w:r>
          </w:p>
        </w:tc>
        <w:tc>
          <w:tcPr>
            <w:tcW w:w="470" w:type="pct"/>
            <w:tcBorders>
              <w:top w:val="single" w:sz="4" w:space="0" w:color="auto"/>
            </w:tcBorders>
            <w:shd w:val="clear" w:color="auto" w:fill="auto"/>
          </w:tcPr>
          <w:p w14:paraId="3DF7B72D" w14:textId="7834EEDE"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1.348</w:t>
            </w:r>
          </w:p>
        </w:tc>
        <w:tc>
          <w:tcPr>
            <w:tcW w:w="453" w:type="pct"/>
            <w:tcBorders>
              <w:top w:val="single" w:sz="4" w:space="0" w:color="auto"/>
            </w:tcBorders>
            <w:shd w:val="clear" w:color="auto" w:fill="auto"/>
          </w:tcPr>
          <w:p w14:paraId="633B137C" w14:textId="59CC2195"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1.571</w:t>
            </w:r>
          </w:p>
        </w:tc>
        <w:tc>
          <w:tcPr>
            <w:tcW w:w="453" w:type="pct"/>
            <w:tcBorders>
              <w:top w:val="single" w:sz="4" w:space="0" w:color="auto"/>
            </w:tcBorders>
            <w:shd w:val="clear" w:color="auto" w:fill="auto"/>
          </w:tcPr>
          <w:p w14:paraId="6C676997" w14:textId="01721880"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0.829</w:t>
            </w:r>
          </w:p>
        </w:tc>
        <w:tc>
          <w:tcPr>
            <w:tcW w:w="453" w:type="pct"/>
            <w:tcBorders>
              <w:top w:val="single" w:sz="4" w:space="0" w:color="auto"/>
            </w:tcBorders>
            <w:shd w:val="clear" w:color="auto" w:fill="auto"/>
          </w:tcPr>
          <w:p w14:paraId="564AB51F" w14:textId="5046FE4D"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1.509</w:t>
            </w:r>
          </w:p>
        </w:tc>
        <w:tc>
          <w:tcPr>
            <w:tcW w:w="542" w:type="pct"/>
            <w:tcBorders>
              <w:top w:val="single" w:sz="4" w:space="0" w:color="auto"/>
            </w:tcBorders>
            <w:shd w:val="clear" w:color="auto" w:fill="auto"/>
          </w:tcPr>
          <w:p w14:paraId="0B135C6D" w14:textId="74E91A96"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1.374</w:t>
            </w:r>
          </w:p>
        </w:tc>
        <w:tc>
          <w:tcPr>
            <w:tcW w:w="1547" w:type="pct"/>
            <w:gridSpan w:val="2"/>
            <w:tcBorders>
              <w:top w:val="single" w:sz="4" w:space="0" w:color="auto"/>
            </w:tcBorders>
            <w:shd w:val="clear" w:color="auto" w:fill="auto"/>
            <w:hideMark/>
          </w:tcPr>
          <w:p w14:paraId="00CD863C"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Used for assessing risks to human health via the food chain. Unit: -log₁₀[(mg/L)/(1000*MW)].</w:t>
            </w:r>
          </w:p>
        </w:tc>
      </w:tr>
      <w:tr w:rsidR="00DE7FA7" w:rsidRPr="00065FE0" w14:paraId="44098775" w14:textId="77777777" w:rsidTr="005677BD">
        <w:trPr>
          <w:trHeight w:val="20"/>
        </w:trPr>
        <w:tc>
          <w:tcPr>
            <w:tcW w:w="1082" w:type="pct"/>
            <w:shd w:val="clear" w:color="auto" w:fill="auto"/>
            <w:hideMark/>
          </w:tcPr>
          <w:p w14:paraId="03BE38C2"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IGC₅₀</w:t>
            </w:r>
          </w:p>
        </w:tc>
        <w:tc>
          <w:tcPr>
            <w:tcW w:w="470" w:type="pct"/>
            <w:shd w:val="clear" w:color="auto" w:fill="auto"/>
          </w:tcPr>
          <w:p w14:paraId="339426DF" w14:textId="648B3548"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3.953</w:t>
            </w:r>
          </w:p>
        </w:tc>
        <w:tc>
          <w:tcPr>
            <w:tcW w:w="453" w:type="pct"/>
            <w:shd w:val="clear" w:color="auto" w:fill="auto"/>
          </w:tcPr>
          <w:p w14:paraId="55A3FBEC" w14:textId="3CC04C8F"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3.938</w:t>
            </w:r>
          </w:p>
        </w:tc>
        <w:tc>
          <w:tcPr>
            <w:tcW w:w="453" w:type="pct"/>
            <w:shd w:val="clear" w:color="auto" w:fill="auto"/>
          </w:tcPr>
          <w:p w14:paraId="0F046E72" w14:textId="248E8041"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3.391</w:t>
            </w:r>
          </w:p>
        </w:tc>
        <w:tc>
          <w:tcPr>
            <w:tcW w:w="453" w:type="pct"/>
            <w:shd w:val="clear" w:color="auto" w:fill="auto"/>
          </w:tcPr>
          <w:p w14:paraId="380DB97F" w14:textId="7A55EEC8"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3.905</w:t>
            </w:r>
          </w:p>
        </w:tc>
        <w:tc>
          <w:tcPr>
            <w:tcW w:w="542" w:type="pct"/>
            <w:shd w:val="clear" w:color="auto" w:fill="auto"/>
          </w:tcPr>
          <w:p w14:paraId="01920BD1" w14:textId="59CD5C02"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4.202</w:t>
            </w:r>
          </w:p>
        </w:tc>
        <w:tc>
          <w:tcPr>
            <w:tcW w:w="1547" w:type="pct"/>
            <w:gridSpan w:val="2"/>
            <w:shd w:val="clear" w:color="auto" w:fill="auto"/>
            <w:hideMark/>
          </w:tcPr>
          <w:p w14:paraId="5ADBF9C3"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Tetrahymena pyriformis 50% growth inhibition concentration. Unit: -log₁₀[(mg/L)/(1000*MW)].</w:t>
            </w:r>
          </w:p>
        </w:tc>
      </w:tr>
      <w:tr w:rsidR="00DE7FA7" w:rsidRPr="00065FE0" w14:paraId="1A085933" w14:textId="77777777" w:rsidTr="005677BD">
        <w:trPr>
          <w:trHeight w:val="20"/>
        </w:trPr>
        <w:tc>
          <w:tcPr>
            <w:tcW w:w="1082" w:type="pct"/>
            <w:shd w:val="clear" w:color="auto" w:fill="auto"/>
            <w:hideMark/>
          </w:tcPr>
          <w:p w14:paraId="3C9E5BBC"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LC₅₀ (FM)</w:t>
            </w:r>
          </w:p>
        </w:tc>
        <w:tc>
          <w:tcPr>
            <w:tcW w:w="470" w:type="pct"/>
            <w:shd w:val="clear" w:color="auto" w:fill="auto"/>
          </w:tcPr>
          <w:p w14:paraId="22321909" w14:textId="268DE819"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4.701</w:t>
            </w:r>
          </w:p>
        </w:tc>
        <w:tc>
          <w:tcPr>
            <w:tcW w:w="453" w:type="pct"/>
            <w:shd w:val="clear" w:color="auto" w:fill="auto"/>
          </w:tcPr>
          <w:p w14:paraId="76F72AA9" w14:textId="555BD2F4"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4.764</w:t>
            </w:r>
          </w:p>
        </w:tc>
        <w:tc>
          <w:tcPr>
            <w:tcW w:w="453" w:type="pct"/>
            <w:shd w:val="clear" w:color="auto" w:fill="auto"/>
          </w:tcPr>
          <w:p w14:paraId="032C7EAC" w14:textId="1287EC4C"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4.21</w:t>
            </w:r>
          </w:p>
        </w:tc>
        <w:tc>
          <w:tcPr>
            <w:tcW w:w="453" w:type="pct"/>
            <w:shd w:val="clear" w:color="auto" w:fill="auto"/>
          </w:tcPr>
          <w:p w14:paraId="5D0447E7" w14:textId="12AA2962"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4.648</w:t>
            </w:r>
          </w:p>
        </w:tc>
        <w:tc>
          <w:tcPr>
            <w:tcW w:w="542" w:type="pct"/>
            <w:shd w:val="clear" w:color="auto" w:fill="auto"/>
          </w:tcPr>
          <w:p w14:paraId="08474456" w14:textId="4EBAAC8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4.916</w:t>
            </w:r>
          </w:p>
        </w:tc>
        <w:tc>
          <w:tcPr>
            <w:tcW w:w="1547" w:type="pct"/>
            <w:gridSpan w:val="2"/>
            <w:shd w:val="clear" w:color="auto" w:fill="auto"/>
            <w:hideMark/>
          </w:tcPr>
          <w:p w14:paraId="3115527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96-hour fathead minnow 50% lethal concentration. Unit: -log₁₀[(mg/L)/(1000*MW)].</w:t>
            </w:r>
          </w:p>
        </w:tc>
      </w:tr>
      <w:tr w:rsidR="00DE7FA7" w:rsidRPr="00065FE0" w14:paraId="7C7A0439" w14:textId="77777777" w:rsidTr="005677BD">
        <w:trPr>
          <w:trHeight w:val="20"/>
        </w:trPr>
        <w:tc>
          <w:tcPr>
            <w:tcW w:w="1082" w:type="pct"/>
            <w:tcBorders>
              <w:bottom w:val="nil"/>
            </w:tcBorders>
            <w:shd w:val="clear" w:color="auto" w:fill="auto"/>
            <w:hideMark/>
          </w:tcPr>
          <w:p w14:paraId="4D52AA1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LC₅₀ (DM)</w:t>
            </w:r>
          </w:p>
        </w:tc>
        <w:tc>
          <w:tcPr>
            <w:tcW w:w="470" w:type="pct"/>
            <w:tcBorders>
              <w:bottom w:val="nil"/>
            </w:tcBorders>
            <w:shd w:val="clear" w:color="auto" w:fill="auto"/>
          </w:tcPr>
          <w:p w14:paraId="7753B613" w14:textId="73CC580A"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5.154</w:t>
            </w:r>
          </w:p>
        </w:tc>
        <w:tc>
          <w:tcPr>
            <w:tcW w:w="453" w:type="pct"/>
            <w:tcBorders>
              <w:bottom w:val="nil"/>
            </w:tcBorders>
            <w:shd w:val="clear" w:color="auto" w:fill="auto"/>
          </w:tcPr>
          <w:p w14:paraId="617CFDEC" w14:textId="4E142312"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5.296</w:t>
            </w:r>
          </w:p>
        </w:tc>
        <w:tc>
          <w:tcPr>
            <w:tcW w:w="453" w:type="pct"/>
            <w:tcBorders>
              <w:bottom w:val="nil"/>
            </w:tcBorders>
            <w:shd w:val="clear" w:color="auto" w:fill="auto"/>
          </w:tcPr>
          <w:p w14:paraId="13262CDD" w14:textId="24C6DC11"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4.74</w:t>
            </w:r>
          </w:p>
        </w:tc>
        <w:tc>
          <w:tcPr>
            <w:tcW w:w="453" w:type="pct"/>
            <w:tcBorders>
              <w:bottom w:val="nil"/>
            </w:tcBorders>
            <w:shd w:val="clear" w:color="auto" w:fill="auto"/>
          </w:tcPr>
          <w:p w14:paraId="3A93E3DE" w14:textId="4D788D80"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5.103</w:t>
            </w:r>
          </w:p>
        </w:tc>
        <w:tc>
          <w:tcPr>
            <w:tcW w:w="542" w:type="pct"/>
            <w:tcBorders>
              <w:bottom w:val="nil"/>
            </w:tcBorders>
            <w:shd w:val="clear" w:color="auto" w:fill="auto"/>
          </w:tcPr>
          <w:p w14:paraId="56997D5C" w14:textId="543D4FC9"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5.34</w:t>
            </w:r>
          </w:p>
        </w:tc>
        <w:tc>
          <w:tcPr>
            <w:tcW w:w="1547" w:type="pct"/>
            <w:gridSpan w:val="2"/>
            <w:tcBorders>
              <w:bottom w:val="nil"/>
            </w:tcBorders>
            <w:shd w:val="clear" w:color="auto" w:fill="auto"/>
            <w:hideMark/>
          </w:tcPr>
          <w:p w14:paraId="596B17B9"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48-hour Daphnia magna 50% lethal concentration. Unit: -log₁₀[(mg/L)/(1000*MW)].</w:t>
            </w:r>
          </w:p>
        </w:tc>
      </w:tr>
      <w:tr w:rsidR="00AD7CD2" w:rsidRPr="00065FE0" w14:paraId="6EADC014"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7000EDC0" w14:textId="3E47776C"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(I) </w:t>
            </w:r>
            <w:r w:rsidR="00615BE3" w:rsidRPr="00065FE0">
              <w:rPr>
                <w:rFonts w:ascii="Times New Roman" w:eastAsia="Times New Roman" w:hAnsi="Times New Roman" w:cs="Times New Roman"/>
                <w:b/>
                <w:bCs/>
                <w:color w:val="000000"/>
                <w:sz w:val="18"/>
                <w:szCs w:val="18"/>
                <w:lang w:eastAsia="en-US"/>
              </w:rPr>
              <w:t>Tox21 Pathway</w:t>
            </w:r>
          </w:p>
        </w:tc>
      </w:tr>
      <w:tr w:rsidR="00DE7FA7" w:rsidRPr="00065FE0" w14:paraId="5CF87440" w14:textId="77777777" w:rsidTr="005677BD">
        <w:trPr>
          <w:trHeight w:val="20"/>
        </w:trPr>
        <w:tc>
          <w:tcPr>
            <w:tcW w:w="1082" w:type="pct"/>
            <w:tcBorders>
              <w:top w:val="single" w:sz="4" w:space="0" w:color="auto"/>
            </w:tcBorders>
            <w:shd w:val="clear" w:color="auto" w:fill="auto"/>
            <w:hideMark/>
          </w:tcPr>
          <w:p w14:paraId="1AAEBDAC"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NR-</w:t>
            </w:r>
            <w:proofErr w:type="spellStart"/>
            <w:r w:rsidRPr="00065FE0">
              <w:rPr>
                <w:rFonts w:ascii="Times New Roman" w:eastAsia="Times New Roman" w:hAnsi="Times New Roman" w:cs="Times New Roman"/>
                <w:color w:val="000000"/>
                <w:sz w:val="18"/>
                <w:szCs w:val="18"/>
                <w:lang w:eastAsia="en-US"/>
              </w:rPr>
              <w:t>AhR</w:t>
            </w:r>
            <w:proofErr w:type="spellEnd"/>
          </w:p>
        </w:tc>
        <w:tc>
          <w:tcPr>
            <w:tcW w:w="470" w:type="pct"/>
            <w:tcBorders>
              <w:top w:val="single" w:sz="4" w:space="0" w:color="auto"/>
            </w:tcBorders>
            <w:shd w:val="clear" w:color="auto" w:fill="auto"/>
          </w:tcPr>
          <w:p w14:paraId="3CAF3372" w14:textId="75E2EB25"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0.038</w:t>
            </w:r>
          </w:p>
        </w:tc>
        <w:tc>
          <w:tcPr>
            <w:tcW w:w="453" w:type="pct"/>
            <w:tcBorders>
              <w:top w:val="single" w:sz="4" w:space="0" w:color="auto"/>
            </w:tcBorders>
            <w:shd w:val="clear" w:color="auto" w:fill="auto"/>
          </w:tcPr>
          <w:p w14:paraId="28556C97" w14:textId="0CAC803B"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0.833</w:t>
            </w:r>
          </w:p>
        </w:tc>
        <w:tc>
          <w:tcPr>
            <w:tcW w:w="453" w:type="pct"/>
            <w:tcBorders>
              <w:top w:val="single" w:sz="4" w:space="0" w:color="auto"/>
            </w:tcBorders>
            <w:shd w:val="clear" w:color="auto" w:fill="auto"/>
          </w:tcPr>
          <w:p w14:paraId="70339DF7" w14:textId="1ED0E6D4"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0.071</w:t>
            </w:r>
          </w:p>
        </w:tc>
        <w:tc>
          <w:tcPr>
            <w:tcW w:w="453" w:type="pct"/>
            <w:tcBorders>
              <w:top w:val="single" w:sz="4" w:space="0" w:color="auto"/>
            </w:tcBorders>
            <w:shd w:val="clear" w:color="auto" w:fill="auto"/>
          </w:tcPr>
          <w:p w14:paraId="07400704" w14:textId="3C000D54"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0.016</w:t>
            </w:r>
          </w:p>
        </w:tc>
        <w:tc>
          <w:tcPr>
            <w:tcW w:w="542" w:type="pct"/>
            <w:tcBorders>
              <w:top w:val="single" w:sz="4" w:space="0" w:color="auto"/>
            </w:tcBorders>
            <w:shd w:val="clear" w:color="auto" w:fill="auto"/>
          </w:tcPr>
          <w:p w14:paraId="3E59E8B7" w14:textId="3BBD4F69"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0.014</w:t>
            </w:r>
          </w:p>
        </w:tc>
        <w:tc>
          <w:tcPr>
            <w:tcW w:w="1547" w:type="pct"/>
            <w:gridSpan w:val="2"/>
            <w:tcBorders>
              <w:top w:val="single" w:sz="4" w:space="0" w:color="auto"/>
            </w:tcBorders>
            <w:shd w:val="clear" w:color="auto" w:fill="auto"/>
            <w:hideMark/>
          </w:tcPr>
          <w:p w14:paraId="1A417A2B"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Aryl hydrocarbon receptor. Category 1: Active; Category 0: Inactive.</w:t>
            </w:r>
          </w:p>
        </w:tc>
      </w:tr>
      <w:tr w:rsidR="00DE7FA7" w:rsidRPr="00065FE0" w14:paraId="5BB486B3" w14:textId="77777777" w:rsidTr="005677BD">
        <w:trPr>
          <w:trHeight w:val="20"/>
        </w:trPr>
        <w:tc>
          <w:tcPr>
            <w:tcW w:w="1082" w:type="pct"/>
            <w:shd w:val="clear" w:color="auto" w:fill="auto"/>
            <w:hideMark/>
          </w:tcPr>
          <w:p w14:paraId="429090AB"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NR-AR</w:t>
            </w:r>
          </w:p>
        </w:tc>
        <w:tc>
          <w:tcPr>
            <w:tcW w:w="470" w:type="pct"/>
            <w:shd w:val="clear" w:color="auto" w:fill="auto"/>
          </w:tcPr>
          <w:p w14:paraId="3F0ACCA8" w14:textId="0971D07E"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0.002</w:t>
            </w:r>
          </w:p>
        </w:tc>
        <w:tc>
          <w:tcPr>
            <w:tcW w:w="453" w:type="pct"/>
            <w:shd w:val="clear" w:color="auto" w:fill="auto"/>
          </w:tcPr>
          <w:p w14:paraId="1C5A2F63" w14:textId="0FE512E9"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0.002</w:t>
            </w:r>
          </w:p>
        </w:tc>
        <w:tc>
          <w:tcPr>
            <w:tcW w:w="453" w:type="pct"/>
            <w:shd w:val="clear" w:color="auto" w:fill="auto"/>
          </w:tcPr>
          <w:p w14:paraId="4AD8A116" w14:textId="64A46201"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0.004</w:t>
            </w:r>
          </w:p>
        </w:tc>
        <w:tc>
          <w:tcPr>
            <w:tcW w:w="453" w:type="pct"/>
            <w:shd w:val="clear" w:color="auto" w:fill="auto"/>
          </w:tcPr>
          <w:p w14:paraId="73A8A4B4" w14:textId="279741CF"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542" w:type="pct"/>
            <w:shd w:val="clear" w:color="auto" w:fill="auto"/>
          </w:tcPr>
          <w:p w14:paraId="27C373D2" w14:textId="14D2D14C"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0.022</w:t>
            </w:r>
          </w:p>
        </w:tc>
        <w:tc>
          <w:tcPr>
            <w:tcW w:w="1547" w:type="pct"/>
            <w:gridSpan w:val="2"/>
            <w:shd w:val="clear" w:color="auto" w:fill="auto"/>
            <w:hideMark/>
          </w:tcPr>
          <w:p w14:paraId="103EFE7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Androgen receptor. Category 1: Active; Category 0: Inactive.</w:t>
            </w:r>
          </w:p>
        </w:tc>
      </w:tr>
      <w:tr w:rsidR="00DE7FA7" w:rsidRPr="00065FE0" w14:paraId="7C5BD88A" w14:textId="77777777" w:rsidTr="005677BD">
        <w:trPr>
          <w:trHeight w:val="20"/>
        </w:trPr>
        <w:tc>
          <w:tcPr>
            <w:tcW w:w="1082" w:type="pct"/>
            <w:shd w:val="clear" w:color="auto" w:fill="auto"/>
            <w:hideMark/>
          </w:tcPr>
          <w:p w14:paraId="37A063B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NR-AR-LBD</w:t>
            </w:r>
          </w:p>
        </w:tc>
        <w:tc>
          <w:tcPr>
            <w:tcW w:w="470" w:type="pct"/>
            <w:shd w:val="clear" w:color="auto" w:fill="auto"/>
          </w:tcPr>
          <w:p w14:paraId="1F1DF910" w14:textId="1E90BE63"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0.003</w:t>
            </w:r>
          </w:p>
        </w:tc>
        <w:tc>
          <w:tcPr>
            <w:tcW w:w="453" w:type="pct"/>
            <w:shd w:val="clear" w:color="auto" w:fill="auto"/>
          </w:tcPr>
          <w:p w14:paraId="5BE89A46" w14:textId="1DB34FEE"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453" w:type="pct"/>
            <w:shd w:val="clear" w:color="auto" w:fill="auto"/>
          </w:tcPr>
          <w:p w14:paraId="057369DE" w14:textId="6B1B885B"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37B1157B" w14:textId="127CE4F6"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0.002</w:t>
            </w:r>
          </w:p>
        </w:tc>
        <w:tc>
          <w:tcPr>
            <w:tcW w:w="542" w:type="pct"/>
            <w:shd w:val="clear" w:color="auto" w:fill="auto"/>
          </w:tcPr>
          <w:p w14:paraId="1F91F37E" w14:textId="0680B876"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0.002</w:t>
            </w:r>
          </w:p>
        </w:tc>
        <w:tc>
          <w:tcPr>
            <w:tcW w:w="1547" w:type="pct"/>
            <w:gridSpan w:val="2"/>
            <w:shd w:val="clear" w:color="auto" w:fill="auto"/>
            <w:hideMark/>
          </w:tcPr>
          <w:p w14:paraId="3D36DA27"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Androgen receptor ligand-binding domain. Category 1: Active; Category 0: Inactive.</w:t>
            </w:r>
          </w:p>
        </w:tc>
      </w:tr>
      <w:tr w:rsidR="00DE7FA7" w:rsidRPr="00065FE0" w14:paraId="1A7842C5" w14:textId="77777777" w:rsidTr="005677BD">
        <w:trPr>
          <w:trHeight w:val="20"/>
        </w:trPr>
        <w:tc>
          <w:tcPr>
            <w:tcW w:w="1082" w:type="pct"/>
            <w:shd w:val="clear" w:color="auto" w:fill="auto"/>
            <w:hideMark/>
          </w:tcPr>
          <w:p w14:paraId="6A8F262F"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NR-Aromatase</w:t>
            </w:r>
          </w:p>
        </w:tc>
        <w:tc>
          <w:tcPr>
            <w:tcW w:w="470" w:type="pct"/>
            <w:shd w:val="clear" w:color="auto" w:fill="auto"/>
          </w:tcPr>
          <w:p w14:paraId="10B8C340" w14:textId="2C19A0A2"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0.013</w:t>
            </w:r>
          </w:p>
        </w:tc>
        <w:tc>
          <w:tcPr>
            <w:tcW w:w="453" w:type="pct"/>
            <w:shd w:val="clear" w:color="auto" w:fill="auto"/>
          </w:tcPr>
          <w:p w14:paraId="1B27307D" w14:textId="41A7C46D"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0.027</w:t>
            </w:r>
          </w:p>
        </w:tc>
        <w:tc>
          <w:tcPr>
            <w:tcW w:w="453" w:type="pct"/>
            <w:shd w:val="clear" w:color="auto" w:fill="auto"/>
          </w:tcPr>
          <w:p w14:paraId="497BF4C4" w14:textId="575D728A"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0.024</w:t>
            </w:r>
          </w:p>
        </w:tc>
        <w:tc>
          <w:tcPr>
            <w:tcW w:w="453" w:type="pct"/>
            <w:shd w:val="clear" w:color="auto" w:fill="auto"/>
          </w:tcPr>
          <w:p w14:paraId="3369D660" w14:textId="73581222"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542" w:type="pct"/>
            <w:shd w:val="clear" w:color="auto" w:fill="auto"/>
          </w:tcPr>
          <w:p w14:paraId="7E51EC2D" w14:textId="600334E3"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0.039</w:t>
            </w:r>
          </w:p>
        </w:tc>
        <w:tc>
          <w:tcPr>
            <w:tcW w:w="1547" w:type="pct"/>
            <w:gridSpan w:val="2"/>
            <w:shd w:val="clear" w:color="auto" w:fill="auto"/>
            <w:hideMark/>
          </w:tcPr>
          <w:p w14:paraId="27DE693E"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Aromatase. Category 1: Active; Category 0: Inactive.</w:t>
            </w:r>
          </w:p>
        </w:tc>
      </w:tr>
      <w:tr w:rsidR="00DE7FA7" w:rsidRPr="00065FE0" w14:paraId="528A357C" w14:textId="77777777" w:rsidTr="005677BD">
        <w:trPr>
          <w:trHeight w:val="20"/>
        </w:trPr>
        <w:tc>
          <w:tcPr>
            <w:tcW w:w="1082" w:type="pct"/>
            <w:shd w:val="clear" w:color="auto" w:fill="auto"/>
            <w:hideMark/>
          </w:tcPr>
          <w:p w14:paraId="12A651D7"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NR-ER</w:t>
            </w:r>
          </w:p>
        </w:tc>
        <w:tc>
          <w:tcPr>
            <w:tcW w:w="470" w:type="pct"/>
            <w:shd w:val="clear" w:color="auto" w:fill="auto"/>
          </w:tcPr>
          <w:p w14:paraId="119E6985" w14:textId="04990D85"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0.071</w:t>
            </w:r>
          </w:p>
        </w:tc>
        <w:tc>
          <w:tcPr>
            <w:tcW w:w="453" w:type="pct"/>
            <w:shd w:val="clear" w:color="auto" w:fill="auto"/>
          </w:tcPr>
          <w:p w14:paraId="0542C094" w14:textId="2C31FDB5"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0.126</w:t>
            </w:r>
          </w:p>
        </w:tc>
        <w:tc>
          <w:tcPr>
            <w:tcW w:w="453" w:type="pct"/>
            <w:shd w:val="clear" w:color="auto" w:fill="auto"/>
          </w:tcPr>
          <w:p w14:paraId="6CE29626" w14:textId="4B05AACF"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0.05</w:t>
            </w:r>
          </w:p>
        </w:tc>
        <w:tc>
          <w:tcPr>
            <w:tcW w:w="453" w:type="pct"/>
            <w:shd w:val="clear" w:color="auto" w:fill="auto"/>
          </w:tcPr>
          <w:p w14:paraId="4BA72C56" w14:textId="137CCFA8"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0.157</w:t>
            </w:r>
          </w:p>
        </w:tc>
        <w:tc>
          <w:tcPr>
            <w:tcW w:w="542" w:type="pct"/>
            <w:shd w:val="clear" w:color="auto" w:fill="auto"/>
          </w:tcPr>
          <w:p w14:paraId="675CB4E2" w14:textId="58C642B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0.261</w:t>
            </w:r>
          </w:p>
        </w:tc>
        <w:tc>
          <w:tcPr>
            <w:tcW w:w="1547" w:type="pct"/>
            <w:gridSpan w:val="2"/>
            <w:shd w:val="clear" w:color="auto" w:fill="auto"/>
            <w:hideMark/>
          </w:tcPr>
          <w:p w14:paraId="6A94338A"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Estrogen receptor. Category 1: Active; Category 0: Inactive.</w:t>
            </w:r>
          </w:p>
        </w:tc>
      </w:tr>
      <w:tr w:rsidR="00DE7FA7" w:rsidRPr="00065FE0" w14:paraId="1CE2FB50" w14:textId="77777777" w:rsidTr="005677BD">
        <w:trPr>
          <w:trHeight w:val="20"/>
        </w:trPr>
        <w:tc>
          <w:tcPr>
            <w:tcW w:w="1082" w:type="pct"/>
            <w:shd w:val="clear" w:color="auto" w:fill="auto"/>
            <w:hideMark/>
          </w:tcPr>
          <w:p w14:paraId="1B32B5A8"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NR-ER-LBD</w:t>
            </w:r>
          </w:p>
        </w:tc>
        <w:tc>
          <w:tcPr>
            <w:tcW w:w="470" w:type="pct"/>
            <w:shd w:val="clear" w:color="auto" w:fill="auto"/>
          </w:tcPr>
          <w:p w14:paraId="036FBF2F" w14:textId="652133CF"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0.002</w:t>
            </w:r>
          </w:p>
        </w:tc>
        <w:tc>
          <w:tcPr>
            <w:tcW w:w="453" w:type="pct"/>
            <w:shd w:val="clear" w:color="auto" w:fill="auto"/>
          </w:tcPr>
          <w:p w14:paraId="710616AF" w14:textId="761A1A11"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0.002</w:t>
            </w:r>
          </w:p>
        </w:tc>
        <w:tc>
          <w:tcPr>
            <w:tcW w:w="453" w:type="pct"/>
            <w:shd w:val="clear" w:color="auto" w:fill="auto"/>
          </w:tcPr>
          <w:p w14:paraId="11A122A6" w14:textId="7E5A749E"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0.003</w:t>
            </w:r>
          </w:p>
        </w:tc>
        <w:tc>
          <w:tcPr>
            <w:tcW w:w="453" w:type="pct"/>
            <w:shd w:val="clear" w:color="auto" w:fill="auto"/>
          </w:tcPr>
          <w:p w14:paraId="6DBB0382" w14:textId="1ACA442E"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542" w:type="pct"/>
            <w:shd w:val="clear" w:color="auto" w:fill="auto"/>
          </w:tcPr>
          <w:p w14:paraId="3A827DD3" w14:textId="6E31110C"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1547" w:type="pct"/>
            <w:gridSpan w:val="2"/>
            <w:shd w:val="clear" w:color="auto" w:fill="auto"/>
            <w:hideMark/>
          </w:tcPr>
          <w:p w14:paraId="3B21DB33"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Estrogen receptor ligand-binding domain. Category 1: Active; Category 0: Inactive.</w:t>
            </w:r>
          </w:p>
        </w:tc>
      </w:tr>
      <w:tr w:rsidR="00DE7FA7" w:rsidRPr="00065FE0" w14:paraId="329D9128" w14:textId="77777777" w:rsidTr="005677BD">
        <w:trPr>
          <w:trHeight w:val="20"/>
        </w:trPr>
        <w:tc>
          <w:tcPr>
            <w:tcW w:w="1082" w:type="pct"/>
            <w:shd w:val="clear" w:color="auto" w:fill="auto"/>
            <w:hideMark/>
          </w:tcPr>
          <w:p w14:paraId="4ACFDFFD"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NR-PPAR-gamma</w:t>
            </w:r>
          </w:p>
        </w:tc>
        <w:tc>
          <w:tcPr>
            <w:tcW w:w="470" w:type="pct"/>
            <w:shd w:val="clear" w:color="auto" w:fill="auto"/>
          </w:tcPr>
          <w:p w14:paraId="23D0C208" w14:textId="68039CED"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1AB06D92" w14:textId="61735BDD"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7D684A82" w14:textId="65CF99DF"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0.003</w:t>
            </w:r>
          </w:p>
        </w:tc>
        <w:tc>
          <w:tcPr>
            <w:tcW w:w="453" w:type="pct"/>
            <w:shd w:val="clear" w:color="auto" w:fill="auto"/>
          </w:tcPr>
          <w:p w14:paraId="24FF6094" w14:textId="264396B1"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542" w:type="pct"/>
            <w:shd w:val="clear" w:color="auto" w:fill="auto"/>
          </w:tcPr>
          <w:p w14:paraId="7428D146" w14:textId="1A545E1E"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1547" w:type="pct"/>
            <w:gridSpan w:val="2"/>
            <w:shd w:val="clear" w:color="auto" w:fill="auto"/>
            <w:hideMark/>
          </w:tcPr>
          <w:p w14:paraId="5CF15D8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Peroxisome proliferator-activated receptor gamma. Category 1: Active; Category 0: Inactive.</w:t>
            </w:r>
          </w:p>
        </w:tc>
      </w:tr>
      <w:tr w:rsidR="00DE7FA7" w:rsidRPr="00065FE0" w14:paraId="07D11EDD" w14:textId="77777777" w:rsidTr="005677BD">
        <w:trPr>
          <w:trHeight w:val="20"/>
        </w:trPr>
        <w:tc>
          <w:tcPr>
            <w:tcW w:w="1082" w:type="pct"/>
            <w:shd w:val="clear" w:color="auto" w:fill="auto"/>
            <w:hideMark/>
          </w:tcPr>
          <w:p w14:paraId="61D67D34"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SR-ARE</w:t>
            </w:r>
          </w:p>
        </w:tc>
        <w:tc>
          <w:tcPr>
            <w:tcW w:w="470" w:type="pct"/>
            <w:shd w:val="clear" w:color="auto" w:fill="auto"/>
          </w:tcPr>
          <w:p w14:paraId="7C8E0D47" w14:textId="3E476208"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w:t>
            </w:r>
          </w:p>
        </w:tc>
        <w:tc>
          <w:tcPr>
            <w:tcW w:w="453" w:type="pct"/>
            <w:shd w:val="clear" w:color="auto" w:fill="auto"/>
          </w:tcPr>
          <w:p w14:paraId="70A05161" w14:textId="3314CC5D"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0.012</w:t>
            </w:r>
          </w:p>
        </w:tc>
        <w:tc>
          <w:tcPr>
            <w:tcW w:w="453" w:type="pct"/>
            <w:shd w:val="clear" w:color="auto" w:fill="auto"/>
          </w:tcPr>
          <w:p w14:paraId="515EE85A" w14:textId="40206F1A"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4104B71C" w14:textId="3020B72D"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0.005</w:t>
            </w:r>
          </w:p>
        </w:tc>
        <w:tc>
          <w:tcPr>
            <w:tcW w:w="542" w:type="pct"/>
            <w:shd w:val="clear" w:color="auto" w:fill="auto"/>
          </w:tcPr>
          <w:p w14:paraId="6CF19505" w14:textId="4F0535BA"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0.237</w:t>
            </w:r>
          </w:p>
        </w:tc>
        <w:tc>
          <w:tcPr>
            <w:tcW w:w="1547" w:type="pct"/>
            <w:gridSpan w:val="2"/>
            <w:shd w:val="clear" w:color="auto" w:fill="auto"/>
            <w:hideMark/>
          </w:tcPr>
          <w:p w14:paraId="0AEED79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Antioxidant response element. Category 1: Active; Category 0: Inactive.</w:t>
            </w:r>
          </w:p>
        </w:tc>
      </w:tr>
      <w:tr w:rsidR="00DE7FA7" w:rsidRPr="00065FE0" w14:paraId="20E8B0EC" w14:textId="77777777" w:rsidTr="005677BD">
        <w:trPr>
          <w:trHeight w:val="20"/>
        </w:trPr>
        <w:tc>
          <w:tcPr>
            <w:tcW w:w="1082" w:type="pct"/>
            <w:shd w:val="clear" w:color="auto" w:fill="auto"/>
            <w:hideMark/>
          </w:tcPr>
          <w:p w14:paraId="7C99AC71"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lastRenderedPageBreak/>
              <w:t>SR-ATAD5</w:t>
            </w:r>
          </w:p>
        </w:tc>
        <w:tc>
          <w:tcPr>
            <w:tcW w:w="470" w:type="pct"/>
            <w:shd w:val="clear" w:color="auto" w:fill="auto"/>
          </w:tcPr>
          <w:p w14:paraId="2E79790B" w14:textId="10B83615"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453" w:type="pct"/>
            <w:shd w:val="clear" w:color="auto" w:fill="auto"/>
          </w:tcPr>
          <w:p w14:paraId="05255691" w14:textId="1CEAF07E"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453" w:type="pct"/>
            <w:shd w:val="clear" w:color="auto" w:fill="auto"/>
          </w:tcPr>
          <w:p w14:paraId="0476BBAA" w14:textId="22D6A399"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0.007</w:t>
            </w:r>
          </w:p>
        </w:tc>
        <w:tc>
          <w:tcPr>
            <w:tcW w:w="453" w:type="pct"/>
            <w:shd w:val="clear" w:color="auto" w:fill="auto"/>
          </w:tcPr>
          <w:p w14:paraId="5A0A2B11" w14:textId="152ACFF8"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w:t>
            </w:r>
          </w:p>
        </w:tc>
        <w:tc>
          <w:tcPr>
            <w:tcW w:w="542" w:type="pct"/>
            <w:shd w:val="clear" w:color="auto" w:fill="auto"/>
          </w:tcPr>
          <w:p w14:paraId="532321DD" w14:textId="4E28E903"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0.986</w:t>
            </w:r>
          </w:p>
        </w:tc>
        <w:tc>
          <w:tcPr>
            <w:tcW w:w="1547" w:type="pct"/>
            <w:gridSpan w:val="2"/>
            <w:shd w:val="clear" w:color="auto" w:fill="auto"/>
            <w:hideMark/>
          </w:tcPr>
          <w:p w14:paraId="05D6EA57"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ATPase family AAA domain-containing protein 5. Category 1: Active; Category 0: Inactive.</w:t>
            </w:r>
          </w:p>
        </w:tc>
      </w:tr>
      <w:tr w:rsidR="00DE7FA7" w:rsidRPr="00065FE0" w14:paraId="7E5C17D7" w14:textId="77777777" w:rsidTr="005677BD">
        <w:trPr>
          <w:trHeight w:val="20"/>
        </w:trPr>
        <w:tc>
          <w:tcPr>
            <w:tcW w:w="1082" w:type="pct"/>
            <w:shd w:val="clear" w:color="auto" w:fill="auto"/>
            <w:hideMark/>
          </w:tcPr>
          <w:p w14:paraId="19D812BF"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SR-HSE</w:t>
            </w:r>
          </w:p>
        </w:tc>
        <w:tc>
          <w:tcPr>
            <w:tcW w:w="470" w:type="pct"/>
            <w:shd w:val="clear" w:color="auto" w:fill="auto"/>
          </w:tcPr>
          <w:p w14:paraId="1153E808" w14:textId="7768AE87"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0.003</w:t>
            </w:r>
          </w:p>
        </w:tc>
        <w:tc>
          <w:tcPr>
            <w:tcW w:w="453" w:type="pct"/>
            <w:shd w:val="clear" w:color="auto" w:fill="auto"/>
          </w:tcPr>
          <w:p w14:paraId="5AF928B0" w14:textId="254D2D9F"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0.018</w:t>
            </w:r>
          </w:p>
        </w:tc>
        <w:tc>
          <w:tcPr>
            <w:tcW w:w="453" w:type="pct"/>
            <w:shd w:val="clear" w:color="auto" w:fill="auto"/>
          </w:tcPr>
          <w:p w14:paraId="239AC11B" w14:textId="0E49D51E"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0.023</w:t>
            </w:r>
          </w:p>
        </w:tc>
        <w:tc>
          <w:tcPr>
            <w:tcW w:w="453" w:type="pct"/>
            <w:shd w:val="clear" w:color="auto" w:fill="auto"/>
          </w:tcPr>
          <w:p w14:paraId="02EEE222" w14:textId="4BB4CC8E"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542" w:type="pct"/>
            <w:shd w:val="clear" w:color="auto" w:fill="auto"/>
          </w:tcPr>
          <w:p w14:paraId="2165E41B" w14:textId="04D8D90E"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1547" w:type="pct"/>
            <w:gridSpan w:val="2"/>
            <w:shd w:val="clear" w:color="auto" w:fill="auto"/>
            <w:hideMark/>
          </w:tcPr>
          <w:p w14:paraId="5CECAAAA"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Heat shock factor response element. Category 1: Active; Category 0: Inactive.</w:t>
            </w:r>
          </w:p>
        </w:tc>
      </w:tr>
      <w:tr w:rsidR="00DE7FA7" w:rsidRPr="00065FE0" w14:paraId="7C443F73" w14:textId="77777777" w:rsidTr="005677BD">
        <w:trPr>
          <w:trHeight w:val="20"/>
        </w:trPr>
        <w:tc>
          <w:tcPr>
            <w:tcW w:w="1082" w:type="pct"/>
            <w:shd w:val="clear" w:color="auto" w:fill="auto"/>
            <w:hideMark/>
          </w:tcPr>
          <w:p w14:paraId="2E0B9C60"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SR-MMP</w:t>
            </w:r>
          </w:p>
        </w:tc>
        <w:tc>
          <w:tcPr>
            <w:tcW w:w="470" w:type="pct"/>
            <w:shd w:val="clear" w:color="auto" w:fill="auto"/>
          </w:tcPr>
          <w:p w14:paraId="0E7ADFBA" w14:textId="13DEFD99"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0.008</w:t>
            </w:r>
          </w:p>
        </w:tc>
        <w:tc>
          <w:tcPr>
            <w:tcW w:w="453" w:type="pct"/>
            <w:shd w:val="clear" w:color="auto" w:fill="auto"/>
          </w:tcPr>
          <w:p w14:paraId="1AE595AD" w14:textId="1C27016C"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0.004</w:t>
            </w:r>
          </w:p>
        </w:tc>
        <w:tc>
          <w:tcPr>
            <w:tcW w:w="453" w:type="pct"/>
            <w:shd w:val="clear" w:color="auto" w:fill="auto"/>
          </w:tcPr>
          <w:p w14:paraId="74ABBCAD" w14:textId="1A5F478F"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0.006</w:t>
            </w:r>
          </w:p>
        </w:tc>
        <w:tc>
          <w:tcPr>
            <w:tcW w:w="453" w:type="pct"/>
            <w:shd w:val="clear" w:color="auto" w:fill="auto"/>
          </w:tcPr>
          <w:p w14:paraId="7B7226D7" w14:textId="6C684827"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0.001</w:t>
            </w:r>
          </w:p>
        </w:tc>
        <w:tc>
          <w:tcPr>
            <w:tcW w:w="542" w:type="pct"/>
            <w:shd w:val="clear" w:color="auto" w:fill="auto"/>
          </w:tcPr>
          <w:p w14:paraId="6548F8D2" w14:textId="2F798CB9"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0.02</w:t>
            </w:r>
          </w:p>
        </w:tc>
        <w:tc>
          <w:tcPr>
            <w:tcW w:w="1547" w:type="pct"/>
            <w:gridSpan w:val="2"/>
            <w:shd w:val="clear" w:color="auto" w:fill="auto"/>
            <w:hideMark/>
          </w:tcPr>
          <w:p w14:paraId="3B7E6DBA"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Mitochondrial membrane potential. Category 1: Active; Category 0: Inactive.</w:t>
            </w:r>
          </w:p>
        </w:tc>
      </w:tr>
      <w:tr w:rsidR="00DE7FA7" w:rsidRPr="00065FE0" w14:paraId="7F51D5C2" w14:textId="77777777" w:rsidTr="005677BD">
        <w:trPr>
          <w:trHeight w:val="20"/>
        </w:trPr>
        <w:tc>
          <w:tcPr>
            <w:tcW w:w="1082" w:type="pct"/>
            <w:tcBorders>
              <w:bottom w:val="nil"/>
            </w:tcBorders>
            <w:shd w:val="clear" w:color="auto" w:fill="auto"/>
            <w:hideMark/>
          </w:tcPr>
          <w:p w14:paraId="61431889"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SR-p53</w:t>
            </w:r>
          </w:p>
        </w:tc>
        <w:tc>
          <w:tcPr>
            <w:tcW w:w="470" w:type="pct"/>
            <w:tcBorders>
              <w:bottom w:val="nil"/>
            </w:tcBorders>
            <w:shd w:val="clear" w:color="auto" w:fill="auto"/>
          </w:tcPr>
          <w:p w14:paraId="6611200D" w14:textId="694C710B"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0.013</w:t>
            </w:r>
          </w:p>
        </w:tc>
        <w:tc>
          <w:tcPr>
            <w:tcW w:w="453" w:type="pct"/>
            <w:tcBorders>
              <w:bottom w:val="nil"/>
            </w:tcBorders>
            <w:shd w:val="clear" w:color="auto" w:fill="auto"/>
          </w:tcPr>
          <w:p w14:paraId="3A077C39" w14:textId="3880D610"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0.043</w:t>
            </w:r>
          </w:p>
        </w:tc>
        <w:tc>
          <w:tcPr>
            <w:tcW w:w="453" w:type="pct"/>
            <w:tcBorders>
              <w:bottom w:val="nil"/>
            </w:tcBorders>
            <w:shd w:val="clear" w:color="auto" w:fill="auto"/>
          </w:tcPr>
          <w:p w14:paraId="4C3566F4" w14:textId="5E354C95"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0.143</w:t>
            </w:r>
          </w:p>
        </w:tc>
        <w:tc>
          <w:tcPr>
            <w:tcW w:w="453" w:type="pct"/>
            <w:tcBorders>
              <w:bottom w:val="nil"/>
            </w:tcBorders>
            <w:shd w:val="clear" w:color="auto" w:fill="auto"/>
          </w:tcPr>
          <w:p w14:paraId="37BB8D16" w14:textId="41EC7161"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0.005</w:t>
            </w:r>
          </w:p>
        </w:tc>
        <w:tc>
          <w:tcPr>
            <w:tcW w:w="542" w:type="pct"/>
            <w:tcBorders>
              <w:bottom w:val="nil"/>
            </w:tcBorders>
            <w:shd w:val="clear" w:color="auto" w:fill="auto"/>
          </w:tcPr>
          <w:p w14:paraId="312054CB" w14:textId="0AC340A9"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0.047</w:t>
            </w:r>
          </w:p>
        </w:tc>
        <w:tc>
          <w:tcPr>
            <w:tcW w:w="1547" w:type="pct"/>
            <w:gridSpan w:val="2"/>
            <w:tcBorders>
              <w:bottom w:val="nil"/>
            </w:tcBorders>
            <w:shd w:val="clear" w:color="auto" w:fill="auto"/>
            <w:hideMark/>
          </w:tcPr>
          <w:p w14:paraId="4061B461"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Tumor suppressor protein p53. Category 1: Active; Category 0: Inactive.</w:t>
            </w:r>
          </w:p>
        </w:tc>
      </w:tr>
      <w:tr w:rsidR="00AD7CD2" w:rsidRPr="00065FE0" w14:paraId="06D8B24D" w14:textId="77777777" w:rsidTr="005677BD">
        <w:trPr>
          <w:gridAfter w:val="1"/>
          <w:wAfter w:w="9" w:type="pct"/>
          <w:trHeight w:val="20"/>
        </w:trPr>
        <w:tc>
          <w:tcPr>
            <w:tcW w:w="4991" w:type="pct"/>
            <w:gridSpan w:val="7"/>
            <w:tcBorders>
              <w:bottom w:val="single" w:sz="4" w:space="0" w:color="auto"/>
            </w:tcBorders>
            <w:shd w:val="clear" w:color="auto" w:fill="auto"/>
            <w:noWrap/>
            <w:vAlign w:val="center"/>
            <w:hideMark/>
          </w:tcPr>
          <w:p w14:paraId="01828298" w14:textId="7EA387A2" w:rsidR="00615BE3" w:rsidRPr="00065FE0" w:rsidRDefault="00DE7FA7" w:rsidP="00DE7FA7">
            <w:pPr>
              <w:spacing w:after="0" w:line="240" w:lineRule="auto"/>
              <w:rPr>
                <w:rFonts w:ascii="Times New Roman" w:eastAsia="Times New Roman" w:hAnsi="Times New Roman" w:cs="Times New Roman"/>
                <w:b/>
                <w:bCs/>
                <w:color w:val="000000"/>
                <w:sz w:val="18"/>
                <w:szCs w:val="18"/>
                <w:lang w:eastAsia="en-US"/>
              </w:rPr>
            </w:pPr>
            <w:r w:rsidRPr="00065FE0">
              <w:rPr>
                <w:rFonts w:ascii="Times New Roman" w:eastAsia="Times New Roman" w:hAnsi="Times New Roman" w:cs="Times New Roman"/>
                <w:b/>
                <w:bCs/>
                <w:color w:val="000000"/>
                <w:sz w:val="18"/>
                <w:szCs w:val="18"/>
                <w:lang w:eastAsia="en-US"/>
              </w:rPr>
              <w:t xml:space="preserve">(J) </w:t>
            </w:r>
            <w:proofErr w:type="spellStart"/>
            <w:r w:rsidR="00615BE3" w:rsidRPr="00065FE0">
              <w:rPr>
                <w:rFonts w:ascii="Times New Roman" w:eastAsia="Times New Roman" w:hAnsi="Times New Roman" w:cs="Times New Roman"/>
                <w:b/>
                <w:bCs/>
                <w:color w:val="000000"/>
                <w:sz w:val="18"/>
                <w:szCs w:val="18"/>
                <w:lang w:eastAsia="en-US"/>
              </w:rPr>
              <w:t>Toxicophore</w:t>
            </w:r>
            <w:proofErr w:type="spellEnd"/>
            <w:r w:rsidR="00615BE3" w:rsidRPr="00065FE0">
              <w:rPr>
                <w:rFonts w:ascii="Times New Roman" w:eastAsia="Times New Roman" w:hAnsi="Times New Roman" w:cs="Times New Roman"/>
                <w:b/>
                <w:bCs/>
                <w:color w:val="000000"/>
                <w:sz w:val="18"/>
                <w:szCs w:val="18"/>
                <w:lang w:eastAsia="en-US"/>
              </w:rPr>
              <w:t xml:space="preserve"> Rules</w:t>
            </w:r>
          </w:p>
        </w:tc>
      </w:tr>
      <w:tr w:rsidR="00DE7FA7" w:rsidRPr="00065FE0" w14:paraId="5A343800" w14:textId="77777777" w:rsidTr="005677BD">
        <w:trPr>
          <w:trHeight w:val="20"/>
        </w:trPr>
        <w:tc>
          <w:tcPr>
            <w:tcW w:w="1082" w:type="pct"/>
            <w:tcBorders>
              <w:top w:val="single" w:sz="4" w:space="0" w:color="auto"/>
            </w:tcBorders>
            <w:shd w:val="clear" w:color="auto" w:fill="auto"/>
            <w:hideMark/>
          </w:tcPr>
          <w:p w14:paraId="423CE67A"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Acute Toxicity Rule</w:t>
            </w:r>
          </w:p>
        </w:tc>
        <w:tc>
          <w:tcPr>
            <w:tcW w:w="470" w:type="pct"/>
            <w:tcBorders>
              <w:top w:val="single" w:sz="4" w:space="0" w:color="auto"/>
            </w:tcBorders>
            <w:shd w:val="clear" w:color="auto" w:fill="auto"/>
          </w:tcPr>
          <w:p w14:paraId="3562A5A2" w14:textId="3499971A"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tcBorders>
              <w:top w:val="single" w:sz="4" w:space="0" w:color="auto"/>
            </w:tcBorders>
            <w:shd w:val="clear" w:color="auto" w:fill="auto"/>
          </w:tcPr>
          <w:p w14:paraId="247908C7" w14:textId="3548825F"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tcBorders>
              <w:top w:val="single" w:sz="4" w:space="0" w:color="auto"/>
            </w:tcBorders>
            <w:shd w:val="clear" w:color="auto" w:fill="auto"/>
          </w:tcPr>
          <w:p w14:paraId="5252745D" w14:textId="3DC7D834"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tcBorders>
              <w:top w:val="single" w:sz="4" w:space="0" w:color="auto"/>
            </w:tcBorders>
            <w:shd w:val="clear" w:color="auto" w:fill="auto"/>
          </w:tcPr>
          <w:p w14:paraId="4046E4DC" w14:textId="2789CCA3"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tcBorders>
              <w:top w:val="single" w:sz="4" w:space="0" w:color="auto"/>
            </w:tcBorders>
            <w:shd w:val="clear" w:color="auto" w:fill="auto"/>
          </w:tcPr>
          <w:p w14:paraId="7AC693ED" w14:textId="7F945C4C" w:rsidR="00615BE3" w:rsidRPr="00065FE0" w:rsidRDefault="00B35D10"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tcBorders>
              <w:top w:val="single" w:sz="4" w:space="0" w:color="auto"/>
            </w:tcBorders>
            <w:shd w:val="clear" w:color="auto" w:fill="auto"/>
            <w:hideMark/>
          </w:tcPr>
          <w:p w14:paraId="2F25DA4B"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Contains 20 substructures related to acute toxicity during oral administration.</w:t>
            </w:r>
          </w:p>
        </w:tc>
      </w:tr>
      <w:tr w:rsidR="00DE7FA7" w:rsidRPr="00065FE0" w14:paraId="1F1C9062" w14:textId="77777777" w:rsidTr="005677BD">
        <w:trPr>
          <w:trHeight w:val="20"/>
        </w:trPr>
        <w:tc>
          <w:tcPr>
            <w:tcW w:w="1082" w:type="pct"/>
            <w:shd w:val="clear" w:color="auto" w:fill="auto"/>
            <w:hideMark/>
          </w:tcPr>
          <w:p w14:paraId="20554027"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Genotoxic Carcinogenicity Rule</w:t>
            </w:r>
          </w:p>
        </w:tc>
        <w:tc>
          <w:tcPr>
            <w:tcW w:w="470" w:type="pct"/>
            <w:shd w:val="clear" w:color="auto" w:fill="auto"/>
          </w:tcPr>
          <w:p w14:paraId="018ADE15" w14:textId="03468DB3" w:rsidR="00615BE3" w:rsidRPr="00065FE0" w:rsidRDefault="00BE7DE8"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47766ACD" w14:textId="16D2EFDC" w:rsidR="00615BE3" w:rsidRPr="00065FE0" w:rsidRDefault="00DC00BE"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4EC0388" w14:textId="36BE2832" w:rsidR="00615BE3" w:rsidRPr="00065FE0" w:rsidRDefault="004C27BB"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0D503B2C" w14:textId="26C67BD8" w:rsidR="00615BE3" w:rsidRPr="00065FE0" w:rsidRDefault="002C6EB1"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59FAB464" w14:textId="33BE9906" w:rsidR="00615BE3" w:rsidRPr="00065FE0" w:rsidRDefault="00381B9C"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 alert</w:t>
            </w:r>
          </w:p>
        </w:tc>
        <w:tc>
          <w:tcPr>
            <w:tcW w:w="1547" w:type="pct"/>
            <w:gridSpan w:val="2"/>
            <w:shd w:val="clear" w:color="auto" w:fill="auto"/>
            <w:hideMark/>
          </w:tcPr>
          <w:p w14:paraId="01E73D05" w14:textId="77777777" w:rsidR="00615BE3" w:rsidRPr="00065FE0" w:rsidRDefault="00615BE3" w:rsidP="00AD7CD2">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carcinogenicity or mutagenicity based on 117 substructures.</w:t>
            </w:r>
          </w:p>
        </w:tc>
      </w:tr>
      <w:tr w:rsidR="00381B9C" w:rsidRPr="00065FE0" w14:paraId="062DED1B" w14:textId="77777777" w:rsidTr="005677BD">
        <w:trPr>
          <w:trHeight w:val="20"/>
        </w:trPr>
        <w:tc>
          <w:tcPr>
            <w:tcW w:w="1082" w:type="pct"/>
            <w:shd w:val="clear" w:color="auto" w:fill="auto"/>
            <w:hideMark/>
          </w:tcPr>
          <w:p w14:paraId="25DBAF7C"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Non-Genotoxic Carcinogenicity Rule</w:t>
            </w:r>
          </w:p>
        </w:tc>
        <w:tc>
          <w:tcPr>
            <w:tcW w:w="470" w:type="pct"/>
            <w:shd w:val="clear" w:color="auto" w:fill="auto"/>
          </w:tcPr>
          <w:p w14:paraId="77E7F525" w14:textId="44B6C9EB" w:rsidR="00381B9C" w:rsidRPr="00065FE0" w:rsidRDefault="00BE7DE8"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8B48920" w14:textId="5BA2FD0E" w:rsidR="00381B9C" w:rsidRPr="00065FE0" w:rsidRDefault="00DC00BE"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60FD4DB1" w14:textId="3818CFD2" w:rsidR="00381B9C" w:rsidRPr="00065FE0" w:rsidRDefault="004C27BB"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709A5A90" w14:textId="6C7C4169" w:rsidR="00381B9C" w:rsidRPr="00065FE0" w:rsidRDefault="002C6EB1"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6C91294A" w14:textId="3874EF76"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 alert</w:t>
            </w:r>
          </w:p>
        </w:tc>
        <w:tc>
          <w:tcPr>
            <w:tcW w:w="1547" w:type="pct"/>
            <w:gridSpan w:val="2"/>
            <w:shd w:val="clear" w:color="auto" w:fill="auto"/>
            <w:hideMark/>
          </w:tcPr>
          <w:p w14:paraId="17E9FA24"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carcinogenicity through non-genotoxic mechanisms based on 23 substructures.</w:t>
            </w:r>
          </w:p>
        </w:tc>
      </w:tr>
      <w:tr w:rsidR="00381B9C" w:rsidRPr="00065FE0" w14:paraId="6F69F5C4" w14:textId="77777777" w:rsidTr="005677BD">
        <w:trPr>
          <w:trHeight w:val="20"/>
        </w:trPr>
        <w:tc>
          <w:tcPr>
            <w:tcW w:w="1082" w:type="pct"/>
            <w:shd w:val="clear" w:color="auto" w:fill="auto"/>
            <w:hideMark/>
          </w:tcPr>
          <w:p w14:paraId="2AEDD6DD"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Skin Sensitization Rule</w:t>
            </w:r>
          </w:p>
        </w:tc>
        <w:tc>
          <w:tcPr>
            <w:tcW w:w="470" w:type="pct"/>
            <w:shd w:val="clear" w:color="auto" w:fill="auto"/>
          </w:tcPr>
          <w:p w14:paraId="01589CA7" w14:textId="336D1790" w:rsidR="00381B9C" w:rsidRPr="00065FE0" w:rsidRDefault="00BE7DE8"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3F7E6745" w14:textId="36DD1CB4" w:rsidR="00381B9C" w:rsidRPr="00065FE0" w:rsidRDefault="00DC00BE"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6F4C892C" w14:textId="2AE973F9" w:rsidR="00381B9C" w:rsidRPr="00065FE0" w:rsidRDefault="004C27BB"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663750BF" w14:textId="75E63BD2" w:rsidR="00381B9C" w:rsidRPr="00065FE0" w:rsidRDefault="002C6EB1"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7321A1A6" w14:textId="7B961005"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 alert</w:t>
            </w:r>
          </w:p>
        </w:tc>
        <w:tc>
          <w:tcPr>
            <w:tcW w:w="1547" w:type="pct"/>
            <w:gridSpan w:val="2"/>
            <w:shd w:val="clear" w:color="auto" w:fill="auto"/>
            <w:hideMark/>
          </w:tcPr>
          <w:p w14:paraId="6C435D94"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skin irritation based on 155 substructures.</w:t>
            </w:r>
          </w:p>
        </w:tc>
      </w:tr>
      <w:tr w:rsidR="00381B9C" w:rsidRPr="00065FE0" w14:paraId="0C9E66B5" w14:textId="77777777" w:rsidTr="005677BD">
        <w:trPr>
          <w:trHeight w:val="20"/>
        </w:trPr>
        <w:tc>
          <w:tcPr>
            <w:tcW w:w="1082" w:type="pct"/>
            <w:shd w:val="clear" w:color="auto" w:fill="auto"/>
            <w:hideMark/>
          </w:tcPr>
          <w:p w14:paraId="4F065BE9"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Aquatic Toxicity Rule</w:t>
            </w:r>
          </w:p>
        </w:tc>
        <w:tc>
          <w:tcPr>
            <w:tcW w:w="470" w:type="pct"/>
            <w:shd w:val="clear" w:color="auto" w:fill="auto"/>
          </w:tcPr>
          <w:p w14:paraId="4200CF4A" w14:textId="7B2DBBF6" w:rsidR="00381B9C" w:rsidRPr="00065FE0" w:rsidRDefault="00BE7DE8"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341D14F6" w14:textId="5061112F" w:rsidR="00381B9C" w:rsidRPr="00065FE0" w:rsidRDefault="00DC00BE"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5AB9FB5B" w14:textId="5912D246" w:rsidR="00381B9C" w:rsidRPr="00065FE0" w:rsidRDefault="004C27BB"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BECB1AB" w14:textId="1C91F009" w:rsidR="00381B9C" w:rsidRPr="00065FE0" w:rsidRDefault="002C6EB1"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3268BE45" w14:textId="2621E20D"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 alert</w:t>
            </w:r>
          </w:p>
        </w:tc>
        <w:tc>
          <w:tcPr>
            <w:tcW w:w="1547" w:type="pct"/>
            <w:gridSpan w:val="2"/>
            <w:shd w:val="clear" w:color="auto" w:fill="auto"/>
            <w:hideMark/>
          </w:tcPr>
          <w:p w14:paraId="77582C0A"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toxicity to liquid (water) based on 99 substructures.</w:t>
            </w:r>
          </w:p>
        </w:tc>
      </w:tr>
      <w:tr w:rsidR="00381B9C" w:rsidRPr="00065FE0" w14:paraId="0253BFF3" w14:textId="77777777" w:rsidTr="005677BD">
        <w:trPr>
          <w:trHeight w:val="20"/>
        </w:trPr>
        <w:tc>
          <w:tcPr>
            <w:tcW w:w="1082" w:type="pct"/>
            <w:shd w:val="clear" w:color="auto" w:fill="auto"/>
            <w:hideMark/>
          </w:tcPr>
          <w:p w14:paraId="33D6F6F6"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Non-Biodegradable Rule</w:t>
            </w:r>
          </w:p>
        </w:tc>
        <w:tc>
          <w:tcPr>
            <w:tcW w:w="470" w:type="pct"/>
            <w:shd w:val="clear" w:color="auto" w:fill="auto"/>
          </w:tcPr>
          <w:p w14:paraId="58CD009A" w14:textId="2490C59A" w:rsidR="00381B9C" w:rsidRPr="00065FE0" w:rsidRDefault="00BE7DE8"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4B9CE77D" w14:textId="2A2B0B66" w:rsidR="00381B9C" w:rsidRPr="00065FE0" w:rsidRDefault="00DC00BE"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5D69948E" w14:textId="4219B7D3" w:rsidR="00381B9C" w:rsidRPr="00065FE0" w:rsidRDefault="004C27BB"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3674E5E0" w14:textId="25B24FC7" w:rsidR="00381B9C" w:rsidRPr="00065FE0" w:rsidRDefault="002C6EB1"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3DA3977E" w14:textId="5CFB422C"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 alert</w:t>
            </w:r>
          </w:p>
        </w:tc>
        <w:tc>
          <w:tcPr>
            <w:tcW w:w="1547" w:type="pct"/>
            <w:gridSpan w:val="2"/>
            <w:shd w:val="clear" w:color="auto" w:fill="auto"/>
            <w:hideMark/>
          </w:tcPr>
          <w:p w14:paraId="47F7A3CD"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non-biodegradable compounds based on 19 substructures.</w:t>
            </w:r>
          </w:p>
        </w:tc>
      </w:tr>
      <w:tr w:rsidR="00381B9C" w:rsidRPr="00065FE0" w14:paraId="3DEF9606" w14:textId="77777777" w:rsidTr="005677BD">
        <w:trPr>
          <w:trHeight w:val="20"/>
        </w:trPr>
        <w:tc>
          <w:tcPr>
            <w:tcW w:w="1082" w:type="pct"/>
            <w:shd w:val="clear" w:color="auto" w:fill="auto"/>
            <w:hideMark/>
          </w:tcPr>
          <w:p w14:paraId="61F783E6"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proofErr w:type="spellStart"/>
            <w:r w:rsidRPr="00065FE0">
              <w:rPr>
                <w:rFonts w:ascii="Times New Roman" w:eastAsia="Times New Roman" w:hAnsi="Times New Roman" w:cs="Times New Roman"/>
                <w:color w:val="000000"/>
                <w:sz w:val="18"/>
                <w:szCs w:val="18"/>
                <w:lang w:eastAsia="en-US"/>
              </w:rPr>
              <w:t>SureChEMBL</w:t>
            </w:r>
            <w:proofErr w:type="spellEnd"/>
            <w:r w:rsidRPr="00065FE0">
              <w:rPr>
                <w:rFonts w:ascii="Times New Roman" w:eastAsia="Times New Roman" w:hAnsi="Times New Roman" w:cs="Times New Roman"/>
                <w:color w:val="000000"/>
                <w:sz w:val="18"/>
                <w:szCs w:val="18"/>
                <w:lang w:eastAsia="en-US"/>
              </w:rPr>
              <w:t xml:space="preserve"> Rule</w:t>
            </w:r>
          </w:p>
        </w:tc>
        <w:tc>
          <w:tcPr>
            <w:tcW w:w="470" w:type="pct"/>
            <w:shd w:val="clear" w:color="auto" w:fill="auto"/>
          </w:tcPr>
          <w:p w14:paraId="6F8BF85A" w14:textId="60F97AE3" w:rsidR="00381B9C" w:rsidRPr="00065FE0" w:rsidRDefault="00BE7DE8"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67C397D1" w14:textId="4BAF966F" w:rsidR="00381B9C" w:rsidRPr="00065FE0" w:rsidRDefault="00DC00BE"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55A42855" w14:textId="6FADDECF" w:rsidR="00381B9C" w:rsidRPr="00065FE0" w:rsidRDefault="004C27BB"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15AC24F1" w14:textId="44AB5C36" w:rsidR="00381B9C" w:rsidRPr="00065FE0" w:rsidRDefault="002C6EB1"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0811DFC9" w14:textId="2E266DC6"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1547" w:type="pct"/>
            <w:gridSpan w:val="2"/>
            <w:shd w:val="clear" w:color="auto" w:fill="auto"/>
            <w:hideMark/>
          </w:tcPr>
          <w:p w14:paraId="30C2D845"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 xml:space="preserve">Indicates </w:t>
            </w:r>
            <w:proofErr w:type="spellStart"/>
            <w:r w:rsidRPr="00065FE0">
              <w:rPr>
                <w:rFonts w:ascii="Times New Roman" w:eastAsia="Times New Roman" w:hAnsi="Times New Roman" w:cs="Times New Roman"/>
                <w:color w:val="000000"/>
                <w:sz w:val="18"/>
                <w:szCs w:val="18"/>
                <w:lang w:eastAsia="en-US"/>
              </w:rPr>
              <w:t>MedChem</w:t>
            </w:r>
            <w:proofErr w:type="spellEnd"/>
            <w:r w:rsidRPr="00065FE0">
              <w:rPr>
                <w:rFonts w:ascii="Times New Roman" w:eastAsia="Times New Roman" w:hAnsi="Times New Roman" w:cs="Times New Roman"/>
                <w:color w:val="000000"/>
                <w:sz w:val="18"/>
                <w:szCs w:val="18"/>
                <w:lang w:eastAsia="en-US"/>
              </w:rPr>
              <w:t xml:space="preserve"> unfriendly status based on 164 substructures.</w:t>
            </w:r>
          </w:p>
        </w:tc>
      </w:tr>
      <w:tr w:rsidR="00381B9C" w:rsidRPr="00065FE0" w14:paraId="6D7D8946" w14:textId="77777777" w:rsidTr="005677BD">
        <w:trPr>
          <w:trHeight w:val="20"/>
        </w:trPr>
        <w:tc>
          <w:tcPr>
            <w:tcW w:w="1082" w:type="pct"/>
            <w:shd w:val="clear" w:color="auto" w:fill="auto"/>
            <w:hideMark/>
          </w:tcPr>
          <w:p w14:paraId="2B5B3E8B"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FAF-Drugs4 Rule</w:t>
            </w:r>
          </w:p>
        </w:tc>
        <w:tc>
          <w:tcPr>
            <w:tcW w:w="470" w:type="pct"/>
            <w:shd w:val="clear" w:color="auto" w:fill="auto"/>
          </w:tcPr>
          <w:p w14:paraId="667B3695" w14:textId="22DE3AA3" w:rsidR="00381B9C" w:rsidRPr="00065FE0" w:rsidRDefault="00BE7DE8"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 alert</w:t>
            </w:r>
          </w:p>
        </w:tc>
        <w:tc>
          <w:tcPr>
            <w:tcW w:w="453" w:type="pct"/>
            <w:shd w:val="clear" w:color="auto" w:fill="auto"/>
          </w:tcPr>
          <w:p w14:paraId="1FE9D509" w14:textId="7F85D0FE" w:rsidR="00381B9C" w:rsidRPr="00065FE0" w:rsidRDefault="00DC00BE"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2 alerts</w:t>
            </w:r>
          </w:p>
        </w:tc>
        <w:tc>
          <w:tcPr>
            <w:tcW w:w="453" w:type="pct"/>
            <w:shd w:val="clear" w:color="auto" w:fill="auto"/>
          </w:tcPr>
          <w:p w14:paraId="689E8B1D" w14:textId="7C499E23" w:rsidR="00381B9C" w:rsidRPr="00065FE0" w:rsidRDefault="004C27BB"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453" w:type="pct"/>
            <w:shd w:val="clear" w:color="auto" w:fill="auto"/>
          </w:tcPr>
          <w:p w14:paraId="254BD75D" w14:textId="7CFD5210" w:rsidR="00381B9C" w:rsidRPr="00065FE0" w:rsidRDefault="002C6EB1"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0</w:t>
            </w:r>
          </w:p>
        </w:tc>
        <w:tc>
          <w:tcPr>
            <w:tcW w:w="542" w:type="pct"/>
            <w:shd w:val="clear" w:color="auto" w:fill="auto"/>
          </w:tcPr>
          <w:p w14:paraId="6991DFFA" w14:textId="0DE983DF"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1 alert</w:t>
            </w:r>
          </w:p>
        </w:tc>
        <w:tc>
          <w:tcPr>
            <w:tcW w:w="1547" w:type="pct"/>
            <w:gridSpan w:val="2"/>
            <w:shd w:val="clear" w:color="auto" w:fill="auto"/>
            <w:hideMark/>
          </w:tcPr>
          <w:p w14:paraId="1C4A67D1" w14:textId="77777777" w:rsidR="00381B9C" w:rsidRPr="00065FE0" w:rsidRDefault="00381B9C" w:rsidP="00381B9C">
            <w:pPr>
              <w:spacing w:after="0" w:line="240" w:lineRule="auto"/>
              <w:rPr>
                <w:rFonts w:ascii="Times New Roman" w:eastAsia="Times New Roman" w:hAnsi="Times New Roman" w:cs="Times New Roman"/>
                <w:color w:val="000000"/>
                <w:sz w:val="18"/>
                <w:szCs w:val="18"/>
                <w:lang w:eastAsia="en-US"/>
              </w:rPr>
            </w:pPr>
            <w:r w:rsidRPr="00065FE0">
              <w:rPr>
                <w:rFonts w:ascii="Times New Roman" w:eastAsia="Times New Roman" w:hAnsi="Times New Roman" w:cs="Times New Roman"/>
                <w:color w:val="000000"/>
                <w:sz w:val="18"/>
                <w:szCs w:val="18"/>
                <w:lang w:eastAsia="en-US"/>
              </w:rPr>
              <w:t>Indicates toxic substructures (154) as per FAF-Drugs4.</w:t>
            </w:r>
          </w:p>
        </w:tc>
      </w:tr>
    </w:tbl>
    <w:p w14:paraId="14E03AF1" w14:textId="19850BA9" w:rsidR="009D7C56" w:rsidRPr="00065FE0" w:rsidRDefault="009D7C56" w:rsidP="00F77DD4">
      <w:pPr>
        <w:spacing w:line="480" w:lineRule="auto"/>
        <w:jc w:val="both"/>
        <w:rPr>
          <w:rFonts w:ascii="Times New Roman" w:hAnsi="Times New Roman" w:cs="Times New Roman"/>
        </w:rPr>
      </w:pPr>
      <w:r w:rsidRPr="00065FE0">
        <w:rPr>
          <w:rFonts w:ascii="Times New Roman" w:hAnsi="Times New Roman" w:cs="Times New Roman"/>
          <w:b/>
          <w:bCs/>
        </w:rPr>
        <w:br w:type="page"/>
      </w:r>
    </w:p>
    <w:p w14:paraId="5EF2C29D" w14:textId="7B8DCFA2" w:rsidR="00407808" w:rsidRPr="00065FE0" w:rsidRDefault="009A79E3" w:rsidP="005677BD">
      <w:pPr>
        <w:pStyle w:val="Heading1"/>
        <w:rPr>
          <w:lang w:val="en-US"/>
        </w:rPr>
      </w:pPr>
      <w:bookmarkStart w:id="19" w:name="_Toc199426742"/>
      <w:r w:rsidRPr="00065FE0">
        <w:rPr>
          <w:lang w:val="en-US"/>
        </w:rPr>
        <w:lastRenderedPageBreak/>
        <w:t>Plots, Statistical Analysis and Visualizations</w:t>
      </w:r>
      <w:bookmarkEnd w:id="19"/>
    </w:p>
    <w:p w14:paraId="79F7D3BF" w14:textId="77777777" w:rsidR="005677BD" w:rsidRPr="00065FE0" w:rsidRDefault="005677BD" w:rsidP="00BA02E6">
      <w:pPr>
        <w:spacing w:after="0"/>
        <w:rPr>
          <w:lang w:eastAsia="en-US"/>
        </w:rPr>
      </w:pPr>
    </w:p>
    <w:p w14:paraId="6E730CF7" w14:textId="21770A07" w:rsidR="009D7C56" w:rsidRPr="00065FE0" w:rsidRDefault="009D7C56" w:rsidP="00BA02E6">
      <w:pPr>
        <w:pStyle w:val="Heading2"/>
        <w:spacing w:before="0" w:after="0"/>
        <w:rPr>
          <w:lang w:val="en-US"/>
        </w:rPr>
      </w:pPr>
      <w:bookmarkStart w:id="20" w:name="_Toc199426743"/>
      <w:r w:rsidRPr="00065FE0">
        <w:rPr>
          <w:lang w:val="en-US"/>
        </w:rPr>
        <w:t>Descriptive Statistics</w:t>
      </w:r>
      <w:bookmarkEnd w:id="20"/>
    </w:p>
    <w:p w14:paraId="6D62DFFF" w14:textId="77777777" w:rsidR="005677BD" w:rsidRPr="00065FE0" w:rsidRDefault="005677BD" w:rsidP="00BA02E6">
      <w:pPr>
        <w:spacing w:after="0"/>
        <w:rPr>
          <w:lang w:eastAsia="en-US"/>
        </w:rPr>
      </w:pPr>
    </w:p>
    <w:p w14:paraId="6A69BA37" w14:textId="77777777" w:rsidR="007F30B7" w:rsidRPr="00065FE0" w:rsidRDefault="007F30B7" w:rsidP="00D838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eastAsia="de-DE" w:bidi="en-US"/>
        </w:rPr>
      </w:pPr>
      <w:r w:rsidRPr="00065FE0">
        <w:rPr>
          <w:rFonts w:ascii="Times New Roman" w:hAnsi="Times New Roman" w:cs="Times New Roman"/>
          <w:bCs/>
          <w:lang w:eastAsia="de-DE" w:bidi="en-US"/>
        </w:rPr>
        <w:t xml:space="preserve">The statistical analysis of the data was carried out using comprehensive methods to ensure the </w:t>
      </w:r>
      <w:r w:rsidRPr="00065FE0">
        <w:rPr>
          <w:rFonts w:ascii="Times New Roman" w:hAnsi="Times New Roman" w:cs="Times New Roman"/>
          <w:lang w:eastAsia="de-DE" w:bidi="en-US"/>
        </w:rPr>
        <w:t>robustness and reliability of the results. The selection of statistical tests was based on normality (Shapiro-Wilk test) and homoscedasticity (Levene’s test). Depending on the assumptions met, the appropriate multiple comparison test was chosen. Statistical analysis was conducted using SPSS v29.0.2.0.</w:t>
      </w:r>
    </w:p>
    <w:p w14:paraId="3A75BDF8" w14:textId="17BA489B"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r w:rsidRPr="00065FE0">
        <w:rPr>
          <w:rFonts w:ascii="Times New Roman" w:hAnsi="Times New Roman" w:cs="Times New Roman"/>
          <w:bCs/>
          <w:lang w:eastAsia="de-DE" w:bidi="en-US"/>
        </w:rPr>
        <w:t xml:space="preserve">The descriptive statistics of the five stages according to the compound were based on measures of central tendency and dispersion, which are described in Table </w:t>
      </w:r>
      <w:r w:rsidR="005677BD" w:rsidRPr="00065FE0">
        <w:rPr>
          <w:rFonts w:ascii="Times New Roman" w:hAnsi="Times New Roman" w:cs="Times New Roman"/>
          <w:bCs/>
          <w:lang w:eastAsia="de-DE" w:bidi="en-US"/>
        </w:rPr>
        <w:t>S2</w:t>
      </w:r>
      <w:r w:rsidRPr="00065FE0">
        <w:rPr>
          <w:rFonts w:ascii="Times New Roman" w:hAnsi="Times New Roman" w:cs="Times New Roman"/>
          <w:bCs/>
          <w:lang w:eastAsia="de-DE" w:bidi="en-US"/>
        </w:rPr>
        <w:t xml:space="preserve">. </w:t>
      </w:r>
    </w:p>
    <w:tbl>
      <w:tblPr>
        <w:tblStyle w:val="Tablaconcuadrcula1"/>
        <w:tblW w:w="4874" w:type="pct"/>
        <w:tblLook w:val="04A0" w:firstRow="1" w:lastRow="0" w:firstColumn="1" w:lastColumn="0" w:noHBand="0" w:noVBand="1"/>
      </w:tblPr>
      <w:tblGrid>
        <w:gridCol w:w="886"/>
        <w:gridCol w:w="1316"/>
        <w:gridCol w:w="711"/>
        <w:gridCol w:w="807"/>
        <w:gridCol w:w="711"/>
        <w:gridCol w:w="711"/>
        <w:gridCol w:w="981"/>
        <w:gridCol w:w="687"/>
        <w:gridCol w:w="1016"/>
        <w:gridCol w:w="987"/>
      </w:tblGrid>
      <w:tr w:rsidR="007F30B7" w:rsidRPr="00065FE0" w14:paraId="3B9211DF" w14:textId="77777777" w:rsidTr="003270EA">
        <w:trPr>
          <w:trHeight w:val="214"/>
        </w:trPr>
        <w:tc>
          <w:tcPr>
            <w:tcW w:w="5000" w:type="pct"/>
            <w:gridSpan w:val="10"/>
          </w:tcPr>
          <w:p w14:paraId="52059781" w14:textId="57F59843"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 xml:space="preserve">Table </w:t>
            </w:r>
            <w:r w:rsidR="005677BD" w:rsidRPr="00065FE0">
              <w:rPr>
                <w:rFonts w:ascii="Times New Roman" w:eastAsiaTheme="minorEastAsia" w:hAnsi="Times New Roman" w:cs="Times New Roman"/>
                <w:b/>
                <w:bCs/>
                <w:sz w:val="18"/>
                <w:szCs w:val="18"/>
                <w:lang w:val="en-US"/>
              </w:rPr>
              <w:t>S2</w:t>
            </w:r>
            <w:r w:rsidRPr="00065FE0">
              <w:rPr>
                <w:rFonts w:ascii="Times New Roman" w:eastAsiaTheme="minorEastAsia" w:hAnsi="Times New Roman" w:cs="Times New Roman"/>
                <w:b/>
                <w:bCs/>
                <w:sz w:val="18"/>
                <w:szCs w:val="18"/>
                <w:lang w:val="en-US"/>
              </w:rPr>
              <w:t>. Descriptive statistics of time to reach the five stages according to the compound</w:t>
            </w:r>
          </w:p>
        </w:tc>
      </w:tr>
      <w:tr w:rsidR="007F30B7" w:rsidRPr="00065FE0" w14:paraId="7A1581DA" w14:textId="77777777" w:rsidTr="003270EA">
        <w:trPr>
          <w:trHeight w:val="214"/>
        </w:trPr>
        <w:tc>
          <w:tcPr>
            <w:tcW w:w="545" w:type="pct"/>
          </w:tcPr>
          <w:p w14:paraId="6DC461F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Variable</w:t>
            </w:r>
          </w:p>
        </w:tc>
        <w:tc>
          <w:tcPr>
            <w:tcW w:w="873" w:type="pct"/>
          </w:tcPr>
          <w:p w14:paraId="21EF254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Group</w:t>
            </w:r>
          </w:p>
        </w:tc>
        <w:tc>
          <w:tcPr>
            <w:tcW w:w="328" w:type="pct"/>
          </w:tcPr>
          <w:p w14:paraId="6E76325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Mean</w:t>
            </w:r>
          </w:p>
        </w:tc>
        <w:tc>
          <w:tcPr>
            <w:tcW w:w="399" w:type="pct"/>
          </w:tcPr>
          <w:p w14:paraId="4777199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Median</w:t>
            </w:r>
          </w:p>
        </w:tc>
        <w:tc>
          <w:tcPr>
            <w:tcW w:w="440" w:type="pct"/>
          </w:tcPr>
          <w:p w14:paraId="3F1E716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SEM</w:t>
            </w:r>
          </w:p>
        </w:tc>
        <w:tc>
          <w:tcPr>
            <w:tcW w:w="399" w:type="pct"/>
          </w:tcPr>
          <w:p w14:paraId="0DF06BC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SD</w:t>
            </w:r>
          </w:p>
        </w:tc>
        <w:tc>
          <w:tcPr>
            <w:tcW w:w="504" w:type="pct"/>
          </w:tcPr>
          <w:p w14:paraId="5B64A84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Variance</w:t>
            </w:r>
          </w:p>
        </w:tc>
        <w:tc>
          <w:tcPr>
            <w:tcW w:w="504" w:type="pct"/>
          </w:tcPr>
          <w:p w14:paraId="3F99BCC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RAIQ</w:t>
            </w:r>
          </w:p>
        </w:tc>
        <w:tc>
          <w:tcPr>
            <w:tcW w:w="505" w:type="pct"/>
          </w:tcPr>
          <w:p w14:paraId="07ED307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Maximum</w:t>
            </w:r>
          </w:p>
        </w:tc>
        <w:tc>
          <w:tcPr>
            <w:tcW w:w="503" w:type="pct"/>
          </w:tcPr>
          <w:p w14:paraId="3167E6F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Minimum</w:t>
            </w:r>
          </w:p>
        </w:tc>
      </w:tr>
      <w:tr w:rsidR="007F30B7" w:rsidRPr="00065FE0" w14:paraId="264F0907" w14:textId="77777777" w:rsidTr="003270EA">
        <w:trPr>
          <w:trHeight w:val="160"/>
        </w:trPr>
        <w:tc>
          <w:tcPr>
            <w:tcW w:w="545" w:type="pct"/>
            <w:vMerge w:val="restart"/>
          </w:tcPr>
          <w:p w14:paraId="26237166"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Latency stage 1</w:t>
            </w:r>
          </w:p>
        </w:tc>
        <w:tc>
          <w:tcPr>
            <w:tcW w:w="873" w:type="pct"/>
          </w:tcPr>
          <w:p w14:paraId="38C20A6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Seizure inducer (PTZ)</w:t>
            </w:r>
          </w:p>
        </w:tc>
        <w:tc>
          <w:tcPr>
            <w:tcW w:w="328" w:type="pct"/>
          </w:tcPr>
          <w:p w14:paraId="0716F68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31.5</w:t>
            </w:r>
          </w:p>
        </w:tc>
        <w:tc>
          <w:tcPr>
            <w:tcW w:w="399" w:type="pct"/>
          </w:tcPr>
          <w:p w14:paraId="16FC675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29</w:t>
            </w:r>
          </w:p>
        </w:tc>
        <w:tc>
          <w:tcPr>
            <w:tcW w:w="440" w:type="pct"/>
          </w:tcPr>
          <w:p w14:paraId="6C156DB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4.94</w:t>
            </w:r>
          </w:p>
        </w:tc>
        <w:tc>
          <w:tcPr>
            <w:tcW w:w="399" w:type="pct"/>
          </w:tcPr>
          <w:p w14:paraId="0D1DE72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12.09</w:t>
            </w:r>
          </w:p>
        </w:tc>
        <w:tc>
          <w:tcPr>
            <w:tcW w:w="504" w:type="pct"/>
          </w:tcPr>
          <w:p w14:paraId="4F39CAD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146.3</w:t>
            </w:r>
          </w:p>
        </w:tc>
        <w:tc>
          <w:tcPr>
            <w:tcW w:w="504" w:type="pct"/>
          </w:tcPr>
          <w:p w14:paraId="7728583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19.3</w:t>
            </w:r>
          </w:p>
        </w:tc>
        <w:tc>
          <w:tcPr>
            <w:tcW w:w="505" w:type="pct"/>
          </w:tcPr>
          <w:p w14:paraId="61CE728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50</w:t>
            </w:r>
          </w:p>
        </w:tc>
        <w:tc>
          <w:tcPr>
            <w:tcW w:w="503" w:type="pct"/>
          </w:tcPr>
          <w:p w14:paraId="480C98C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15</w:t>
            </w:r>
          </w:p>
        </w:tc>
      </w:tr>
      <w:tr w:rsidR="007F30B7" w:rsidRPr="00065FE0" w14:paraId="21491F78" w14:textId="77777777" w:rsidTr="003270EA">
        <w:trPr>
          <w:trHeight w:val="160"/>
        </w:trPr>
        <w:tc>
          <w:tcPr>
            <w:tcW w:w="545" w:type="pct"/>
            <w:vMerge/>
          </w:tcPr>
          <w:p w14:paraId="411A247D"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22F6AC2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Vehicle (DMSO 0.1%)</w:t>
            </w:r>
          </w:p>
        </w:tc>
        <w:tc>
          <w:tcPr>
            <w:tcW w:w="328" w:type="pct"/>
          </w:tcPr>
          <w:p w14:paraId="6C37E8E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29.5</w:t>
            </w:r>
          </w:p>
        </w:tc>
        <w:tc>
          <w:tcPr>
            <w:tcW w:w="399" w:type="pct"/>
          </w:tcPr>
          <w:p w14:paraId="37EDD1D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27.5</w:t>
            </w:r>
          </w:p>
        </w:tc>
        <w:tc>
          <w:tcPr>
            <w:tcW w:w="440" w:type="pct"/>
          </w:tcPr>
          <w:p w14:paraId="3998C1C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2.79</w:t>
            </w:r>
          </w:p>
        </w:tc>
        <w:tc>
          <w:tcPr>
            <w:tcW w:w="399" w:type="pct"/>
          </w:tcPr>
          <w:p w14:paraId="344E0B5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6.83</w:t>
            </w:r>
          </w:p>
        </w:tc>
        <w:tc>
          <w:tcPr>
            <w:tcW w:w="504" w:type="pct"/>
          </w:tcPr>
          <w:p w14:paraId="3115D69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46.7</w:t>
            </w:r>
          </w:p>
        </w:tc>
        <w:tc>
          <w:tcPr>
            <w:tcW w:w="504" w:type="pct"/>
          </w:tcPr>
          <w:p w14:paraId="2DD6D58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12.5</w:t>
            </w:r>
          </w:p>
        </w:tc>
        <w:tc>
          <w:tcPr>
            <w:tcW w:w="505" w:type="pct"/>
          </w:tcPr>
          <w:p w14:paraId="25CA27A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40</w:t>
            </w:r>
          </w:p>
        </w:tc>
        <w:tc>
          <w:tcPr>
            <w:tcW w:w="503" w:type="pct"/>
          </w:tcPr>
          <w:p w14:paraId="576037C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23</w:t>
            </w:r>
          </w:p>
        </w:tc>
      </w:tr>
      <w:tr w:rsidR="007F30B7" w:rsidRPr="00065FE0" w14:paraId="0732DC2C" w14:textId="77777777" w:rsidTr="003270EA">
        <w:trPr>
          <w:trHeight w:val="160"/>
        </w:trPr>
        <w:tc>
          <w:tcPr>
            <w:tcW w:w="545" w:type="pct"/>
            <w:vMerge/>
          </w:tcPr>
          <w:p w14:paraId="0D490554"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455E2CF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Anticonvulsant (DZP)</w:t>
            </w:r>
          </w:p>
        </w:tc>
        <w:tc>
          <w:tcPr>
            <w:tcW w:w="328" w:type="pct"/>
          </w:tcPr>
          <w:p w14:paraId="48F034E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63.3</w:t>
            </w:r>
          </w:p>
        </w:tc>
        <w:tc>
          <w:tcPr>
            <w:tcW w:w="399" w:type="pct"/>
          </w:tcPr>
          <w:p w14:paraId="422A8A1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54</w:t>
            </w:r>
          </w:p>
        </w:tc>
        <w:tc>
          <w:tcPr>
            <w:tcW w:w="440" w:type="pct"/>
          </w:tcPr>
          <w:p w14:paraId="74FF633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9.89</w:t>
            </w:r>
          </w:p>
        </w:tc>
        <w:tc>
          <w:tcPr>
            <w:tcW w:w="399" w:type="pct"/>
          </w:tcPr>
          <w:p w14:paraId="048E72A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24.25</w:t>
            </w:r>
          </w:p>
        </w:tc>
        <w:tc>
          <w:tcPr>
            <w:tcW w:w="504" w:type="pct"/>
          </w:tcPr>
          <w:p w14:paraId="67D033C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587.87</w:t>
            </w:r>
          </w:p>
        </w:tc>
        <w:tc>
          <w:tcPr>
            <w:tcW w:w="504" w:type="pct"/>
          </w:tcPr>
          <w:p w14:paraId="395F0FF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27</w:t>
            </w:r>
          </w:p>
        </w:tc>
        <w:tc>
          <w:tcPr>
            <w:tcW w:w="505" w:type="pct"/>
          </w:tcPr>
          <w:p w14:paraId="0EF54DA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111</w:t>
            </w:r>
          </w:p>
        </w:tc>
        <w:tc>
          <w:tcPr>
            <w:tcW w:w="503" w:type="pct"/>
          </w:tcPr>
          <w:p w14:paraId="73B1CDD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45</w:t>
            </w:r>
          </w:p>
        </w:tc>
      </w:tr>
      <w:tr w:rsidR="007F30B7" w:rsidRPr="00065FE0" w14:paraId="5A134E90" w14:textId="77777777" w:rsidTr="003270EA">
        <w:trPr>
          <w:trHeight w:val="160"/>
        </w:trPr>
        <w:tc>
          <w:tcPr>
            <w:tcW w:w="545" w:type="pct"/>
            <w:vMerge/>
          </w:tcPr>
          <w:p w14:paraId="45352B79"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23D1903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39970804"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30.5</w:t>
            </w:r>
          </w:p>
        </w:tc>
        <w:tc>
          <w:tcPr>
            <w:tcW w:w="399" w:type="pct"/>
          </w:tcPr>
          <w:p w14:paraId="721B6076"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33.5</w:t>
            </w:r>
          </w:p>
        </w:tc>
        <w:tc>
          <w:tcPr>
            <w:tcW w:w="440" w:type="pct"/>
          </w:tcPr>
          <w:p w14:paraId="1F5074F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4.76</w:t>
            </w:r>
          </w:p>
        </w:tc>
        <w:tc>
          <w:tcPr>
            <w:tcW w:w="399" w:type="pct"/>
          </w:tcPr>
          <w:p w14:paraId="6CA5244A"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11.66</w:t>
            </w:r>
          </w:p>
        </w:tc>
        <w:tc>
          <w:tcPr>
            <w:tcW w:w="504" w:type="pct"/>
          </w:tcPr>
          <w:p w14:paraId="166E19E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135.9</w:t>
            </w:r>
          </w:p>
        </w:tc>
        <w:tc>
          <w:tcPr>
            <w:tcW w:w="504" w:type="pct"/>
          </w:tcPr>
          <w:p w14:paraId="18E57A6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20</w:t>
            </w:r>
          </w:p>
        </w:tc>
        <w:tc>
          <w:tcPr>
            <w:tcW w:w="505" w:type="pct"/>
          </w:tcPr>
          <w:p w14:paraId="3696A5E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45</w:t>
            </w:r>
          </w:p>
        </w:tc>
        <w:tc>
          <w:tcPr>
            <w:tcW w:w="503" w:type="pct"/>
          </w:tcPr>
          <w:p w14:paraId="4C68586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13</w:t>
            </w:r>
          </w:p>
        </w:tc>
      </w:tr>
      <w:tr w:rsidR="007F30B7" w:rsidRPr="00065FE0" w14:paraId="2C631A0E" w14:textId="77777777" w:rsidTr="003270EA">
        <w:trPr>
          <w:trHeight w:val="160"/>
        </w:trPr>
        <w:tc>
          <w:tcPr>
            <w:tcW w:w="545" w:type="pct"/>
            <w:vMerge/>
          </w:tcPr>
          <w:p w14:paraId="31B9D589"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4141BFD6"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1269512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23.5</w:t>
            </w:r>
          </w:p>
        </w:tc>
        <w:tc>
          <w:tcPr>
            <w:tcW w:w="399" w:type="pct"/>
          </w:tcPr>
          <w:p w14:paraId="6D5A376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26.5</w:t>
            </w:r>
          </w:p>
        </w:tc>
        <w:tc>
          <w:tcPr>
            <w:tcW w:w="440" w:type="pct"/>
          </w:tcPr>
          <w:p w14:paraId="390C512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5.45</w:t>
            </w:r>
          </w:p>
        </w:tc>
        <w:tc>
          <w:tcPr>
            <w:tcW w:w="399" w:type="pct"/>
          </w:tcPr>
          <w:p w14:paraId="2891D37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13.35</w:t>
            </w:r>
          </w:p>
        </w:tc>
        <w:tc>
          <w:tcPr>
            <w:tcW w:w="504" w:type="pct"/>
          </w:tcPr>
          <w:p w14:paraId="7D6AE3C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178.3</w:t>
            </w:r>
          </w:p>
        </w:tc>
        <w:tc>
          <w:tcPr>
            <w:tcW w:w="504" w:type="pct"/>
          </w:tcPr>
          <w:p w14:paraId="08B06DA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25</w:t>
            </w:r>
          </w:p>
        </w:tc>
        <w:tc>
          <w:tcPr>
            <w:tcW w:w="505" w:type="pct"/>
          </w:tcPr>
          <w:p w14:paraId="736B9A5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38</w:t>
            </w:r>
          </w:p>
        </w:tc>
        <w:tc>
          <w:tcPr>
            <w:tcW w:w="503" w:type="pct"/>
          </w:tcPr>
          <w:p w14:paraId="020C494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w:t>
            </w:r>
          </w:p>
        </w:tc>
      </w:tr>
      <w:tr w:rsidR="007F30B7" w:rsidRPr="00065FE0" w14:paraId="78B237C8" w14:textId="77777777" w:rsidTr="003270EA">
        <w:trPr>
          <w:trHeight w:val="160"/>
        </w:trPr>
        <w:tc>
          <w:tcPr>
            <w:tcW w:w="545" w:type="pct"/>
            <w:vMerge/>
          </w:tcPr>
          <w:p w14:paraId="70EB63F3"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1166627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1FDBDBA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sz w:val="18"/>
                <w:szCs w:val="18"/>
                <w:lang w:val="en-US"/>
              </w:rPr>
              <w:t>56.4</w:t>
            </w:r>
          </w:p>
        </w:tc>
        <w:tc>
          <w:tcPr>
            <w:tcW w:w="399" w:type="pct"/>
          </w:tcPr>
          <w:p w14:paraId="5087460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sz w:val="18"/>
                <w:szCs w:val="18"/>
                <w:lang w:val="en-US"/>
              </w:rPr>
              <w:t>49</w:t>
            </w:r>
          </w:p>
        </w:tc>
        <w:tc>
          <w:tcPr>
            <w:tcW w:w="440" w:type="pct"/>
          </w:tcPr>
          <w:p w14:paraId="70964DA3"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7.06</w:t>
            </w:r>
          </w:p>
        </w:tc>
        <w:tc>
          <w:tcPr>
            <w:tcW w:w="399" w:type="pct"/>
          </w:tcPr>
          <w:p w14:paraId="512D50E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17.29</w:t>
            </w:r>
          </w:p>
        </w:tc>
        <w:tc>
          <w:tcPr>
            <w:tcW w:w="504" w:type="pct"/>
          </w:tcPr>
          <w:p w14:paraId="5285EDA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299.05</w:t>
            </w:r>
          </w:p>
        </w:tc>
        <w:tc>
          <w:tcPr>
            <w:tcW w:w="504" w:type="pct"/>
          </w:tcPr>
          <w:p w14:paraId="76FB3F4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33.6</w:t>
            </w:r>
          </w:p>
        </w:tc>
        <w:tc>
          <w:tcPr>
            <w:tcW w:w="505" w:type="pct"/>
          </w:tcPr>
          <w:p w14:paraId="1FB6E980"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81.2</w:t>
            </w:r>
          </w:p>
        </w:tc>
        <w:tc>
          <w:tcPr>
            <w:tcW w:w="503" w:type="pct"/>
          </w:tcPr>
          <w:p w14:paraId="4728863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40</w:t>
            </w:r>
          </w:p>
        </w:tc>
      </w:tr>
      <w:tr w:rsidR="007F30B7" w:rsidRPr="00065FE0" w14:paraId="22CA10BF" w14:textId="77777777" w:rsidTr="003270EA">
        <w:trPr>
          <w:trHeight w:val="160"/>
        </w:trPr>
        <w:tc>
          <w:tcPr>
            <w:tcW w:w="545" w:type="pct"/>
            <w:vMerge/>
          </w:tcPr>
          <w:p w14:paraId="6812F641"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3A7E0C8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10B38CF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sz w:val="18"/>
                <w:szCs w:val="18"/>
                <w:lang w:val="en-US"/>
              </w:rPr>
              <w:t>51.4</w:t>
            </w:r>
          </w:p>
        </w:tc>
        <w:tc>
          <w:tcPr>
            <w:tcW w:w="399" w:type="pct"/>
          </w:tcPr>
          <w:p w14:paraId="53344F46"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sz w:val="18"/>
                <w:szCs w:val="18"/>
                <w:lang w:val="en-US"/>
              </w:rPr>
              <w:t>53.1</w:t>
            </w:r>
          </w:p>
        </w:tc>
        <w:tc>
          <w:tcPr>
            <w:tcW w:w="440" w:type="pct"/>
          </w:tcPr>
          <w:p w14:paraId="18D2255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8.19</w:t>
            </w:r>
          </w:p>
        </w:tc>
        <w:tc>
          <w:tcPr>
            <w:tcW w:w="399" w:type="pct"/>
          </w:tcPr>
          <w:p w14:paraId="50EE7C0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20.08</w:t>
            </w:r>
          </w:p>
        </w:tc>
        <w:tc>
          <w:tcPr>
            <w:tcW w:w="504" w:type="pct"/>
          </w:tcPr>
          <w:p w14:paraId="6819E09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403.02</w:t>
            </w:r>
          </w:p>
        </w:tc>
        <w:tc>
          <w:tcPr>
            <w:tcW w:w="504" w:type="pct"/>
          </w:tcPr>
          <w:p w14:paraId="43C9702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36.2</w:t>
            </w:r>
          </w:p>
        </w:tc>
        <w:tc>
          <w:tcPr>
            <w:tcW w:w="505" w:type="pct"/>
          </w:tcPr>
          <w:p w14:paraId="21E0283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78</w:t>
            </w:r>
          </w:p>
        </w:tc>
        <w:tc>
          <w:tcPr>
            <w:tcW w:w="503" w:type="pct"/>
          </w:tcPr>
          <w:p w14:paraId="2F747C1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27</w:t>
            </w:r>
          </w:p>
        </w:tc>
      </w:tr>
      <w:tr w:rsidR="007F30B7" w:rsidRPr="00065FE0" w14:paraId="1C669537" w14:textId="77777777" w:rsidTr="003270EA">
        <w:trPr>
          <w:trHeight w:val="214"/>
        </w:trPr>
        <w:tc>
          <w:tcPr>
            <w:tcW w:w="545" w:type="pct"/>
            <w:vMerge w:val="restart"/>
          </w:tcPr>
          <w:p w14:paraId="3CF1294F"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 xml:space="preserve">Latency stage 2 </w:t>
            </w:r>
          </w:p>
        </w:tc>
        <w:tc>
          <w:tcPr>
            <w:tcW w:w="873" w:type="pct"/>
          </w:tcPr>
          <w:p w14:paraId="0ACA7ED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Seizure inducer (PTZ)</w:t>
            </w:r>
          </w:p>
        </w:tc>
        <w:tc>
          <w:tcPr>
            <w:tcW w:w="328" w:type="pct"/>
          </w:tcPr>
          <w:p w14:paraId="1570A7F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49.9</w:t>
            </w:r>
          </w:p>
        </w:tc>
        <w:tc>
          <w:tcPr>
            <w:tcW w:w="399" w:type="pct"/>
          </w:tcPr>
          <w:p w14:paraId="1DE9835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46.5</w:t>
            </w:r>
          </w:p>
        </w:tc>
        <w:tc>
          <w:tcPr>
            <w:tcW w:w="440" w:type="pct"/>
          </w:tcPr>
          <w:p w14:paraId="226109D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6.87</w:t>
            </w:r>
          </w:p>
        </w:tc>
        <w:tc>
          <w:tcPr>
            <w:tcW w:w="399" w:type="pct"/>
          </w:tcPr>
          <w:p w14:paraId="7FC4018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16.82</w:t>
            </w:r>
          </w:p>
        </w:tc>
        <w:tc>
          <w:tcPr>
            <w:tcW w:w="504" w:type="pct"/>
          </w:tcPr>
          <w:p w14:paraId="1D7C8D1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282.94</w:t>
            </w:r>
          </w:p>
        </w:tc>
        <w:tc>
          <w:tcPr>
            <w:tcW w:w="504" w:type="pct"/>
          </w:tcPr>
          <w:p w14:paraId="4E3E53F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29.4</w:t>
            </w:r>
          </w:p>
        </w:tc>
        <w:tc>
          <w:tcPr>
            <w:tcW w:w="505" w:type="pct"/>
          </w:tcPr>
          <w:p w14:paraId="48293BE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78</w:t>
            </w:r>
          </w:p>
        </w:tc>
        <w:tc>
          <w:tcPr>
            <w:tcW w:w="503" w:type="pct"/>
          </w:tcPr>
          <w:p w14:paraId="70EBAD5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32.4</w:t>
            </w:r>
          </w:p>
        </w:tc>
      </w:tr>
      <w:tr w:rsidR="007F30B7" w:rsidRPr="00065FE0" w14:paraId="328B98D6" w14:textId="77777777" w:rsidTr="003270EA">
        <w:trPr>
          <w:trHeight w:val="214"/>
        </w:trPr>
        <w:tc>
          <w:tcPr>
            <w:tcW w:w="545" w:type="pct"/>
            <w:vMerge/>
          </w:tcPr>
          <w:p w14:paraId="26771CF3"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429E521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Vehicle (DMSO 0.1%)</w:t>
            </w:r>
          </w:p>
        </w:tc>
        <w:tc>
          <w:tcPr>
            <w:tcW w:w="328" w:type="pct"/>
          </w:tcPr>
          <w:p w14:paraId="4EBF546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48</w:t>
            </w:r>
          </w:p>
        </w:tc>
        <w:tc>
          <w:tcPr>
            <w:tcW w:w="399" w:type="pct"/>
          </w:tcPr>
          <w:p w14:paraId="1D16DC46"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47.1</w:t>
            </w:r>
          </w:p>
        </w:tc>
        <w:tc>
          <w:tcPr>
            <w:tcW w:w="440" w:type="pct"/>
          </w:tcPr>
          <w:p w14:paraId="110D3AE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
        </w:tc>
        <w:tc>
          <w:tcPr>
            <w:tcW w:w="399" w:type="pct"/>
          </w:tcPr>
          <w:p w14:paraId="43988E3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9.51</w:t>
            </w:r>
          </w:p>
        </w:tc>
        <w:tc>
          <w:tcPr>
            <w:tcW w:w="504" w:type="pct"/>
          </w:tcPr>
          <w:p w14:paraId="4E94FB4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504" w:type="pct"/>
          </w:tcPr>
          <w:p w14:paraId="44795D3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13.5</w:t>
            </w:r>
          </w:p>
        </w:tc>
        <w:tc>
          <w:tcPr>
            <w:tcW w:w="505" w:type="pct"/>
          </w:tcPr>
          <w:p w14:paraId="7EFAC3B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65</w:t>
            </w:r>
          </w:p>
        </w:tc>
        <w:tc>
          <w:tcPr>
            <w:tcW w:w="503" w:type="pct"/>
          </w:tcPr>
          <w:p w14:paraId="7532A25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38</w:t>
            </w:r>
          </w:p>
        </w:tc>
      </w:tr>
      <w:tr w:rsidR="007F30B7" w:rsidRPr="00065FE0" w14:paraId="6065F4CB" w14:textId="77777777" w:rsidTr="003270EA">
        <w:trPr>
          <w:trHeight w:val="214"/>
        </w:trPr>
        <w:tc>
          <w:tcPr>
            <w:tcW w:w="545" w:type="pct"/>
            <w:vMerge/>
          </w:tcPr>
          <w:p w14:paraId="3073157F"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4A0C751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Anticonvulsant (DZP)</w:t>
            </w:r>
          </w:p>
        </w:tc>
        <w:tc>
          <w:tcPr>
            <w:tcW w:w="328" w:type="pct"/>
          </w:tcPr>
          <w:p w14:paraId="5AF5BA6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141.6</w:t>
            </w:r>
          </w:p>
        </w:tc>
        <w:tc>
          <w:tcPr>
            <w:tcW w:w="399" w:type="pct"/>
          </w:tcPr>
          <w:p w14:paraId="1FFD6F64"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137</w:t>
            </w:r>
          </w:p>
        </w:tc>
        <w:tc>
          <w:tcPr>
            <w:tcW w:w="440" w:type="pct"/>
          </w:tcPr>
          <w:p w14:paraId="58A724F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16.43</w:t>
            </w:r>
          </w:p>
        </w:tc>
        <w:tc>
          <w:tcPr>
            <w:tcW w:w="399" w:type="pct"/>
          </w:tcPr>
          <w:p w14:paraId="1F422F8A"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40.25</w:t>
            </w:r>
          </w:p>
        </w:tc>
        <w:tc>
          <w:tcPr>
            <w:tcW w:w="504" w:type="pct"/>
          </w:tcPr>
          <w:p w14:paraId="492674C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1620.21</w:t>
            </w:r>
          </w:p>
        </w:tc>
        <w:tc>
          <w:tcPr>
            <w:tcW w:w="504" w:type="pct"/>
          </w:tcPr>
          <w:p w14:paraId="635A161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74.7</w:t>
            </w:r>
          </w:p>
        </w:tc>
        <w:tc>
          <w:tcPr>
            <w:tcW w:w="505" w:type="pct"/>
          </w:tcPr>
          <w:p w14:paraId="120E1B2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187.2</w:t>
            </w:r>
          </w:p>
        </w:tc>
        <w:tc>
          <w:tcPr>
            <w:tcW w:w="503" w:type="pct"/>
          </w:tcPr>
          <w:p w14:paraId="4234030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83.4</w:t>
            </w:r>
          </w:p>
        </w:tc>
      </w:tr>
      <w:tr w:rsidR="007F30B7" w:rsidRPr="00065FE0" w14:paraId="10C6478F" w14:textId="77777777" w:rsidTr="003270EA">
        <w:trPr>
          <w:trHeight w:val="214"/>
        </w:trPr>
        <w:tc>
          <w:tcPr>
            <w:tcW w:w="545" w:type="pct"/>
            <w:vMerge/>
          </w:tcPr>
          <w:p w14:paraId="426CFF3D"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6A88ABC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18333C0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57.7</w:t>
            </w:r>
          </w:p>
        </w:tc>
        <w:tc>
          <w:tcPr>
            <w:tcW w:w="399" w:type="pct"/>
          </w:tcPr>
          <w:p w14:paraId="0093862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62</w:t>
            </w:r>
          </w:p>
        </w:tc>
        <w:tc>
          <w:tcPr>
            <w:tcW w:w="440" w:type="pct"/>
          </w:tcPr>
          <w:p w14:paraId="368D7DC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8.02</w:t>
            </w:r>
          </w:p>
        </w:tc>
        <w:tc>
          <w:tcPr>
            <w:tcW w:w="399" w:type="pct"/>
          </w:tcPr>
          <w:p w14:paraId="6D1FE4D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19.63</w:t>
            </w:r>
          </w:p>
        </w:tc>
        <w:tc>
          <w:tcPr>
            <w:tcW w:w="504" w:type="pct"/>
          </w:tcPr>
          <w:p w14:paraId="7B9AAFF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385.52</w:t>
            </w:r>
          </w:p>
        </w:tc>
        <w:tc>
          <w:tcPr>
            <w:tcW w:w="504" w:type="pct"/>
          </w:tcPr>
          <w:p w14:paraId="785EA3C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28.4</w:t>
            </w:r>
          </w:p>
        </w:tc>
        <w:tc>
          <w:tcPr>
            <w:tcW w:w="505" w:type="pct"/>
          </w:tcPr>
          <w:p w14:paraId="61BDD08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74</w:t>
            </w:r>
          </w:p>
        </w:tc>
        <w:tc>
          <w:tcPr>
            <w:tcW w:w="503" w:type="pct"/>
          </w:tcPr>
          <w:p w14:paraId="49F6812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21</w:t>
            </w:r>
          </w:p>
        </w:tc>
      </w:tr>
      <w:tr w:rsidR="007F30B7" w:rsidRPr="00065FE0" w14:paraId="6FD2A112" w14:textId="77777777" w:rsidTr="003270EA">
        <w:trPr>
          <w:trHeight w:val="214"/>
        </w:trPr>
        <w:tc>
          <w:tcPr>
            <w:tcW w:w="545" w:type="pct"/>
            <w:vMerge/>
          </w:tcPr>
          <w:p w14:paraId="21B3F2DF"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0F79182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33A03A0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42.9</w:t>
            </w:r>
          </w:p>
        </w:tc>
        <w:tc>
          <w:tcPr>
            <w:tcW w:w="399" w:type="pct"/>
          </w:tcPr>
          <w:p w14:paraId="24DFF32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47</w:t>
            </w:r>
          </w:p>
        </w:tc>
        <w:tc>
          <w:tcPr>
            <w:tcW w:w="440" w:type="pct"/>
          </w:tcPr>
          <w:p w14:paraId="3E80886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7.86</w:t>
            </w:r>
          </w:p>
        </w:tc>
        <w:tc>
          <w:tcPr>
            <w:tcW w:w="399" w:type="pct"/>
          </w:tcPr>
          <w:p w14:paraId="63FE5BD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19.24</w:t>
            </w:r>
          </w:p>
        </w:tc>
        <w:tc>
          <w:tcPr>
            <w:tcW w:w="504" w:type="pct"/>
          </w:tcPr>
          <w:p w14:paraId="30173C2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370.19</w:t>
            </w:r>
          </w:p>
        </w:tc>
        <w:tc>
          <w:tcPr>
            <w:tcW w:w="504" w:type="pct"/>
          </w:tcPr>
          <w:p w14:paraId="066C4CB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38.4</w:t>
            </w:r>
          </w:p>
        </w:tc>
        <w:tc>
          <w:tcPr>
            <w:tcW w:w="505" w:type="pct"/>
          </w:tcPr>
          <w:p w14:paraId="03C89F9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66.6</w:t>
            </w:r>
          </w:p>
        </w:tc>
        <w:tc>
          <w:tcPr>
            <w:tcW w:w="503" w:type="pct"/>
          </w:tcPr>
          <w:p w14:paraId="429F2EC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18</w:t>
            </w:r>
          </w:p>
        </w:tc>
      </w:tr>
      <w:tr w:rsidR="007F30B7" w:rsidRPr="00065FE0" w14:paraId="7EC6B984" w14:textId="77777777" w:rsidTr="003270EA">
        <w:trPr>
          <w:trHeight w:val="214"/>
        </w:trPr>
        <w:tc>
          <w:tcPr>
            <w:tcW w:w="545" w:type="pct"/>
            <w:vMerge/>
          </w:tcPr>
          <w:p w14:paraId="7E7A1763"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2CE027E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2E66A06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163.4</w:t>
            </w:r>
          </w:p>
        </w:tc>
        <w:tc>
          <w:tcPr>
            <w:tcW w:w="399" w:type="pct"/>
          </w:tcPr>
          <w:p w14:paraId="32247C1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162.5</w:t>
            </w:r>
          </w:p>
        </w:tc>
        <w:tc>
          <w:tcPr>
            <w:tcW w:w="440" w:type="pct"/>
          </w:tcPr>
          <w:p w14:paraId="3CB85A3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13.59</w:t>
            </w:r>
          </w:p>
        </w:tc>
        <w:tc>
          <w:tcPr>
            <w:tcW w:w="399" w:type="pct"/>
          </w:tcPr>
          <w:p w14:paraId="0768BE4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33.28</w:t>
            </w:r>
          </w:p>
        </w:tc>
        <w:tc>
          <w:tcPr>
            <w:tcW w:w="504" w:type="pct"/>
          </w:tcPr>
          <w:p w14:paraId="58577CC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1107.42</w:t>
            </w:r>
          </w:p>
        </w:tc>
        <w:tc>
          <w:tcPr>
            <w:tcW w:w="504" w:type="pct"/>
          </w:tcPr>
          <w:p w14:paraId="2F5AF53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68</w:t>
            </w:r>
          </w:p>
        </w:tc>
        <w:tc>
          <w:tcPr>
            <w:tcW w:w="505" w:type="pct"/>
          </w:tcPr>
          <w:p w14:paraId="4F7D789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200</w:t>
            </w:r>
          </w:p>
        </w:tc>
        <w:tc>
          <w:tcPr>
            <w:tcW w:w="503" w:type="pct"/>
          </w:tcPr>
          <w:p w14:paraId="1B89567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121</w:t>
            </w:r>
          </w:p>
        </w:tc>
      </w:tr>
      <w:tr w:rsidR="007F30B7" w:rsidRPr="00065FE0" w14:paraId="67B48331" w14:textId="77777777" w:rsidTr="003270EA">
        <w:trPr>
          <w:trHeight w:val="214"/>
        </w:trPr>
        <w:tc>
          <w:tcPr>
            <w:tcW w:w="545" w:type="pct"/>
            <w:vMerge/>
          </w:tcPr>
          <w:p w14:paraId="28C7F630"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1A3C656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1A0A213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243.4</w:t>
            </w:r>
          </w:p>
        </w:tc>
        <w:tc>
          <w:tcPr>
            <w:tcW w:w="399" w:type="pct"/>
          </w:tcPr>
          <w:p w14:paraId="11A81E4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239.2</w:t>
            </w:r>
          </w:p>
        </w:tc>
        <w:tc>
          <w:tcPr>
            <w:tcW w:w="440" w:type="pct"/>
          </w:tcPr>
          <w:p w14:paraId="799F777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31.73</w:t>
            </w:r>
          </w:p>
        </w:tc>
        <w:tc>
          <w:tcPr>
            <w:tcW w:w="399" w:type="pct"/>
          </w:tcPr>
          <w:p w14:paraId="75B6137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77.72</w:t>
            </w:r>
          </w:p>
        </w:tc>
        <w:tc>
          <w:tcPr>
            <w:tcW w:w="504" w:type="pct"/>
          </w:tcPr>
          <w:p w14:paraId="6515F8A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6040.73</w:t>
            </w:r>
          </w:p>
        </w:tc>
        <w:tc>
          <w:tcPr>
            <w:tcW w:w="504" w:type="pct"/>
          </w:tcPr>
          <w:p w14:paraId="16F1D81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99.4</w:t>
            </w:r>
          </w:p>
        </w:tc>
        <w:tc>
          <w:tcPr>
            <w:tcW w:w="505" w:type="pct"/>
          </w:tcPr>
          <w:p w14:paraId="56FBE2F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385.2</w:t>
            </w:r>
          </w:p>
        </w:tc>
        <w:tc>
          <w:tcPr>
            <w:tcW w:w="503" w:type="pct"/>
          </w:tcPr>
          <w:p w14:paraId="183FEEB0"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158.4</w:t>
            </w:r>
          </w:p>
        </w:tc>
      </w:tr>
      <w:tr w:rsidR="007F30B7" w:rsidRPr="00065FE0" w14:paraId="379F8A6F" w14:textId="77777777" w:rsidTr="003270EA">
        <w:trPr>
          <w:trHeight w:val="214"/>
        </w:trPr>
        <w:tc>
          <w:tcPr>
            <w:tcW w:w="545" w:type="pct"/>
            <w:vMerge w:val="restart"/>
          </w:tcPr>
          <w:p w14:paraId="1319E3EB" w14:textId="77777777" w:rsidR="007F30B7" w:rsidRPr="00065FE0" w:rsidRDefault="007F30B7" w:rsidP="003270EA">
            <w:pPr>
              <w:tabs>
                <w:tab w:val="center" w:pos="4419"/>
                <w:tab w:val="right" w:pos="8838"/>
              </w:tabs>
              <w:jc w:val="center"/>
              <w:rPr>
                <w:rFonts w:ascii="Times New Roman" w:eastAsiaTheme="minorEastAsia" w:hAnsi="Times New Roman" w:cs="Times New Roman"/>
                <w:b/>
                <w:bCs/>
                <w:sz w:val="18"/>
                <w:szCs w:val="18"/>
                <w:lang w:val="en-US"/>
              </w:rPr>
            </w:pPr>
            <w:r w:rsidRPr="00065FE0">
              <w:rPr>
                <w:rFonts w:ascii="Times New Roman" w:hAnsi="Times New Roman" w:cs="Times New Roman"/>
                <w:sz w:val="18"/>
                <w:szCs w:val="18"/>
                <w:lang w:val="en-US"/>
              </w:rPr>
              <w:t>Latency stage 3</w:t>
            </w:r>
          </w:p>
        </w:tc>
        <w:tc>
          <w:tcPr>
            <w:tcW w:w="873" w:type="pct"/>
          </w:tcPr>
          <w:p w14:paraId="63495E2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hAnsi="Times New Roman" w:cs="Times New Roman"/>
                <w:color w:val="000000" w:themeColor="text1"/>
                <w:sz w:val="18"/>
                <w:szCs w:val="18"/>
                <w:lang w:val="en-US"/>
              </w:rPr>
              <w:t>Seizure inducer (PTZ)</w:t>
            </w:r>
          </w:p>
        </w:tc>
        <w:tc>
          <w:tcPr>
            <w:tcW w:w="328" w:type="pct"/>
          </w:tcPr>
          <w:p w14:paraId="10AEB9D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hAnsi="Times New Roman" w:cs="Times New Roman"/>
                <w:color w:val="000000" w:themeColor="text1"/>
                <w:sz w:val="18"/>
                <w:szCs w:val="18"/>
                <w:lang w:val="en-US"/>
              </w:rPr>
              <w:t>74</w:t>
            </w:r>
          </w:p>
        </w:tc>
        <w:tc>
          <w:tcPr>
            <w:tcW w:w="399" w:type="pct"/>
          </w:tcPr>
          <w:p w14:paraId="1A1C509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hAnsi="Times New Roman" w:cs="Times New Roman"/>
                <w:color w:val="000000" w:themeColor="text1"/>
                <w:sz w:val="18"/>
                <w:szCs w:val="18"/>
                <w:lang w:val="en-US"/>
              </w:rPr>
              <w:t>75.6</w:t>
            </w:r>
          </w:p>
        </w:tc>
        <w:tc>
          <w:tcPr>
            <w:tcW w:w="440" w:type="pct"/>
          </w:tcPr>
          <w:p w14:paraId="4B4D52E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13.79</w:t>
            </w:r>
          </w:p>
        </w:tc>
        <w:tc>
          <w:tcPr>
            <w:tcW w:w="399" w:type="pct"/>
          </w:tcPr>
          <w:p w14:paraId="707246C6"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33.79</w:t>
            </w:r>
          </w:p>
        </w:tc>
        <w:tc>
          <w:tcPr>
            <w:tcW w:w="504" w:type="pct"/>
          </w:tcPr>
          <w:p w14:paraId="6B12187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1142.18</w:t>
            </w:r>
          </w:p>
        </w:tc>
        <w:tc>
          <w:tcPr>
            <w:tcW w:w="504" w:type="pct"/>
          </w:tcPr>
          <w:p w14:paraId="30421EF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59.7</w:t>
            </w:r>
          </w:p>
        </w:tc>
        <w:tc>
          <w:tcPr>
            <w:tcW w:w="505" w:type="pct"/>
          </w:tcPr>
          <w:p w14:paraId="73A9F1E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121.8</w:t>
            </w:r>
          </w:p>
        </w:tc>
        <w:tc>
          <w:tcPr>
            <w:tcW w:w="503" w:type="pct"/>
          </w:tcPr>
          <w:p w14:paraId="59B2B39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30</w:t>
            </w:r>
          </w:p>
        </w:tc>
      </w:tr>
      <w:tr w:rsidR="007F30B7" w:rsidRPr="00065FE0" w14:paraId="4D9495CC" w14:textId="77777777" w:rsidTr="003270EA">
        <w:trPr>
          <w:trHeight w:val="214"/>
        </w:trPr>
        <w:tc>
          <w:tcPr>
            <w:tcW w:w="545" w:type="pct"/>
            <w:vMerge/>
          </w:tcPr>
          <w:p w14:paraId="7E8E861C"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3CBBCC72"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Vehicle (DMSO 0.1%)</w:t>
            </w:r>
          </w:p>
        </w:tc>
        <w:tc>
          <w:tcPr>
            <w:tcW w:w="328" w:type="pct"/>
          </w:tcPr>
          <w:p w14:paraId="0B9EF70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91.9</w:t>
            </w:r>
          </w:p>
        </w:tc>
        <w:tc>
          <w:tcPr>
            <w:tcW w:w="399" w:type="pct"/>
          </w:tcPr>
          <w:p w14:paraId="6C77713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89</w:t>
            </w:r>
          </w:p>
        </w:tc>
        <w:tc>
          <w:tcPr>
            <w:tcW w:w="440" w:type="pct"/>
          </w:tcPr>
          <w:p w14:paraId="3D3EB16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4.00</w:t>
            </w:r>
          </w:p>
        </w:tc>
        <w:tc>
          <w:tcPr>
            <w:tcW w:w="399" w:type="pct"/>
          </w:tcPr>
          <w:p w14:paraId="2929A53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9.81</w:t>
            </w:r>
          </w:p>
        </w:tc>
        <w:tc>
          <w:tcPr>
            <w:tcW w:w="504" w:type="pct"/>
          </w:tcPr>
          <w:p w14:paraId="3DB36002"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25579.61</w:t>
            </w:r>
          </w:p>
        </w:tc>
        <w:tc>
          <w:tcPr>
            <w:tcW w:w="504" w:type="pct"/>
          </w:tcPr>
          <w:p w14:paraId="2576F556"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18.3</w:t>
            </w:r>
          </w:p>
        </w:tc>
        <w:tc>
          <w:tcPr>
            <w:tcW w:w="505" w:type="pct"/>
          </w:tcPr>
          <w:p w14:paraId="5FAE981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107.4</w:t>
            </w:r>
          </w:p>
        </w:tc>
        <w:tc>
          <w:tcPr>
            <w:tcW w:w="503" w:type="pct"/>
          </w:tcPr>
          <w:p w14:paraId="480D9ED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82.2</w:t>
            </w:r>
          </w:p>
        </w:tc>
      </w:tr>
      <w:tr w:rsidR="007F30B7" w:rsidRPr="00065FE0" w14:paraId="2FA3E0FC" w14:textId="77777777" w:rsidTr="003270EA">
        <w:trPr>
          <w:trHeight w:val="214"/>
        </w:trPr>
        <w:tc>
          <w:tcPr>
            <w:tcW w:w="545" w:type="pct"/>
            <w:vMerge/>
          </w:tcPr>
          <w:p w14:paraId="58438335"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310D68C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Anticonvulsant (DZP)</w:t>
            </w:r>
          </w:p>
        </w:tc>
        <w:tc>
          <w:tcPr>
            <w:tcW w:w="328" w:type="pct"/>
          </w:tcPr>
          <w:p w14:paraId="6A78D8E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192.9</w:t>
            </w:r>
          </w:p>
        </w:tc>
        <w:tc>
          <w:tcPr>
            <w:tcW w:w="399" w:type="pct"/>
          </w:tcPr>
          <w:p w14:paraId="392519F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186</w:t>
            </w:r>
          </w:p>
        </w:tc>
        <w:tc>
          <w:tcPr>
            <w:tcW w:w="440" w:type="pct"/>
          </w:tcPr>
          <w:p w14:paraId="5F62C81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23.79</w:t>
            </w:r>
          </w:p>
        </w:tc>
        <w:tc>
          <w:tcPr>
            <w:tcW w:w="399" w:type="pct"/>
          </w:tcPr>
          <w:p w14:paraId="6BA3EC2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58.28</w:t>
            </w:r>
          </w:p>
        </w:tc>
        <w:tc>
          <w:tcPr>
            <w:tcW w:w="504" w:type="pct"/>
          </w:tcPr>
          <w:p w14:paraId="0AA6A7E6"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3396.09</w:t>
            </w:r>
          </w:p>
        </w:tc>
        <w:tc>
          <w:tcPr>
            <w:tcW w:w="504" w:type="pct"/>
          </w:tcPr>
          <w:p w14:paraId="3683EA6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82.5</w:t>
            </w:r>
          </w:p>
        </w:tc>
        <w:tc>
          <w:tcPr>
            <w:tcW w:w="505" w:type="pct"/>
          </w:tcPr>
          <w:p w14:paraId="7DC49F66"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300</w:t>
            </w:r>
          </w:p>
        </w:tc>
        <w:tc>
          <w:tcPr>
            <w:tcW w:w="503" w:type="pct"/>
          </w:tcPr>
          <w:p w14:paraId="7B24036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136.2</w:t>
            </w:r>
          </w:p>
        </w:tc>
      </w:tr>
      <w:tr w:rsidR="007F30B7" w:rsidRPr="00065FE0" w14:paraId="04BDE288" w14:textId="77777777" w:rsidTr="003270EA">
        <w:trPr>
          <w:trHeight w:val="214"/>
        </w:trPr>
        <w:tc>
          <w:tcPr>
            <w:tcW w:w="545" w:type="pct"/>
            <w:vMerge/>
          </w:tcPr>
          <w:p w14:paraId="3CFAF78B"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02F75AB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6660532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136.9</w:t>
            </w:r>
          </w:p>
        </w:tc>
        <w:tc>
          <w:tcPr>
            <w:tcW w:w="399" w:type="pct"/>
          </w:tcPr>
          <w:p w14:paraId="186216B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133.4</w:t>
            </w:r>
          </w:p>
        </w:tc>
        <w:tc>
          <w:tcPr>
            <w:tcW w:w="440" w:type="pct"/>
          </w:tcPr>
          <w:p w14:paraId="060E79B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34.27</w:t>
            </w:r>
          </w:p>
        </w:tc>
        <w:tc>
          <w:tcPr>
            <w:tcW w:w="399" w:type="pct"/>
          </w:tcPr>
          <w:p w14:paraId="7461534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83.94</w:t>
            </w:r>
          </w:p>
        </w:tc>
        <w:tc>
          <w:tcPr>
            <w:tcW w:w="504" w:type="pct"/>
          </w:tcPr>
          <w:p w14:paraId="54C3A74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7046.57</w:t>
            </w:r>
          </w:p>
        </w:tc>
        <w:tc>
          <w:tcPr>
            <w:tcW w:w="504" w:type="pct"/>
          </w:tcPr>
          <w:p w14:paraId="70F601E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150.1</w:t>
            </w:r>
          </w:p>
        </w:tc>
        <w:tc>
          <w:tcPr>
            <w:tcW w:w="505" w:type="pct"/>
          </w:tcPr>
          <w:p w14:paraId="28B4A97B"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249.6</w:t>
            </w:r>
          </w:p>
        </w:tc>
        <w:tc>
          <w:tcPr>
            <w:tcW w:w="503" w:type="pct"/>
          </w:tcPr>
          <w:p w14:paraId="35D6992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32</w:t>
            </w:r>
          </w:p>
        </w:tc>
      </w:tr>
      <w:tr w:rsidR="007F30B7" w:rsidRPr="00065FE0" w14:paraId="084E2097" w14:textId="77777777" w:rsidTr="003270EA">
        <w:trPr>
          <w:trHeight w:val="214"/>
        </w:trPr>
        <w:tc>
          <w:tcPr>
            <w:tcW w:w="545" w:type="pct"/>
            <w:vMerge/>
          </w:tcPr>
          <w:p w14:paraId="03A836D4"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674C181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6D440EB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eastAsiaTheme="minorEastAsia" w:hAnsi="Times New Roman" w:cs="Times New Roman"/>
                <w:sz w:val="18"/>
                <w:szCs w:val="18"/>
                <w:lang w:val="en-US"/>
              </w:rPr>
              <w:t>79.7</w:t>
            </w:r>
          </w:p>
        </w:tc>
        <w:tc>
          <w:tcPr>
            <w:tcW w:w="399" w:type="pct"/>
          </w:tcPr>
          <w:p w14:paraId="66F5EB8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eastAsiaTheme="minorEastAsia" w:hAnsi="Times New Roman" w:cs="Times New Roman"/>
                <w:sz w:val="18"/>
                <w:szCs w:val="18"/>
                <w:lang w:val="en-US"/>
              </w:rPr>
              <w:t>59.1</w:t>
            </w:r>
          </w:p>
        </w:tc>
        <w:tc>
          <w:tcPr>
            <w:tcW w:w="440" w:type="pct"/>
          </w:tcPr>
          <w:p w14:paraId="0358B07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27.56</w:t>
            </w:r>
          </w:p>
        </w:tc>
        <w:tc>
          <w:tcPr>
            <w:tcW w:w="399" w:type="pct"/>
          </w:tcPr>
          <w:p w14:paraId="7C76C80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67.5</w:t>
            </w:r>
          </w:p>
        </w:tc>
        <w:tc>
          <w:tcPr>
            <w:tcW w:w="504" w:type="pct"/>
          </w:tcPr>
          <w:p w14:paraId="73E5A07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4556.36</w:t>
            </w:r>
          </w:p>
        </w:tc>
        <w:tc>
          <w:tcPr>
            <w:tcW w:w="504" w:type="pct"/>
          </w:tcPr>
          <w:p w14:paraId="4B49FE46"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62.7</w:t>
            </w:r>
          </w:p>
        </w:tc>
        <w:tc>
          <w:tcPr>
            <w:tcW w:w="505" w:type="pct"/>
          </w:tcPr>
          <w:p w14:paraId="70ACA5C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213.6</w:t>
            </w:r>
          </w:p>
        </w:tc>
        <w:tc>
          <w:tcPr>
            <w:tcW w:w="503" w:type="pct"/>
          </w:tcPr>
          <w:p w14:paraId="2A61E2F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24</w:t>
            </w:r>
          </w:p>
        </w:tc>
      </w:tr>
      <w:tr w:rsidR="007F30B7" w:rsidRPr="00065FE0" w14:paraId="774BB43A" w14:textId="77777777" w:rsidTr="003270EA">
        <w:trPr>
          <w:trHeight w:val="214"/>
        </w:trPr>
        <w:tc>
          <w:tcPr>
            <w:tcW w:w="545" w:type="pct"/>
            <w:vMerge/>
          </w:tcPr>
          <w:p w14:paraId="3844ED10"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47475F1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1818053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311</w:t>
            </w:r>
          </w:p>
        </w:tc>
        <w:tc>
          <w:tcPr>
            <w:tcW w:w="399" w:type="pct"/>
          </w:tcPr>
          <w:p w14:paraId="6C8D059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296.9</w:t>
            </w:r>
          </w:p>
        </w:tc>
        <w:tc>
          <w:tcPr>
            <w:tcW w:w="440" w:type="pct"/>
          </w:tcPr>
          <w:p w14:paraId="791C604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30.57</w:t>
            </w:r>
          </w:p>
        </w:tc>
        <w:tc>
          <w:tcPr>
            <w:tcW w:w="399" w:type="pct"/>
          </w:tcPr>
          <w:p w14:paraId="50A739E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74.91</w:t>
            </w:r>
          </w:p>
        </w:tc>
        <w:tc>
          <w:tcPr>
            <w:tcW w:w="504" w:type="pct"/>
          </w:tcPr>
          <w:p w14:paraId="3A65E56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5610.69</w:t>
            </w:r>
          </w:p>
        </w:tc>
        <w:tc>
          <w:tcPr>
            <w:tcW w:w="504" w:type="pct"/>
          </w:tcPr>
          <w:p w14:paraId="721DA17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106.3</w:t>
            </w:r>
          </w:p>
        </w:tc>
        <w:tc>
          <w:tcPr>
            <w:tcW w:w="505" w:type="pct"/>
          </w:tcPr>
          <w:p w14:paraId="75C91DC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443.8</w:t>
            </w:r>
          </w:p>
        </w:tc>
        <w:tc>
          <w:tcPr>
            <w:tcW w:w="503" w:type="pct"/>
          </w:tcPr>
          <w:p w14:paraId="3F889F1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228.8</w:t>
            </w:r>
          </w:p>
        </w:tc>
      </w:tr>
      <w:tr w:rsidR="007F30B7" w:rsidRPr="00065FE0" w14:paraId="3BB37C6A" w14:textId="77777777" w:rsidTr="003270EA">
        <w:trPr>
          <w:trHeight w:val="214"/>
        </w:trPr>
        <w:tc>
          <w:tcPr>
            <w:tcW w:w="545" w:type="pct"/>
            <w:vMerge/>
          </w:tcPr>
          <w:p w14:paraId="2E4E1FD7"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06283DD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50DA416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410</w:t>
            </w:r>
          </w:p>
        </w:tc>
        <w:tc>
          <w:tcPr>
            <w:tcW w:w="399" w:type="pct"/>
          </w:tcPr>
          <w:p w14:paraId="600C828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376.2</w:t>
            </w:r>
          </w:p>
        </w:tc>
        <w:tc>
          <w:tcPr>
            <w:tcW w:w="440" w:type="pct"/>
          </w:tcPr>
          <w:p w14:paraId="5AF975E0"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65.29</w:t>
            </w:r>
          </w:p>
        </w:tc>
        <w:tc>
          <w:tcPr>
            <w:tcW w:w="399" w:type="pct"/>
          </w:tcPr>
          <w:p w14:paraId="2F2BE89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159.94</w:t>
            </w:r>
          </w:p>
        </w:tc>
        <w:tc>
          <w:tcPr>
            <w:tcW w:w="504" w:type="pct"/>
          </w:tcPr>
          <w:p w14:paraId="4287D1D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25579.61</w:t>
            </w:r>
          </w:p>
        </w:tc>
        <w:tc>
          <w:tcPr>
            <w:tcW w:w="504" w:type="pct"/>
          </w:tcPr>
          <w:p w14:paraId="6F8AC44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270.4</w:t>
            </w:r>
          </w:p>
        </w:tc>
        <w:tc>
          <w:tcPr>
            <w:tcW w:w="505" w:type="pct"/>
          </w:tcPr>
          <w:p w14:paraId="3999C6F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668.4</w:t>
            </w:r>
          </w:p>
        </w:tc>
        <w:tc>
          <w:tcPr>
            <w:tcW w:w="503" w:type="pct"/>
          </w:tcPr>
          <w:p w14:paraId="5B71E6E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246.8</w:t>
            </w:r>
          </w:p>
        </w:tc>
      </w:tr>
      <w:tr w:rsidR="007F30B7" w:rsidRPr="00065FE0" w14:paraId="1B024FB6" w14:textId="77777777" w:rsidTr="003270EA">
        <w:trPr>
          <w:trHeight w:val="214"/>
        </w:trPr>
        <w:tc>
          <w:tcPr>
            <w:tcW w:w="545" w:type="pct"/>
            <w:vMerge w:val="restart"/>
          </w:tcPr>
          <w:p w14:paraId="6FB8C233"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Latency stage 4</w:t>
            </w:r>
          </w:p>
        </w:tc>
        <w:tc>
          <w:tcPr>
            <w:tcW w:w="873" w:type="pct"/>
          </w:tcPr>
          <w:p w14:paraId="1DFF1A9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Seizure inducer (PTZ)</w:t>
            </w:r>
          </w:p>
        </w:tc>
        <w:tc>
          <w:tcPr>
            <w:tcW w:w="328" w:type="pct"/>
          </w:tcPr>
          <w:p w14:paraId="5EACA4B8"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242.1</w:t>
            </w:r>
          </w:p>
        </w:tc>
        <w:tc>
          <w:tcPr>
            <w:tcW w:w="399" w:type="pct"/>
          </w:tcPr>
          <w:p w14:paraId="2037FCB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250.5</w:t>
            </w:r>
          </w:p>
        </w:tc>
        <w:tc>
          <w:tcPr>
            <w:tcW w:w="440" w:type="pct"/>
          </w:tcPr>
          <w:p w14:paraId="1EE6B21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24.69</w:t>
            </w:r>
          </w:p>
        </w:tc>
        <w:tc>
          <w:tcPr>
            <w:tcW w:w="399" w:type="pct"/>
          </w:tcPr>
          <w:p w14:paraId="134B5D1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60.48</w:t>
            </w:r>
          </w:p>
        </w:tc>
        <w:tc>
          <w:tcPr>
            <w:tcW w:w="504" w:type="pct"/>
          </w:tcPr>
          <w:p w14:paraId="4D3E5C4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3657.35</w:t>
            </w:r>
          </w:p>
        </w:tc>
        <w:tc>
          <w:tcPr>
            <w:tcW w:w="504" w:type="pct"/>
          </w:tcPr>
          <w:p w14:paraId="6C66B00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77</w:t>
            </w:r>
          </w:p>
        </w:tc>
        <w:tc>
          <w:tcPr>
            <w:tcW w:w="505" w:type="pct"/>
          </w:tcPr>
          <w:p w14:paraId="3A7B40F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329.4</w:t>
            </w:r>
          </w:p>
        </w:tc>
        <w:tc>
          <w:tcPr>
            <w:tcW w:w="503" w:type="pct"/>
          </w:tcPr>
          <w:p w14:paraId="2578813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143.8</w:t>
            </w:r>
          </w:p>
        </w:tc>
      </w:tr>
      <w:tr w:rsidR="007F30B7" w:rsidRPr="00065FE0" w14:paraId="587F398C" w14:textId="77777777" w:rsidTr="003270EA">
        <w:trPr>
          <w:trHeight w:val="214"/>
        </w:trPr>
        <w:tc>
          <w:tcPr>
            <w:tcW w:w="545" w:type="pct"/>
            <w:vMerge/>
          </w:tcPr>
          <w:p w14:paraId="42B8B117"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426E8D22"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Vehicle (DMSO 0.1%)</w:t>
            </w:r>
          </w:p>
        </w:tc>
        <w:tc>
          <w:tcPr>
            <w:tcW w:w="328" w:type="pct"/>
          </w:tcPr>
          <w:p w14:paraId="262919A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276.9</w:t>
            </w:r>
          </w:p>
        </w:tc>
        <w:tc>
          <w:tcPr>
            <w:tcW w:w="399" w:type="pct"/>
          </w:tcPr>
          <w:p w14:paraId="11CA26B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280.3</w:t>
            </w:r>
          </w:p>
        </w:tc>
        <w:tc>
          <w:tcPr>
            <w:tcW w:w="440" w:type="pct"/>
          </w:tcPr>
          <w:p w14:paraId="133CD8E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8.43</w:t>
            </w:r>
          </w:p>
        </w:tc>
        <w:tc>
          <w:tcPr>
            <w:tcW w:w="399" w:type="pct"/>
          </w:tcPr>
          <w:p w14:paraId="205B0C1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20.65</w:t>
            </w:r>
          </w:p>
        </w:tc>
        <w:tc>
          <w:tcPr>
            <w:tcW w:w="504" w:type="pct"/>
          </w:tcPr>
          <w:p w14:paraId="5FEC6C5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426.59</w:t>
            </w:r>
          </w:p>
        </w:tc>
        <w:tc>
          <w:tcPr>
            <w:tcW w:w="504" w:type="pct"/>
          </w:tcPr>
          <w:p w14:paraId="0C05C54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29.1</w:t>
            </w:r>
          </w:p>
        </w:tc>
        <w:tc>
          <w:tcPr>
            <w:tcW w:w="505" w:type="pct"/>
          </w:tcPr>
          <w:p w14:paraId="546D6BE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300</w:t>
            </w:r>
          </w:p>
        </w:tc>
        <w:tc>
          <w:tcPr>
            <w:tcW w:w="503" w:type="pct"/>
          </w:tcPr>
          <w:p w14:paraId="04D0C76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240</w:t>
            </w:r>
          </w:p>
        </w:tc>
      </w:tr>
      <w:tr w:rsidR="007F30B7" w:rsidRPr="00065FE0" w14:paraId="7AD09AA0" w14:textId="77777777" w:rsidTr="003270EA">
        <w:trPr>
          <w:trHeight w:val="214"/>
        </w:trPr>
        <w:tc>
          <w:tcPr>
            <w:tcW w:w="545" w:type="pct"/>
            <w:vMerge/>
          </w:tcPr>
          <w:p w14:paraId="23CF9C5C"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6EAE297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Anticonvulsant (DZP)</w:t>
            </w:r>
          </w:p>
        </w:tc>
        <w:tc>
          <w:tcPr>
            <w:tcW w:w="328" w:type="pct"/>
          </w:tcPr>
          <w:p w14:paraId="2A7AD03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892.5</w:t>
            </w:r>
          </w:p>
        </w:tc>
        <w:tc>
          <w:tcPr>
            <w:tcW w:w="399" w:type="pct"/>
          </w:tcPr>
          <w:p w14:paraId="4491C6B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892</w:t>
            </w:r>
          </w:p>
        </w:tc>
        <w:tc>
          <w:tcPr>
            <w:tcW w:w="440" w:type="pct"/>
          </w:tcPr>
          <w:p w14:paraId="2781F97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40.33</w:t>
            </w:r>
          </w:p>
        </w:tc>
        <w:tc>
          <w:tcPr>
            <w:tcW w:w="399" w:type="pct"/>
          </w:tcPr>
          <w:p w14:paraId="404BCB3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98.79</w:t>
            </w:r>
          </w:p>
        </w:tc>
        <w:tc>
          <w:tcPr>
            <w:tcW w:w="504" w:type="pct"/>
          </w:tcPr>
          <w:p w14:paraId="36BF719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9758.87</w:t>
            </w:r>
          </w:p>
        </w:tc>
        <w:tc>
          <w:tcPr>
            <w:tcW w:w="504" w:type="pct"/>
          </w:tcPr>
          <w:p w14:paraId="697596A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124.2</w:t>
            </w:r>
          </w:p>
        </w:tc>
        <w:tc>
          <w:tcPr>
            <w:tcW w:w="505" w:type="pct"/>
          </w:tcPr>
          <w:p w14:paraId="5F226F7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1047.6</w:t>
            </w:r>
          </w:p>
        </w:tc>
        <w:tc>
          <w:tcPr>
            <w:tcW w:w="503" w:type="pct"/>
          </w:tcPr>
          <w:p w14:paraId="471B3BC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747</w:t>
            </w:r>
          </w:p>
        </w:tc>
      </w:tr>
      <w:tr w:rsidR="007F30B7" w:rsidRPr="00065FE0" w14:paraId="1B480EBA" w14:textId="77777777" w:rsidTr="003270EA">
        <w:trPr>
          <w:trHeight w:val="214"/>
        </w:trPr>
        <w:tc>
          <w:tcPr>
            <w:tcW w:w="545" w:type="pct"/>
            <w:vMerge/>
          </w:tcPr>
          <w:p w14:paraId="2FC8F6D2"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4BB1922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7640E763"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272.1</w:t>
            </w:r>
          </w:p>
        </w:tc>
        <w:tc>
          <w:tcPr>
            <w:tcW w:w="399" w:type="pct"/>
          </w:tcPr>
          <w:p w14:paraId="32F9BF8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205.5</w:t>
            </w:r>
          </w:p>
        </w:tc>
        <w:tc>
          <w:tcPr>
            <w:tcW w:w="440" w:type="pct"/>
          </w:tcPr>
          <w:p w14:paraId="3235233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85.02</w:t>
            </w:r>
          </w:p>
        </w:tc>
        <w:tc>
          <w:tcPr>
            <w:tcW w:w="399" w:type="pct"/>
          </w:tcPr>
          <w:p w14:paraId="3B94BCE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208.27</w:t>
            </w:r>
          </w:p>
        </w:tc>
        <w:tc>
          <w:tcPr>
            <w:tcW w:w="504" w:type="pct"/>
          </w:tcPr>
          <w:p w14:paraId="54201ED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43374.84</w:t>
            </w:r>
          </w:p>
        </w:tc>
        <w:tc>
          <w:tcPr>
            <w:tcW w:w="504" w:type="pct"/>
          </w:tcPr>
          <w:p w14:paraId="6F4D1DE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433.6</w:t>
            </w:r>
          </w:p>
        </w:tc>
        <w:tc>
          <w:tcPr>
            <w:tcW w:w="505" w:type="pct"/>
          </w:tcPr>
          <w:p w14:paraId="7C80753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559</w:t>
            </w:r>
          </w:p>
        </w:tc>
        <w:tc>
          <w:tcPr>
            <w:tcW w:w="503" w:type="pct"/>
          </w:tcPr>
          <w:p w14:paraId="671E950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78.6</w:t>
            </w:r>
          </w:p>
        </w:tc>
      </w:tr>
      <w:tr w:rsidR="007F30B7" w:rsidRPr="00065FE0" w14:paraId="7236157F" w14:textId="77777777" w:rsidTr="003270EA">
        <w:trPr>
          <w:trHeight w:val="214"/>
        </w:trPr>
        <w:tc>
          <w:tcPr>
            <w:tcW w:w="545" w:type="pct"/>
            <w:vMerge/>
          </w:tcPr>
          <w:p w14:paraId="3669BF9A"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11E83C1B"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1556A463"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161.4</w:t>
            </w:r>
          </w:p>
        </w:tc>
        <w:tc>
          <w:tcPr>
            <w:tcW w:w="399" w:type="pct"/>
          </w:tcPr>
          <w:p w14:paraId="37ED35D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146.1</w:t>
            </w:r>
          </w:p>
        </w:tc>
        <w:tc>
          <w:tcPr>
            <w:tcW w:w="440" w:type="pct"/>
          </w:tcPr>
          <w:p w14:paraId="22385F9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33.9</w:t>
            </w:r>
          </w:p>
        </w:tc>
        <w:tc>
          <w:tcPr>
            <w:tcW w:w="399" w:type="pct"/>
          </w:tcPr>
          <w:p w14:paraId="67B6EFF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83.07</w:t>
            </w:r>
          </w:p>
        </w:tc>
        <w:tc>
          <w:tcPr>
            <w:tcW w:w="504" w:type="pct"/>
          </w:tcPr>
          <w:p w14:paraId="702038E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6900.19</w:t>
            </w:r>
          </w:p>
        </w:tc>
        <w:tc>
          <w:tcPr>
            <w:tcW w:w="504" w:type="pct"/>
          </w:tcPr>
          <w:p w14:paraId="1F34113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173.9</w:t>
            </w:r>
          </w:p>
        </w:tc>
        <w:tc>
          <w:tcPr>
            <w:tcW w:w="505" w:type="pct"/>
          </w:tcPr>
          <w:p w14:paraId="2B86663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267.6</w:t>
            </w:r>
          </w:p>
        </w:tc>
        <w:tc>
          <w:tcPr>
            <w:tcW w:w="503" w:type="pct"/>
          </w:tcPr>
          <w:p w14:paraId="5E0B4A8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67.2</w:t>
            </w:r>
          </w:p>
        </w:tc>
      </w:tr>
      <w:tr w:rsidR="007F30B7" w:rsidRPr="00065FE0" w14:paraId="01DDB162" w14:textId="77777777" w:rsidTr="003270EA">
        <w:trPr>
          <w:trHeight w:val="214"/>
        </w:trPr>
        <w:tc>
          <w:tcPr>
            <w:tcW w:w="545" w:type="pct"/>
            <w:vMerge/>
          </w:tcPr>
          <w:p w14:paraId="1FE392CA"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7883075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55BDFBD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840.2</w:t>
            </w:r>
          </w:p>
        </w:tc>
        <w:tc>
          <w:tcPr>
            <w:tcW w:w="399" w:type="pct"/>
          </w:tcPr>
          <w:p w14:paraId="7473093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832.4</w:t>
            </w:r>
          </w:p>
        </w:tc>
        <w:tc>
          <w:tcPr>
            <w:tcW w:w="440" w:type="pct"/>
          </w:tcPr>
          <w:p w14:paraId="7C34B5C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32.28</w:t>
            </w:r>
          </w:p>
        </w:tc>
        <w:tc>
          <w:tcPr>
            <w:tcW w:w="399" w:type="pct"/>
          </w:tcPr>
          <w:p w14:paraId="0D2F7662"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79.06</w:t>
            </w:r>
          </w:p>
        </w:tc>
        <w:tc>
          <w:tcPr>
            <w:tcW w:w="504" w:type="pct"/>
          </w:tcPr>
          <w:p w14:paraId="70DD394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6250.89</w:t>
            </w:r>
          </w:p>
        </w:tc>
        <w:tc>
          <w:tcPr>
            <w:tcW w:w="504" w:type="pct"/>
          </w:tcPr>
          <w:p w14:paraId="71EB7B6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88.8</w:t>
            </w:r>
          </w:p>
        </w:tc>
        <w:tc>
          <w:tcPr>
            <w:tcW w:w="505" w:type="pct"/>
          </w:tcPr>
          <w:p w14:paraId="71E9651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977</w:t>
            </w:r>
          </w:p>
        </w:tc>
        <w:tc>
          <w:tcPr>
            <w:tcW w:w="503" w:type="pct"/>
          </w:tcPr>
          <w:p w14:paraId="21D84BB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732.8</w:t>
            </w:r>
          </w:p>
        </w:tc>
      </w:tr>
      <w:tr w:rsidR="007F30B7" w:rsidRPr="00065FE0" w14:paraId="43D6E0FD" w14:textId="77777777" w:rsidTr="003270EA">
        <w:trPr>
          <w:trHeight w:val="214"/>
        </w:trPr>
        <w:tc>
          <w:tcPr>
            <w:tcW w:w="545" w:type="pct"/>
            <w:vMerge/>
          </w:tcPr>
          <w:p w14:paraId="30EAA06B"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3418FBF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3D87346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726.9</w:t>
            </w:r>
          </w:p>
        </w:tc>
        <w:tc>
          <w:tcPr>
            <w:tcW w:w="399" w:type="pct"/>
          </w:tcPr>
          <w:p w14:paraId="06F349EA"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eastAsiaTheme="minorEastAsia" w:hAnsi="Times New Roman" w:cs="Times New Roman"/>
                <w:sz w:val="18"/>
                <w:szCs w:val="18"/>
                <w:lang w:val="en-US"/>
              </w:rPr>
              <w:t>739.2</w:t>
            </w:r>
          </w:p>
        </w:tc>
        <w:tc>
          <w:tcPr>
            <w:tcW w:w="440" w:type="pct"/>
          </w:tcPr>
          <w:p w14:paraId="3E67435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85.43</w:t>
            </w:r>
          </w:p>
        </w:tc>
        <w:tc>
          <w:tcPr>
            <w:tcW w:w="399" w:type="pct"/>
          </w:tcPr>
          <w:p w14:paraId="1A8F365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209.25</w:t>
            </w:r>
          </w:p>
        </w:tc>
        <w:tc>
          <w:tcPr>
            <w:tcW w:w="504" w:type="pct"/>
          </w:tcPr>
          <w:p w14:paraId="0323E03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43784.9</w:t>
            </w:r>
          </w:p>
        </w:tc>
        <w:tc>
          <w:tcPr>
            <w:tcW w:w="504" w:type="pct"/>
          </w:tcPr>
          <w:p w14:paraId="125CDA6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402</w:t>
            </w:r>
          </w:p>
        </w:tc>
        <w:tc>
          <w:tcPr>
            <w:tcW w:w="505" w:type="pct"/>
          </w:tcPr>
          <w:p w14:paraId="0F3334A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991.2</w:t>
            </w:r>
          </w:p>
        </w:tc>
        <w:tc>
          <w:tcPr>
            <w:tcW w:w="503" w:type="pct"/>
          </w:tcPr>
          <w:p w14:paraId="3A78B57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439.4</w:t>
            </w:r>
          </w:p>
        </w:tc>
      </w:tr>
      <w:tr w:rsidR="007F30B7" w:rsidRPr="00065FE0" w14:paraId="159BAD14" w14:textId="77777777" w:rsidTr="003270EA">
        <w:trPr>
          <w:trHeight w:val="214"/>
        </w:trPr>
        <w:tc>
          <w:tcPr>
            <w:tcW w:w="545" w:type="pct"/>
            <w:vMerge w:val="restart"/>
          </w:tcPr>
          <w:p w14:paraId="25821152"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Latency stage 5</w:t>
            </w:r>
          </w:p>
        </w:tc>
        <w:tc>
          <w:tcPr>
            <w:tcW w:w="873" w:type="pct"/>
          </w:tcPr>
          <w:p w14:paraId="09DF2E3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Seizure inducer (PTZ)</w:t>
            </w:r>
          </w:p>
        </w:tc>
        <w:tc>
          <w:tcPr>
            <w:tcW w:w="328" w:type="pct"/>
          </w:tcPr>
          <w:p w14:paraId="51FD9D8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324.3</w:t>
            </w:r>
          </w:p>
        </w:tc>
        <w:tc>
          <w:tcPr>
            <w:tcW w:w="399" w:type="pct"/>
          </w:tcPr>
          <w:p w14:paraId="0990DC7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362.5</w:t>
            </w:r>
          </w:p>
        </w:tc>
        <w:tc>
          <w:tcPr>
            <w:tcW w:w="440" w:type="pct"/>
          </w:tcPr>
          <w:p w14:paraId="1566C9A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30.56</w:t>
            </w:r>
          </w:p>
        </w:tc>
        <w:tc>
          <w:tcPr>
            <w:tcW w:w="399" w:type="pct"/>
          </w:tcPr>
          <w:p w14:paraId="2353C2C6"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74.86</w:t>
            </w:r>
          </w:p>
        </w:tc>
        <w:tc>
          <w:tcPr>
            <w:tcW w:w="504" w:type="pct"/>
          </w:tcPr>
          <w:p w14:paraId="5F63DFF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5604.17</w:t>
            </w:r>
          </w:p>
        </w:tc>
        <w:tc>
          <w:tcPr>
            <w:tcW w:w="504" w:type="pct"/>
          </w:tcPr>
          <w:p w14:paraId="1595311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126.8</w:t>
            </w:r>
          </w:p>
        </w:tc>
        <w:tc>
          <w:tcPr>
            <w:tcW w:w="505" w:type="pct"/>
          </w:tcPr>
          <w:p w14:paraId="17886DE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384</w:t>
            </w:r>
          </w:p>
        </w:tc>
        <w:tc>
          <w:tcPr>
            <w:tcW w:w="503" w:type="pct"/>
          </w:tcPr>
          <w:p w14:paraId="67ED4C7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199</w:t>
            </w:r>
          </w:p>
        </w:tc>
      </w:tr>
      <w:tr w:rsidR="007F30B7" w:rsidRPr="00065FE0" w14:paraId="5205354F" w14:textId="77777777" w:rsidTr="003270EA">
        <w:trPr>
          <w:trHeight w:val="214"/>
        </w:trPr>
        <w:tc>
          <w:tcPr>
            <w:tcW w:w="545" w:type="pct"/>
            <w:vMerge/>
          </w:tcPr>
          <w:p w14:paraId="104B9A0E"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3F61D0F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Vehicle (DMSO 0.1%)</w:t>
            </w:r>
          </w:p>
        </w:tc>
        <w:tc>
          <w:tcPr>
            <w:tcW w:w="328" w:type="pct"/>
          </w:tcPr>
          <w:p w14:paraId="269B8C2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304.2</w:t>
            </w:r>
          </w:p>
        </w:tc>
        <w:tc>
          <w:tcPr>
            <w:tcW w:w="399" w:type="pct"/>
          </w:tcPr>
          <w:p w14:paraId="385D3D0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301.5</w:t>
            </w:r>
          </w:p>
        </w:tc>
        <w:tc>
          <w:tcPr>
            <w:tcW w:w="440" w:type="pct"/>
          </w:tcPr>
          <w:p w14:paraId="6BFB864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6.13</w:t>
            </w:r>
          </w:p>
        </w:tc>
        <w:tc>
          <w:tcPr>
            <w:tcW w:w="399" w:type="pct"/>
          </w:tcPr>
          <w:p w14:paraId="2B5BC70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15.01</w:t>
            </w:r>
          </w:p>
        </w:tc>
        <w:tc>
          <w:tcPr>
            <w:tcW w:w="504" w:type="pct"/>
          </w:tcPr>
          <w:p w14:paraId="7AEF6B6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225.29</w:t>
            </w:r>
          </w:p>
        </w:tc>
        <w:tc>
          <w:tcPr>
            <w:tcW w:w="504" w:type="pct"/>
          </w:tcPr>
          <w:p w14:paraId="4DF72A2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23.3</w:t>
            </w:r>
          </w:p>
        </w:tc>
        <w:tc>
          <w:tcPr>
            <w:tcW w:w="505" w:type="pct"/>
          </w:tcPr>
          <w:p w14:paraId="1E19D432"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330.6</w:t>
            </w:r>
          </w:p>
        </w:tc>
        <w:tc>
          <w:tcPr>
            <w:tcW w:w="503" w:type="pct"/>
          </w:tcPr>
          <w:p w14:paraId="5FEE3F7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288.6</w:t>
            </w:r>
          </w:p>
        </w:tc>
      </w:tr>
      <w:tr w:rsidR="007F30B7" w:rsidRPr="00065FE0" w14:paraId="10066741" w14:textId="77777777" w:rsidTr="003270EA">
        <w:trPr>
          <w:trHeight w:val="214"/>
        </w:trPr>
        <w:tc>
          <w:tcPr>
            <w:tcW w:w="545" w:type="pct"/>
            <w:vMerge/>
          </w:tcPr>
          <w:p w14:paraId="2CDAEE51"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65F5725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Anticonvulsant (DZP)</w:t>
            </w:r>
          </w:p>
        </w:tc>
        <w:tc>
          <w:tcPr>
            <w:tcW w:w="328" w:type="pct"/>
          </w:tcPr>
          <w:p w14:paraId="14314AE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1006.7</w:t>
            </w:r>
          </w:p>
        </w:tc>
        <w:tc>
          <w:tcPr>
            <w:tcW w:w="399" w:type="pct"/>
          </w:tcPr>
          <w:p w14:paraId="42144A9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960</w:t>
            </w:r>
          </w:p>
        </w:tc>
        <w:tc>
          <w:tcPr>
            <w:tcW w:w="440" w:type="pct"/>
          </w:tcPr>
          <w:p w14:paraId="1F7DD97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46.47</w:t>
            </w:r>
          </w:p>
        </w:tc>
        <w:tc>
          <w:tcPr>
            <w:tcW w:w="399" w:type="pct"/>
          </w:tcPr>
          <w:p w14:paraId="3A0DACC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113.84</w:t>
            </w:r>
          </w:p>
        </w:tc>
        <w:tc>
          <w:tcPr>
            <w:tcW w:w="504" w:type="pct"/>
          </w:tcPr>
          <w:p w14:paraId="39AA781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12958.73</w:t>
            </w:r>
          </w:p>
        </w:tc>
        <w:tc>
          <w:tcPr>
            <w:tcW w:w="504" w:type="pct"/>
          </w:tcPr>
          <w:p w14:paraId="5BCD880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170.3</w:t>
            </w:r>
          </w:p>
        </w:tc>
        <w:tc>
          <w:tcPr>
            <w:tcW w:w="505" w:type="pct"/>
          </w:tcPr>
          <w:p w14:paraId="76E882E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1217.4</w:t>
            </w:r>
          </w:p>
        </w:tc>
        <w:tc>
          <w:tcPr>
            <w:tcW w:w="503" w:type="pct"/>
          </w:tcPr>
          <w:p w14:paraId="50F2DC9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923.4</w:t>
            </w:r>
          </w:p>
        </w:tc>
      </w:tr>
      <w:tr w:rsidR="007F30B7" w:rsidRPr="00065FE0" w14:paraId="7D0936B8" w14:textId="77777777" w:rsidTr="003270EA">
        <w:trPr>
          <w:trHeight w:val="214"/>
        </w:trPr>
        <w:tc>
          <w:tcPr>
            <w:tcW w:w="545" w:type="pct"/>
            <w:vMerge/>
          </w:tcPr>
          <w:p w14:paraId="60B3D186"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6D79E24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77EA035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356.6</w:t>
            </w:r>
          </w:p>
        </w:tc>
        <w:tc>
          <w:tcPr>
            <w:tcW w:w="399" w:type="pct"/>
          </w:tcPr>
          <w:p w14:paraId="678F537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226.5</w:t>
            </w:r>
          </w:p>
        </w:tc>
        <w:tc>
          <w:tcPr>
            <w:tcW w:w="440" w:type="pct"/>
          </w:tcPr>
          <w:p w14:paraId="00819F8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138.69</w:t>
            </w:r>
          </w:p>
        </w:tc>
        <w:tc>
          <w:tcPr>
            <w:tcW w:w="399" w:type="pct"/>
          </w:tcPr>
          <w:p w14:paraId="07D1A05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339.71</w:t>
            </w:r>
          </w:p>
        </w:tc>
        <w:tc>
          <w:tcPr>
            <w:tcW w:w="504" w:type="pct"/>
          </w:tcPr>
          <w:p w14:paraId="1001CA9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115402.72</w:t>
            </w:r>
          </w:p>
        </w:tc>
        <w:tc>
          <w:tcPr>
            <w:tcW w:w="504" w:type="pct"/>
          </w:tcPr>
          <w:p w14:paraId="2FC671D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522</w:t>
            </w:r>
          </w:p>
        </w:tc>
        <w:tc>
          <w:tcPr>
            <w:tcW w:w="505" w:type="pct"/>
          </w:tcPr>
          <w:p w14:paraId="6B0A18E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976</w:t>
            </w:r>
          </w:p>
        </w:tc>
        <w:tc>
          <w:tcPr>
            <w:tcW w:w="503" w:type="pct"/>
          </w:tcPr>
          <w:p w14:paraId="7D6A95F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81</w:t>
            </w:r>
          </w:p>
        </w:tc>
      </w:tr>
      <w:tr w:rsidR="007F30B7" w:rsidRPr="00065FE0" w14:paraId="634EC1F8" w14:textId="77777777" w:rsidTr="003270EA">
        <w:trPr>
          <w:trHeight w:val="214"/>
        </w:trPr>
        <w:tc>
          <w:tcPr>
            <w:tcW w:w="545" w:type="pct"/>
            <w:vMerge/>
          </w:tcPr>
          <w:p w14:paraId="65851E03"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3EDD4BF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4AB7BAF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247.1</w:t>
            </w:r>
          </w:p>
        </w:tc>
        <w:tc>
          <w:tcPr>
            <w:tcW w:w="399" w:type="pct"/>
          </w:tcPr>
          <w:p w14:paraId="058B673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219.9</w:t>
            </w:r>
          </w:p>
        </w:tc>
        <w:tc>
          <w:tcPr>
            <w:tcW w:w="440" w:type="pct"/>
          </w:tcPr>
          <w:p w14:paraId="5003CDF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69.33</w:t>
            </w:r>
          </w:p>
        </w:tc>
        <w:tc>
          <w:tcPr>
            <w:tcW w:w="399" w:type="pct"/>
          </w:tcPr>
          <w:p w14:paraId="3D01A23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169.83</w:t>
            </w:r>
          </w:p>
        </w:tc>
        <w:tc>
          <w:tcPr>
            <w:tcW w:w="504" w:type="pct"/>
          </w:tcPr>
          <w:p w14:paraId="02BA2E19"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28841.13</w:t>
            </w:r>
          </w:p>
        </w:tc>
        <w:tc>
          <w:tcPr>
            <w:tcW w:w="504" w:type="pct"/>
          </w:tcPr>
          <w:p w14:paraId="3B87151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227.5</w:t>
            </w:r>
          </w:p>
        </w:tc>
        <w:tc>
          <w:tcPr>
            <w:tcW w:w="505" w:type="pct"/>
          </w:tcPr>
          <w:p w14:paraId="4840693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560.4</w:t>
            </w:r>
          </w:p>
        </w:tc>
        <w:tc>
          <w:tcPr>
            <w:tcW w:w="503" w:type="pct"/>
          </w:tcPr>
          <w:p w14:paraId="6A12839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85.2</w:t>
            </w:r>
          </w:p>
        </w:tc>
      </w:tr>
      <w:tr w:rsidR="007F30B7" w:rsidRPr="00065FE0" w14:paraId="07FD7E82" w14:textId="77777777" w:rsidTr="003270EA">
        <w:trPr>
          <w:trHeight w:val="214"/>
        </w:trPr>
        <w:tc>
          <w:tcPr>
            <w:tcW w:w="545" w:type="pct"/>
            <w:vMerge/>
          </w:tcPr>
          <w:p w14:paraId="5F7434F0"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081FBFF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45144C5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854.9</w:t>
            </w:r>
          </w:p>
        </w:tc>
        <w:tc>
          <w:tcPr>
            <w:tcW w:w="399" w:type="pct"/>
          </w:tcPr>
          <w:p w14:paraId="36C13E6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852.2</w:t>
            </w:r>
          </w:p>
        </w:tc>
        <w:tc>
          <w:tcPr>
            <w:tcW w:w="440" w:type="pct"/>
          </w:tcPr>
          <w:p w14:paraId="2E83FA5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32.05</w:t>
            </w:r>
          </w:p>
        </w:tc>
        <w:tc>
          <w:tcPr>
            <w:tcW w:w="399" w:type="pct"/>
          </w:tcPr>
          <w:p w14:paraId="1827BE4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78.49</w:t>
            </w:r>
          </w:p>
        </w:tc>
        <w:tc>
          <w:tcPr>
            <w:tcW w:w="504" w:type="pct"/>
          </w:tcPr>
          <w:p w14:paraId="47BBD8D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6161.14</w:t>
            </w:r>
          </w:p>
        </w:tc>
        <w:tc>
          <w:tcPr>
            <w:tcW w:w="504" w:type="pct"/>
          </w:tcPr>
          <w:p w14:paraId="0C79FC7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76.6</w:t>
            </w:r>
          </w:p>
        </w:tc>
        <w:tc>
          <w:tcPr>
            <w:tcW w:w="505" w:type="pct"/>
          </w:tcPr>
          <w:p w14:paraId="3ED7CEC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986</w:t>
            </w:r>
          </w:p>
        </w:tc>
        <w:tc>
          <w:tcPr>
            <w:tcW w:w="503" w:type="pct"/>
          </w:tcPr>
          <w:p w14:paraId="7823944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739.4</w:t>
            </w:r>
          </w:p>
        </w:tc>
      </w:tr>
      <w:tr w:rsidR="007F30B7" w:rsidRPr="00065FE0" w14:paraId="628AC87E" w14:textId="77777777" w:rsidTr="003270EA">
        <w:trPr>
          <w:trHeight w:val="214"/>
        </w:trPr>
        <w:tc>
          <w:tcPr>
            <w:tcW w:w="545" w:type="pct"/>
            <w:vMerge/>
          </w:tcPr>
          <w:p w14:paraId="22EAF29B"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873" w:type="pct"/>
          </w:tcPr>
          <w:p w14:paraId="2A69F2A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328" w:type="pct"/>
          </w:tcPr>
          <w:p w14:paraId="3D8FFD4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797</w:t>
            </w:r>
          </w:p>
        </w:tc>
        <w:tc>
          <w:tcPr>
            <w:tcW w:w="399" w:type="pct"/>
          </w:tcPr>
          <w:p w14:paraId="57F3DD7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117.3</w:t>
            </w:r>
          </w:p>
        </w:tc>
        <w:tc>
          <w:tcPr>
            <w:tcW w:w="440" w:type="pct"/>
          </w:tcPr>
          <w:p w14:paraId="4182F352"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62.79</w:t>
            </w:r>
          </w:p>
        </w:tc>
        <w:tc>
          <w:tcPr>
            <w:tcW w:w="399" w:type="pct"/>
          </w:tcPr>
          <w:p w14:paraId="57BD5E4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153.82</w:t>
            </w:r>
          </w:p>
        </w:tc>
        <w:tc>
          <w:tcPr>
            <w:tcW w:w="504" w:type="pct"/>
          </w:tcPr>
          <w:p w14:paraId="16D6298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23660.27</w:t>
            </w:r>
          </w:p>
        </w:tc>
        <w:tc>
          <w:tcPr>
            <w:tcW w:w="504" w:type="pct"/>
          </w:tcPr>
          <w:p w14:paraId="3102E253"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246.6</w:t>
            </w:r>
          </w:p>
        </w:tc>
        <w:tc>
          <w:tcPr>
            <w:tcW w:w="505" w:type="pct"/>
          </w:tcPr>
          <w:p w14:paraId="56B1674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1025</w:t>
            </w:r>
          </w:p>
        </w:tc>
        <w:tc>
          <w:tcPr>
            <w:tcW w:w="503" w:type="pct"/>
          </w:tcPr>
          <w:p w14:paraId="6ED4534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580.6</w:t>
            </w:r>
          </w:p>
        </w:tc>
      </w:tr>
      <w:tr w:rsidR="007F30B7" w:rsidRPr="00065FE0" w14:paraId="38CA072C" w14:textId="77777777" w:rsidTr="003270EA">
        <w:trPr>
          <w:trHeight w:val="214"/>
        </w:trPr>
        <w:tc>
          <w:tcPr>
            <w:tcW w:w="5000" w:type="pct"/>
            <w:gridSpan w:val="10"/>
          </w:tcPr>
          <w:p w14:paraId="013A6890" w14:textId="77777777" w:rsidR="007F30B7" w:rsidRPr="00065FE0" w:rsidRDefault="007F30B7" w:rsidP="003270EA">
            <w:pPr>
              <w:autoSpaceDE w:val="0"/>
              <w:autoSpaceDN w:val="0"/>
              <w:adjustRightInd w:val="0"/>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Abbreviations: SEM: Standard error of the mean, SD standard deviation, RAIQ: interquartile range.</w:t>
            </w:r>
          </w:p>
        </w:tc>
      </w:tr>
    </w:tbl>
    <w:p w14:paraId="7F08EAE3" w14:textId="77777777" w:rsidR="005677BD" w:rsidRPr="00065FE0" w:rsidRDefault="005677BD" w:rsidP="005677BD">
      <w:pPr>
        <w:rPr>
          <w:lang w:eastAsia="en-US"/>
        </w:rPr>
      </w:pPr>
    </w:p>
    <w:p w14:paraId="4A378E83" w14:textId="74586ADF" w:rsidR="007F30B7" w:rsidRPr="00BA02E6"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eastAsiaTheme="minorHAnsi" w:hAnsi="Times New Roman" w:cs="Times New Roman"/>
          <w:b/>
          <w:bCs/>
          <w:sz w:val="24"/>
          <w:szCs w:val="24"/>
          <w:lang w:eastAsia="en-US"/>
          <w14:ligatures w14:val="standardContextual"/>
        </w:rPr>
      </w:pPr>
      <w:r w:rsidRPr="00BA02E6">
        <w:rPr>
          <w:rFonts w:ascii="Times New Roman" w:eastAsiaTheme="minorHAnsi" w:hAnsi="Times New Roman" w:cs="Times New Roman"/>
          <w:b/>
          <w:bCs/>
          <w:sz w:val="24"/>
          <w:szCs w:val="24"/>
          <w:lang w:eastAsia="en-US"/>
          <w14:ligatures w14:val="standardContextual"/>
        </w:rPr>
        <w:t>Latency stage 1</w:t>
      </w:r>
    </w:p>
    <w:p w14:paraId="50631F71"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bCs/>
          <w:lang w:eastAsia="de-DE" w:bidi="en-US"/>
        </w:rPr>
        <w:t xml:space="preserve">A </w:t>
      </w:r>
      <w:r w:rsidRPr="00065FE0">
        <w:rPr>
          <w:rFonts w:ascii="Times New Roman" w:hAnsi="Times New Roman" w:cs="Times New Roman"/>
          <w:lang w:eastAsia="de-DE" w:bidi="en-US"/>
        </w:rPr>
        <w:t>one-way ANOVA was performed to assess the effects of different compounds on the PTZ-induced seizure model in zebrafish (</w:t>
      </w:r>
      <w:r w:rsidRPr="00065FE0">
        <w:rPr>
          <w:rFonts w:ascii="Times New Roman" w:hAnsi="Times New Roman" w:cs="Times New Roman"/>
          <w:i/>
          <w:iCs/>
          <w:lang w:eastAsia="de-DE" w:bidi="en-US"/>
        </w:rPr>
        <w:t>Danio rerio</w:t>
      </w:r>
      <w:r w:rsidRPr="00065FE0">
        <w:rPr>
          <w:rFonts w:ascii="Times New Roman" w:hAnsi="Times New Roman" w:cs="Times New Roman"/>
          <w:lang w:eastAsia="de-DE" w:bidi="en-US"/>
        </w:rPr>
        <w:t>).</w:t>
      </w:r>
    </w:p>
    <w:p w14:paraId="05BA0274"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Normality and Homoscedasticity Testing</w:t>
      </w:r>
    </w:p>
    <w:p w14:paraId="2906A64E" w14:textId="77777777" w:rsidR="007F30B7" w:rsidRPr="00065FE0" w:rsidRDefault="007F30B7">
      <w:pPr>
        <w:pStyle w:val="ListParagraph"/>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Shapiro-Wilk test was used to check for normality.</w:t>
      </w:r>
    </w:p>
    <w:p w14:paraId="7F89F719" w14:textId="77777777" w:rsidR="007F30B7" w:rsidRPr="00065FE0" w:rsidRDefault="007F30B7">
      <w:pPr>
        <w:pStyle w:val="ListParagraph"/>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Levene’s test assessed homoscedasticity (equal variance) among groups.</w:t>
      </w:r>
    </w:p>
    <w:p w14:paraId="29761D82" w14:textId="6D58B7A4" w:rsidR="007F30B7" w:rsidRPr="00065FE0" w:rsidRDefault="007F30B7">
      <w:pPr>
        <w:pStyle w:val="ListParagraph"/>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Even though some groups did not meet normality, the assumption of homoscedasticity was met, making ANOVA robust to these violations.</w:t>
      </w:r>
    </w:p>
    <w:p w14:paraId="70D3FE73" w14:textId="77777777" w:rsidR="007F30B7" w:rsidRPr="00065FE0" w:rsidRDefault="007F30B7" w:rsidP="007F30B7">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hAnsi="Times New Roman" w:cs="Times New Roman"/>
          <w:lang w:eastAsia="de-DE" w:bidi="en-US"/>
        </w:rPr>
      </w:pPr>
    </w:p>
    <w:tbl>
      <w:tblPr>
        <w:tblStyle w:val="Tablaconcuadrcula1"/>
        <w:tblW w:w="4980" w:type="pct"/>
        <w:tblLook w:val="04A0" w:firstRow="1" w:lastRow="0" w:firstColumn="1" w:lastColumn="0" w:noHBand="0" w:noVBand="1"/>
      </w:tblPr>
      <w:tblGrid>
        <w:gridCol w:w="1767"/>
        <w:gridCol w:w="2828"/>
        <w:gridCol w:w="1548"/>
        <w:gridCol w:w="1238"/>
        <w:gridCol w:w="1412"/>
      </w:tblGrid>
      <w:tr w:rsidR="007F30B7" w:rsidRPr="00065FE0" w14:paraId="2DE4DE0D" w14:textId="77777777" w:rsidTr="003270EA">
        <w:trPr>
          <w:trHeight w:val="240"/>
        </w:trPr>
        <w:tc>
          <w:tcPr>
            <w:tcW w:w="5000" w:type="pct"/>
            <w:gridSpan w:val="5"/>
            <w:vAlign w:val="center"/>
          </w:tcPr>
          <w:p w14:paraId="21F778E0" w14:textId="2369AFC3" w:rsidR="007F30B7" w:rsidRPr="00065FE0" w:rsidRDefault="007F30B7" w:rsidP="003270EA">
            <w:pPr>
              <w:autoSpaceDE w:val="0"/>
              <w:autoSpaceDN w:val="0"/>
              <w:adjustRightInd w:val="0"/>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 xml:space="preserve">Table </w:t>
            </w:r>
            <w:r w:rsidR="005677BD" w:rsidRPr="00065FE0">
              <w:rPr>
                <w:rFonts w:ascii="Times New Roman" w:eastAsiaTheme="minorEastAsia" w:hAnsi="Times New Roman" w:cs="Times New Roman"/>
                <w:b/>
                <w:bCs/>
                <w:sz w:val="18"/>
                <w:szCs w:val="18"/>
                <w:lang w:val="en-US"/>
              </w:rPr>
              <w:t>S3</w:t>
            </w:r>
            <w:r w:rsidRPr="00065FE0">
              <w:rPr>
                <w:rFonts w:ascii="Times New Roman" w:eastAsiaTheme="minorEastAsia" w:hAnsi="Times New Roman" w:cs="Times New Roman"/>
                <w:b/>
                <w:bCs/>
                <w:sz w:val="18"/>
                <w:szCs w:val="18"/>
                <w:lang w:val="en-US"/>
              </w:rPr>
              <w:t>. Compliance with the assumptions of normality and homoscedasticity of stage 1, and result of one-way ANOVA</w:t>
            </w:r>
          </w:p>
        </w:tc>
      </w:tr>
      <w:tr w:rsidR="007F30B7" w:rsidRPr="00065FE0" w14:paraId="412E9BE0" w14:textId="77777777" w:rsidTr="003270EA">
        <w:trPr>
          <w:trHeight w:val="240"/>
        </w:trPr>
        <w:tc>
          <w:tcPr>
            <w:tcW w:w="1005" w:type="pct"/>
            <w:vAlign w:val="center"/>
          </w:tcPr>
          <w:p w14:paraId="402766CC"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Variable</w:t>
            </w:r>
          </w:p>
        </w:tc>
        <w:tc>
          <w:tcPr>
            <w:tcW w:w="1608" w:type="pct"/>
            <w:vAlign w:val="center"/>
          </w:tcPr>
          <w:p w14:paraId="429F844A"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Group</w:t>
            </w:r>
          </w:p>
        </w:tc>
        <w:tc>
          <w:tcPr>
            <w:tcW w:w="880" w:type="pct"/>
            <w:vAlign w:val="center"/>
          </w:tcPr>
          <w:p w14:paraId="7CA2DF1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Shapiro-Wilk</w:t>
            </w:r>
          </w:p>
        </w:tc>
        <w:tc>
          <w:tcPr>
            <w:tcW w:w="704" w:type="pct"/>
            <w:vAlign w:val="center"/>
          </w:tcPr>
          <w:p w14:paraId="0F55C89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Levene</w:t>
            </w:r>
          </w:p>
        </w:tc>
        <w:tc>
          <w:tcPr>
            <w:tcW w:w="803" w:type="pct"/>
            <w:vAlign w:val="center"/>
          </w:tcPr>
          <w:p w14:paraId="68FCB16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 xml:space="preserve">ANOVA </w:t>
            </w:r>
          </w:p>
        </w:tc>
      </w:tr>
      <w:tr w:rsidR="007F30B7" w:rsidRPr="00065FE0" w14:paraId="1AD3A047" w14:textId="77777777" w:rsidTr="003270EA">
        <w:trPr>
          <w:trHeight w:val="180"/>
        </w:trPr>
        <w:tc>
          <w:tcPr>
            <w:tcW w:w="1005" w:type="pct"/>
            <w:vMerge w:val="restart"/>
            <w:vAlign w:val="center"/>
          </w:tcPr>
          <w:p w14:paraId="341EC9F3"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Latency stage 1</w:t>
            </w:r>
          </w:p>
        </w:tc>
        <w:tc>
          <w:tcPr>
            <w:tcW w:w="1608" w:type="pct"/>
            <w:vAlign w:val="center"/>
          </w:tcPr>
          <w:p w14:paraId="1C36467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Seizure inducer (PTZ)</w:t>
            </w:r>
          </w:p>
        </w:tc>
        <w:tc>
          <w:tcPr>
            <w:tcW w:w="880" w:type="pct"/>
            <w:vAlign w:val="center"/>
          </w:tcPr>
          <w:p w14:paraId="693B3A1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0.88</w:t>
            </w:r>
          </w:p>
        </w:tc>
        <w:tc>
          <w:tcPr>
            <w:tcW w:w="704" w:type="pct"/>
            <w:vMerge w:val="restart"/>
            <w:vAlign w:val="center"/>
          </w:tcPr>
          <w:p w14:paraId="2030A14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0.18</w:t>
            </w:r>
          </w:p>
        </w:tc>
        <w:tc>
          <w:tcPr>
            <w:tcW w:w="803" w:type="pct"/>
            <w:vMerge w:val="restart"/>
            <w:vAlign w:val="center"/>
          </w:tcPr>
          <w:p w14:paraId="04A7221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&lt;0.001</w:t>
            </w:r>
            <w:r w:rsidRPr="00065FE0">
              <w:rPr>
                <w:rFonts w:ascii="Times New Roman" w:hAnsi="Times New Roman" w:cs="Times New Roman"/>
                <w:sz w:val="18"/>
                <w:szCs w:val="18"/>
                <w:vertAlign w:val="superscript"/>
                <w:lang w:val="en-US"/>
              </w:rPr>
              <w:t>a</w:t>
            </w:r>
            <w:r w:rsidRPr="00065FE0">
              <w:rPr>
                <w:rFonts w:ascii="Times New Roman" w:hAnsi="Times New Roman" w:cs="Times New Roman"/>
                <w:sz w:val="18"/>
                <w:szCs w:val="18"/>
                <w:lang w:val="en-US"/>
              </w:rPr>
              <w:t>**</w:t>
            </w:r>
          </w:p>
        </w:tc>
      </w:tr>
      <w:tr w:rsidR="007F30B7" w:rsidRPr="00065FE0" w14:paraId="761996EC" w14:textId="77777777" w:rsidTr="003270EA">
        <w:trPr>
          <w:trHeight w:val="180"/>
        </w:trPr>
        <w:tc>
          <w:tcPr>
            <w:tcW w:w="1005" w:type="pct"/>
            <w:vMerge/>
            <w:vAlign w:val="center"/>
          </w:tcPr>
          <w:p w14:paraId="43B8880E"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194846C6"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Vehicle (DMSO 0.1%)</w:t>
            </w:r>
          </w:p>
        </w:tc>
        <w:tc>
          <w:tcPr>
            <w:tcW w:w="880" w:type="pct"/>
            <w:vAlign w:val="center"/>
          </w:tcPr>
          <w:p w14:paraId="04CFCA90"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0.35</w:t>
            </w:r>
          </w:p>
        </w:tc>
        <w:tc>
          <w:tcPr>
            <w:tcW w:w="704" w:type="pct"/>
            <w:vMerge/>
            <w:vAlign w:val="center"/>
          </w:tcPr>
          <w:p w14:paraId="329AA55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71C6E3A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37D06393" w14:textId="77777777" w:rsidTr="003270EA">
        <w:trPr>
          <w:trHeight w:val="180"/>
        </w:trPr>
        <w:tc>
          <w:tcPr>
            <w:tcW w:w="1005" w:type="pct"/>
            <w:vMerge/>
            <w:vAlign w:val="center"/>
          </w:tcPr>
          <w:p w14:paraId="4EBFE0BB"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321D4FA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Anticonvulsant (DZP)</w:t>
            </w:r>
          </w:p>
        </w:tc>
        <w:tc>
          <w:tcPr>
            <w:tcW w:w="880" w:type="pct"/>
            <w:vAlign w:val="center"/>
          </w:tcPr>
          <w:p w14:paraId="2985C530"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0.02*</w:t>
            </w:r>
          </w:p>
        </w:tc>
        <w:tc>
          <w:tcPr>
            <w:tcW w:w="704" w:type="pct"/>
            <w:vMerge/>
            <w:vAlign w:val="center"/>
          </w:tcPr>
          <w:p w14:paraId="0BEA7E2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3DF6957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C411A81" w14:textId="77777777" w:rsidTr="003270EA">
        <w:trPr>
          <w:trHeight w:val="180"/>
        </w:trPr>
        <w:tc>
          <w:tcPr>
            <w:tcW w:w="1005" w:type="pct"/>
            <w:vMerge/>
            <w:vAlign w:val="center"/>
          </w:tcPr>
          <w:p w14:paraId="5088CF79"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2B8C4354"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3EFFB65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0.8</w:t>
            </w:r>
          </w:p>
        </w:tc>
        <w:tc>
          <w:tcPr>
            <w:tcW w:w="704" w:type="pct"/>
            <w:vMerge/>
            <w:vAlign w:val="center"/>
          </w:tcPr>
          <w:p w14:paraId="73033D1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5E4B5D2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51CCE480" w14:textId="77777777" w:rsidTr="003270EA">
        <w:trPr>
          <w:trHeight w:val="180"/>
        </w:trPr>
        <w:tc>
          <w:tcPr>
            <w:tcW w:w="1005" w:type="pct"/>
            <w:vMerge/>
            <w:vAlign w:val="center"/>
          </w:tcPr>
          <w:p w14:paraId="38A273F9"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4B47D84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1E40AD7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0.59</w:t>
            </w:r>
          </w:p>
        </w:tc>
        <w:tc>
          <w:tcPr>
            <w:tcW w:w="704" w:type="pct"/>
            <w:vMerge/>
            <w:vAlign w:val="center"/>
          </w:tcPr>
          <w:p w14:paraId="324BF61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272BAE5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7B5246F4" w14:textId="77777777" w:rsidTr="003270EA">
        <w:trPr>
          <w:trHeight w:val="180"/>
        </w:trPr>
        <w:tc>
          <w:tcPr>
            <w:tcW w:w="1005" w:type="pct"/>
            <w:vMerge/>
            <w:vAlign w:val="center"/>
          </w:tcPr>
          <w:p w14:paraId="3C66DD9D"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5150A514"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1DD9D05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0.12</w:t>
            </w:r>
          </w:p>
        </w:tc>
        <w:tc>
          <w:tcPr>
            <w:tcW w:w="704" w:type="pct"/>
            <w:vMerge/>
            <w:vAlign w:val="center"/>
          </w:tcPr>
          <w:p w14:paraId="4819D4B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22038000"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566E5EE" w14:textId="77777777" w:rsidTr="003270EA">
        <w:trPr>
          <w:trHeight w:val="180"/>
        </w:trPr>
        <w:tc>
          <w:tcPr>
            <w:tcW w:w="1005" w:type="pct"/>
            <w:vMerge/>
            <w:vAlign w:val="center"/>
          </w:tcPr>
          <w:p w14:paraId="1E78FF5F"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22E99563"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7614C17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0.59</w:t>
            </w:r>
          </w:p>
        </w:tc>
        <w:tc>
          <w:tcPr>
            <w:tcW w:w="704" w:type="pct"/>
            <w:vMerge/>
            <w:vAlign w:val="center"/>
          </w:tcPr>
          <w:p w14:paraId="154DFB0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6BA3C91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7EDA9FA" w14:textId="77777777" w:rsidTr="003270EA">
        <w:trPr>
          <w:trHeight w:val="240"/>
        </w:trPr>
        <w:tc>
          <w:tcPr>
            <w:tcW w:w="5000" w:type="pct"/>
            <w:gridSpan w:val="5"/>
            <w:vAlign w:val="center"/>
          </w:tcPr>
          <w:p w14:paraId="578F9C1F"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normality by the Shapiro-Wilks test.</w:t>
            </w:r>
          </w:p>
          <w:p w14:paraId="3B654819" w14:textId="77777777" w:rsidR="007F30B7" w:rsidRPr="00065FE0" w:rsidRDefault="007F30B7" w:rsidP="003270EA">
            <w:pPr>
              <w:autoSpaceDE w:val="0"/>
              <w:autoSpaceDN w:val="0"/>
              <w:adjustRightInd w:val="0"/>
              <w:textAlignment w:val="center"/>
              <w:rPr>
                <w:rFonts w:ascii="Times New Roman" w:hAnsi="Times New Roman" w:cs="Times New Roman"/>
                <w:lang w:val="en-US" w:eastAsia="es-419"/>
              </w:rPr>
            </w:pPr>
            <w:r w:rsidRPr="00065FE0">
              <w:rPr>
                <w:rFonts w:ascii="Times New Roman" w:hAnsi="Times New Roman" w:cs="Times New Roman"/>
                <w:lang w:val="en-US" w:eastAsia="es-419"/>
              </w:rPr>
              <w:t xml:space="preserve">**Statistically significant </w:t>
            </w:r>
            <w:r w:rsidRPr="00065FE0">
              <w:rPr>
                <w:rFonts w:ascii="Times New Roman" w:hAnsi="Times New Roman" w:cs="Times New Roman"/>
                <w:i/>
                <w:iCs/>
                <w:lang w:val="en-US" w:eastAsia="es-419"/>
              </w:rPr>
              <w:t>p-value</w:t>
            </w:r>
            <w:r w:rsidRPr="00065FE0">
              <w:rPr>
                <w:rFonts w:ascii="Times New Roman" w:hAnsi="Times New Roman" w:cs="Times New Roman"/>
                <w:lang w:val="en-US" w:eastAsia="es-419"/>
              </w:rPr>
              <w:t xml:space="preserve"> in the ANOVA test </w:t>
            </w:r>
          </w:p>
          <w:p w14:paraId="378BC412" w14:textId="77777777" w:rsidR="007F30B7" w:rsidRPr="00065FE0" w:rsidRDefault="007F30B7" w:rsidP="003270EA">
            <w:pPr>
              <w:autoSpaceDE w:val="0"/>
              <w:autoSpaceDN w:val="0"/>
              <w:adjustRightInd w:val="0"/>
              <w:textAlignment w:val="center"/>
              <w:rPr>
                <w:rFonts w:ascii="Times New Roman" w:hAnsi="Times New Roman" w:cs="Times New Roman"/>
                <w:lang w:val="en-US" w:eastAsia="es-419"/>
              </w:rPr>
            </w:pPr>
            <w:proofErr w:type="spellStart"/>
            <w:r w:rsidRPr="00065FE0">
              <w:rPr>
                <w:rFonts w:ascii="Times New Roman" w:hAnsi="Times New Roman" w:cs="Times New Roman"/>
                <w:vertAlign w:val="superscript"/>
                <w:lang w:val="en-US" w:eastAsia="es-419"/>
              </w:rPr>
              <w:t>a</w:t>
            </w:r>
            <w:r w:rsidRPr="00065FE0">
              <w:rPr>
                <w:rFonts w:ascii="Times New Roman" w:hAnsi="Times New Roman" w:cs="Times New Roman"/>
                <w:lang w:val="en-US" w:eastAsia="es-419"/>
              </w:rPr>
              <w:t>One</w:t>
            </w:r>
            <w:proofErr w:type="spellEnd"/>
            <w:r w:rsidRPr="00065FE0">
              <w:rPr>
                <w:rFonts w:ascii="Times New Roman" w:hAnsi="Times New Roman" w:cs="Times New Roman"/>
                <w:lang w:val="en-US" w:eastAsia="es-419"/>
              </w:rPr>
              <w:t>-Way ANOVA</w:t>
            </w:r>
          </w:p>
        </w:tc>
      </w:tr>
    </w:tbl>
    <w:p w14:paraId="439EA194"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p>
    <w:p w14:paraId="6F7048C3" w14:textId="77777777" w:rsidR="005677BD" w:rsidRDefault="005677BD"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p>
    <w:p w14:paraId="2271149D" w14:textId="77777777" w:rsidR="00BA02E6" w:rsidRPr="00065FE0" w:rsidRDefault="00BA02E6"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p>
    <w:tbl>
      <w:tblPr>
        <w:tblStyle w:val="TableGrid"/>
        <w:tblW w:w="0" w:type="auto"/>
        <w:jc w:val="center"/>
        <w:tblLook w:val="04A0" w:firstRow="1" w:lastRow="0" w:firstColumn="1" w:lastColumn="0" w:noHBand="0" w:noVBand="1"/>
      </w:tblPr>
      <w:tblGrid>
        <w:gridCol w:w="2005"/>
        <w:gridCol w:w="1415"/>
        <w:gridCol w:w="1222"/>
        <w:gridCol w:w="1109"/>
        <w:gridCol w:w="1246"/>
        <w:gridCol w:w="845"/>
        <w:gridCol w:w="986"/>
      </w:tblGrid>
      <w:tr w:rsidR="007F30B7" w:rsidRPr="00065FE0" w14:paraId="5899D98F" w14:textId="77777777" w:rsidTr="005677BD">
        <w:trPr>
          <w:jc w:val="center"/>
        </w:trPr>
        <w:tc>
          <w:tcPr>
            <w:tcW w:w="9350" w:type="dxa"/>
            <w:gridSpan w:val="7"/>
            <w:vAlign w:val="center"/>
          </w:tcPr>
          <w:p w14:paraId="7DEF18DD" w14:textId="7F7E1964"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New Roman" w:hAnsi="Times New Roman" w:cs="Times New Roman"/>
                <w:lang w:eastAsia="de-DE" w:bidi="en-US"/>
              </w:rPr>
            </w:pPr>
            <w:r w:rsidRPr="00065FE0">
              <w:rPr>
                <w:rFonts w:ascii="Times New Roman" w:hAnsi="Times New Roman" w:cs="Times New Roman"/>
                <w:b/>
                <w:bCs/>
                <w:lang w:eastAsia="de-DE" w:bidi="en-US"/>
              </w:rPr>
              <w:lastRenderedPageBreak/>
              <w:t xml:space="preserve">Table </w:t>
            </w:r>
            <w:r w:rsidR="005677BD" w:rsidRPr="00065FE0">
              <w:rPr>
                <w:rFonts w:ascii="Times New Roman" w:hAnsi="Times New Roman" w:cs="Times New Roman"/>
                <w:b/>
                <w:bCs/>
                <w:lang w:eastAsia="de-DE" w:bidi="en-US"/>
              </w:rPr>
              <w:t>S4</w:t>
            </w:r>
            <w:r w:rsidRPr="00065FE0">
              <w:rPr>
                <w:rFonts w:ascii="Times New Roman" w:hAnsi="Times New Roman" w:cs="Times New Roman"/>
                <w:b/>
                <w:bCs/>
                <w:lang w:eastAsia="de-DE" w:bidi="en-US"/>
              </w:rPr>
              <w:t>.</w:t>
            </w:r>
            <w:r w:rsidRPr="00065FE0">
              <w:rPr>
                <w:rFonts w:ascii="Times New Roman" w:hAnsi="Times New Roman" w:cs="Times New Roman"/>
                <w:bCs/>
                <w:lang w:eastAsia="de-DE" w:bidi="en-US"/>
              </w:rPr>
              <w:t xml:space="preserve"> Detailed statistical results for the </w:t>
            </w:r>
            <w:r w:rsidRPr="00065FE0">
              <w:rPr>
                <w:rFonts w:ascii="Times New Roman" w:hAnsi="Times New Roman" w:cs="Times New Roman"/>
                <w:lang w:eastAsia="de-DE" w:bidi="en-US"/>
              </w:rPr>
              <w:t>one-way ANOVA test applied to the stage 1</w:t>
            </w:r>
          </w:p>
        </w:tc>
      </w:tr>
      <w:tr w:rsidR="007F30B7" w:rsidRPr="00065FE0" w14:paraId="0F1FAE7E" w14:textId="77777777" w:rsidTr="005677BD">
        <w:trPr>
          <w:jc w:val="center"/>
        </w:trPr>
        <w:tc>
          <w:tcPr>
            <w:tcW w:w="2362" w:type="dxa"/>
            <w:vAlign w:val="center"/>
          </w:tcPr>
          <w:p w14:paraId="213C25C8"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Variable</w:t>
            </w:r>
          </w:p>
        </w:tc>
        <w:tc>
          <w:tcPr>
            <w:tcW w:w="1428" w:type="dxa"/>
            <w:vAlign w:val="center"/>
          </w:tcPr>
          <w:p w14:paraId="1B82338A"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Comparison</w:t>
            </w:r>
          </w:p>
        </w:tc>
        <w:tc>
          <w:tcPr>
            <w:tcW w:w="1248" w:type="dxa"/>
            <w:vAlign w:val="center"/>
          </w:tcPr>
          <w:p w14:paraId="6CFFEC5A"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Sum of squares</w:t>
            </w:r>
          </w:p>
        </w:tc>
        <w:tc>
          <w:tcPr>
            <w:tcW w:w="1149" w:type="dxa"/>
            <w:vAlign w:val="center"/>
          </w:tcPr>
          <w:p w14:paraId="311B33E1"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Degrees of freedom</w:t>
            </w:r>
          </w:p>
        </w:tc>
        <w:tc>
          <w:tcPr>
            <w:tcW w:w="1269" w:type="dxa"/>
            <w:vAlign w:val="center"/>
          </w:tcPr>
          <w:p w14:paraId="7BA209E3"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Quadratic mean</w:t>
            </w:r>
          </w:p>
        </w:tc>
        <w:tc>
          <w:tcPr>
            <w:tcW w:w="894" w:type="dxa"/>
            <w:vAlign w:val="center"/>
          </w:tcPr>
          <w:p w14:paraId="126250CA"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F</w:t>
            </w:r>
          </w:p>
        </w:tc>
        <w:tc>
          <w:tcPr>
            <w:tcW w:w="1000" w:type="dxa"/>
            <w:vAlign w:val="center"/>
          </w:tcPr>
          <w:p w14:paraId="60C20AA8"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i/>
                <w:iCs/>
                <w:lang w:eastAsia="es-419"/>
              </w:rPr>
              <w:t>P-value</w:t>
            </w:r>
          </w:p>
        </w:tc>
      </w:tr>
      <w:tr w:rsidR="007F30B7" w:rsidRPr="00065FE0" w14:paraId="07C713EB" w14:textId="77777777" w:rsidTr="005677BD">
        <w:trPr>
          <w:jc w:val="center"/>
        </w:trPr>
        <w:tc>
          <w:tcPr>
            <w:tcW w:w="2362" w:type="dxa"/>
            <w:vMerge w:val="restart"/>
            <w:vAlign w:val="center"/>
          </w:tcPr>
          <w:p w14:paraId="4D75DAFC"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Latency stage 1</w:t>
            </w:r>
          </w:p>
        </w:tc>
        <w:tc>
          <w:tcPr>
            <w:tcW w:w="1428" w:type="dxa"/>
            <w:vAlign w:val="center"/>
          </w:tcPr>
          <w:p w14:paraId="3D5ECCC4"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Between groups</w:t>
            </w:r>
          </w:p>
        </w:tc>
        <w:tc>
          <w:tcPr>
            <w:tcW w:w="1248" w:type="dxa"/>
            <w:vAlign w:val="center"/>
          </w:tcPr>
          <w:p w14:paraId="78E23F29"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8891.739</w:t>
            </w:r>
          </w:p>
        </w:tc>
        <w:tc>
          <w:tcPr>
            <w:tcW w:w="1149" w:type="dxa"/>
            <w:vAlign w:val="center"/>
          </w:tcPr>
          <w:p w14:paraId="1A9DFE6F"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6</w:t>
            </w:r>
          </w:p>
        </w:tc>
        <w:tc>
          <w:tcPr>
            <w:tcW w:w="1269" w:type="dxa"/>
            <w:vAlign w:val="center"/>
          </w:tcPr>
          <w:p w14:paraId="3A36A996"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1481.957</w:t>
            </w:r>
          </w:p>
        </w:tc>
        <w:tc>
          <w:tcPr>
            <w:tcW w:w="894" w:type="dxa"/>
            <w:vAlign w:val="center"/>
          </w:tcPr>
          <w:p w14:paraId="5E14C159"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5.772</w:t>
            </w:r>
          </w:p>
        </w:tc>
        <w:tc>
          <w:tcPr>
            <w:tcW w:w="1000" w:type="dxa"/>
            <w:vAlign w:val="center"/>
          </w:tcPr>
          <w:p w14:paraId="5D4A55B6"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&lt;0.001*</w:t>
            </w:r>
          </w:p>
        </w:tc>
      </w:tr>
      <w:tr w:rsidR="007F30B7" w:rsidRPr="00065FE0" w14:paraId="365B44B8" w14:textId="77777777" w:rsidTr="005677BD">
        <w:trPr>
          <w:jc w:val="center"/>
        </w:trPr>
        <w:tc>
          <w:tcPr>
            <w:tcW w:w="2362" w:type="dxa"/>
            <w:vMerge/>
            <w:vAlign w:val="center"/>
          </w:tcPr>
          <w:p w14:paraId="7B53C7F4"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p>
        </w:tc>
        <w:tc>
          <w:tcPr>
            <w:tcW w:w="1428" w:type="dxa"/>
            <w:vAlign w:val="center"/>
          </w:tcPr>
          <w:p w14:paraId="582AD493"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Within groups</w:t>
            </w:r>
          </w:p>
        </w:tc>
        <w:tc>
          <w:tcPr>
            <w:tcW w:w="1248" w:type="dxa"/>
            <w:vAlign w:val="center"/>
          </w:tcPr>
          <w:p w14:paraId="7E29EBD5"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985.687</w:t>
            </w:r>
          </w:p>
        </w:tc>
        <w:tc>
          <w:tcPr>
            <w:tcW w:w="1149" w:type="dxa"/>
            <w:vAlign w:val="center"/>
          </w:tcPr>
          <w:p w14:paraId="294941D1"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35</w:t>
            </w:r>
          </w:p>
        </w:tc>
        <w:tc>
          <w:tcPr>
            <w:tcW w:w="1269" w:type="dxa"/>
            <w:vAlign w:val="center"/>
          </w:tcPr>
          <w:p w14:paraId="7A6EB714"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256.734</w:t>
            </w:r>
          </w:p>
        </w:tc>
        <w:tc>
          <w:tcPr>
            <w:tcW w:w="1894" w:type="dxa"/>
            <w:gridSpan w:val="2"/>
            <w:vMerge w:val="restart"/>
            <w:vAlign w:val="center"/>
          </w:tcPr>
          <w:p w14:paraId="04727766"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p>
        </w:tc>
      </w:tr>
      <w:tr w:rsidR="007F30B7" w:rsidRPr="00065FE0" w14:paraId="1C559608" w14:textId="77777777" w:rsidTr="005677BD">
        <w:trPr>
          <w:jc w:val="center"/>
        </w:trPr>
        <w:tc>
          <w:tcPr>
            <w:tcW w:w="2362" w:type="dxa"/>
            <w:vMerge/>
            <w:vAlign w:val="center"/>
          </w:tcPr>
          <w:p w14:paraId="66681751"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p>
        </w:tc>
        <w:tc>
          <w:tcPr>
            <w:tcW w:w="1428" w:type="dxa"/>
            <w:vAlign w:val="center"/>
          </w:tcPr>
          <w:p w14:paraId="42535B69"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Total</w:t>
            </w:r>
          </w:p>
        </w:tc>
        <w:tc>
          <w:tcPr>
            <w:tcW w:w="1248" w:type="dxa"/>
            <w:vAlign w:val="center"/>
          </w:tcPr>
          <w:p w14:paraId="12E6B4F2"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17877.426</w:t>
            </w:r>
          </w:p>
        </w:tc>
        <w:tc>
          <w:tcPr>
            <w:tcW w:w="1149" w:type="dxa"/>
            <w:vAlign w:val="center"/>
          </w:tcPr>
          <w:p w14:paraId="37B86DAC"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41</w:t>
            </w:r>
          </w:p>
        </w:tc>
        <w:tc>
          <w:tcPr>
            <w:tcW w:w="1269" w:type="dxa"/>
            <w:vAlign w:val="center"/>
          </w:tcPr>
          <w:p w14:paraId="39543D72"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p>
        </w:tc>
        <w:tc>
          <w:tcPr>
            <w:tcW w:w="1894" w:type="dxa"/>
            <w:gridSpan w:val="2"/>
            <w:vMerge/>
            <w:vAlign w:val="center"/>
          </w:tcPr>
          <w:p w14:paraId="6FC60FB5"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p>
        </w:tc>
      </w:tr>
      <w:tr w:rsidR="007F30B7" w:rsidRPr="00065FE0" w14:paraId="5995C5C1" w14:textId="77777777" w:rsidTr="005677BD">
        <w:trPr>
          <w:jc w:val="center"/>
        </w:trPr>
        <w:tc>
          <w:tcPr>
            <w:tcW w:w="9350" w:type="dxa"/>
            <w:gridSpan w:val="7"/>
            <w:vAlign w:val="center"/>
          </w:tcPr>
          <w:p w14:paraId="1A696D60"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lang w:eastAsia="es-419"/>
              </w:rPr>
              <w:t xml:space="preserve">*Statistically significant </w:t>
            </w:r>
            <w:r w:rsidRPr="00065FE0">
              <w:rPr>
                <w:rFonts w:ascii="Times New Roman" w:hAnsi="Times New Roman" w:cs="Times New Roman"/>
                <w:i/>
                <w:iCs/>
                <w:lang w:eastAsia="es-419"/>
              </w:rPr>
              <w:t>p-value</w:t>
            </w:r>
            <w:r w:rsidRPr="00065FE0">
              <w:rPr>
                <w:rFonts w:ascii="Times New Roman" w:hAnsi="Times New Roman" w:cs="Times New Roman"/>
                <w:lang w:eastAsia="es-419"/>
              </w:rPr>
              <w:t xml:space="preserve"> in the ANOVA test</w:t>
            </w:r>
          </w:p>
        </w:tc>
      </w:tr>
    </w:tbl>
    <w:p w14:paraId="113459D9"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Post-Hoc Analysis</w:t>
      </w:r>
    </w:p>
    <w:p w14:paraId="2067A4FD"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bCs/>
          <w:lang w:eastAsia="de-DE" w:bidi="en-US"/>
        </w:rPr>
        <w:t xml:space="preserve">To determine </w:t>
      </w:r>
      <w:r w:rsidRPr="00065FE0">
        <w:rPr>
          <w:rFonts w:ascii="Times New Roman" w:hAnsi="Times New Roman" w:cs="Times New Roman"/>
          <w:lang w:eastAsia="de-DE" w:bidi="en-US"/>
        </w:rPr>
        <w:t>significant pairwise differences, a Dunnett post-hoc test was conducted. This test controls the family-wise error rate, ensuring that multiple comparisons maintain statistical reliability, and is extremely useful when comparing a control group.</w:t>
      </w:r>
    </w:p>
    <w:p w14:paraId="1CE8B638"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lang w:eastAsia="de-DE" w:bidi="en-US"/>
        </w:rPr>
        <w:t>Statistical Significance</w:t>
      </w:r>
    </w:p>
    <w:p w14:paraId="26A34DCC"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lang w:eastAsia="de-DE" w:bidi="en-US"/>
        </w:rPr>
        <w:t>A p-value &lt; 0.05 was considered statistically significant.</w:t>
      </w:r>
    </w:p>
    <w:tbl>
      <w:tblPr>
        <w:tblStyle w:val="Tablaconcuadrcula1"/>
        <w:tblW w:w="0" w:type="auto"/>
        <w:jc w:val="center"/>
        <w:tblLook w:val="04A0" w:firstRow="1" w:lastRow="0" w:firstColumn="1" w:lastColumn="0" w:noHBand="0" w:noVBand="1"/>
      </w:tblPr>
      <w:tblGrid>
        <w:gridCol w:w="1302"/>
        <w:gridCol w:w="1302"/>
        <w:gridCol w:w="1241"/>
        <w:gridCol w:w="1278"/>
        <w:gridCol w:w="751"/>
        <w:gridCol w:w="831"/>
        <w:gridCol w:w="751"/>
        <w:gridCol w:w="751"/>
      </w:tblGrid>
      <w:tr w:rsidR="007F30B7" w:rsidRPr="00065FE0" w14:paraId="7287F338" w14:textId="77777777" w:rsidTr="003270EA">
        <w:trPr>
          <w:trHeight w:val="397"/>
          <w:jc w:val="center"/>
        </w:trPr>
        <w:tc>
          <w:tcPr>
            <w:tcW w:w="0" w:type="auto"/>
            <w:gridSpan w:val="8"/>
            <w:noWrap/>
            <w:vAlign w:val="center"/>
          </w:tcPr>
          <w:p w14:paraId="6CE39996" w14:textId="4C5185E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b/>
                <w:lang w:val="en-US" w:eastAsia="de-DE" w:bidi="en-US"/>
              </w:rPr>
              <w:t xml:space="preserve">Table </w:t>
            </w:r>
            <w:r w:rsidR="005677BD" w:rsidRPr="00065FE0">
              <w:rPr>
                <w:rFonts w:ascii="Times New Roman" w:hAnsi="Times New Roman" w:cs="Times New Roman"/>
                <w:b/>
                <w:lang w:val="en-US" w:eastAsia="de-DE" w:bidi="en-US"/>
              </w:rPr>
              <w:t>S5</w:t>
            </w:r>
            <w:r w:rsidRPr="00065FE0">
              <w:rPr>
                <w:rFonts w:ascii="Times New Roman" w:hAnsi="Times New Roman" w:cs="Times New Roman"/>
                <w:bCs/>
                <w:lang w:val="en-US" w:eastAsia="de-DE" w:bidi="en-US"/>
              </w:rPr>
              <w:t>. Dunnett post-hoc test: Pairwise p-values for stage 1 in the one-way ANOVA.</w:t>
            </w:r>
          </w:p>
        </w:tc>
      </w:tr>
      <w:tr w:rsidR="007F30B7" w:rsidRPr="00065FE0" w14:paraId="0AA5DFE9" w14:textId="77777777" w:rsidTr="003270EA">
        <w:trPr>
          <w:trHeight w:val="397"/>
          <w:jc w:val="center"/>
        </w:trPr>
        <w:tc>
          <w:tcPr>
            <w:tcW w:w="0" w:type="auto"/>
            <w:noWrap/>
            <w:vAlign w:val="center"/>
          </w:tcPr>
          <w:p w14:paraId="648AA28E" w14:textId="77777777" w:rsidR="007F30B7" w:rsidRPr="00065FE0" w:rsidRDefault="007F30B7" w:rsidP="003270EA">
            <w:pPr>
              <w:jc w:val="center"/>
              <w:rPr>
                <w:rFonts w:ascii="Times New Roman" w:hAnsi="Times New Roman" w:cs="Times New Roman"/>
                <w:color w:val="000000" w:themeColor="text1"/>
                <w:sz w:val="16"/>
                <w:szCs w:val="16"/>
                <w:lang w:val="en-US"/>
              </w:rPr>
            </w:pPr>
          </w:p>
        </w:tc>
        <w:tc>
          <w:tcPr>
            <w:tcW w:w="0" w:type="auto"/>
            <w:noWrap/>
            <w:vAlign w:val="center"/>
          </w:tcPr>
          <w:p w14:paraId="358AFB20"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2FD0D6C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79CCC6E4"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3FF70BE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0391103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6F27B94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vAlign w:val="center"/>
          </w:tcPr>
          <w:p w14:paraId="61FC2545"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212EBCB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190B24A8"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5B8A08E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5983CDB8"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3078033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071FC94C"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697A0F3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r>
      <w:tr w:rsidR="007F30B7" w:rsidRPr="00065FE0" w14:paraId="12E381F7" w14:textId="77777777" w:rsidTr="003270EA">
        <w:trPr>
          <w:trHeight w:val="397"/>
          <w:jc w:val="center"/>
        </w:trPr>
        <w:tc>
          <w:tcPr>
            <w:tcW w:w="0" w:type="auto"/>
            <w:noWrap/>
            <w:vAlign w:val="center"/>
            <w:hideMark/>
          </w:tcPr>
          <w:p w14:paraId="188BB2F5"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425D152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0801633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3847297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0.90</w:t>
            </w:r>
          </w:p>
        </w:tc>
        <w:tc>
          <w:tcPr>
            <w:tcW w:w="0" w:type="auto"/>
            <w:noWrap/>
            <w:vAlign w:val="center"/>
          </w:tcPr>
          <w:p w14:paraId="1D0E8BD4"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t>0.004*</w:t>
            </w:r>
          </w:p>
        </w:tc>
        <w:tc>
          <w:tcPr>
            <w:tcW w:w="0" w:type="auto"/>
            <w:vAlign w:val="center"/>
          </w:tcPr>
          <w:p w14:paraId="5217167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0.88</w:t>
            </w:r>
          </w:p>
        </w:tc>
        <w:tc>
          <w:tcPr>
            <w:tcW w:w="0" w:type="auto"/>
            <w:vAlign w:val="center"/>
          </w:tcPr>
          <w:p w14:paraId="5AC4990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0.98</w:t>
            </w:r>
          </w:p>
        </w:tc>
        <w:tc>
          <w:tcPr>
            <w:tcW w:w="0" w:type="auto"/>
            <w:vAlign w:val="center"/>
          </w:tcPr>
          <w:p w14:paraId="432FB9A6"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t>0.02*</w:t>
            </w:r>
          </w:p>
        </w:tc>
        <w:tc>
          <w:tcPr>
            <w:tcW w:w="0" w:type="auto"/>
            <w:vAlign w:val="center"/>
          </w:tcPr>
          <w:p w14:paraId="18F1E4C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0.08</w:t>
            </w:r>
          </w:p>
        </w:tc>
      </w:tr>
      <w:tr w:rsidR="007F30B7" w:rsidRPr="00065FE0" w14:paraId="66179357" w14:textId="77777777" w:rsidTr="003270EA">
        <w:trPr>
          <w:trHeight w:val="397"/>
          <w:jc w:val="center"/>
        </w:trPr>
        <w:tc>
          <w:tcPr>
            <w:tcW w:w="0" w:type="auto"/>
            <w:gridSpan w:val="8"/>
            <w:noWrap/>
            <w:vAlign w:val="center"/>
          </w:tcPr>
          <w:p w14:paraId="3CFD8D0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lang w:val="en-US" w:eastAsia="es-419"/>
              </w:rPr>
              <w:t xml:space="preserve">*Statistically significant </w:t>
            </w:r>
            <w:r w:rsidRPr="00065FE0">
              <w:rPr>
                <w:rFonts w:ascii="Times New Roman" w:hAnsi="Times New Roman" w:cs="Times New Roman"/>
                <w:i/>
                <w:iCs/>
                <w:lang w:val="en-US" w:eastAsia="es-419"/>
              </w:rPr>
              <w:t>p-value</w:t>
            </w:r>
            <w:r w:rsidRPr="00065FE0">
              <w:rPr>
                <w:rFonts w:ascii="Times New Roman" w:hAnsi="Times New Roman" w:cs="Times New Roman"/>
                <w:lang w:val="en-US" w:eastAsia="es-419"/>
              </w:rPr>
              <w:t xml:space="preserve"> in Dunnett post hoc test</w:t>
            </w:r>
          </w:p>
        </w:tc>
      </w:tr>
    </w:tbl>
    <w:p w14:paraId="03CBBC7A" w14:textId="77777777" w:rsidR="007F30B7" w:rsidRPr="00065FE0" w:rsidRDefault="007F30B7" w:rsidP="005677BD">
      <w:pPr>
        <w:rPr>
          <w:lang w:eastAsia="en-US"/>
        </w:rPr>
      </w:pPr>
    </w:p>
    <w:p w14:paraId="317C55FC" w14:textId="2F12EAF0" w:rsidR="007F30B7" w:rsidRPr="00BA02E6"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eastAsiaTheme="minorHAnsi" w:hAnsi="Times New Roman" w:cs="Times New Roman"/>
          <w:b/>
          <w:bCs/>
          <w:sz w:val="24"/>
          <w:szCs w:val="24"/>
          <w:lang w:eastAsia="en-US"/>
          <w14:ligatures w14:val="standardContextual"/>
        </w:rPr>
      </w:pPr>
      <w:r w:rsidRPr="00BA02E6">
        <w:rPr>
          <w:rFonts w:ascii="Times New Roman" w:eastAsiaTheme="minorHAnsi" w:hAnsi="Times New Roman" w:cs="Times New Roman"/>
          <w:b/>
          <w:bCs/>
          <w:sz w:val="24"/>
          <w:szCs w:val="24"/>
          <w:lang w:eastAsia="en-US"/>
          <w14:ligatures w14:val="standardContextual"/>
        </w:rPr>
        <w:t>Latency stage 2</w:t>
      </w:r>
    </w:p>
    <w:p w14:paraId="09FB752C"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bCs/>
          <w:lang w:eastAsia="de-DE" w:bidi="en-US"/>
        </w:rPr>
        <w:t xml:space="preserve">A </w:t>
      </w:r>
      <w:r w:rsidRPr="00065FE0">
        <w:rPr>
          <w:rFonts w:ascii="Times New Roman" w:hAnsi="Times New Roman" w:cs="Times New Roman"/>
          <w:lang w:eastAsia="de-DE" w:bidi="en-US"/>
        </w:rPr>
        <w:t>one-way ANOVA was performed to assess the effects of different compounds on the PTZ-induced seizure model in zebrafish (</w:t>
      </w:r>
      <w:r w:rsidRPr="00065FE0">
        <w:rPr>
          <w:rFonts w:ascii="Times New Roman" w:hAnsi="Times New Roman" w:cs="Times New Roman"/>
          <w:i/>
          <w:iCs/>
          <w:lang w:eastAsia="de-DE" w:bidi="en-US"/>
        </w:rPr>
        <w:t>Danio rerio</w:t>
      </w:r>
      <w:r w:rsidRPr="00065FE0">
        <w:rPr>
          <w:rFonts w:ascii="Times New Roman" w:hAnsi="Times New Roman" w:cs="Times New Roman"/>
          <w:lang w:eastAsia="de-DE" w:bidi="en-US"/>
        </w:rPr>
        <w:t>).</w:t>
      </w:r>
    </w:p>
    <w:p w14:paraId="0ECADD8C"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Normality and Homoscedasticity Testing</w:t>
      </w:r>
    </w:p>
    <w:p w14:paraId="484B4092" w14:textId="77777777" w:rsidR="007F30B7" w:rsidRPr="00065FE0" w:rsidRDefault="007F30B7">
      <w:pPr>
        <w:pStyle w:val="ListParagraph"/>
        <w:numPr>
          <w:ilvl w:val="0"/>
          <w:numId w:val="2"/>
        </w:numPr>
        <w:tabs>
          <w:tab w:val="num"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Shapiro-Wilk test was used to check for normality.</w:t>
      </w:r>
    </w:p>
    <w:p w14:paraId="5EAB61FB" w14:textId="77777777" w:rsidR="007F30B7" w:rsidRPr="00065FE0" w:rsidRDefault="007F30B7">
      <w:pPr>
        <w:pStyle w:val="ListParagraph"/>
        <w:numPr>
          <w:ilvl w:val="0"/>
          <w:numId w:val="2"/>
        </w:numPr>
        <w:tabs>
          <w:tab w:val="num"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Levene’s test assessed homoscedasticity (equal variance) among groups.</w:t>
      </w:r>
    </w:p>
    <w:p w14:paraId="0D18D824" w14:textId="7EBE1EAA" w:rsidR="007F30B7" w:rsidRPr="00065FE0" w:rsidRDefault="007F30B7">
      <w:pPr>
        <w:pStyle w:val="ListParagraph"/>
        <w:numPr>
          <w:ilvl w:val="0"/>
          <w:numId w:val="2"/>
        </w:numPr>
        <w:tabs>
          <w:tab w:val="num"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Even though some groups did not meet normality, the assumption of homoscedasticity was met, making ANOVA robust to these violations</w:t>
      </w:r>
    </w:p>
    <w:p w14:paraId="0D28852B" w14:textId="77777777" w:rsidR="007F30B7" w:rsidRPr="00065FE0" w:rsidRDefault="007F30B7" w:rsidP="007F30B7">
      <w:pPr>
        <w:rPr>
          <w:rFonts w:ascii="Times New Roman" w:hAnsi="Times New Roman" w:cs="Times New Roman"/>
          <w:b/>
          <w:bCs/>
        </w:rPr>
      </w:pPr>
    </w:p>
    <w:p w14:paraId="4BB3FD92" w14:textId="77777777" w:rsidR="005677BD" w:rsidRPr="00065FE0" w:rsidRDefault="005677BD" w:rsidP="007F30B7">
      <w:pPr>
        <w:rPr>
          <w:rFonts w:ascii="Times New Roman" w:hAnsi="Times New Roman" w:cs="Times New Roman"/>
          <w:b/>
          <w:bCs/>
        </w:rPr>
      </w:pPr>
    </w:p>
    <w:p w14:paraId="34D8D105" w14:textId="77777777" w:rsidR="005677BD" w:rsidRPr="00065FE0" w:rsidRDefault="005677BD" w:rsidP="007F30B7">
      <w:pPr>
        <w:rPr>
          <w:rFonts w:ascii="Times New Roman" w:hAnsi="Times New Roman" w:cs="Times New Roman"/>
          <w:b/>
          <w:bCs/>
        </w:rPr>
      </w:pPr>
    </w:p>
    <w:tbl>
      <w:tblPr>
        <w:tblStyle w:val="Tablaconcuadrcula1"/>
        <w:tblW w:w="4980" w:type="pct"/>
        <w:tblLook w:val="04A0" w:firstRow="1" w:lastRow="0" w:firstColumn="1" w:lastColumn="0" w:noHBand="0" w:noVBand="1"/>
      </w:tblPr>
      <w:tblGrid>
        <w:gridCol w:w="1767"/>
        <w:gridCol w:w="2828"/>
        <w:gridCol w:w="1548"/>
        <w:gridCol w:w="1238"/>
        <w:gridCol w:w="1412"/>
      </w:tblGrid>
      <w:tr w:rsidR="007F30B7" w:rsidRPr="00065FE0" w14:paraId="438A02FC" w14:textId="77777777" w:rsidTr="003270EA">
        <w:trPr>
          <w:trHeight w:val="240"/>
        </w:trPr>
        <w:tc>
          <w:tcPr>
            <w:tcW w:w="5000" w:type="pct"/>
            <w:gridSpan w:val="5"/>
            <w:vAlign w:val="center"/>
          </w:tcPr>
          <w:p w14:paraId="66897CEA" w14:textId="49C4B2CB" w:rsidR="007F30B7" w:rsidRPr="00065FE0" w:rsidRDefault="007F30B7" w:rsidP="003270EA">
            <w:pPr>
              <w:autoSpaceDE w:val="0"/>
              <w:autoSpaceDN w:val="0"/>
              <w:adjustRightInd w:val="0"/>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lastRenderedPageBreak/>
              <w:t xml:space="preserve">Table </w:t>
            </w:r>
            <w:r w:rsidR="005677BD" w:rsidRPr="00065FE0">
              <w:rPr>
                <w:rFonts w:ascii="Times New Roman" w:eastAsiaTheme="minorEastAsia" w:hAnsi="Times New Roman" w:cs="Times New Roman"/>
                <w:b/>
                <w:bCs/>
                <w:sz w:val="18"/>
                <w:szCs w:val="18"/>
                <w:lang w:val="en-US"/>
              </w:rPr>
              <w:t>S6</w:t>
            </w:r>
            <w:r w:rsidRPr="00065FE0">
              <w:rPr>
                <w:rFonts w:ascii="Times New Roman" w:eastAsiaTheme="minorEastAsia" w:hAnsi="Times New Roman" w:cs="Times New Roman"/>
                <w:b/>
                <w:bCs/>
                <w:sz w:val="18"/>
                <w:szCs w:val="18"/>
                <w:lang w:val="en-US"/>
              </w:rPr>
              <w:t>. Compliance with the assumptions of normality and homoscedasticity of stage 2, and result of one-way ANOVA</w:t>
            </w:r>
          </w:p>
        </w:tc>
      </w:tr>
      <w:tr w:rsidR="007F30B7" w:rsidRPr="00065FE0" w14:paraId="6ABB0C75" w14:textId="77777777" w:rsidTr="003270EA">
        <w:trPr>
          <w:trHeight w:val="240"/>
        </w:trPr>
        <w:tc>
          <w:tcPr>
            <w:tcW w:w="1005" w:type="pct"/>
            <w:vAlign w:val="center"/>
          </w:tcPr>
          <w:p w14:paraId="20A15F8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Variable</w:t>
            </w:r>
          </w:p>
        </w:tc>
        <w:tc>
          <w:tcPr>
            <w:tcW w:w="1608" w:type="pct"/>
            <w:vAlign w:val="center"/>
          </w:tcPr>
          <w:p w14:paraId="69DB948A"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Group</w:t>
            </w:r>
          </w:p>
        </w:tc>
        <w:tc>
          <w:tcPr>
            <w:tcW w:w="880" w:type="pct"/>
            <w:vAlign w:val="center"/>
          </w:tcPr>
          <w:p w14:paraId="27DE56B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Shapiro-Wilk</w:t>
            </w:r>
          </w:p>
        </w:tc>
        <w:tc>
          <w:tcPr>
            <w:tcW w:w="704" w:type="pct"/>
            <w:vAlign w:val="center"/>
          </w:tcPr>
          <w:p w14:paraId="17B06EA3"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Levene</w:t>
            </w:r>
          </w:p>
        </w:tc>
        <w:tc>
          <w:tcPr>
            <w:tcW w:w="803" w:type="pct"/>
            <w:vAlign w:val="center"/>
          </w:tcPr>
          <w:p w14:paraId="66912EBE"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 xml:space="preserve">ANOVA </w:t>
            </w:r>
          </w:p>
        </w:tc>
      </w:tr>
      <w:tr w:rsidR="007F30B7" w:rsidRPr="00065FE0" w14:paraId="59FF7D3E" w14:textId="77777777" w:rsidTr="003270EA">
        <w:trPr>
          <w:trHeight w:val="240"/>
        </w:trPr>
        <w:tc>
          <w:tcPr>
            <w:tcW w:w="1005" w:type="pct"/>
            <w:vMerge w:val="restart"/>
            <w:vAlign w:val="center"/>
          </w:tcPr>
          <w:p w14:paraId="24D9D1C0"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Latency stage 2</w:t>
            </w:r>
          </w:p>
        </w:tc>
        <w:tc>
          <w:tcPr>
            <w:tcW w:w="1608" w:type="pct"/>
            <w:vAlign w:val="center"/>
          </w:tcPr>
          <w:p w14:paraId="5350862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Pro-Seizure inducer (PTZ)</w:t>
            </w:r>
          </w:p>
        </w:tc>
        <w:tc>
          <w:tcPr>
            <w:tcW w:w="880" w:type="pct"/>
            <w:vAlign w:val="center"/>
          </w:tcPr>
          <w:p w14:paraId="533719A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0.53</w:t>
            </w:r>
          </w:p>
        </w:tc>
        <w:tc>
          <w:tcPr>
            <w:tcW w:w="704" w:type="pct"/>
            <w:vMerge w:val="restart"/>
            <w:vAlign w:val="center"/>
          </w:tcPr>
          <w:p w14:paraId="03DFD7D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0.07</w:t>
            </w:r>
          </w:p>
        </w:tc>
        <w:tc>
          <w:tcPr>
            <w:tcW w:w="803" w:type="pct"/>
            <w:vMerge w:val="restart"/>
            <w:vAlign w:val="center"/>
          </w:tcPr>
          <w:p w14:paraId="3D68011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color w:val="000000" w:themeColor="text1"/>
                <w:sz w:val="18"/>
                <w:szCs w:val="18"/>
                <w:lang w:val="en-US"/>
              </w:rPr>
              <w:t>&lt;0.001</w:t>
            </w:r>
            <w:r w:rsidRPr="00065FE0">
              <w:rPr>
                <w:rFonts w:ascii="Times New Roman" w:hAnsi="Times New Roman" w:cs="Times New Roman"/>
                <w:sz w:val="18"/>
                <w:szCs w:val="18"/>
                <w:vertAlign w:val="superscript"/>
                <w:lang w:val="en-US"/>
              </w:rPr>
              <w:t>a</w:t>
            </w:r>
            <w:r w:rsidRPr="00065FE0">
              <w:rPr>
                <w:rFonts w:ascii="Times New Roman" w:hAnsi="Times New Roman" w:cs="Times New Roman"/>
                <w:color w:val="000000" w:themeColor="text1"/>
                <w:sz w:val="18"/>
                <w:szCs w:val="18"/>
                <w:lang w:val="en-US"/>
              </w:rPr>
              <w:t>*</w:t>
            </w:r>
          </w:p>
        </w:tc>
      </w:tr>
      <w:tr w:rsidR="007F30B7" w:rsidRPr="00065FE0" w14:paraId="3D88633E" w14:textId="77777777" w:rsidTr="003270EA">
        <w:trPr>
          <w:trHeight w:val="240"/>
        </w:trPr>
        <w:tc>
          <w:tcPr>
            <w:tcW w:w="1005" w:type="pct"/>
            <w:vMerge/>
            <w:vAlign w:val="center"/>
          </w:tcPr>
          <w:p w14:paraId="397486D8"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4665E5B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Vehicle (DMSO 0.1%)</w:t>
            </w:r>
          </w:p>
        </w:tc>
        <w:tc>
          <w:tcPr>
            <w:tcW w:w="880" w:type="pct"/>
            <w:vAlign w:val="center"/>
          </w:tcPr>
          <w:p w14:paraId="4E2A376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0.42</w:t>
            </w:r>
          </w:p>
        </w:tc>
        <w:tc>
          <w:tcPr>
            <w:tcW w:w="704" w:type="pct"/>
            <w:vMerge/>
            <w:vAlign w:val="center"/>
          </w:tcPr>
          <w:p w14:paraId="449C64C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3ED2F18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7458F630" w14:textId="77777777" w:rsidTr="003270EA">
        <w:trPr>
          <w:trHeight w:val="240"/>
        </w:trPr>
        <w:tc>
          <w:tcPr>
            <w:tcW w:w="1005" w:type="pct"/>
            <w:vMerge/>
            <w:vAlign w:val="center"/>
          </w:tcPr>
          <w:p w14:paraId="345418E4"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194BB4BA"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r w:rsidRPr="00065FE0">
              <w:rPr>
                <w:rFonts w:ascii="Times New Roman" w:hAnsi="Times New Roman" w:cs="Times New Roman"/>
                <w:color w:val="000000" w:themeColor="text1"/>
                <w:sz w:val="18"/>
                <w:szCs w:val="18"/>
                <w:lang w:val="en-US"/>
              </w:rPr>
              <w:t>Anticonvulsant (DZP)</w:t>
            </w:r>
          </w:p>
        </w:tc>
        <w:tc>
          <w:tcPr>
            <w:tcW w:w="880" w:type="pct"/>
            <w:vAlign w:val="center"/>
          </w:tcPr>
          <w:p w14:paraId="08610B8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0.60</w:t>
            </w:r>
          </w:p>
        </w:tc>
        <w:tc>
          <w:tcPr>
            <w:tcW w:w="704" w:type="pct"/>
            <w:vMerge/>
            <w:vAlign w:val="center"/>
          </w:tcPr>
          <w:p w14:paraId="0E0315B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27654D7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49ED70E" w14:textId="77777777" w:rsidTr="003270EA">
        <w:trPr>
          <w:trHeight w:val="240"/>
        </w:trPr>
        <w:tc>
          <w:tcPr>
            <w:tcW w:w="1005" w:type="pct"/>
            <w:vMerge/>
            <w:vAlign w:val="center"/>
          </w:tcPr>
          <w:p w14:paraId="13E97F3C"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7FC2D49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7061D29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0.10</w:t>
            </w:r>
          </w:p>
        </w:tc>
        <w:tc>
          <w:tcPr>
            <w:tcW w:w="704" w:type="pct"/>
            <w:vMerge/>
            <w:vAlign w:val="center"/>
          </w:tcPr>
          <w:p w14:paraId="73D88D8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55BB119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5A466A3E" w14:textId="77777777" w:rsidTr="003270EA">
        <w:trPr>
          <w:trHeight w:val="240"/>
        </w:trPr>
        <w:tc>
          <w:tcPr>
            <w:tcW w:w="1005" w:type="pct"/>
            <w:vMerge/>
            <w:vAlign w:val="center"/>
          </w:tcPr>
          <w:p w14:paraId="5CACD79A"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6DD80C8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1465923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0.45</w:t>
            </w:r>
          </w:p>
        </w:tc>
        <w:tc>
          <w:tcPr>
            <w:tcW w:w="704" w:type="pct"/>
            <w:vMerge/>
            <w:vAlign w:val="center"/>
          </w:tcPr>
          <w:p w14:paraId="17A7863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10D519A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8F51297" w14:textId="77777777" w:rsidTr="003270EA">
        <w:trPr>
          <w:trHeight w:val="240"/>
        </w:trPr>
        <w:tc>
          <w:tcPr>
            <w:tcW w:w="1005" w:type="pct"/>
            <w:vMerge/>
            <w:vAlign w:val="center"/>
          </w:tcPr>
          <w:p w14:paraId="5A66C468"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3389BB9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45EEB30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0.43</w:t>
            </w:r>
          </w:p>
        </w:tc>
        <w:tc>
          <w:tcPr>
            <w:tcW w:w="704" w:type="pct"/>
            <w:vMerge/>
            <w:vAlign w:val="center"/>
          </w:tcPr>
          <w:p w14:paraId="7157C4B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4F22E69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75FE9604" w14:textId="77777777" w:rsidTr="003270EA">
        <w:trPr>
          <w:trHeight w:val="240"/>
        </w:trPr>
        <w:tc>
          <w:tcPr>
            <w:tcW w:w="1005" w:type="pct"/>
            <w:vMerge/>
            <w:vAlign w:val="center"/>
          </w:tcPr>
          <w:p w14:paraId="3CD6D544"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18C06434"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27D0D1D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0.25</w:t>
            </w:r>
          </w:p>
        </w:tc>
        <w:tc>
          <w:tcPr>
            <w:tcW w:w="704" w:type="pct"/>
            <w:vMerge/>
            <w:vAlign w:val="center"/>
          </w:tcPr>
          <w:p w14:paraId="110F12B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0A4E397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3E8EB6CE" w14:textId="77777777" w:rsidTr="003270EA">
        <w:trPr>
          <w:trHeight w:val="240"/>
        </w:trPr>
        <w:tc>
          <w:tcPr>
            <w:tcW w:w="5000" w:type="pct"/>
            <w:gridSpan w:val="5"/>
            <w:vAlign w:val="center"/>
          </w:tcPr>
          <w:p w14:paraId="42CDFBDB"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normality by the Shapiro-Wilks test.</w:t>
            </w:r>
          </w:p>
          <w:p w14:paraId="7343E9AE" w14:textId="77777777" w:rsidR="007F30B7" w:rsidRPr="00065FE0" w:rsidRDefault="007F30B7" w:rsidP="003270EA">
            <w:pPr>
              <w:autoSpaceDE w:val="0"/>
              <w:autoSpaceDN w:val="0"/>
              <w:adjustRightInd w:val="0"/>
              <w:textAlignment w:val="center"/>
              <w:rPr>
                <w:rFonts w:ascii="Times New Roman" w:hAnsi="Times New Roman" w:cs="Times New Roman"/>
                <w:lang w:val="en-US" w:eastAsia="es-419"/>
              </w:rPr>
            </w:pPr>
            <w:r w:rsidRPr="00065FE0">
              <w:rPr>
                <w:rFonts w:ascii="Times New Roman" w:hAnsi="Times New Roman" w:cs="Times New Roman"/>
                <w:lang w:val="en-US" w:eastAsia="es-419"/>
              </w:rPr>
              <w:t xml:space="preserve">**Statistically significant </w:t>
            </w:r>
            <w:r w:rsidRPr="00065FE0">
              <w:rPr>
                <w:rFonts w:ascii="Times New Roman" w:hAnsi="Times New Roman" w:cs="Times New Roman"/>
                <w:i/>
                <w:iCs/>
                <w:lang w:val="en-US" w:eastAsia="es-419"/>
              </w:rPr>
              <w:t>p-value</w:t>
            </w:r>
            <w:r w:rsidRPr="00065FE0">
              <w:rPr>
                <w:rFonts w:ascii="Times New Roman" w:hAnsi="Times New Roman" w:cs="Times New Roman"/>
                <w:lang w:val="en-US" w:eastAsia="es-419"/>
              </w:rPr>
              <w:t xml:space="preserve"> in the ANOVA test </w:t>
            </w:r>
          </w:p>
          <w:p w14:paraId="0F68B259" w14:textId="77777777" w:rsidR="007F30B7" w:rsidRPr="00065FE0" w:rsidRDefault="007F30B7" w:rsidP="003270EA">
            <w:pPr>
              <w:autoSpaceDE w:val="0"/>
              <w:autoSpaceDN w:val="0"/>
              <w:adjustRightInd w:val="0"/>
              <w:textAlignment w:val="center"/>
              <w:rPr>
                <w:rFonts w:ascii="Times New Roman" w:hAnsi="Times New Roman" w:cs="Times New Roman"/>
                <w:sz w:val="18"/>
                <w:szCs w:val="18"/>
                <w:lang w:val="en-US"/>
              </w:rPr>
            </w:pPr>
            <w:proofErr w:type="spellStart"/>
            <w:r w:rsidRPr="00065FE0">
              <w:rPr>
                <w:rFonts w:ascii="Times New Roman" w:hAnsi="Times New Roman" w:cs="Times New Roman"/>
                <w:vertAlign w:val="superscript"/>
                <w:lang w:val="en-US" w:eastAsia="es-419"/>
              </w:rPr>
              <w:t>a</w:t>
            </w:r>
            <w:r w:rsidRPr="00065FE0">
              <w:rPr>
                <w:rFonts w:ascii="Times New Roman" w:hAnsi="Times New Roman" w:cs="Times New Roman"/>
                <w:lang w:val="en-US" w:eastAsia="es-419"/>
              </w:rPr>
              <w:t>One</w:t>
            </w:r>
            <w:proofErr w:type="spellEnd"/>
            <w:r w:rsidRPr="00065FE0">
              <w:rPr>
                <w:rFonts w:ascii="Times New Roman" w:hAnsi="Times New Roman" w:cs="Times New Roman"/>
                <w:lang w:val="en-US" w:eastAsia="es-419"/>
              </w:rPr>
              <w:t>-Way ANOVA</w:t>
            </w:r>
          </w:p>
        </w:tc>
      </w:tr>
    </w:tbl>
    <w:p w14:paraId="0407D8B4" w14:textId="77777777" w:rsidR="007F30B7" w:rsidRPr="00065FE0" w:rsidRDefault="007F30B7" w:rsidP="007F30B7">
      <w:pPr>
        <w:jc w:val="center"/>
        <w:rPr>
          <w:rFonts w:ascii="Times New Roman" w:hAnsi="Times New Roman" w:cs="Times New Roman"/>
          <w:b/>
          <w:bCs/>
        </w:rPr>
      </w:pPr>
    </w:p>
    <w:tbl>
      <w:tblPr>
        <w:tblStyle w:val="TableGrid"/>
        <w:tblW w:w="0" w:type="auto"/>
        <w:jc w:val="center"/>
        <w:tblLook w:val="04A0" w:firstRow="1" w:lastRow="0" w:firstColumn="1" w:lastColumn="0" w:noHBand="0" w:noVBand="1"/>
      </w:tblPr>
      <w:tblGrid>
        <w:gridCol w:w="1902"/>
        <w:gridCol w:w="1411"/>
        <w:gridCol w:w="1291"/>
        <w:gridCol w:w="1097"/>
        <w:gridCol w:w="1239"/>
        <w:gridCol w:w="906"/>
        <w:gridCol w:w="982"/>
      </w:tblGrid>
      <w:tr w:rsidR="007F30B7" w:rsidRPr="00065FE0" w14:paraId="76F9FEC0" w14:textId="77777777" w:rsidTr="003270EA">
        <w:trPr>
          <w:jc w:val="center"/>
        </w:trPr>
        <w:tc>
          <w:tcPr>
            <w:tcW w:w="11501" w:type="dxa"/>
            <w:gridSpan w:val="7"/>
            <w:vAlign w:val="center"/>
          </w:tcPr>
          <w:p w14:paraId="3C111907" w14:textId="3C960F44"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New Roman" w:hAnsi="Times New Roman" w:cs="Times New Roman"/>
                <w:lang w:eastAsia="de-DE" w:bidi="en-US"/>
              </w:rPr>
            </w:pPr>
            <w:r w:rsidRPr="00065FE0">
              <w:rPr>
                <w:rFonts w:ascii="Times New Roman" w:hAnsi="Times New Roman" w:cs="Times New Roman"/>
                <w:b/>
                <w:bCs/>
                <w:lang w:eastAsia="de-DE" w:bidi="en-US"/>
              </w:rPr>
              <w:t xml:space="preserve">Table </w:t>
            </w:r>
            <w:r w:rsidR="005677BD" w:rsidRPr="00065FE0">
              <w:rPr>
                <w:rFonts w:ascii="Times New Roman" w:hAnsi="Times New Roman" w:cs="Times New Roman"/>
                <w:b/>
                <w:bCs/>
                <w:lang w:eastAsia="de-DE" w:bidi="en-US"/>
              </w:rPr>
              <w:t>S7</w:t>
            </w:r>
            <w:r w:rsidRPr="00065FE0">
              <w:rPr>
                <w:rFonts w:ascii="Times New Roman" w:hAnsi="Times New Roman" w:cs="Times New Roman"/>
                <w:b/>
                <w:bCs/>
                <w:lang w:eastAsia="de-DE" w:bidi="en-US"/>
              </w:rPr>
              <w:t>.</w:t>
            </w:r>
            <w:r w:rsidRPr="00065FE0">
              <w:rPr>
                <w:rFonts w:ascii="Times New Roman" w:hAnsi="Times New Roman" w:cs="Times New Roman"/>
                <w:bCs/>
                <w:lang w:eastAsia="de-DE" w:bidi="en-US"/>
              </w:rPr>
              <w:t xml:space="preserve"> Detailed statistical results for the </w:t>
            </w:r>
            <w:r w:rsidRPr="00065FE0">
              <w:rPr>
                <w:rFonts w:ascii="Times New Roman" w:hAnsi="Times New Roman" w:cs="Times New Roman"/>
                <w:lang w:eastAsia="de-DE" w:bidi="en-US"/>
              </w:rPr>
              <w:t>one-way ANOVA test applied to the stage 1</w:t>
            </w:r>
          </w:p>
        </w:tc>
      </w:tr>
      <w:tr w:rsidR="007F30B7" w:rsidRPr="00065FE0" w14:paraId="7C3E007B" w14:textId="77777777" w:rsidTr="003270EA">
        <w:trPr>
          <w:jc w:val="center"/>
        </w:trPr>
        <w:tc>
          <w:tcPr>
            <w:tcW w:w="3826" w:type="dxa"/>
            <w:vAlign w:val="center"/>
          </w:tcPr>
          <w:p w14:paraId="6FAF0A73"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Variable</w:t>
            </w:r>
          </w:p>
        </w:tc>
        <w:tc>
          <w:tcPr>
            <w:tcW w:w="1483" w:type="dxa"/>
            <w:vAlign w:val="center"/>
          </w:tcPr>
          <w:p w14:paraId="2930E3FA"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Comparison</w:t>
            </w:r>
          </w:p>
        </w:tc>
        <w:tc>
          <w:tcPr>
            <w:tcW w:w="1356" w:type="dxa"/>
            <w:vAlign w:val="center"/>
          </w:tcPr>
          <w:p w14:paraId="53A6AD95"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Sum of squares</w:t>
            </w:r>
          </w:p>
        </w:tc>
        <w:tc>
          <w:tcPr>
            <w:tcW w:w="1315" w:type="dxa"/>
            <w:vAlign w:val="center"/>
          </w:tcPr>
          <w:p w14:paraId="3C5E1D13"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Degrees of freedom</w:t>
            </w:r>
          </w:p>
        </w:tc>
        <w:tc>
          <w:tcPr>
            <w:tcW w:w="1366" w:type="dxa"/>
            <w:vAlign w:val="center"/>
          </w:tcPr>
          <w:p w14:paraId="018E239E"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Quadratic mean</w:t>
            </w:r>
          </w:p>
        </w:tc>
        <w:tc>
          <w:tcPr>
            <w:tcW w:w="1096" w:type="dxa"/>
            <w:vAlign w:val="center"/>
          </w:tcPr>
          <w:p w14:paraId="44F92357"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F</w:t>
            </w:r>
          </w:p>
        </w:tc>
        <w:tc>
          <w:tcPr>
            <w:tcW w:w="1059" w:type="dxa"/>
            <w:vAlign w:val="center"/>
          </w:tcPr>
          <w:p w14:paraId="24CD8A43"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i/>
                <w:iCs/>
                <w:lang w:eastAsia="es-419"/>
              </w:rPr>
              <w:t>P-value</w:t>
            </w:r>
          </w:p>
        </w:tc>
      </w:tr>
      <w:tr w:rsidR="007F30B7" w:rsidRPr="00065FE0" w14:paraId="2B2A2982" w14:textId="77777777" w:rsidTr="003270EA">
        <w:trPr>
          <w:jc w:val="center"/>
        </w:trPr>
        <w:tc>
          <w:tcPr>
            <w:tcW w:w="3826" w:type="dxa"/>
            <w:vMerge w:val="restart"/>
            <w:vAlign w:val="center"/>
          </w:tcPr>
          <w:p w14:paraId="71A56E35"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Latency stage 2</w:t>
            </w:r>
          </w:p>
        </w:tc>
        <w:tc>
          <w:tcPr>
            <w:tcW w:w="1483" w:type="dxa"/>
            <w:vAlign w:val="center"/>
          </w:tcPr>
          <w:p w14:paraId="7281ED73"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Between groups</w:t>
            </w:r>
          </w:p>
        </w:tc>
        <w:tc>
          <w:tcPr>
            <w:tcW w:w="1356" w:type="dxa"/>
            <w:vAlign w:val="center"/>
          </w:tcPr>
          <w:p w14:paraId="7D7F3AE7"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217587.730</w:t>
            </w:r>
          </w:p>
        </w:tc>
        <w:tc>
          <w:tcPr>
            <w:tcW w:w="1315" w:type="dxa"/>
            <w:vAlign w:val="center"/>
          </w:tcPr>
          <w:p w14:paraId="15039FF0"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6</w:t>
            </w:r>
          </w:p>
        </w:tc>
        <w:tc>
          <w:tcPr>
            <w:tcW w:w="1366" w:type="dxa"/>
            <w:vAlign w:val="center"/>
          </w:tcPr>
          <w:p w14:paraId="471B82F1"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36264.622</w:t>
            </w:r>
          </w:p>
        </w:tc>
        <w:tc>
          <w:tcPr>
            <w:tcW w:w="1096" w:type="dxa"/>
            <w:vAlign w:val="center"/>
          </w:tcPr>
          <w:p w14:paraId="057B3FB4"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25.648</w:t>
            </w:r>
          </w:p>
        </w:tc>
        <w:tc>
          <w:tcPr>
            <w:tcW w:w="1059" w:type="dxa"/>
            <w:vAlign w:val="center"/>
          </w:tcPr>
          <w:p w14:paraId="6447A24C"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b/>
                <w:bCs/>
                <w:lang w:eastAsia="es-419"/>
              </w:rPr>
              <w:t>&lt;0.001*</w:t>
            </w:r>
          </w:p>
        </w:tc>
      </w:tr>
      <w:tr w:rsidR="007F30B7" w:rsidRPr="00065FE0" w14:paraId="2FE5412E" w14:textId="77777777" w:rsidTr="003270EA">
        <w:trPr>
          <w:jc w:val="center"/>
        </w:trPr>
        <w:tc>
          <w:tcPr>
            <w:tcW w:w="3826" w:type="dxa"/>
            <w:vMerge/>
            <w:vAlign w:val="center"/>
          </w:tcPr>
          <w:p w14:paraId="0B872949"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p>
        </w:tc>
        <w:tc>
          <w:tcPr>
            <w:tcW w:w="1483" w:type="dxa"/>
            <w:vAlign w:val="center"/>
          </w:tcPr>
          <w:p w14:paraId="5B478CD1"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Within groups</w:t>
            </w:r>
          </w:p>
        </w:tc>
        <w:tc>
          <w:tcPr>
            <w:tcW w:w="1356" w:type="dxa"/>
            <w:vAlign w:val="center"/>
          </w:tcPr>
          <w:p w14:paraId="62F209B6"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49487.387</w:t>
            </w:r>
          </w:p>
        </w:tc>
        <w:tc>
          <w:tcPr>
            <w:tcW w:w="1315" w:type="dxa"/>
            <w:vAlign w:val="center"/>
          </w:tcPr>
          <w:p w14:paraId="7A6B7882"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35</w:t>
            </w:r>
          </w:p>
        </w:tc>
        <w:tc>
          <w:tcPr>
            <w:tcW w:w="1366" w:type="dxa"/>
            <w:vAlign w:val="center"/>
          </w:tcPr>
          <w:p w14:paraId="07FB1AED"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1413.925</w:t>
            </w:r>
          </w:p>
        </w:tc>
        <w:tc>
          <w:tcPr>
            <w:tcW w:w="2155" w:type="dxa"/>
            <w:gridSpan w:val="2"/>
            <w:vMerge w:val="restart"/>
            <w:vAlign w:val="center"/>
          </w:tcPr>
          <w:p w14:paraId="4744A7C6"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p>
        </w:tc>
      </w:tr>
      <w:tr w:rsidR="007F30B7" w:rsidRPr="00065FE0" w14:paraId="27B2E6BA" w14:textId="77777777" w:rsidTr="003270EA">
        <w:trPr>
          <w:trHeight w:val="562"/>
          <w:jc w:val="center"/>
        </w:trPr>
        <w:tc>
          <w:tcPr>
            <w:tcW w:w="3826" w:type="dxa"/>
            <w:vMerge/>
            <w:vAlign w:val="center"/>
          </w:tcPr>
          <w:p w14:paraId="09024AEB"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p>
        </w:tc>
        <w:tc>
          <w:tcPr>
            <w:tcW w:w="1483" w:type="dxa"/>
            <w:vAlign w:val="center"/>
          </w:tcPr>
          <w:p w14:paraId="3800DE9B"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Total</w:t>
            </w:r>
          </w:p>
        </w:tc>
        <w:tc>
          <w:tcPr>
            <w:tcW w:w="1356" w:type="dxa"/>
            <w:vAlign w:val="center"/>
          </w:tcPr>
          <w:p w14:paraId="1468B3DB"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267075.116</w:t>
            </w:r>
          </w:p>
        </w:tc>
        <w:tc>
          <w:tcPr>
            <w:tcW w:w="1315" w:type="dxa"/>
            <w:vAlign w:val="center"/>
          </w:tcPr>
          <w:p w14:paraId="0FC8A058"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r w:rsidRPr="00065FE0">
              <w:rPr>
                <w:rFonts w:ascii="Times New Roman" w:hAnsi="Times New Roman" w:cs="Times New Roman"/>
                <w:lang w:eastAsia="es-419"/>
              </w:rPr>
              <w:t>41</w:t>
            </w:r>
          </w:p>
        </w:tc>
        <w:tc>
          <w:tcPr>
            <w:tcW w:w="1366" w:type="dxa"/>
            <w:vAlign w:val="center"/>
          </w:tcPr>
          <w:p w14:paraId="1EBC03E5"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p>
        </w:tc>
        <w:tc>
          <w:tcPr>
            <w:tcW w:w="2155" w:type="dxa"/>
            <w:gridSpan w:val="2"/>
            <w:vMerge/>
            <w:vAlign w:val="center"/>
          </w:tcPr>
          <w:p w14:paraId="2DEE3D50"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lang w:eastAsia="es-419"/>
              </w:rPr>
            </w:pPr>
          </w:p>
        </w:tc>
      </w:tr>
      <w:tr w:rsidR="007F30B7" w:rsidRPr="00065FE0" w14:paraId="5C3B08FB" w14:textId="77777777" w:rsidTr="003270EA">
        <w:trPr>
          <w:jc w:val="center"/>
        </w:trPr>
        <w:tc>
          <w:tcPr>
            <w:tcW w:w="11501" w:type="dxa"/>
            <w:gridSpan w:val="7"/>
            <w:vAlign w:val="center"/>
          </w:tcPr>
          <w:p w14:paraId="154A3E0C" w14:textId="77777777" w:rsidR="007F30B7" w:rsidRPr="00065FE0" w:rsidRDefault="007F30B7" w:rsidP="003270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lang w:eastAsia="es-419"/>
              </w:rPr>
            </w:pPr>
            <w:r w:rsidRPr="00065FE0">
              <w:rPr>
                <w:rFonts w:ascii="Times New Roman" w:hAnsi="Times New Roman" w:cs="Times New Roman"/>
                <w:lang w:eastAsia="es-419"/>
              </w:rPr>
              <w:t xml:space="preserve">*Statistically significant </w:t>
            </w:r>
            <w:r w:rsidRPr="00065FE0">
              <w:rPr>
                <w:rFonts w:ascii="Times New Roman" w:hAnsi="Times New Roman" w:cs="Times New Roman"/>
                <w:i/>
                <w:iCs/>
                <w:lang w:eastAsia="es-419"/>
              </w:rPr>
              <w:t>p-value</w:t>
            </w:r>
            <w:r w:rsidRPr="00065FE0">
              <w:rPr>
                <w:rFonts w:ascii="Times New Roman" w:hAnsi="Times New Roman" w:cs="Times New Roman"/>
                <w:lang w:eastAsia="es-419"/>
              </w:rPr>
              <w:t xml:space="preserve"> in the ANOVA test</w:t>
            </w:r>
          </w:p>
        </w:tc>
      </w:tr>
    </w:tbl>
    <w:p w14:paraId="5FD46EFB" w14:textId="77777777" w:rsidR="007F30B7" w:rsidRPr="00065FE0" w:rsidRDefault="007F30B7" w:rsidP="007F30B7">
      <w:pPr>
        <w:jc w:val="center"/>
        <w:rPr>
          <w:rFonts w:ascii="Times New Roman" w:hAnsi="Times New Roman" w:cs="Times New Roman"/>
          <w:b/>
          <w:bCs/>
        </w:rPr>
      </w:pPr>
    </w:p>
    <w:p w14:paraId="73B27F4D"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Post-Hoc Analysis</w:t>
      </w:r>
    </w:p>
    <w:p w14:paraId="21CAB14C"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bCs/>
          <w:lang w:eastAsia="de-DE" w:bidi="en-US"/>
        </w:rPr>
        <w:t xml:space="preserve">To determine </w:t>
      </w:r>
      <w:r w:rsidRPr="00065FE0">
        <w:rPr>
          <w:rFonts w:ascii="Times New Roman" w:hAnsi="Times New Roman" w:cs="Times New Roman"/>
          <w:lang w:eastAsia="de-DE" w:bidi="en-US"/>
        </w:rPr>
        <w:t>significant pairwise differences, a Dunnett post hoc test was conducted. This test controls the family-wise error rate, ensuring that multiple comparisons maintain statistical reliability, and is extremely useful when comparing a control group.</w:t>
      </w:r>
    </w:p>
    <w:p w14:paraId="468A3DEF"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lang w:eastAsia="de-DE" w:bidi="en-US"/>
        </w:rPr>
        <w:t>Statistical Significance</w:t>
      </w:r>
    </w:p>
    <w:p w14:paraId="29C570E1"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lang w:eastAsia="de-DE" w:bidi="en-US"/>
        </w:rPr>
        <w:t xml:space="preserve">A </w:t>
      </w:r>
      <w:r w:rsidRPr="00065FE0">
        <w:rPr>
          <w:rFonts w:ascii="Times New Roman" w:hAnsi="Times New Roman" w:cs="Times New Roman"/>
          <w:i/>
          <w:iCs/>
          <w:lang w:eastAsia="de-DE" w:bidi="en-US"/>
        </w:rPr>
        <w:t>p-value</w:t>
      </w:r>
      <w:r w:rsidRPr="00065FE0">
        <w:rPr>
          <w:rFonts w:ascii="Times New Roman" w:hAnsi="Times New Roman" w:cs="Times New Roman"/>
          <w:lang w:eastAsia="de-DE" w:bidi="en-US"/>
        </w:rPr>
        <w:t xml:space="preserve"> &lt; 0.05 was considered statistically significant.</w:t>
      </w:r>
    </w:p>
    <w:tbl>
      <w:tblPr>
        <w:tblStyle w:val="Tablaconcuadrcula1"/>
        <w:tblW w:w="0" w:type="auto"/>
        <w:jc w:val="center"/>
        <w:tblLook w:val="04A0" w:firstRow="1" w:lastRow="0" w:firstColumn="1" w:lastColumn="0" w:noHBand="0" w:noVBand="1"/>
      </w:tblPr>
      <w:tblGrid>
        <w:gridCol w:w="1262"/>
        <w:gridCol w:w="1261"/>
        <w:gridCol w:w="1202"/>
        <w:gridCol w:w="1238"/>
        <w:gridCol w:w="751"/>
        <w:gridCol w:w="831"/>
        <w:gridCol w:w="777"/>
        <w:gridCol w:w="777"/>
      </w:tblGrid>
      <w:tr w:rsidR="007F30B7" w:rsidRPr="00065FE0" w14:paraId="1A4A9AEB" w14:textId="77777777" w:rsidTr="003270EA">
        <w:trPr>
          <w:trHeight w:val="397"/>
          <w:jc w:val="center"/>
        </w:trPr>
        <w:tc>
          <w:tcPr>
            <w:tcW w:w="0" w:type="auto"/>
            <w:gridSpan w:val="8"/>
            <w:noWrap/>
            <w:vAlign w:val="center"/>
          </w:tcPr>
          <w:p w14:paraId="028DF05C" w14:textId="27A03752"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b/>
                <w:lang w:val="en-US" w:eastAsia="de-DE" w:bidi="en-US"/>
              </w:rPr>
              <w:t xml:space="preserve">Table </w:t>
            </w:r>
            <w:r w:rsidR="005677BD" w:rsidRPr="00065FE0">
              <w:rPr>
                <w:rFonts w:ascii="Times New Roman" w:hAnsi="Times New Roman" w:cs="Times New Roman"/>
                <w:b/>
                <w:lang w:val="en-US" w:eastAsia="de-DE" w:bidi="en-US"/>
              </w:rPr>
              <w:t>S8</w:t>
            </w:r>
            <w:r w:rsidRPr="00065FE0">
              <w:rPr>
                <w:rFonts w:ascii="Times New Roman" w:hAnsi="Times New Roman" w:cs="Times New Roman"/>
                <w:bCs/>
                <w:lang w:val="en-US" w:eastAsia="de-DE" w:bidi="en-US"/>
              </w:rPr>
              <w:t>. Dunnett post-hoc test: Pairwise p-values for stage 2 in the one-way ANOVA</w:t>
            </w:r>
          </w:p>
        </w:tc>
      </w:tr>
      <w:tr w:rsidR="007F30B7" w:rsidRPr="00065FE0" w14:paraId="340857C4" w14:textId="77777777" w:rsidTr="003270EA">
        <w:trPr>
          <w:trHeight w:val="397"/>
          <w:jc w:val="center"/>
        </w:trPr>
        <w:tc>
          <w:tcPr>
            <w:tcW w:w="0" w:type="auto"/>
            <w:noWrap/>
            <w:vAlign w:val="center"/>
          </w:tcPr>
          <w:p w14:paraId="3B25E445" w14:textId="77777777" w:rsidR="007F30B7" w:rsidRPr="00065FE0" w:rsidRDefault="007F30B7" w:rsidP="003270EA">
            <w:pPr>
              <w:jc w:val="center"/>
              <w:rPr>
                <w:rFonts w:ascii="Times New Roman" w:hAnsi="Times New Roman" w:cs="Times New Roman"/>
                <w:color w:val="000000" w:themeColor="text1"/>
                <w:sz w:val="16"/>
                <w:szCs w:val="16"/>
                <w:lang w:val="en-US"/>
              </w:rPr>
            </w:pPr>
          </w:p>
        </w:tc>
        <w:tc>
          <w:tcPr>
            <w:tcW w:w="0" w:type="auto"/>
            <w:noWrap/>
            <w:vAlign w:val="center"/>
          </w:tcPr>
          <w:p w14:paraId="37B2ECB4"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662F93B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4A431458"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0A7062A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1484EBEC"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4A5B750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vAlign w:val="center"/>
          </w:tcPr>
          <w:p w14:paraId="31A49103"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115BFE4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1136A9A3"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79167C6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6EAF3902"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532AE78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300206BB"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58C90D1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r>
      <w:tr w:rsidR="007F30B7" w:rsidRPr="00065FE0" w14:paraId="2BFB4A05" w14:textId="77777777" w:rsidTr="003270EA">
        <w:trPr>
          <w:trHeight w:val="397"/>
          <w:jc w:val="center"/>
        </w:trPr>
        <w:tc>
          <w:tcPr>
            <w:tcW w:w="0" w:type="auto"/>
            <w:noWrap/>
            <w:vAlign w:val="center"/>
            <w:hideMark/>
          </w:tcPr>
          <w:p w14:paraId="3F1BD252"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29605EA5"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711BA50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4C96C32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0.88</w:t>
            </w:r>
          </w:p>
        </w:tc>
        <w:tc>
          <w:tcPr>
            <w:tcW w:w="0" w:type="auto"/>
            <w:noWrap/>
            <w:vAlign w:val="center"/>
          </w:tcPr>
          <w:p w14:paraId="4EC97F44"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t>&lt;0.001*</w:t>
            </w:r>
          </w:p>
        </w:tc>
        <w:tc>
          <w:tcPr>
            <w:tcW w:w="0" w:type="auto"/>
            <w:vAlign w:val="center"/>
          </w:tcPr>
          <w:p w14:paraId="2324343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0.74</w:t>
            </w:r>
          </w:p>
        </w:tc>
        <w:tc>
          <w:tcPr>
            <w:tcW w:w="0" w:type="auto"/>
            <w:vAlign w:val="center"/>
          </w:tcPr>
          <w:p w14:paraId="3EF3D3A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0.29</w:t>
            </w:r>
          </w:p>
        </w:tc>
        <w:tc>
          <w:tcPr>
            <w:tcW w:w="0" w:type="auto"/>
            <w:vAlign w:val="center"/>
          </w:tcPr>
          <w:p w14:paraId="2B0BBE48"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t>&lt;0.001*</w:t>
            </w:r>
          </w:p>
        </w:tc>
        <w:tc>
          <w:tcPr>
            <w:tcW w:w="0" w:type="auto"/>
            <w:vAlign w:val="center"/>
          </w:tcPr>
          <w:p w14:paraId="7C8F995C"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t>&lt;0.001*</w:t>
            </w:r>
          </w:p>
        </w:tc>
      </w:tr>
      <w:tr w:rsidR="007F30B7" w:rsidRPr="00065FE0" w14:paraId="36CA3891" w14:textId="77777777" w:rsidTr="003270EA">
        <w:trPr>
          <w:trHeight w:val="397"/>
          <w:jc w:val="center"/>
        </w:trPr>
        <w:tc>
          <w:tcPr>
            <w:tcW w:w="0" w:type="auto"/>
            <w:gridSpan w:val="8"/>
            <w:noWrap/>
            <w:vAlign w:val="center"/>
          </w:tcPr>
          <w:p w14:paraId="6253755C"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lang w:val="en-US" w:eastAsia="es-419"/>
              </w:rPr>
              <w:t xml:space="preserve">*Statistically significant </w:t>
            </w:r>
            <w:r w:rsidRPr="00065FE0">
              <w:rPr>
                <w:rFonts w:ascii="Times New Roman" w:hAnsi="Times New Roman" w:cs="Times New Roman"/>
                <w:i/>
                <w:iCs/>
                <w:lang w:val="en-US" w:eastAsia="es-419"/>
              </w:rPr>
              <w:t>p-value</w:t>
            </w:r>
            <w:r w:rsidRPr="00065FE0">
              <w:rPr>
                <w:rFonts w:ascii="Times New Roman" w:hAnsi="Times New Roman" w:cs="Times New Roman"/>
                <w:lang w:val="en-US" w:eastAsia="es-419"/>
              </w:rPr>
              <w:t xml:space="preserve"> in Dunnett post hoc test</w:t>
            </w:r>
          </w:p>
        </w:tc>
      </w:tr>
    </w:tbl>
    <w:p w14:paraId="06E8ECF8" w14:textId="77777777" w:rsidR="007F30B7" w:rsidRDefault="007F30B7" w:rsidP="007F30B7">
      <w:pPr>
        <w:jc w:val="center"/>
        <w:rPr>
          <w:rFonts w:ascii="Times New Roman" w:hAnsi="Times New Roman" w:cs="Times New Roman"/>
        </w:rPr>
      </w:pPr>
    </w:p>
    <w:p w14:paraId="657D0D87" w14:textId="77777777" w:rsidR="00065FE0" w:rsidRDefault="00065FE0" w:rsidP="007F30B7">
      <w:pPr>
        <w:jc w:val="center"/>
        <w:rPr>
          <w:rFonts w:ascii="Times New Roman" w:hAnsi="Times New Roman" w:cs="Times New Roman"/>
        </w:rPr>
      </w:pPr>
    </w:p>
    <w:p w14:paraId="155A789C" w14:textId="77777777" w:rsidR="00065FE0" w:rsidRPr="00065FE0" w:rsidRDefault="00065FE0" w:rsidP="007F30B7">
      <w:pPr>
        <w:jc w:val="center"/>
        <w:rPr>
          <w:rFonts w:ascii="Times New Roman" w:hAnsi="Times New Roman" w:cs="Times New Roman"/>
        </w:rPr>
      </w:pPr>
    </w:p>
    <w:p w14:paraId="55EB8EAD" w14:textId="77777777" w:rsidR="007F30B7" w:rsidRPr="00BA02E6"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eastAsiaTheme="minorHAnsi" w:hAnsi="Times New Roman" w:cs="Times New Roman"/>
          <w:b/>
          <w:bCs/>
          <w:sz w:val="24"/>
          <w:szCs w:val="24"/>
          <w:lang w:eastAsia="en-US"/>
          <w14:ligatures w14:val="standardContextual"/>
        </w:rPr>
      </w:pPr>
      <w:r w:rsidRPr="00BA02E6">
        <w:rPr>
          <w:rFonts w:ascii="Times New Roman" w:eastAsiaTheme="minorHAnsi" w:hAnsi="Times New Roman" w:cs="Times New Roman"/>
          <w:b/>
          <w:bCs/>
          <w:sz w:val="24"/>
          <w:szCs w:val="24"/>
          <w:lang w:eastAsia="en-US"/>
          <w14:ligatures w14:val="standardContextual"/>
        </w:rPr>
        <w:lastRenderedPageBreak/>
        <w:t>Latency stage 3</w:t>
      </w:r>
    </w:p>
    <w:p w14:paraId="48CD6CA5" w14:textId="77777777" w:rsidR="007F30B7" w:rsidRPr="00065FE0" w:rsidRDefault="007F30B7" w:rsidP="00065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eastAsia="de-DE" w:bidi="en-US"/>
        </w:rPr>
      </w:pPr>
      <w:r w:rsidRPr="00065FE0">
        <w:rPr>
          <w:rFonts w:ascii="Times New Roman" w:hAnsi="Times New Roman" w:cs="Times New Roman"/>
          <w:bCs/>
          <w:lang w:eastAsia="de-DE" w:bidi="en-US"/>
        </w:rPr>
        <w:t xml:space="preserve">A </w:t>
      </w:r>
      <w:r w:rsidRPr="00065FE0">
        <w:rPr>
          <w:rFonts w:ascii="Times New Roman" w:hAnsi="Times New Roman" w:cs="Times New Roman"/>
          <w:lang w:eastAsia="de-DE" w:bidi="en-US"/>
        </w:rPr>
        <w:t>Kruskal-Wallis test was performed to assess the effects of different compounds on the PTZ-induced seizure model in zebrafish (</w:t>
      </w:r>
      <w:r w:rsidRPr="00065FE0">
        <w:rPr>
          <w:rFonts w:ascii="Times New Roman" w:hAnsi="Times New Roman" w:cs="Times New Roman"/>
          <w:i/>
          <w:iCs/>
          <w:lang w:eastAsia="de-DE" w:bidi="en-US"/>
        </w:rPr>
        <w:t>Danio rerio</w:t>
      </w:r>
      <w:r w:rsidRPr="00065FE0">
        <w:rPr>
          <w:rFonts w:ascii="Times New Roman" w:hAnsi="Times New Roman" w:cs="Times New Roman"/>
          <w:lang w:eastAsia="de-DE" w:bidi="en-US"/>
        </w:rPr>
        <w:t>).</w:t>
      </w:r>
    </w:p>
    <w:p w14:paraId="74665DC5"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Normality and Homoscedasticity Testing</w:t>
      </w:r>
    </w:p>
    <w:p w14:paraId="486C81DD" w14:textId="77777777" w:rsidR="007F30B7" w:rsidRPr="00065FE0" w:rsidRDefault="007F30B7">
      <w:pPr>
        <w:pStyle w:val="ListParagraph"/>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Shapiro-Wilk test assessed normality of data distribution.</w:t>
      </w:r>
    </w:p>
    <w:p w14:paraId="0A97EB4B" w14:textId="77777777" w:rsidR="007F30B7" w:rsidRPr="00065FE0" w:rsidRDefault="007F30B7">
      <w:pPr>
        <w:pStyle w:val="ListParagraph"/>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Levene’s test determined homoscedasticity (equal variance) across groups.</w:t>
      </w:r>
    </w:p>
    <w:p w14:paraId="00448EE4" w14:textId="0673267B" w:rsidR="007F30B7" w:rsidRPr="00065FE0" w:rsidRDefault="007F30B7">
      <w:pPr>
        <w:pStyle w:val="ListParagraph"/>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Based on these results:</w:t>
      </w:r>
    </w:p>
    <w:p w14:paraId="612A6039" w14:textId="05023643"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720"/>
        <w:jc w:val="both"/>
        <w:rPr>
          <w:rFonts w:ascii="Times New Roman" w:hAnsi="Times New Roman" w:cs="Times New Roman"/>
          <w:lang w:eastAsia="de-DE" w:bidi="en-US"/>
        </w:rPr>
      </w:pPr>
      <w:r w:rsidRPr="00065FE0">
        <w:rPr>
          <w:rFonts w:ascii="Times New Roman" w:hAnsi="Times New Roman" w:cs="Times New Roman"/>
          <w:lang w:eastAsia="de-DE" w:bidi="en-US"/>
        </w:rPr>
        <w:t>Kruskal-Wallis test was applied.</w:t>
      </w:r>
    </w:p>
    <w:p w14:paraId="5282A7CE" w14:textId="77777777" w:rsidR="007F30B7" w:rsidRPr="00065FE0" w:rsidRDefault="007F30B7" w:rsidP="007F30B7">
      <w:pPr>
        <w:jc w:val="center"/>
        <w:rPr>
          <w:rFonts w:ascii="Times New Roman" w:hAnsi="Times New Roman" w:cs="Times New Roman"/>
          <w:b/>
          <w:bCs/>
        </w:rPr>
      </w:pPr>
    </w:p>
    <w:tbl>
      <w:tblPr>
        <w:tblStyle w:val="Tablaconcuadrcula1"/>
        <w:tblW w:w="4980" w:type="pct"/>
        <w:tblLook w:val="04A0" w:firstRow="1" w:lastRow="0" w:firstColumn="1" w:lastColumn="0" w:noHBand="0" w:noVBand="1"/>
      </w:tblPr>
      <w:tblGrid>
        <w:gridCol w:w="1767"/>
        <w:gridCol w:w="2828"/>
        <w:gridCol w:w="1548"/>
        <w:gridCol w:w="1238"/>
        <w:gridCol w:w="1412"/>
      </w:tblGrid>
      <w:tr w:rsidR="007F30B7" w:rsidRPr="00065FE0" w14:paraId="4DF6987E" w14:textId="77777777" w:rsidTr="003270EA">
        <w:trPr>
          <w:trHeight w:val="240"/>
        </w:trPr>
        <w:tc>
          <w:tcPr>
            <w:tcW w:w="5000" w:type="pct"/>
            <w:gridSpan w:val="5"/>
            <w:vAlign w:val="center"/>
          </w:tcPr>
          <w:p w14:paraId="796C61F3" w14:textId="47B0D809" w:rsidR="007F30B7" w:rsidRPr="00065FE0" w:rsidRDefault="007F30B7" w:rsidP="003270EA">
            <w:pPr>
              <w:autoSpaceDE w:val="0"/>
              <w:autoSpaceDN w:val="0"/>
              <w:adjustRightInd w:val="0"/>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 xml:space="preserve">Table </w:t>
            </w:r>
            <w:r w:rsidR="005677BD" w:rsidRPr="00065FE0">
              <w:rPr>
                <w:rFonts w:ascii="Times New Roman" w:eastAsiaTheme="minorEastAsia" w:hAnsi="Times New Roman" w:cs="Times New Roman"/>
                <w:b/>
                <w:bCs/>
                <w:sz w:val="18"/>
                <w:szCs w:val="18"/>
                <w:lang w:val="en-US"/>
              </w:rPr>
              <w:t>S9</w:t>
            </w:r>
            <w:r w:rsidRPr="00065FE0">
              <w:rPr>
                <w:rFonts w:ascii="Times New Roman" w:eastAsiaTheme="minorEastAsia" w:hAnsi="Times New Roman" w:cs="Times New Roman"/>
                <w:b/>
                <w:bCs/>
                <w:sz w:val="18"/>
                <w:szCs w:val="18"/>
                <w:lang w:val="en-US"/>
              </w:rPr>
              <w:t>. Compliance with the assumptions of normality and homoscedasticity of stage 3, and result of Kruskal-Wallis test</w:t>
            </w:r>
          </w:p>
        </w:tc>
      </w:tr>
      <w:tr w:rsidR="007F30B7" w:rsidRPr="00065FE0" w14:paraId="24308708" w14:textId="77777777" w:rsidTr="003270EA">
        <w:trPr>
          <w:trHeight w:val="240"/>
        </w:trPr>
        <w:tc>
          <w:tcPr>
            <w:tcW w:w="1005" w:type="pct"/>
            <w:vAlign w:val="center"/>
          </w:tcPr>
          <w:p w14:paraId="0845054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Variable</w:t>
            </w:r>
          </w:p>
        </w:tc>
        <w:tc>
          <w:tcPr>
            <w:tcW w:w="1608" w:type="pct"/>
            <w:vAlign w:val="center"/>
          </w:tcPr>
          <w:p w14:paraId="5AE9012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Group</w:t>
            </w:r>
          </w:p>
        </w:tc>
        <w:tc>
          <w:tcPr>
            <w:tcW w:w="880" w:type="pct"/>
            <w:vAlign w:val="center"/>
          </w:tcPr>
          <w:p w14:paraId="37DF5A5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Shapiro-Wilk</w:t>
            </w:r>
          </w:p>
        </w:tc>
        <w:tc>
          <w:tcPr>
            <w:tcW w:w="704" w:type="pct"/>
            <w:vAlign w:val="center"/>
          </w:tcPr>
          <w:p w14:paraId="0E999586"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Levene</w:t>
            </w:r>
          </w:p>
        </w:tc>
        <w:tc>
          <w:tcPr>
            <w:tcW w:w="803" w:type="pct"/>
            <w:vAlign w:val="center"/>
          </w:tcPr>
          <w:p w14:paraId="3509E7F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Kruskal-Wallis test</w:t>
            </w:r>
          </w:p>
          <w:p w14:paraId="5814774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w:t>
            </w:r>
            <w:r w:rsidRPr="00065FE0">
              <w:rPr>
                <w:rFonts w:ascii="Times New Roman" w:eastAsiaTheme="minorEastAsia" w:hAnsi="Times New Roman" w:cs="Times New Roman"/>
                <w:b/>
                <w:bCs/>
                <w:i/>
                <w:iCs/>
                <w:sz w:val="18"/>
                <w:szCs w:val="18"/>
                <w:lang w:val="en-US"/>
              </w:rPr>
              <w:t>p-value</w:t>
            </w:r>
            <w:r w:rsidRPr="00065FE0">
              <w:rPr>
                <w:rFonts w:ascii="Times New Roman" w:eastAsiaTheme="minorEastAsia" w:hAnsi="Times New Roman" w:cs="Times New Roman"/>
                <w:b/>
                <w:bCs/>
                <w:sz w:val="18"/>
                <w:szCs w:val="18"/>
                <w:lang w:val="en-US"/>
              </w:rPr>
              <w:t xml:space="preserve">) </w:t>
            </w:r>
          </w:p>
        </w:tc>
      </w:tr>
      <w:tr w:rsidR="007F30B7" w:rsidRPr="00065FE0" w14:paraId="78AC83E8" w14:textId="77777777" w:rsidTr="003270EA">
        <w:trPr>
          <w:trHeight w:val="240"/>
        </w:trPr>
        <w:tc>
          <w:tcPr>
            <w:tcW w:w="1005" w:type="pct"/>
            <w:vMerge w:val="restart"/>
            <w:vAlign w:val="center"/>
          </w:tcPr>
          <w:p w14:paraId="74B90622" w14:textId="77777777" w:rsidR="007F30B7" w:rsidRPr="00065FE0" w:rsidRDefault="007F30B7" w:rsidP="003270EA">
            <w:pPr>
              <w:tabs>
                <w:tab w:val="center" w:pos="4419"/>
                <w:tab w:val="right" w:pos="8838"/>
              </w:tabs>
              <w:jc w:val="center"/>
              <w:rPr>
                <w:rFonts w:ascii="Times New Roman" w:eastAsiaTheme="minorEastAsia" w:hAnsi="Times New Roman" w:cs="Times New Roman"/>
                <w:b/>
                <w:bCs/>
                <w:sz w:val="18"/>
                <w:szCs w:val="18"/>
                <w:lang w:val="en-US"/>
              </w:rPr>
            </w:pPr>
            <w:r w:rsidRPr="00065FE0">
              <w:rPr>
                <w:rFonts w:ascii="Times New Roman" w:hAnsi="Times New Roman" w:cs="Times New Roman"/>
                <w:sz w:val="18"/>
                <w:szCs w:val="18"/>
                <w:lang w:val="en-US"/>
              </w:rPr>
              <w:t>Latency stage 3 (s)</w:t>
            </w:r>
          </w:p>
        </w:tc>
        <w:tc>
          <w:tcPr>
            <w:tcW w:w="1608" w:type="pct"/>
            <w:vAlign w:val="center"/>
          </w:tcPr>
          <w:p w14:paraId="792D4A72"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hAnsi="Times New Roman" w:cs="Times New Roman"/>
                <w:color w:val="000000" w:themeColor="text1"/>
                <w:sz w:val="18"/>
                <w:szCs w:val="18"/>
                <w:lang w:val="en-US"/>
              </w:rPr>
              <w:t>Pro-Seizure inducer (PTZ)</w:t>
            </w:r>
          </w:p>
        </w:tc>
        <w:tc>
          <w:tcPr>
            <w:tcW w:w="880" w:type="pct"/>
            <w:vAlign w:val="center"/>
          </w:tcPr>
          <w:p w14:paraId="598E009B"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hAnsi="Times New Roman" w:cs="Times New Roman"/>
                <w:color w:val="000000" w:themeColor="text1"/>
                <w:sz w:val="18"/>
                <w:szCs w:val="18"/>
                <w:lang w:val="en-US"/>
              </w:rPr>
              <w:t>0.94</w:t>
            </w:r>
          </w:p>
        </w:tc>
        <w:tc>
          <w:tcPr>
            <w:tcW w:w="704" w:type="pct"/>
            <w:vMerge w:val="restart"/>
            <w:vAlign w:val="center"/>
          </w:tcPr>
          <w:p w14:paraId="37BA2AA0"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0.001**</w:t>
            </w:r>
          </w:p>
        </w:tc>
        <w:tc>
          <w:tcPr>
            <w:tcW w:w="803" w:type="pct"/>
            <w:vMerge w:val="restart"/>
            <w:vAlign w:val="center"/>
          </w:tcPr>
          <w:p w14:paraId="7C0220A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color w:val="000000" w:themeColor="text1"/>
                <w:sz w:val="18"/>
                <w:szCs w:val="18"/>
                <w:lang w:val="en-US"/>
              </w:rPr>
              <w:t>&lt;0.001***</w:t>
            </w:r>
          </w:p>
        </w:tc>
      </w:tr>
      <w:tr w:rsidR="007F30B7" w:rsidRPr="00065FE0" w14:paraId="722BE5F2" w14:textId="77777777" w:rsidTr="003270EA">
        <w:trPr>
          <w:trHeight w:val="240"/>
        </w:trPr>
        <w:tc>
          <w:tcPr>
            <w:tcW w:w="1005" w:type="pct"/>
            <w:vMerge/>
            <w:vAlign w:val="center"/>
          </w:tcPr>
          <w:p w14:paraId="0D4D4D40"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69994E5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Vehicle (DMSO 0.1%)</w:t>
            </w:r>
          </w:p>
        </w:tc>
        <w:tc>
          <w:tcPr>
            <w:tcW w:w="880" w:type="pct"/>
            <w:vAlign w:val="center"/>
          </w:tcPr>
          <w:p w14:paraId="396035E1"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0.41</w:t>
            </w:r>
          </w:p>
        </w:tc>
        <w:tc>
          <w:tcPr>
            <w:tcW w:w="704" w:type="pct"/>
            <w:vMerge/>
            <w:vAlign w:val="center"/>
          </w:tcPr>
          <w:p w14:paraId="3AFFC86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01B75B0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C381CA7" w14:textId="77777777" w:rsidTr="003270EA">
        <w:trPr>
          <w:trHeight w:val="240"/>
        </w:trPr>
        <w:tc>
          <w:tcPr>
            <w:tcW w:w="1005" w:type="pct"/>
            <w:vMerge/>
            <w:vAlign w:val="center"/>
          </w:tcPr>
          <w:p w14:paraId="19215CEB"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2FF6726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Anticonvulsant (DZP)</w:t>
            </w:r>
          </w:p>
        </w:tc>
        <w:tc>
          <w:tcPr>
            <w:tcW w:w="880" w:type="pct"/>
            <w:vAlign w:val="center"/>
          </w:tcPr>
          <w:p w14:paraId="1C9064E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0.20</w:t>
            </w:r>
          </w:p>
        </w:tc>
        <w:tc>
          <w:tcPr>
            <w:tcW w:w="704" w:type="pct"/>
            <w:vMerge/>
            <w:vAlign w:val="center"/>
          </w:tcPr>
          <w:p w14:paraId="6A7C2A0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3864C07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66C4D740" w14:textId="77777777" w:rsidTr="003270EA">
        <w:trPr>
          <w:trHeight w:val="240"/>
        </w:trPr>
        <w:tc>
          <w:tcPr>
            <w:tcW w:w="1005" w:type="pct"/>
            <w:vMerge/>
            <w:vAlign w:val="center"/>
          </w:tcPr>
          <w:p w14:paraId="5FAFE578"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7A030C46"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61FAD7E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0.74</w:t>
            </w:r>
          </w:p>
        </w:tc>
        <w:tc>
          <w:tcPr>
            <w:tcW w:w="704" w:type="pct"/>
            <w:vMerge/>
            <w:vAlign w:val="center"/>
          </w:tcPr>
          <w:p w14:paraId="6F39D07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1800839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59B2EA27" w14:textId="77777777" w:rsidTr="003270EA">
        <w:trPr>
          <w:trHeight w:val="240"/>
        </w:trPr>
        <w:tc>
          <w:tcPr>
            <w:tcW w:w="1005" w:type="pct"/>
            <w:vMerge/>
            <w:vAlign w:val="center"/>
          </w:tcPr>
          <w:p w14:paraId="28829036"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33E338E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2F0B45E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0.01*</w:t>
            </w:r>
          </w:p>
        </w:tc>
        <w:tc>
          <w:tcPr>
            <w:tcW w:w="704" w:type="pct"/>
            <w:vMerge/>
            <w:vAlign w:val="center"/>
          </w:tcPr>
          <w:p w14:paraId="5E862B3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5C3433C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6795901F" w14:textId="77777777" w:rsidTr="003270EA">
        <w:trPr>
          <w:trHeight w:val="240"/>
        </w:trPr>
        <w:tc>
          <w:tcPr>
            <w:tcW w:w="1005" w:type="pct"/>
            <w:vMerge/>
            <w:vAlign w:val="center"/>
          </w:tcPr>
          <w:p w14:paraId="3FCDAEFD"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50BEEB1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474CA5C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sz w:val="18"/>
                <w:szCs w:val="18"/>
                <w:lang w:val="en-US"/>
              </w:rPr>
              <w:t>0.52</w:t>
            </w:r>
          </w:p>
        </w:tc>
        <w:tc>
          <w:tcPr>
            <w:tcW w:w="704" w:type="pct"/>
            <w:vMerge/>
            <w:vAlign w:val="center"/>
          </w:tcPr>
          <w:p w14:paraId="6280520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6FD8B49B"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17BD7870" w14:textId="77777777" w:rsidTr="003270EA">
        <w:trPr>
          <w:trHeight w:val="240"/>
        </w:trPr>
        <w:tc>
          <w:tcPr>
            <w:tcW w:w="1005" w:type="pct"/>
            <w:vMerge/>
            <w:vAlign w:val="center"/>
          </w:tcPr>
          <w:p w14:paraId="6FC6F22A"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3E452D98"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7EF2EF4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0.53</w:t>
            </w:r>
          </w:p>
        </w:tc>
        <w:tc>
          <w:tcPr>
            <w:tcW w:w="704" w:type="pct"/>
            <w:vMerge/>
            <w:vAlign w:val="center"/>
          </w:tcPr>
          <w:p w14:paraId="48D1F5B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39CD658C"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5849287" w14:textId="77777777" w:rsidTr="003270EA">
        <w:trPr>
          <w:trHeight w:val="240"/>
        </w:trPr>
        <w:tc>
          <w:tcPr>
            <w:tcW w:w="5000" w:type="pct"/>
            <w:gridSpan w:val="5"/>
            <w:vAlign w:val="center"/>
          </w:tcPr>
          <w:p w14:paraId="5AC22C97"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normality by the Shapiro-Wilks test.</w:t>
            </w:r>
          </w:p>
          <w:p w14:paraId="663576C4"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homoscedasticity by the Levene test.</w:t>
            </w:r>
          </w:p>
          <w:p w14:paraId="2C1A3C35" w14:textId="77777777" w:rsidR="007F30B7" w:rsidRPr="00065FE0" w:rsidRDefault="007F30B7" w:rsidP="003270EA">
            <w:pPr>
              <w:autoSpaceDE w:val="0"/>
              <w:autoSpaceDN w:val="0"/>
              <w:adjustRightInd w:val="0"/>
              <w:textAlignment w:val="center"/>
              <w:rPr>
                <w:rFonts w:ascii="Times New Roman" w:hAnsi="Times New Roman" w:cs="Times New Roman"/>
                <w:lang w:val="en-US" w:eastAsia="es-419"/>
              </w:rPr>
            </w:pPr>
            <w:r w:rsidRPr="00065FE0">
              <w:rPr>
                <w:rFonts w:ascii="Times New Roman" w:hAnsi="Times New Roman" w:cs="Times New Roman"/>
                <w:lang w:val="en-US" w:eastAsia="es-419"/>
              </w:rPr>
              <w:t xml:space="preserve">***Statistically significant </w:t>
            </w:r>
            <w:r w:rsidRPr="00065FE0">
              <w:rPr>
                <w:rFonts w:ascii="Times New Roman" w:hAnsi="Times New Roman" w:cs="Times New Roman"/>
                <w:i/>
                <w:iCs/>
                <w:lang w:val="en-US" w:eastAsia="es-419"/>
              </w:rPr>
              <w:t>p-value</w:t>
            </w:r>
            <w:r w:rsidRPr="00065FE0">
              <w:rPr>
                <w:rFonts w:ascii="Times New Roman" w:hAnsi="Times New Roman" w:cs="Times New Roman"/>
                <w:lang w:val="en-US" w:eastAsia="es-419"/>
              </w:rPr>
              <w:t xml:space="preserve"> in the Kruskal-Wallis test </w:t>
            </w:r>
          </w:p>
        </w:tc>
      </w:tr>
    </w:tbl>
    <w:p w14:paraId="49F5ED47" w14:textId="77777777" w:rsidR="007F30B7" w:rsidRPr="00065FE0" w:rsidRDefault="007F30B7" w:rsidP="007F30B7">
      <w:pPr>
        <w:jc w:val="center"/>
        <w:rPr>
          <w:rFonts w:ascii="Times New Roman" w:hAnsi="Times New Roman" w:cs="Times New Roman"/>
          <w:b/>
          <w:bCs/>
        </w:rPr>
      </w:pPr>
    </w:p>
    <w:p w14:paraId="7A9CAB62"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Post-Hoc Analysis</w:t>
      </w:r>
    </w:p>
    <w:p w14:paraId="6767D2B3"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bCs/>
          <w:lang w:eastAsia="de-DE" w:bidi="en-US"/>
        </w:rPr>
        <w:t xml:space="preserve">For these </w:t>
      </w:r>
      <w:r w:rsidRPr="00065FE0">
        <w:rPr>
          <w:rFonts w:ascii="Times New Roman" w:hAnsi="Times New Roman" w:cs="Times New Roman"/>
          <w:lang w:eastAsia="de-DE" w:bidi="en-US"/>
        </w:rPr>
        <w:t>non-parametric datasets, Mann-Whitney U test was conducted to compare pairs of treatment groups.</w:t>
      </w:r>
    </w:p>
    <w:p w14:paraId="150AFFDC"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r w:rsidRPr="00065FE0">
        <w:rPr>
          <w:rFonts w:ascii="Times New Roman" w:hAnsi="Times New Roman" w:cs="Times New Roman"/>
          <w:lang w:eastAsia="de-DE" w:bidi="en-US"/>
        </w:rPr>
        <w:t>Bonferroni correction was applied to account for multiple comparisons</w:t>
      </w:r>
      <w:r w:rsidRPr="00065FE0">
        <w:rPr>
          <w:rFonts w:ascii="Times New Roman" w:hAnsi="Times New Roman" w:cs="Times New Roman"/>
          <w:bCs/>
          <w:lang w:eastAsia="de-DE" w:bidi="en-US"/>
        </w:rPr>
        <w:t>, using the formula:</w:t>
      </w:r>
    </w:p>
    <w:p w14:paraId="620664CD" w14:textId="77777777" w:rsidR="007F30B7" w:rsidRPr="00065FE0" w:rsidRDefault="00000000"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m:oMathPara>
        <m:oMath>
          <m:sSup>
            <m:sSupPr>
              <m:ctrlPr>
                <w:rPr>
                  <w:rFonts w:ascii="Cambria Math" w:hAnsi="Cambria Math" w:cs="Times New Roman"/>
                  <w:bCs/>
                  <w:i/>
                  <w:lang w:eastAsia="de-DE" w:bidi="en-US"/>
                </w:rPr>
              </m:ctrlPr>
            </m:sSupPr>
            <m:e>
              <m:r>
                <w:rPr>
                  <w:rFonts w:ascii="Cambria Math" w:hAnsi="Cambria Math" w:cs="Times New Roman"/>
                  <w:lang w:eastAsia="de-DE" w:bidi="en-US"/>
                </w:rPr>
                <m:t>p</m:t>
              </m:r>
            </m:e>
            <m:sup>
              <m:r>
                <w:rPr>
                  <w:rFonts w:ascii="Cambria Math" w:hAnsi="Cambria Math" w:cs="Times New Roman"/>
                  <w:lang w:eastAsia="de-DE" w:bidi="en-US"/>
                </w:rPr>
                <m:t>'</m:t>
              </m:r>
            </m:sup>
          </m:sSup>
          <m:r>
            <w:rPr>
              <w:rFonts w:ascii="Cambria Math" w:hAnsi="Cambria Math" w:cs="Times New Roman"/>
              <w:lang w:eastAsia="de-DE" w:bidi="en-US"/>
            </w:rPr>
            <m:t>=1-</m:t>
          </m:r>
          <m:sSup>
            <m:sSupPr>
              <m:ctrlPr>
                <w:rPr>
                  <w:rFonts w:ascii="Cambria Math" w:hAnsi="Cambria Math" w:cs="Times New Roman"/>
                  <w:bCs/>
                  <w:i/>
                  <w:lang w:eastAsia="de-DE" w:bidi="en-US"/>
                </w:rPr>
              </m:ctrlPr>
            </m:sSupPr>
            <m:e>
              <m:d>
                <m:dPr>
                  <m:ctrlPr>
                    <w:rPr>
                      <w:rFonts w:ascii="Cambria Math" w:hAnsi="Cambria Math" w:cs="Times New Roman"/>
                      <w:bCs/>
                      <w:i/>
                      <w:lang w:eastAsia="de-DE" w:bidi="en-US"/>
                    </w:rPr>
                  </m:ctrlPr>
                </m:dPr>
                <m:e>
                  <m:r>
                    <w:rPr>
                      <w:rFonts w:ascii="Cambria Math" w:hAnsi="Cambria Math" w:cs="Times New Roman"/>
                      <w:lang w:eastAsia="de-DE" w:bidi="en-US"/>
                    </w:rPr>
                    <m:t>1-p</m:t>
                  </m:r>
                </m:e>
              </m:d>
            </m:e>
            <m:sup>
              <m:r>
                <w:rPr>
                  <w:rFonts w:ascii="Cambria Math" w:hAnsi="Cambria Math" w:cs="Times New Roman"/>
                  <w:lang w:eastAsia="de-DE" w:bidi="en-US"/>
                </w:rPr>
                <m:t>c</m:t>
              </m:r>
            </m:sup>
          </m:sSup>
        </m:oMath>
      </m:oMathPara>
    </w:p>
    <w:p w14:paraId="2A55EA0F"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r w:rsidRPr="00065FE0">
        <w:rPr>
          <w:rFonts w:ascii="Times New Roman" w:hAnsi="Times New Roman" w:cs="Times New Roman"/>
          <w:bCs/>
          <w:lang w:eastAsia="de-DE" w:bidi="en-US"/>
        </w:rPr>
        <w:t xml:space="preserve">Where c is the number of comparisons. </w:t>
      </w:r>
    </w:p>
    <w:p w14:paraId="3D011645"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Significant p-values (p &lt; 0.05) were adjusted using this Bonferroni method.</w:t>
      </w:r>
    </w:p>
    <w:p w14:paraId="6DC02038"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Values between identical groups (e.g., Control vs. Control) were marked as "Not Applicable", as they do not meet independence assumptions.</w:t>
      </w:r>
    </w:p>
    <w:p w14:paraId="7EA0E54C"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To avoid redundancy, pairwise p-values were reported only once.</w:t>
      </w:r>
    </w:p>
    <w:tbl>
      <w:tblPr>
        <w:tblStyle w:val="Tablaconcuadrcula1"/>
        <w:tblW w:w="0" w:type="auto"/>
        <w:jc w:val="center"/>
        <w:tblLook w:val="04A0" w:firstRow="1" w:lastRow="0" w:firstColumn="1" w:lastColumn="0" w:noHBand="0" w:noVBand="1"/>
      </w:tblPr>
      <w:tblGrid>
        <w:gridCol w:w="1396"/>
        <w:gridCol w:w="1395"/>
        <w:gridCol w:w="1332"/>
        <w:gridCol w:w="1370"/>
        <w:gridCol w:w="776"/>
        <w:gridCol w:w="819"/>
        <w:gridCol w:w="870"/>
        <w:gridCol w:w="870"/>
      </w:tblGrid>
      <w:tr w:rsidR="007F30B7" w:rsidRPr="00065FE0" w14:paraId="6B00724A" w14:textId="77777777" w:rsidTr="003270EA">
        <w:trPr>
          <w:trHeight w:val="397"/>
          <w:jc w:val="center"/>
        </w:trPr>
        <w:tc>
          <w:tcPr>
            <w:tcW w:w="0" w:type="auto"/>
            <w:gridSpan w:val="8"/>
            <w:noWrap/>
            <w:vAlign w:val="center"/>
          </w:tcPr>
          <w:p w14:paraId="6784C181" w14:textId="0CB0D380"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b/>
                <w:bCs/>
                <w:lang w:val="en-US" w:eastAsia="de-DE" w:bidi="en-US"/>
              </w:rPr>
              <w:lastRenderedPageBreak/>
              <w:t xml:space="preserve">Table </w:t>
            </w:r>
            <w:r w:rsidR="005677BD" w:rsidRPr="00065FE0">
              <w:rPr>
                <w:rFonts w:ascii="Times New Roman" w:hAnsi="Times New Roman" w:cs="Times New Roman"/>
                <w:b/>
                <w:bCs/>
                <w:lang w:val="en-US" w:eastAsia="de-DE" w:bidi="en-US"/>
              </w:rPr>
              <w:t>S10</w:t>
            </w:r>
            <w:r w:rsidRPr="00065FE0">
              <w:rPr>
                <w:rFonts w:ascii="Times New Roman" w:hAnsi="Times New Roman" w:cs="Times New Roman"/>
                <w:lang w:val="en-US" w:eastAsia="de-DE" w:bidi="en-US"/>
              </w:rPr>
              <w:t>. Mann-Whitney U test results: Pairwise p-values for stage 3, with Bonferroni correction for Kruskal-Wallis post hoc analysis.</w:t>
            </w:r>
          </w:p>
        </w:tc>
      </w:tr>
      <w:tr w:rsidR="007F30B7" w:rsidRPr="00065FE0" w14:paraId="4F2315D1" w14:textId="77777777" w:rsidTr="003270EA">
        <w:trPr>
          <w:trHeight w:val="397"/>
          <w:jc w:val="center"/>
        </w:trPr>
        <w:tc>
          <w:tcPr>
            <w:tcW w:w="0" w:type="auto"/>
            <w:noWrap/>
            <w:vAlign w:val="center"/>
          </w:tcPr>
          <w:p w14:paraId="0B2D6777" w14:textId="77777777" w:rsidR="007F30B7" w:rsidRPr="00065FE0" w:rsidRDefault="007F30B7" w:rsidP="003270EA">
            <w:pPr>
              <w:jc w:val="center"/>
              <w:rPr>
                <w:rFonts w:ascii="Times New Roman" w:hAnsi="Times New Roman" w:cs="Times New Roman"/>
                <w:color w:val="000000" w:themeColor="text1"/>
                <w:sz w:val="16"/>
                <w:szCs w:val="16"/>
                <w:lang w:val="en-US"/>
              </w:rPr>
            </w:pPr>
          </w:p>
        </w:tc>
        <w:tc>
          <w:tcPr>
            <w:tcW w:w="0" w:type="auto"/>
            <w:noWrap/>
            <w:vAlign w:val="center"/>
          </w:tcPr>
          <w:p w14:paraId="67E6E6F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20378E6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0E5F3594"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759723A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424013BD"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2F42118D"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vAlign w:val="center"/>
          </w:tcPr>
          <w:p w14:paraId="14A82A8A"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12749B3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1E7377D5"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4EC8DA9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0A7736F1"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1A836BB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3EC8B6E8"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351DB12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r>
      <w:tr w:rsidR="007F30B7" w:rsidRPr="00065FE0" w14:paraId="372C8083" w14:textId="77777777" w:rsidTr="003270EA">
        <w:trPr>
          <w:trHeight w:val="397"/>
          <w:jc w:val="center"/>
        </w:trPr>
        <w:tc>
          <w:tcPr>
            <w:tcW w:w="0" w:type="auto"/>
            <w:noWrap/>
            <w:vAlign w:val="center"/>
            <w:hideMark/>
          </w:tcPr>
          <w:p w14:paraId="1008C02E"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3AC1629A"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27F0892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51C9B95D"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noWrap/>
            <w:vAlign w:val="center"/>
          </w:tcPr>
          <w:p w14:paraId="42D900B9"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19FD8E2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2F442D7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658FFA6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5F861DA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36D97433" w14:textId="77777777" w:rsidTr="003270EA">
        <w:trPr>
          <w:trHeight w:val="397"/>
          <w:jc w:val="center"/>
        </w:trPr>
        <w:tc>
          <w:tcPr>
            <w:tcW w:w="0" w:type="auto"/>
            <w:noWrap/>
            <w:vAlign w:val="center"/>
          </w:tcPr>
          <w:p w14:paraId="414AEA32"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72075A6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1F23096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E2C063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19F63682"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1595CF4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2F3CA2A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44393A7C"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62858202"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1680E3D4" w14:textId="77777777" w:rsidTr="003270EA">
        <w:trPr>
          <w:trHeight w:val="397"/>
          <w:jc w:val="center"/>
        </w:trPr>
        <w:tc>
          <w:tcPr>
            <w:tcW w:w="0" w:type="auto"/>
            <w:noWrap/>
            <w:vAlign w:val="center"/>
          </w:tcPr>
          <w:p w14:paraId="4F4B8A7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200BCB1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noWrap/>
            <w:vAlign w:val="center"/>
          </w:tcPr>
          <w:p w14:paraId="7F7A7B8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8E2E6C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53BB50C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5417CEB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30633C0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6A0356D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1D27AF6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r>
      <w:tr w:rsidR="007F30B7" w:rsidRPr="00065FE0" w14:paraId="5502659A" w14:textId="77777777" w:rsidTr="003270EA">
        <w:trPr>
          <w:trHeight w:val="397"/>
          <w:jc w:val="center"/>
        </w:trPr>
        <w:tc>
          <w:tcPr>
            <w:tcW w:w="0" w:type="auto"/>
            <w:noWrap/>
            <w:vAlign w:val="center"/>
            <w:hideMark/>
          </w:tcPr>
          <w:p w14:paraId="69B0F496"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44A3FDA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6246BD5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4EDBA6D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5B9CBBA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26D7FA4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46A9D60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7C85A38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2DDEBCE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119CB8D3" w14:textId="77777777" w:rsidTr="003270EA">
        <w:trPr>
          <w:trHeight w:val="397"/>
          <w:jc w:val="center"/>
        </w:trPr>
        <w:tc>
          <w:tcPr>
            <w:tcW w:w="0" w:type="auto"/>
            <w:noWrap/>
            <w:vAlign w:val="center"/>
            <w:hideMark/>
          </w:tcPr>
          <w:p w14:paraId="5800A3CE"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2B98EE0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24F0545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32E15B1D"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0A712D8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32EC13D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25C1243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7D977CBD"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37995D4A"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08A5E6A5" w14:textId="77777777" w:rsidTr="003270EA">
        <w:trPr>
          <w:trHeight w:val="397"/>
          <w:jc w:val="center"/>
        </w:trPr>
        <w:tc>
          <w:tcPr>
            <w:tcW w:w="0" w:type="auto"/>
            <w:noWrap/>
            <w:vAlign w:val="center"/>
            <w:hideMark/>
          </w:tcPr>
          <w:p w14:paraId="446B416E"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61B9FD7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373CA1C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2C17454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3CA9E6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5F2B797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21DF658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1245E43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1E50464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r>
      <w:tr w:rsidR="007F30B7" w:rsidRPr="00065FE0" w14:paraId="241450BB" w14:textId="77777777" w:rsidTr="003270EA">
        <w:trPr>
          <w:trHeight w:val="397"/>
          <w:jc w:val="center"/>
        </w:trPr>
        <w:tc>
          <w:tcPr>
            <w:tcW w:w="0" w:type="auto"/>
            <w:noWrap/>
            <w:vAlign w:val="center"/>
          </w:tcPr>
          <w:p w14:paraId="5F8E0648"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6693D6C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50A3ED0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3BC92A1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2F609A8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2816308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764F5C1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5D8CC40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7C49537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r>
      <w:tr w:rsidR="007F30B7" w:rsidRPr="00065FE0" w14:paraId="08240A07" w14:textId="77777777" w:rsidTr="003270EA">
        <w:trPr>
          <w:trHeight w:val="397"/>
          <w:jc w:val="center"/>
        </w:trPr>
        <w:tc>
          <w:tcPr>
            <w:tcW w:w="0" w:type="auto"/>
            <w:gridSpan w:val="8"/>
            <w:noWrap/>
            <w:vAlign w:val="center"/>
          </w:tcPr>
          <w:p w14:paraId="3A69CE81" w14:textId="77777777" w:rsidR="007F30B7" w:rsidRPr="00065FE0" w:rsidRDefault="007F30B7" w:rsidP="003270EA">
            <w:pPr>
              <w:rPr>
                <w:rFonts w:ascii="Times New Roman" w:hAnsi="Times New Roman" w:cs="Times New Roman"/>
                <w:color w:val="000000" w:themeColor="text1"/>
                <w:sz w:val="16"/>
                <w:szCs w:val="16"/>
                <w:lang w:val="en-US"/>
              </w:rPr>
            </w:pPr>
            <w:r w:rsidRPr="00065FE0">
              <w:rPr>
                <w:rFonts w:ascii="Times New Roman" w:hAnsi="Times New Roman" w:cs="Times New Roman"/>
                <w:vertAlign w:val="superscript"/>
                <w:lang w:val="en-US" w:eastAsia="es-419"/>
              </w:rPr>
              <w:t>a</w:t>
            </w:r>
            <w:r w:rsidRPr="00065FE0">
              <w:rPr>
                <w:rFonts w:ascii="Times New Roman" w:hAnsi="Times New Roman" w:cs="Times New Roman"/>
                <w:i/>
                <w:iCs/>
                <w:lang w:val="en-US" w:eastAsia="es-419"/>
              </w:rPr>
              <w:t xml:space="preserve">p-value </w:t>
            </w:r>
            <w:r w:rsidRPr="00065FE0">
              <w:rPr>
                <w:rFonts w:ascii="Times New Roman" w:hAnsi="Times New Roman" w:cs="Times New Roman"/>
                <w:lang w:val="en-US" w:eastAsia="es-419"/>
              </w:rPr>
              <w:t>obtained from the Mann-Whitney U test, corrected by Bonferroni method</w:t>
            </w:r>
            <w:r w:rsidRPr="00065FE0">
              <w:rPr>
                <w:rFonts w:ascii="Times New Roman" w:hAnsi="Times New Roman" w:cs="Times New Roman"/>
                <w:lang w:val="en-US" w:eastAsia="es-419"/>
              </w:rPr>
              <w:br/>
              <w:t xml:space="preserve">*Statistically significant </w:t>
            </w:r>
            <w:r w:rsidRPr="00065FE0">
              <w:rPr>
                <w:rFonts w:ascii="Times New Roman" w:hAnsi="Times New Roman" w:cs="Times New Roman"/>
                <w:i/>
                <w:iCs/>
                <w:lang w:val="en-US" w:eastAsia="es-419"/>
              </w:rPr>
              <w:t>p-value</w:t>
            </w:r>
          </w:p>
        </w:tc>
      </w:tr>
    </w:tbl>
    <w:p w14:paraId="69A155E1" w14:textId="77777777" w:rsidR="007F30B7" w:rsidRPr="00065FE0" w:rsidRDefault="007F30B7" w:rsidP="007F30B7">
      <w:pPr>
        <w:rPr>
          <w:rFonts w:ascii="Times New Roman" w:hAnsi="Times New Roman" w:cs="Times New Roman"/>
        </w:rPr>
      </w:pPr>
    </w:p>
    <w:p w14:paraId="6D688070" w14:textId="77777777" w:rsidR="007F30B7" w:rsidRPr="00BA02E6"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eastAsiaTheme="minorHAnsi" w:hAnsi="Times New Roman" w:cs="Times New Roman"/>
          <w:b/>
          <w:bCs/>
          <w:sz w:val="24"/>
          <w:szCs w:val="24"/>
          <w:lang w:eastAsia="en-US"/>
          <w14:ligatures w14:val="standardContextual"/>
        </w:rPr>
      </w:pPr>
      <w:r w:rsidRPr="00BA02E6">
        <w:rPr>
          <w:rFonts w:ascii="Times New Roman" w:eastAsiaTheme="minorHAnsi" w:hAnsi="Times New Roman" w:cs="Times New Roman"/>
          <w:b/>
          <w:bCs/>
          <w:sz w:val="24"/>
          <w:szCs w:val="24"/>
          <w:lang w:eastAsia="en-US"/>
          <w14:ligatures w14:val="standardContextual"/>
        </w:rPr>
        <w:t>Latency stage 4</w:t>
      </w:r>
    </w:p>
    <w:p w14:paraId="5D143183" w14:textId="77777777" w:rsidR="007F30B7" w:rsidRPr="00065FE0" w:rsidRDefault="007F30B7" w:rsidP="00065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eastAsia="de-DE" w:bidi="en-US"/>
        </w:rPr>
      </w:pPr>
      <w:r w:rsidRPr="00065FE0">
        <w:rPr>
          <w:rFonts w:ascii="Times New Roman" w:hAnsi="Times New Roman" w:cs="Times New Roman"/>
          <w:bCs/>
          <w:lang w:eastAsia="de-DE" w:bidi="en-US"/>
        </w:rPr>
        <w:t xml:space="preserve">A </w:t>
      </w:r>
      <w:r w:rsidRPr="00065FE0">
        <w:rPr>
          <w:rFonts w:ascii="Times New Roman" w:hAnsi="Times New Roman" w:cs="Times New Roman"/>
          <w:lang w:eastAsia="de-DE" w:bidi="en-US"/>
        </w:rPr>
        <w:t>Kruskal-Wallis test was performed to assess the effects of different compounds on the PTZ-induced seizure model in zebrafish (</w:t>
      </w:r>
      <w:r w:rsidRPr="00065FE0">
        <w:rPr>
          <w:rFonts w:ascii="Times New Roman" w:hAnsi="Times New Roman" w:cs="Times New Roman"/>
          <w:i/>
          <w:iCs/>
          <w:lang w:eastAsia="de-DE" w:bidi="en-US"/>
        </w:rPr>
        <w:t>Danio rerio</w:t>
      </w:r>
      <w:r w:rsidRPr="00065FE0">
        <w:rPr>
          <w:rFonts w:ascii="Times New Roman" w:hAnsi="Times New Roman" w:cs="Times New Roman"/>
          <w:lang w:eastAsia="de-DE" w:bidi="en-US"/>
        </w:rPr>
        <w:t>).</w:t>
      </w:r>
    </w:p>
    <w:p w14:paraId="54DFEDDF"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Normality and Homoscedasticity Testing</w:t>
      </w:r>
    </w:p>
    <w:p w14:paraId="2DB572AF" w14:textId="77777777" w:rsidR="007F30B7" w:rsidRPr="00065FE0" w:rsidRDefault="007F30B7">
      <w:pPr>
        <w:numPr>
          <w:ilvl w:val="0"/>
          <w:numId w:val="3"/>
        </w:numPr>
        <w:tabs>
          <w:tab w:val="clear" w:pos="720"/>
          <w:tab w:val="num"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hAnsi="Times New Roman" w:cs="Times New Roman"/>
          <w:lang w:eastAsia="de-DE" w:bidi="en-US"/>
        </w:rPr>
      </w:pPr>
      <w:r w:rsidRPr="00065FE0">
        <w:rPr>
          <w:rFonts w:ascii="Times New Roman" w:hAnsi="Times New Roman" w:cs="Times New Roman"/>
          <w:lang w:eastAsia="de-DE" w:bidi="en-US"/>
        </w:rPr>
        <w:t>Shapiro-Wilk test assessed normality of data distribution.</w:t>
      </w:r>
    </w:p>
    <w:p w14:paraId="24FD61EB" w14:textId="77777777" w:rsidR="007F30B7" w:rsidRPr="00065FE0" w:rsidRDefault="007F30B7">
      <w:pPr>
        <w:numPr>
          <w:ilvl w:val="0"/>
          <w:numId w:val="3"/>
        </w:numPr>
        <w:tabs>
          <w:tab w:val="clear" w:pos="720"/>
          <w:tab w:val="num"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hAnsi="Times New Roman" w:cs="Times New Roman"/>
          <w:lang w:eastAsia="de-DE" w:bidi="en-US"/>
        </w:rPr>
      </w:pPr>
      <w:r w:rsidRPr="00065FE0">
        <w:rPr>
          <w:rFonts w:ascii="Times New Roman" w:hAnsi="Times New Roman" w:cs="Times New Roman"/>
          <w:lang w:eastAsia="de-DE" w:bidi="en-US"/>
        </w:rPr>
        <w:t>Levene’s test determined homoscedasticity (equal variance) across groups.</w:t>
      </w:r>
    </w:p>
    <w:p w14:paraId="27A22CA5" w14:textId="77777777" w:rsidR="007F30B7" w:rsidRPr="00065FE0" w:rsidRDefault="007F30B7">
      <w:pPr>
        <w:numPr>
          <w:ilvl w:val="0"/>
          <w:numId w:val="3"/>
        </w:numPr>
        <w:tabs>
          <w:tab w:val="clear" w:pos="720"/>
          <w:tab w:val="num"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hAnsi="Times New Roman" w:cs="Times New Roman"/>
          <w:lang w:eastAsia="de-DE" w:bidi="en-US"/>
        </w:rPr>
      </w:pPr>
      <w:r w:rsidRPr="00065FE0">
        <w:rPr>
          <w:rFonts w:ascii="Times New Roman" w:hAnsi="Times New Roman" w:cs="Times New Roman"/>
          <w:lang w:eastAsia="de-DE" w:bidi="en-US"/>
        </w:rPr>
        <w:t>Based on these results:</w:t>
      </w:r>
    </w:p>
    <w:p w14:paraId="1397793B" w14:textId="77777777" w:rsidR="007F30B7" w:rsidRPr="00065FE0" w:rsidRDefault="007F30B7">
      <w:pPr>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 xml:space="preserve"> Kruskal-Wallis test was applied.</w:t>
      </w:r>
    </w:p>
    <w:p w14:paraId="35128442" w14:textId="77777777" w:rsidR="007F30B7" w:rsidRPr="00065FE0" w:rsidRDefault="007F30B7" w:rsidP="007F30B7">
      <w:pPr>
        <w:jc w:val="center"/>
        <w:rPr>
          <w:rFonts w:ascii="Times New Roman" w:hAnsi="Times New Roman" w:cs="Times New Roman"/>
          <w:b/>
          <w:bCs/>
        </w:rPr>
      </w:pPr>
    </w:p>
    <w:tbl>
      <w:tblPr>
        <w:tblStyle w:val="Tablaconcuadrcula1"/>
        <w:tblW w:w="4980" w:type="pct"/>
        <w:tblLook w:val="04A0" w:firstRow="1" w:lastRow="0" w:firstColumn="1" w:lastColumn="0" w:noHBand="0" w:noVBand="1"/>
      </w:tblPr>
      <w:tblGrid>
        <w:gridCol w:w="1767"/>
        <w:gridCol w:w="2828"/>
        <w:gridCol w:w="1548"/>
        <w:gridCol w:w="1238"/>
        <w:gridCol w:w="1412"/>
      </w:tblGrid>
      <w:tr w:rsidR="007F30B7" w:rsidRPr="00065FE0" w14:paraId="2194FD7A" w14:textId="77777777" w:rsidTr="003270EA">
        <w:trPr>
          <w:trHeight w:val="240"/>
        </w:trPr>
        <w:tc>
          <w:tcPr>
            <w:tcW w:w="5000" w:type="pct"/>
            <w:gridSpan w:val="5"/>
            <w:vAlign w:val="center"/>
          </w:tcPr>
          <w:p w14:paraId="226897D1" w14:textId="706D786F" w:rsidR="007F30B7" w:rsidRPr="00065FE0" w:rsidRDefault="007F30B7" w:rsidP="003270EA">
            <w:pPr>
              <w:autoSpaceDE w:val="0"/>
              <w:autoSpaceDN w:val="0"/>
              <w:adjustRightInd w:val="0"/>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 xml:space="preserve">Table </w:t>
            </w:r>
            <w:r w:rsidR="005677BD" w:rsidRPr="00065FE0">
              <w:rPr>
                <w:rFonts w:ascii="Times New Roman" w:eastAsiaTheme="minorEastAsia" w:hAnsi="Times New Roman" w:cs="Times New Roman"/>
                <w:b/>
                <w:bCs/>
                <w:sz w:val="18"/>
                <w:szCs w:val="18"/>
                <w:lang w:val="en-US"/>
              </w:rPr>
              <w:t>S11</w:t>
            </w:r>
            <w:r w:rsidRPr="00065FE0">
              <w:rPr>
                <w:rFonts w:ascii="Times New Roman" w:eastAsiaTheme="minorEastAsia" w:hAnsi="Times New Roman" w:cs="Times New Roman"/>
                <w:b/>
                <w:bCs/>
                <w:sz w:val="18"/>
                <w:szCs w:val="18"/>
                <w:lang w:val="en-US"/>
              </w:rPr>
              <w:t>. Compliance with the assumptions of normality and homoscedasticity of stage 4, and result of Kruskal-Wallis test</w:t>
            </w:r>
          </w:p>
        </w:tc>
      </w:tr>
      <w:tr w:rsidR="007F30B7" w:rsidRPr="00065FE0" w14:paraId="09494C64" w14:textId="77777777" w:rsidTr="003270EA">
        <w:trPr>
          <w:trHeight w:val="240"/>
        </w:trPr>
        <w:tc>
          <w:tcPr>
            <w:tcW w:w="1005" w:type="pct"/>
            <w:vAlign w:val="center"/>
          </w:tcPr>
          <w:p w14:paraId="6BCCEEE9"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Variable</w:t>
            </w:r>
          </w:p>
        </w:tc>
        <w:tc>
          <w:tcPr>
            <w:tcW w:w="1608" w:type="pct"/>
            <w:vAlign w:val="center"/>
          </w:tcPr>
          <w:p w14:paraId="2FF64653"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Group</w:t>
            </w:r>
          </w:p>
        </w:tc>
        <w:tc>
          <w:tcPr>
            <w:tcW w:w="880" w:type="pct"/>
            <w:vAlign w:val="center"/>
          </w:tcPr>
          <w:p w14:paraId="15F4A45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Shapiro-Wilk</w:t>
            </w:r>
          </w:p>
        </w:tc>
        <w:tc>
          <w:tcPr>
            <w:tcW w:w="704" w:type="pct"/>
            <w:vAlign w:val="center"/>
          </w:tcPr>
          <w:p w14:paraId="65523ED4"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Levene</w:t>
            </w:r>
          </w:p>
        </w:tc>
        <w:tc>
          <w:tcPr>
            <w:tcW w:w="803" w:type="pct"/>
            <w:vAlign w:val="center"/>
          </w:tcPr>
          <w:p w14:paraId="1F4129F4"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Kruskal-Wallis test</w:t>
            </w:r>
          </w:p>
          <w:p w14:paraId="21F32E70"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w:t>
            </w:r>
            <w:r w:rsidRPr="00065FE0">
              <w:rPr>
                <w:rFonts w:ascii="Times New Roman" w:eastAsiaTheme="minorEastAsia" w:hAnsi="Times New Roman" w:cs="Times New Roman"/>
                <w:b/>
                <w:bCs/>
                <w:i/>
                <w:iCs/>
                <w:sz w:val="18"/>
                <w:szCs w:val="18"/>
                <w:lang w:val="en-US"/>
              </w:rPr>
              <w:t>p-value</w:t>
            </w:r>
            <w:r w:rsidRPr="00065FE0">
              <w:rPr>
                <w:rFonts w:ascii="Times New Roman" w:eastAsiaTheme="minorEastAsia" w:hAnsi="Times New Roman" w:cs="Times New Roman"/>
                <w:b/>
                <w:bCs/>
                <w:sz w:val="18"/>
                <w:szCs w:val="18"/>
                <w:lang w:val="en-US"/>
              </w:rPr>
              <w:t xml:space="preserve">) </w:t>
            </w:r>
          </w:p>
        </w:tc>
      </w:tr>
      <w:tr w:rsidR="007F30B7" w:rsidRPr="00065FE0" w14:paraId="5AEBC468" w14:textId="77777777" w:rsidTr="003270EA">
        <w:trPr>
          <w:trHeight w:val="240"/>
        </w:trPr>
        <w:tc>
          <w:tcPr>
            <w:tcW w:w="1005" w:type="pct"/>
            <w:vMerge w:val="restart"/>
            <w:vAlign w:val="center"/>
          </w:tcPr>
          <w:p w14:paraId="5C0459AA"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Latency stage 4 (s)</w:t>
            </w:r>
          </w:p>
        </w:tc>
        <w:tc>
          <w:tcPr>
            <w:tcW w:w="1608" w:type="pct"/>
            <w:vAlign w:val="center"/>
          </w:tcPr>
          <w:p w14:paraId="2DF0B79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Pro-Seizure inducer (PTZ)</w:t>
            </w:r>
          </w:p>
        </w:tc>
        <w:tc>
          <w:tcPr>
            <w:tcW w:w="880" w:type="pct"/>
            <w:vAlign w:val="center"/>
          </w:tcPr>
          <w:p w14:paraId="06BFAD6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0.68</w:t>
            </w:r>
          </w:p>
        </w:tc>
        <w:tc>
          <w:tcPr>
            <w:tcW w:w="704" w:type="pct"/>
            <w:vMerge w:val="restart"/>
            <w:vAlign w:val="center"/>
          </w:tcPr>
          <w:p w14:paraId="026B9C2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&lt;0.001**</w:t>
            </w:r>
          </w:p>
        </w:tc>
        <w:tc>
          <w:tcPr>
            <w:tcW w:w="803" w:type="pct"/>
            <w:vMerge w:val="restart"/>
            <w:vAlign w:val="center"/>
          </w:tcPr>
          <w:p w14:paraId="7551B72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color w:val="000000" w:themeColor="text1"/>
                <w:sz w:val="18"/>
                <w:szCs w:val="18"/>
                <w:lang w:val="en-US"/>
              </w:rPr>
              <w:t>&lt;0.001***</w:t>
            </w:r>
          </w:p>
        </w:tc>
      </w:tr>
      <w:tr w:rsidR="007F30B7" w:rsidRPr="00065FE0" w14:paraId="10F9721A" w14:textId="77777777" w:rsidTr="003270EA">
        <w:trPr>
          <w:trHeight w:val="240"/>
        </w:trPr>
        <w:tc>
          <w:tcPr>
            <w:tcW w:w="1005" w:type="pct"/>
            <w:vMerge/>
            <w:vAlign w:val="center"/>
          </w:tcPr>
          <w:p w14:paraId="21DAC2F1"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6075666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Vehicle (DMSO 0.1%)</w:t>
            </w:r>
          </w:p>
        </w:tc>
        <w:tc>
          <w:tcPr>
            <w:tcW w:w="880" w:type="pct"/>
            <w:vAlign w:val="center"/>
          </w:tcPr>
          <w:p w14:paraId="12E54E0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0.49</w:t>
            </w:r>
          </w:p>
        </w:tc>
        <w:tc>
          <w:tcPr>
            <w:tcW w:w="704" w:type="pct"/>
            <w:vMerge/>
            <w:vAlign w:val="center"/>
          </w:tcPr>
          <w:p w14:paraId="01EE9A7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39A884B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6F6D93B" w14:textId="77777777" w:rsidTr="003270EA">
        <w:trPr>
          <w:trHeight w:val="240"/>
        </w:trPr>
        <w:tc>
          <w:tcPr>
            <w:tcW w:w="1005" w:type="pct"/>
            <w:vMerge/>
            <w:vAlign w:val="center"/>
          </w:tcPr>
          <w:p w14:paraId="4C9B0A57"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72E87C9A"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Anticonvulsant (DZP)</w:t>
            </w:r>
          </w:p>
        </w:tc>
        <w:tc>
          <w:tcPr>
            <w:tcW w:w="880" w:type="pct"/>
            <w:vAlign w:val="center"/>
          </w:tcPr>
          <w:p w14:paraId="5C01075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0.81</w:t>
            </w:r>
          </w:p>
        </w:tc>
        <w:tc>
          <w:tcPr>
            <w:tcW w:w="704" w:type="pct"/>
            <w:vMerge/>
            <w:vAlign w:val="center"/>
          </w:tcPr>
          <w:p w14:paraId="2E83AE4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0CC1EEE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5CB235DE" w14:textId="77777777" w:rsidTr="003270EA">
        <w:trPr>
          <w:trHeight w:val="240"/>
        </w:trPr>
        <w:tc>
          <w:tcPr>
            <w:tcW w:w="1005" w:type="pct"/>
            <w:vMerge/>
            <w:vAlign w:val="center"/>
          </w:tcPr>
          <w:p w14:paraId="46F86095"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419E1E2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69F798D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0.14</w:t>
            </w:r>
          </w:p>
        </w:tc>
        <w:tc>
          <w:tcPr>
            <w:tcW w:w="704" w:type="pct"/>
            <w:vMerge/>
            <w:vAlign w:val="center"/>
          </w:tcPr>
          <w:p w14:paraId="5AAEF4F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04F8ED3F"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744C8707" w14:textId="77777777" w:rsidTr="003270EA">
        <w:trPr>
          <w:trHeight w:val="240"/>
        </w:trPr>
        <w:tc>
          <w:tcPr>
            <w:tcW w:w="1005" w:type="pct"/>
            <w:vMerge/>
            <w:vAlign w:val="center"/>
          </w:tcPr>
          <w:p w14:paraId="3BC97764"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3AF606D4"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0B70C225"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0.39</w:t>
            </w:r>
          </w:p>
        </w:tc>
        <w:tc>
          <w:tcPr>
            <w:tcW w:w="704" w:type="pct"/>
            <w:vMerge/>
            <w:vAlign w:val="center"/>
          </w:tcPr>
          <w:p w14:paraId="7FD4B1B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1DB2ED7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6E215AAC" w14:textId="77777777" w:rsidTr="003270EA">
        <w:trPr>
          <w:trHeight w:val="240"/>
        </w:trPr>
        <w:tc>
          <w:tcPr>
            <w:tcW w:w="1005" w:type="pct"/>
            <w:vMerge/>
            <w:vAlign w:val="center"/>
          </w:tcPr>
          <w:p w14:paraId="36E51C77"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0E81E41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281703B2"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0.44</w:t>
            </w:r>
          </w:p>
        </w:tc>
        <w:tc>
          <w:tcPr>
            <w:tcW w:w="704" w:type="pct"/>
            <w:vMerge/>
            <w:vAlign w:val="center"/>
          </w:tcPr>
          <w:p w14:paraId="15F57AE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05782B4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4D68767A" w14:textId="77777777" w:rsidTr="003270EA">
        <w:trPr>
          <w:trHeight w:val="240"/>
        </w:trPr>
        <w:tc>
          <w:tcPr>
            <w:tcW w:w="1005" w:type="pct"/>
            <w:vMerge/>
            <w:vAlign w:val="center"/>
          </w:tcPr>
          <w:p w14:paraId="10A05972"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72941FA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3790826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sz w:val="18"/>
                <w:szCs w:val="18"/>
                <w:lang w:val="en-US"/>
              </w:rPr>
              <w:t>0.92</w:t>
            </w:r>
          </w:p>
        </w:tc>
        <w:tc>
          <w:tcPr>
            <w:tcW w:w="704" w:type="pct"/>
            <w:vMerge/>
            <w:vAlign w:val="center"/>
          </w:tcPr>
          <w:p w14:paraId="3DE7466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6C8535A9"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38D94C7A" w14:textId="77777777" w:rsidTr="003270EA">
        <w:trPr>
          <w:trHeight w:val="240"/>
        </w:trPr>
        <w:tc>
          <w:tcPr>
            <w:tcW w:w="5000" w:type="pct"/>
            <w:gridSpan w:val="5"/>
            <w:vAlign w:val="center"/>
          </w:tcPr>
          <w:p w14:paraId="3B95F752"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normality by the Shapiro-Wilks test.</w:t>
            </w:r>
          </w:p>
          <w:p w14:paraId="033DC5D5"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homoscedasticity by the Levene test.</w:t>
            </w:r>
          </w:p>
          <w:p w14:paraId="73DB22F7" w14:textId="77777777" w:rsidR="007F30B7" w:rsidRPr="00065FE0" w:rsidRDefault="007F30B7" w:rsidP="003270EA">
            <w:pPr>
              <w:autoSpaceDE w:val="0"/>
              <w:autoSpaceDN w:val="0"/>
              <w:adjustRightInd w:val="0"/>
              <w:textAlignment w:val="center"/>
              <w:rPr>
                <w:rFonts w:ascii="Times New Roman" w:hAnsi="Times New Roman" w:cs="Times New Roman"/>
                <w:lang w:val="en-US" w:eastAsia="es-419"/>
              </w:rPr>
            </w:pPr>
            <w:r w:rsidRPr="00065FE0">
              <w:rPr>
                <w:rFonts w:ascii="Times New Roman" w:hAnsi="Times New Roman" w:cs="Times New Roman"/>
                <w:lang w:val="en-US" w:eastAsia="es-419"/>
              </w:rPr>
              <w:t xml:space="preserve">***Statistically significant </w:t>
            </w:r>
            <w:r w:rsidRPr="00065FE0">
              <w:rPr>
                <w:rFonts w:ascii="Times New Roman" w:hAnsi="Times New Roman" w:cs="Times New Roman"/>
                <w:i/>
                <w:iCs/>
                <w:lang w:val="en-US" w:eastAsia="es-419"/>
              </w:rPr>
              <w:t>p-value</w:t>
            </w:r>
            <w:r w:rsidRPr="00065FE0">
              <w:rPr>
                <w:rFonts w:ascii="Times New Roman" w:hAnsi="Times New Roman" w:cs="Times New Roman"/>
                <w:lang w:val="en-US" w:eastAsia="es-419"/>
              </w:rPr>
              <w:t xml:space="preserve"> in the Kruskal-Wallis test </w:t>
            </w:r>
          </w:p>
        </w:tc>
      </w:tr>
    </w:tbl>
    <w:p w14:paraId="0357C0B6" w14:textId="77777777" w:rsidR="007F30B7" w:rsidRPr="00065FE0" w:rsidRDefault="007F30B7" w:rsidP="007F30B7">
      <w:pPr>
        <w:jc w:val="center"/>
        <w:rPr>
          <w:rFonts w:ascii="Times New Roman" w:hAnsi="Times New Roman" w:cs="Times New Roman"/>
          <w:b/>
          <w:bCs/>
        </w:rPr>
      </w:pPr>
    </w:p>
    <w:p w14:paraId="5888B82B"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lastRenderedPageBreak/>
        <w:t>Post-Hoc Analysis</w:t>
      </w:r>
    </w:p>
    <w:p w14:paraId="100E305A" w14:textId="77777777" w:rsidR="007F30B7" w:rsidRPr="00065FE0" w:rsidRDefault="007F30B7" w:rsidP="00065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eastAsia="de-DE" w:bidi="en-US"/>
        </w:rPr>
      </w:pPr>
      <w:r w:rsidRPr="00065FE0">
        <w:rPr>
          <w:rFonts w:ascii="Times New Roman" w:hAnsi="Times New Roman" w:cs="Times New Roman"/>
          <w:bCs/>
          <w:lang w:eastAsia="de-DE" w:bidi="en-US"/>
        </w:rPr>
        <w:t xml:space="preserve">For these </w:t>
      </w:r>
      <w:r w:rsidRPr="00065FE0">
        <w:rPr>
          <w:rFonts w:ascii="Times New Roman" w:hAnsi="Times New Roman" w:cs="Times New Roman"/>
          <w:lang w:eastAsia="de-DE" w:bidi="en-US"/>
        </w:rPr>
        <w:t>non-parametric datasets, Mann-Whitney U test was conducted to compare pairs of treatment groups.</w:t>
      </w:r>
    </w:p>
    <w:p w14:paraId="0B61A14C"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r w:rsidRPr="00065FE0">
        <w:rPr>
          <w:rFonts w:ascii="Times New Roman" w:hAnsi="Times New Roman" w:cs="Times New Roman"/>
          <w:lang w:eastAsia="de-DE" w:bidi="en-US"/>
        </w:rPr>
        <w:t>Bonferroni correction was applied to account for multiple comparisons</w:t>
      </w:r>
      <w:r w:rsidRPr="00065FE0">
        <w:rPr>
          <w:rFonts w:ascii="Times New Roman" w:hAnsi="Times New Roman" w:cs="Times New Roman"/>
          <w:bCs/>
          <w:lang w:eastAsia="de-DE" w:bidi="en-US"/>
        </w:rPr>
        <w:t>, using the formula:</w:t>
      </w:r>
    </w:p>
    <w:p w14:paraId="3B75A7B8" w14:textId="77777777" w:rsidR="007F30B7" w:rsidRPr="00065FE0" w:rsidRDefault="00000000"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m:oMathPara>
        <m:oMath>
          <m:sSup>
            <m:sSupPr>
              <m:ctrlPr>
                <w:rPr>
                  <w:rFonts w:ascii="Cambria Math" w:hAnsi="Cambria Math" w:cs="Times New Roman"/>
                  <w:bCs/>
                  <w:i/>
                  <w:lang w:eastAsia="de-DE" w:bidi="en-US"/>
                </w:rPr>
              </m:ctrlPr>
            </m:sSupPr>
            <m:e>
              <m:r>
                <w:rPr>
                  <w:rFonts w:ascii="Cambria Math" w:hAnsi="Cambria Math" w:cs="Times New Roman"/>
                  <w:lang w:eastAsia="de-DE" w:bidi="en-US"/>
                </w:rPr>
                <m:t>p</m:t>
              </m:r>
            </m:e>
            <m:sup>
              <m:r>
                <w:rPr>
                  <w:rFonts w:ascii="Cambria Math" w:hAnsi="Cambria Math" w:cs="Times New Roman"/>
                  <w:lang w:eastAsia="de-DE" w:bidi="en-US"/>
                </w:rPr>
                <m:t>'</m:t>
              </m:r>
            </m:sup>
          </m:sSup>
          <m:r>
            <w:rPr>
              <w:rFonts w:ascii="Cambria Math" w:hAnsi="Cambria Math" w:cs="Times New Roman"/>
              <w:lang w:eastAsia="de-DE" w:bidi="en-US"/>
            </w:rPr>
            <m:t>=1-</m:t>
          </m:r>
          <m:sSup>
            <m:sSupPr>
              <m:ctrlPr>
                <w:rPr>
                  <w:rFonts w:ascii="Cambria Math" w:hAnsi="Cambria Math" w:cs="Times New Roman"/>
                  <w:bCs/>
                  <w:i/>
                  <w:lang w:eastAsia="de-DE" w:bidi="en-US"/>
                </w:rPr>
              </m:ctrlPr>
            </m:sSupPr>
            <m:e>
              <m:d>
                <m:dPr>
                  <m:ctrlPr>
                    <w:rPr>
                      <w:rFonts w:ascii="Cambria Math" w:hAnsi="Cambria Math" w:cs="Times New Roman"/>
                      <w:bCs/>
                      <w:i/>
                      <w:lang w:eastAsia="de-DE" w:bidi="en-US"/>
                    </w:rPr>
                  </m:ctrlPr>
                </m:dPr>
                <m:e>
                  <m:r>
                    <w:rPr>
                      <w:rFonts w:ascii="Cambria Math" w:hAnsi="Cambria Math" w:cs="Times New Roman"/>
                      <w:lang w:eastAsia="de-DE" w:bidi="en-US"/>
                    </w:rPr>
                    <m:t>1-p</m:t>
                  </m:r>
                </m:e>
              </m:d>
            </m:e>
            <m:sup>
              <m:r>
                <w:rPr>
                  <w:rFonts w:ascii="Cambria Math" w:hAnsi="Cambria Math" w:cs="Times New Roman"/>
                  <w:lang w:eastAsia="de-DE" w:bidi="en-US"/>
                </w:rPr>
                <m:t>c</m:t>
              </m:r>
            </m:sup>
          </m:sSup>
        </m:oMath>
      </m:oMathPara>
    </w:p>
    <w:p w14:paraId="2BAFFFC8"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r w:rsidRPr="00065FE0">
        <w:rPr>
          <w:rFonts w:ascii="Times New Roman" w:hAnsi="Times New Roman" w:cs="Times New Roman"/>
          <w:bCs/>
          <w:lang w:eastAsia="de-DE" w:bidi="en-US"/>
        </w:rPr>
        <w:t xml:space="preserve">Where c is the number of comparisons. </w:t>
      </w:r>
    </w:p>
    <w:p w14:paraId="19F46F81"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Significant p-values (</w:t>
      </w:r>
      <w:r w:rsidRPr="00065FE0">
        <w:rPr>
          <w:rFonts w:ascii="Times New Roman" w:eastAsia="Times New Roman" w:hAnsi="Times New Roman" w:cs="Times New Roman"/>
          <w:i/>
          <w:iCs/>
          <w:lang w:eastAsia="de-DE" w:bidi="en-US"/>
        </w:rPr>
        <w:t>p</w:t>
      </w:r>
      <w:r w:rsidRPr="00065FE0">
        <w:rPr>
          <w:rFonts w:ascii="Times New Roman" w:eastAsia="Times New Roman" w:hAnsi="Times New Roman" w:cs="Times New Roman"/>
          <w:lang w:eastAsia="de-DE" w:bidi="en-US"/>
        </w:rPr>
        <w:t xml:space="preserve"> &lt; 0.05) were adjusted using this Bonferroni method.</w:t>
      </w:r>
    </w:p>
    <w:p w14:paraId="51666527"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Values between identical groups (e.g., Control vs. Control) were marked as "Not Applicable", as they do not meet independence assumptions.</w:t>
      </w:r>
    </w:p>
    <w:p w14:paraId="714B06DC" w14:textId="38B72B72" w:rsidR="007F30B7"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 xml:space="preserve">To avoid redundancy, pairwise </w:t>
      </w:r>
      <w:r w:rsidRPr="00065FE0">
        <w:rPr>
          <w:rFonts w:ascii="Times New Roman" w:eastAsia="Times New Roman" w:hAnsi="Times New Roman" w:cs="Times New Roman"/>
          <w:i/>
          <w:iCs/>
          <w:lang w:eastAsia="de-DE" w:bidi="en-US"/>
        </w:rPr>
        <w:t>p-values</w:t>
      </w:r>
      <w:r w:rsidRPr="00065FE0">
        <w:rPr>
          <w:rFonts w:ascii="Times New Roman" w:eastAsia="Times New Roman" w:hAnsi="Times New Roman" w:cs="Times New Roman"/>
          <w:lang w:eastAsia="de-DE" w:bidi="en-US"/>
        </w:rPr>
        <w:t xml:space="preserve"> were reported only once.</w:t>
      </w:r>
    </w:p>
    <w:p w14:paraId="576596D7" w14:textId="77777777" w:rsidR="00065FE0" w:rsidRPr="00065FE0" w:rsidRDefault="00065FE0" w:rsidP="00065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imes New Roman" w:hAnsi="Times New Roman" w:cs="Times New Roman"/>
          <w:lang w:eastAsia="de-DE" w:bidi="en-US"/>
        </w:rPr>
      </w:pPr>
    </w:p>
    <w:tbl>
      <w:tblPr>
        <w:tblStyle w:val="Tablaconcuadrcula1"/>
        <w:tblW w:w="0" w:type="auto"/>
        <w:jc w:val="center"/>
        <w:tblLook w:val="04A0" w:firstRow="1" w:lastRow="0" w:firstColumn="1" w:lastColumn="0" w:noHBand="0" w:noVBand="1"/>
      </w:tblPr>
      <w:tblGrid>
        <w:gridCol w:w="1364"/>
        <w:gridCol w:w="1365"/>
        <w:gridCol w:w="1304"/>
        <w:gridCol w:w="1341"/>
        <w:gridCol w:w="853"/>
        <w:gridCol w:w="895"/>
        <w:gridCol w:w="853"/>
        <w:gridCol w:w="853"/>
      </w:tblGrid>
      <w:tr w:rsidR="007F30B7" w:rsidRPr="00065FE0" w14:paraId="1CA8A572" w14:textId="77777777" w:rsidTr="003270EA">
        <w:trPr>
          <w:trHeight w:val="397"/>
          <w:jc w:val="center"/>
        </w:trPr>
        <w:tc>
          <w:tcPr>
            <w:tcW w:w="0" w:type="auto"/>
            <w:gridSpan w:val="8"/>
            <w:noWrap/>
            <w:vAlign w:val="center"/>
          </w:tcPr>
          <w:p w14:paraId="66531710" w14:textId="150D593D"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b/>
                <w:bCs/>
                <w:lang w:val="en-US" w:eastAsia="de-DE" w:bidi="en-US"/>
              </w:rPr>
              <w:t xml:space="preserve">Table </w:t>
            </w:r>
            <w:r w:rsidR="005677BD" w:rsidRPr="00065FE0">
              <w:rPr>
                <w:rFonts w:ascii="Times New Roman" w:hAnsi="Times New Roman" w:cs="Times New Roman"/>
                <w:b/>
                <w:bCs/>
                <w:lang w:val="en-US" w:eastAsia="de-DE" w:bidi="en-US"/>
              </w:rPr>
              <w:t>S12</w:t>
            </w:r>
            <w:r w:rsidRPr="00065FE0">
              <w:rPr>
                <w:rFonts w:ascii="Times New Roman" w:hAnsi="Times New Roman" w:cs="Times New Roman"/>
                <w:lang w:val="en-US" w:eastAsia="de-DE" w:bidi="en-US"/>
              </w:rPr>
              <w:t>. Mann-Whitney U test results: Pairwise p-values for stage 3, with Bonferroni correction for Kruskal-Wallis post-hoc analysis.</w:t>
            </w:r>
          </w:p>
        </w:tc>
      </w:tr>
      <w:tr w:rsidR="007F30B7" w:rsidRPr="00065FE0" w14:paraId="23AF61CE" w14:textId="77777777" w:rsidTr="003270EA">
        <w:trPr>
          <w:trHeight w:val="397"/>
          <w:jc w:val="center"/>
        </w:trPr>
        <w:tc>
          <w:tcPr>
            <w:tcW w:w="0" w:type="auto"/>
            <w:noWrap/>
            <w:vAlign w:val="center"/>
          </w:tcPr>
          <w:p w14:paraId="0CDFB7B8" w14:textId="77777777" w:rsidR="007F30B7" w:rsidRPr="00065FE0" w:rsidRDefault="007F30B7" w:rsidP="003270EA">
            <w:pPr>
              <w:jc w:val="center"/>
              <w:rPr>
                <w:rFonts w:ascii="Times New Roman" w:hAnsi="Times New Roman" w:cs="Times New Roman"/>
                <w:color w:val="000000" w:themeColor="text1"/>
                <w:sz w:val="16"/>
                <w:szCs w:val="16"/>
                <w:lang w:val="en-US"/>
              </w:rPr>
            </w:pPr>
          </w:p>
        </w:tc>
        <w:tc>
          <w:tcPr>
            <w:tcW w:w="0" w:type="auto"/>
            <w:noWrap/>
            <w:vAlign w:val="center"/>
          </w:tcPr>
          <w:p w14:paraId="7D97D53F"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44DCD60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670CE72C"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750D682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1E60E8CC"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06CFAB1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vAlign w:val="center"/>
          </w:tcPr>
          <w:p w14:paraId="67E41235"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339B6E9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6CED9F6B"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7309B78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56D32A15"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7E0258B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3B11822D"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29BBC63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r>
      <w:tr w:rsidR="007F30B7" w:rsidRPr="00065FE0" w14:paraId="06C87758" w14:textId="77777777" w:rsidTr="003270EA">
        <w:trPr>
          <w:trHeight w:val="397"/>
          <w:jc w:val="center"/>
        </w:trPr>
        <w:tc>
          <w:tcPr>
            <w:tcW w:w="0" w:type="auto"/>
            <w:noWrap/>
            <w:vAlign w:val="center"/>
            <w:hideMark/>
          </w:tcPr>
          <w:p w14:paraId="1A47D60F"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50EBB618"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7DB59CD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3B4EFA6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noWrap/>
            <w:vAlign w:val="center"/>
          </w:tcPr>
          <w:p w14:paraId="5FE9765E"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1A6EE76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2BAFA8B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0CE94A75"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6CDA1E4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5F0EF7D9" w14:textId="77777777" w:rsidTr="003270EA">
        <w:trPr>
          <w:trHeight w:val="397"/>
          <w:jc w:val="center"/>
        </w:trPr>
        <w:tc>
          <w:tcPr>
            <w:tcW w:w="0" w:type="auto"/>
            <w:noWrap/>
            <w:vAlign w:val="center"/>
          </w:tcPr>
          <w:p w14:paraId="53970DA9"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64F3EA0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7C66F6D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519B66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1677951E"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04A0518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15637EC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25038BFC"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141E0769"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6F75ABA2" w14:textId="77777777" w:rsidTr="003270EA">
        <w:trPr>
          <w:trHeight w:val="397"/>
          <w:jc w:val="center"/>
        </w:trPr>
        <w:tc>
          <w:tcPr>
            <w:tcW w:w="0" w:type="auto"/>
            <w:noWrap/>
            <w:vAlign w:val="center"/>
          </w:tcPr>
          <w:p w14:paraId="5C471C38"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2F1268C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noWrap/>
            <w:vAlign w:val="center"/>
          </w:tcPr>
          <w:p w14:paraId="7049C13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5885C2D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E9112D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3E8BABCD"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0F4AA314"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3D5EF44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7ECF3D7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r>
      <w:tr w:rsidR="007F30B7" w:rsidRPr="00065FE0" w14:paraId="210ED2C9" w14:textId="77777777" w:rsidTr="003270EA">
        <w:trPr>
          <w:trHeight w:val="397"/>
          <w:jc w:val="center"/>
        </w:trPr>
        <w:tc>
          <w:tcPr>
            <w:tcW w:w="0" w:type="auto"/>
            <w:noWrap/>
            <w:vAlign w:val="center"/>
            <w:hideMark/>
          </w:tcPr>
          <w:p w14:paraId="1046690E"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7838F3A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3BE86F5D"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5F051C0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6210F8D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4026D76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2D21491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70FE525E"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67AADDE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r>
      <w:tr w:rsidR="007F30B7" w:rsidRPr="00065FE0" w14:paraId="2C3944E7" w14:textId="77777777" w:rsidTr="003270EA">
        <w:trPr>
          <w:trHeight w:val="397"/>
          <w:jc w:val="center"/>
        </w:trPr>
        <w:tc>
          <w:tcPr>
            <w:tcW w:w="0" w:type="auto"/>
            <w:noWrap/>
            <w:vAlign w:val="center"/>
            <w:hideMark/>
          </w:tcPr>
          <w:p w14:paraId="50B93EE3"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6DAE6A7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57368B6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628ECF2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BADD1C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765490A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253D878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4485C087"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5A37DD7F"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48BE9FC7" w14:textId="77777777" w:rsidTr="003270EA">
        <w:trPr>
          <w:trHeight w:val="397"/>
          <w:jc w:val="center"/>
        </w:trPr>
        <w:tc>
          <w:tcPr>
            <w:tcW w:w="0" w:type="auto"/>
            <w:noWrap/>
            <w:vAlign w:val="center"/>
            <w:hideMark/>
          </w:tcPr>
          <w:p w14:paraId="2C151DBF"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4122FB5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7610C8A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7CEE107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53FAC42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5643F00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075CDB1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104D0BC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76CA44C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r>
      <w:tr w:rsidR="007F30B7" w:rsidRPr="00065FE0" w14:paraId="2C42104B" w14:textId="77777777" w:rsidTr="003270EA">
        <w:trPr>
          <w:trHeight w:val="397"/>
          <w:jc w:val="center"/>
        </w:trPr>
        <w:tc>
          <w:tcPr>
            <w:tcW w:w="0" w:type="auto"/>
            <w:noWrap/>
            <w:vAlign w:val="center"/>
          </w:tcPr>
          <w:p w14:paraId="54046265"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473F930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6CF7972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716EB4C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3F1AB2E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7E4D213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6FFF9BF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3C0EFEB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264E7DE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r>
      <w:tr w:rsidR="007F30B7" w:rsidRPr="00065FE0" w14:paraId="79AFE244" w14:textId="77777777" w:rsidTr="003270EA">
        <w:trPr>
          <w:trHeight w:val="397"/>
          <w:jc w:val="center"/>
        </w:trPr>
        <w:tc>
          <w:tcPr>
            <w:tcW w:w="0" w:type="auto"/>
            <w:gridSpan w:val="8"/>
            <w:noWrap/>
            <w:vAlign w:val="center"/>
          </w:tcPr>
          <w:p w14:paraId="7D77D83F" w14:textId="77777777" w:rsidR="007F30B7" w:rsidRPr="00065FE0" w:rsidRDefault="007F30B7" w:rsidP="003270EA">
            <w:pPr>
              <w:rPr>
                <w:rFonts w:ascii="Times New Roman" w:hAnsi="Times New Roman" w:cs="Times New Roman"/>
                <w:color w:val="000000" w:themeColor="text1"/>
                <w:sz w:val="16"/>
                <w:szCs w:val="16"/>
                <w:lang w:val="en-US"/>
              </w:rPr>
            </w:pPr>
            <w:r w:rsidRPr="00065FE0">
              <w:rPr>
                <w:rFonts w:ascii="Times New Roman" w:hAnsi="Times New Roman" w:cs="Times New Roman"/>
                <w:vertAlign w:val="superscript"/>
                <w:lang w:val="en-US" w:eastAsia="es-419"/>
              </w:rPr>
              <w:t>a</w:t>
            </w:r>
            <w:r w:rsidRPr="00065FE0">
              <w:rPr>
                <w:rFonts w:ascii="Times New Roman" w:hAnsi="Times New Roman" w:cs="Times New Roman"/>
                <w:lang w:val="en-US" w:eastAsia="es-419"/>
              </w:rPr>
              <w:t>p-value obtained from the Mann-Whitney U test, corrected by Bonferroni method</w:t>
            </w:r>
            <w:r w:rsidRPr="00065FE0">
              <w:rPr>
                <w:rFonts w:ascii="Times New Roman" w:hAnsi="Times New Roman" w:cs="Times New Roman"/>
                <w:lang w:val="en-US" w:eastAsia="es-419"/>
              </w:rPr>
              <w:br/>
              <w:t xml:space="preserve">*Statistically significant </w:t>
            </w:r>
            <w:r w:rsidRPr="00065FE0">
              <w:rPr>
                <w:rFonts w:ascii="Times New Roman" w:hAnsi="Times New Roman" w:cs="Times New Roman"/>
                <w:i/>
                <w:iCs/>
                <w:lang w:val="en-US" w:eastAsia="es-419"/>
              </w:rPr>
              <w:t>p-value</w:t>
            </w:r>
          </w:p>
        </w:tc>
      </w:tr>
    </w:tbl>
    <w:p w14:paraId="6B8854CB" w14:textId="77777777" w:rsidR="007F30B7" w:rsidRPr="00BA02E6"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eastAsiaTheme="minorHAnsi" w:hAnsi="Times New Roman" w:cs="Times New Roman"/>
          <w:b/>
          <w:bCs/>
          <w:sz w:val="24"/>
          <w:szCs w:val="24"/>
          <w:lang w:eastAsia="en-US"/>
          <w14:ligatures w14:val="standardContextual"/>
        </w:rPr>
      </w:pPr>
      <w:r w:rsidRPr="00065FE0">
        <w:rPr>
          <w:rFonts w:ascii="Times New Roman" w:hAnsi="Times New Roman" w:cs="Times New Roman"/>
        </w:rPr>
        <w:br/>
      </w:r>
      <w:r w:rsidRPr="00BA02E6">
        <w:rPr>
          <w:rFonts w:ascii="Times New Roman" w:eastAsiaTheme="minorHAnsi" w:hAnsi="Times New Roman" w:cs="Times New Roman"/>
          <w:b/>
          <w:bCs/>
          <w:sz w:val="24"/>
          <w:szCs w:val="24"/>
          <w:lang w:eastAsia="en-US"/>
          <w14:ligatures w14:val="standardContextual"/>
        </w:rPr>
        <w:t>Latency stage 5</w:t>
      </w:r>
    </w:p>
    <w:p w14:paraId="6829E6F4"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bCs/>
          <w:lang w:eastAsia="de-DE" w:bidi="en-US"/>
        </w:rPr>
        <w:t xml:space="preserve">A </w:t>
      </w:r>
      <w:r w:rsidRPr="00065FE0">
        <w:rPr>
          <w:rFonts w:ascii="Times New Roman" w:hAnsi="Times New Roman" w:cs="Times New Roman"/>
          <w:lang w:eastAsia="de-DE" w:bidi="en-US"/>
        </w:rPr>
        <w:t>Kruskal-Wallis test was performed to assess the effects of different compounds on the PTZ-induced seizure model in zebrafish (</w:t>
      </w:r>
      <w:r w:rsidRPr="00065FE0">
        <w:rPr>
          <w:rFonts w:ascii="Times New Roman" w:hAnsi="Times New Roman" w:cs="Times New Roman"/>
          <w:i/>
          <w:iCs/>
          <w:lang w:eastAsia="de-DE" w:bidi="en-US"/>
        </w:rPr>
        <w:t>Danio rerio</w:t>
      </w:r>
      <w:r w:rsidRPr="00065FE0">
        <w:rPr>
          <w:rFonts w:ascii="Times New Roman" w:hAnsi="Times New Roman" w:cs="Times New Roman"/>
          <w:lang w:eastAsia="de-DE" w:bidi="en-US"/>
        </w:rPr>
        <w:t>).</w:t>
      </w:r>
    </w:p>
    <w:p w14:paraId="2E3E94E8"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Normality and Homoscedasticity Testing</w:t>
      </w:r>
    </w:p>
    <w:p w14:paraId="6751C324" w14:textId="77777777" w:rsidR="00DE3D06" w:rsidRPr="00065FE0" w:rsidRDefault="007F30B7">
      <w:pPr>
        <w:pStyle w:val="ListParagraph"/>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Shapiro-Wilk test assessed normality of data distribution.</w:t>
      </w:r>
    </w:p>
    <w:p w14:paraId="20EC9FFF" w14:textId="77777777" w:rsidR="00DE3D06" w:rsidRPr="00065FE0" w:rsidRDefault="007F30B7">
      <w:pPr>
        <w:pStyle w:val="ListParagraph"/>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Levene’s test determined homoscedasticity (equal variance) across groups.</w:t>
      </w:r>
    </w:p>
    <w:p w14:paraId="4ECC1759" w14:textId="2824A577" w:rsidR="007F30B7" w:rsidRPr="00065FE0" w:rsidRDefault="007F30B7">
      <w:pPr>
        <w:pStyle w:val="ListParagraph"/>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lang w:eastAsia="de-DE" w:bidi="en-US"/>
        </w:rPr>
      </w:pPr>
      <w:r w:rsidRPr="00065FE0">
        <w:rPr>
          <w:rFonts w:ascii="Times New Roman" w:hAnsi="Times New Roman" w:cs="Times New Roman"/>
          <w:lang w:eastAsia="de-DE" w:bidi="en-US"/>
        </w:rPr>
        <w:t>Based on these results:</w:t>
      </w:r>
    </w:p>
    <w:p w14:paraId="097E09AE" w14:textId="43461055" w:rsidR="005677BD" w:rsidRPr="00065FE0" w:rsidRDefault="007F30B7" w:rsidP="005677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hAnsi="Times New Roman" w:cs="Times New Roman"/>
          <w:lang w:eastAsia="de-DE" w:bidi="en-US"/>
        </w:rPr>
      </w:pPr>
      <w:r w:rsidRPr="00065FE0">
        <w:rPr>
          <w:rFonts w:ascii="Times New Roman" w:hAnsi="Times New Roman" w:cs="Times New Roman"/>
          <w:lang w:eastAsia="de-DE" w:bidi="en-US"/>
        </w:rPr>
        <w:lastRenderedPageBreak/>
        <w:t>Kruskal-Wallis test was applied.</w:t>
      </w:r>
    </w:p>
    <w:tbl>
      <w:tblPr>
        <w:tblStyle w:val="Tablaconcuadrcula1"/>
        <w:tblW w:w="4980" w:type="pct"/>
        <w:tblLook w:val="04A0" w:firstRow="1" w:lastRow="0" w:firstColumn="1" w:lastColumn="0" w:noHBand="0" w:noVBand="1"/>
      </w:tblPr>
      <w:tblGrid>
        <w:gridCol w:w="1767"/>
        <w:gridCol w:w="2828"/>
        <w:gridCol w:w="1548"/>
        <w:gridCol w:w="1238"/>
        <w:gridCol w:w="1412"/>
      </w:tblGrid>
      <w:tr w:rsidR="007F30B7" w:rsidRPr="00065FE0" w14:paraId="6FE8111C" w14:textId="77777777" w:rsidTr="003270EA">
        <w:trPr>
          <w:trHeight w:val="240"/>
        </w:trPr>
        <w:tc>
          <w:tcPr>
            <w:tcW w:w="5000" w:type="pct"/>
            <w:gridSpan w:val="5"/>
            <w:vAlign w:val="center"/>
          </w:tcPr>
          <w:p w14:paraId="60E94424" w14:textId="621BAB36" w:rsidR="007F30B7" w:rsidRPr="00065FE0" w:rsidRDefault="007F30B7" w:rsidP="003270EA">
            <w:pPr>
              <w:autoSpaceDE w:val="0"/>
              <w:autoSpaceDN w:val="0"/>
              <w:adjustRightInd w:val="0"/>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 xml:space="preserve">Table </w:t>
            </w:r>
            <w:r w:rsidR="005677BD" w:rsidRPr="00065FE0">
              <w:rPr>
                <w:rFonts w:ascii="Times New Roman" w:eastAsiaTheme="minorEastAsia" w:hAnsi="Times New Roman" w:cs="Times New Roman"/>
                <w:b/>
                <w:bCs/>
                <w:sz w:val="18"/>
                <w:szCs w:val="18"/>
                <w:lang w:val="en-US"/>
              </w:rPr>
              <w:t>S</w:t>
            </w:r>
            <w:r w:rsidRPr="00065FE0">
              <w:rPr>
                <w:rFonts w:ascii="Times New Roman" w:eastAsiaTheme="minorEastAsia" w:hAnsi="Times New Roman" w:cs="Times New Roman"/>
                <w:b/>
                <w:bCs/>
                <w:sz w:val="18"/>
                <w:szCs w:val="18"/>
                <w:lang w:val="en-US"/>
              </w:rPr>
              <w:t>1</w:t>
            </w:r>
            <w:r w:rsidR="005677BD" w:rsidRPr="00065FE0">
              <w:rPr>
                <w:rFonts w:ascii="Times New Roman" w:eastAsiaTheme="minorEastAsia" w:hAnsi="Times New Roman" w:cs="Times New Roman"/>
                <w:b/>
                <w:bCs/>
                <w:sz w:val="18"/>
                <w:szCs w:val="18"/>
                <w:lang w:val="en-US"/>
              </w:rPr>
              <w:t>3</w:t>
            </w:r>
            <w:r w:rsidRPr="00065FE0">
              <w:rPr>
                <w:rFonts w:ascii="Times New Roman" w:eastAsiaTheme="minorEastAsia" w:hAnsi="Times New Roman" w:cs="Times New Roman"/>
                <w:b/>
                <w:bCs/>
                <w:sz w:val="18"/>
                <w:szCs w:val="18"/>
                <w:lang w:val="en-US"/>
              </w:rPr>
              <w:t>. Compliance with the assumptions of normality and homoscedasticity of stage 3, and result of Kruskal-Wallis test</w:t>
            </w:r>
          </w:p>
        </w:tc>
      </w:tr>
      <w:tr w:rsidR="007F30B7" w:rsidRPr="00065FE0" w14:paraId="26811A9A" w14:textId="77777777" w:rsidTr="003270EA">
        <w:trPr>
          <w:trHeight w:val="240"/>
        </w:trPr>
        <w:tc>
          <w:tcPr>
            <w:tcW w:w="1005" w:type="pct"/>
            <w:vAlign w:val="center"/>
          </w:tcPr>
          <w:p w14:paraId="34E55EED"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Variable</w:t>
            </w:r>
          </w:p>
        </w:tc>
        <w:tc>
          <w:tcPr>
            <w:tcW w:w="1608" w:type="pct"/>
            <w:vAlign w:val="center"/>
          </w:tcPr>
          <w:p w14:paraId="5E777865"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Group</w:t>
            </w:r>
          </w:p>
        </w:tc>
        <w:tc>
          <w:tcPr>
            <w:tcW w:w="880" w:type="pct"/>
            <w:vAlign w:val="center"/>
          </w:tcPr>
          <w:p w14:paraId="2852B3C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Shapiro-Wilk</w:t>
            </w:r>
          </w:p>
        </w:tc>
        <w:tc>
          <w:tcPr>
            <w:tcW w:w="704" w:type="pct"/>
            <w:vAlign w:val="center"/>
          </w:tcPr>
          <w:p w14:paraId="07C7A127"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Levene</w:t>
            </w:r>
          </w:p>
        </w:tc>
        <w:tc>
          <w:tcPr>
            <w:tcW w:w="803" w:type="pct"/>
            <w:vAlign w:val="center"/>
          </w:tcPr>
          <w:p w14:paraId="107E1011"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Kruskal-Wallis test</w:t>
            </w:r>
          </w:p>
          <w:p w14:paraId="4F3B06CF" w14:textId="77777777" w:rsidR="007F30B7" w:rsidRPr="00065FE0" w:rsidRDefault="007F30B7" w:rsidP="003270EA">
            <w:pPr>
              <w:autoSpaceDE w:val="0"/>
              <w:autoSpaceDN w:val="0"/>
              <w:adjustRightInd w:val="0"/>
              <w:jc w:val="center"/>
              <w:textAlignment w:val="center"/>
              <w:rPr>
                <w:rFonts w:ascii="Times New Roman" w:eastAsiaTheme="minorEastAsia" w:hAnsi="Times New Roman" w:cs="Times New Roman"/>
                <w:b/>
                <w:bCs/>
                <w:sz w:val="18"/>
                <w:szCs w:val="18"/>
                <w:lang w:val="en-US"/>
              </w:rPr>
            </w:pPr>
            <w:r w:rsidRPr="00065FE0">
              <w:rPr>
                <w:rFonts w:ascii="Times New Roman" w:eastAsiaTheme="minorEastAsia" w:hAnsi="Times New Roman" w:cs="Times New Roman"/>
                <w:b/>
                <w:bCs/>
                <w:sz w:val="18"/>
                <w:szCs w:val="18"/>
                <w:lang w:val="en-US"/>
              </w:rPr>
              <w:t>(</w:t>
            </w:r>
            <w:r w:rsidRPr="00065FE0">
              <w:rPr>
                <w:rFonts w:ascii="Times New Roman" w:eastAsiaTheme="minorEastAsia" w:hAnsi="Times New Roman" w:cs="Times New Roman"/>
                <w:b/>
                <w:bCs/>
                <w:i/>
                <w:iCs/>
                <w:sz w:val="18"/>
                <w:szCs w:val="18"/>
                <w:lang w:val="en-US"/>
              </w:rPr>
              <w:t>p-value</w:t>
            </w:r>
            <w:r w:rsidRPr="00065FE0">
              <w:rPr>
                <w:rFonts w:ascii="Times New Roman" w:eastAsiaTheme="minorEastAsia" w:hAnsi="Times New Roman" w:cs="Times New Roman"/>
                <w:b/>
                <w:bCs/>
                <w:sz w:val="18"/>
                <w:szCs w:val="18"/>
                <w:lang w:val="en-US"/>
              </w:rPr>
              <w:t xml:space="preserve">) </w:t>
            </w:r>
          </w:p>
        </w:tc>
      </w:tr>
      <w:tr w:rsidR="007F30B7" w:rsidRPr="00065FE0" w14:paraId="0CE34A2F" w14:textId="77777777" w:rsidTr="003270EA">
        <w:trPr>
          <w:trHeight w:val="240"/>
        </w:trPr>
        <w:tc>
          <w:tcPr>
            <w:tcW w:w="1005" w:type="pct"/>
            <w:vMerge w:val="restart"/>
            <w:vAlign w:val="center"/>
          </w:tcPr>
          <w:p w14:paraId="41E652E6"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r w:rsidRPr="00065FE0">
              <w:rPr>
                <w:rFonts w:ascii="Times New Roman" w:hAnsi="Times New Roman" w:cs="Times New Roman"/>
                <w:sz w:val="18"/>
                <w:szCs w:val="18"/>
                <w:lang w:val="en-US"/>
              </w:rPr>
              <w:t>Latency stage 5 (s)</w:t>
            </w:r>
          </w:p>
        </w:tc>
        <w:tc>
          <w:tcPr>
            <w:tcW w:w="1608" w:type="pct"/>
            <w:vAlign w:val="center"/>
          </w:tcPr>
          <w:p w14:paraId="3C0709F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Pro-Seizure inducer (PTZ)</w:t>
            </w:r>
          </w:p>
        </w:tc>
        <w:tc>
          <w:tcPr>
            <w:tcW w:w="880" w:type="pct"/>
            <w:vAlign w:val="center"/>
          </w:tcPr>
          <w:p w14:paraId="7515017E"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color w:val="000000" w:themeColor="text1"/>
                <w:sz w:val="18"/>
                <w:szCs w:val="18"/>
                <w:lang w:val="en-US"/>
              </w:rPr>
              <w:t>0.06</w:t>
            </w:r>
          </w:p>
        </w:tc>
        <w:tc>
          <w:tcPr>
            <w:tcW w:w="704" w:type="pct"/>
            <w:vMerge w:val="restart"/>
            <w:vAlign w:val="center"/>
          </w:tcPr>
          <w:p w14:paraId="41E73FA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color w:val="000000" w:themeColor="text1"/>
                <w:sz w:val="18"/>
                <w:szCs w:val="18"/>
                <w:lang w:val="en-US"/>
              </w:rPr>
              <w:t>0.003**</w:t>
            </w:r>
          </w:p>
        </w:tc>
        <w:tc>
          <w:tcPr>
            <w:tcW w:w="803" w:type="pct"/>
            <w:vMerge w:val="restart"/>
            <w:vAlign w:val="center"/>
          </w:tcPr>
          <w:p w14:paraId="5F81AD5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r w:rsidRPr="00065FE0">
              <w:rPr>
                <w:rFonts w:ascii="Times New Roman" w:hAnsi="Times New Roman" w:cs="Times New Roman"/>
                <w:color w:val="000000" w:themeColor="text1"/>
                <w:sz w:val="18"/>
                <w:szCs w:val="18"/>
                <w:lang w:val="en-US"/>
              </w:rPr>
              <w:t>&lt;0.001***</w:t>
            </w:r>
          </w:p>
        </w:tc>
      </w:tr>
      <w:tr w:rsidR="007F30B7" w:rsidRPr="00065FE0" w14:paraId="05F1C110" w14:textId="77777777" w:rsidTr="003270EA">
        <w:trPr>
          <w:trHeight w:val="240"/>
        </w:trPr>
        <w:tc>
          <w:tcPr>
            <w:tcW w:w="1005" w:type="pct"/>
            <w:vMerge/>
            <w:vAlign w:val="center"/>
          </w:tcPr>
          <w:p w14:paraId="06A19850"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005CE12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Vehicle (DMSO 0.1%)</w:t>
            </w:r>
          </w:p>
        </w:tc>
        <w:tc>
          <w:tcPr>
            <w:tcW w:w="880" w:type="pct"/>
            <w:vAlign w:val="center"/>
          </w:tcPr>
          <w:p w14:paraId="0635349D"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0.52</w:t>
            </w:r>
          </w:p>
        </w:tc>
        <w:tc>
          <w:tcPr>
            <w:tcW w:w="704" w:type="pct"/>
            <w:vMerge/>
            <w:vAlign w:val="center"/>
          </w:tcPr>
          <w:p w14:paraId="4230100D"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48E4A09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6E1612B5" w14:textId="77777777" w:rsidTr="003270EA">
        <w:trPr>
          <w:trHeight w:val="240"/>
        </w:trPr>
        <w:tc>
          <w:tcPr>
            <w:tcW w:w="1005" w:type="pct"/>
            <w:vMerge/>
            <w:vAlign w:val="center"/>
          </w:tcPr>
          <w:p w14:paraId="26882E1F"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515E34A7"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Anticonvulsant (DZP)</w:t>
            </w:r>
          </w:p>
        </w:tc>
        <w:tc>
          <w:tcPr>
            <w:tcW w:w="880" w:type="pct"/>
            <w:vAlign w:val="center"/>
          </w:tcPr>
          <w:p w14:paraId="2616B8E5"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0.05</w:t>
            </w:r>
          </w:p>
        </w:tc>
        <w:tc>
          <w:tcPr>
            <w:tcW w:w="704" w:type="pct"/>
            <w:vMerge/>
            <w:vAlign w:val="center"/>
          </w:tcPr>
          <w:p w14:paraId="50BFF4F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6F24B3E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29F4A49D" w14:textId="77777777" w:rsidTr="003270EA">
        <w:trPr>
          <w:trHeight w:val="240"/>
        </w:trPr>
        <w:tc>
          <w:tcPr>
            <w:tcW w:w="1005" w:type="pct"/>
            <w:vMerge/>
            <w:vAlign w:val="center"/>
          </w:tcPr>
          <w:p w14:paraId="5FD8A4B6"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1533B6CE"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(63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7BF8CAC2"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0.10</w:t>
            </w:r>
          </w:p>
        </w:tc>
        <w:tc>
          <w:tcPr>
            <w:tcW w:w="704" w:type="pct"/>
            <w:vMerge/>
            <w:vAlign w:val="center"/>
          </w:tcPr>
          <w:p w14:paraId="12877116"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710A0F2A"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4C9D124B" w14:textId="77777777" w:rsidTr="003270EA">
        <w:trPr>
          <w:trHeight w:val="240"/>
        </w:trPr>
        <w:tc>
          <w:tcPr>
            <w:tcW w:w="1005" w:type="pct"/>
            <w:vMerge/>
            <w:vAlign w:val="center"/>
          </w:tcPr>
          <w:p w14:paraId="295BD34F"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42C640F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ETyr</w:t>
            </w:r>
            <w:proofErr w:type="spellEnd"/>
            <w:r w:rsidRPr="00065FE0">
              <w:rPr>
                <w:rFonts w:ascii="Times New Roman" w:hAnsi="Times New Roman" w:cs="Times New Roman"/>
                <w:color w:val="000000" w:themeColor="text1"/>
                <w:sz w:val="18"/>
                <w:szCs w:val="18"/>
                <w:lang w:val="en-US"/>
              </w:rPr>
              <w:t xml:space="preserve"> (125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4AB7E1BB"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0.21</w:t>
            </w:r>
          </w:p>
        </w:tc>
        <w:tc>
          <w:tcPr>
            <w:tcW w:w="704" w:type="pct"/>
            <w:vMerge/>
            <w:vAlign w:val="center"/>
          </w:tcPr>
          <w:p w14:paraId="0B5BA92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56747443"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0DA58998" w14:textId="77777777" w:rsidTr="003270EA">
        <w:trPr>
          <w:trHeight w:val="240"/>
        </w:trPr>
        <w:tc>
          <w:tcPr>
            <w:tcW w:w="1005" w:type="pct"/>
            <w:vMerge/>
            <w:vAlign w:val="center"/>
          </w:tcPr>
          <w:p w14:paraId="40D3ACED"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139DC63C"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(10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26CA9FE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0.27</w:t>
            </w:r>
          </w:p>
        </w:tc>
        <w:tc>
          <w:tcPr>
            <w:tcW w:w="704" w:type="pct"/>
            <w:vMerge/>
            <w:vAlign w:val="center"/>
          </w:tcPr>
          <w:p w14:paraId="46641111"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07EF97F7"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6F000DA8" w14:textId="77777777" w:rsidTr="003270EA">
        <w:trPr>
          <w:trHeight w:val="240"/>
        </w:trPr>
        <w:tc>
          <w:tcPr>
            <w:tcW w:w="1005" w:type="pct"/>
            <w:vMerge/>
            <w:vAlign w:val="center"/>
          </w:tcPr>
          <w:p w14:paraId="229C3BCD" w14:textId="77777777" w:rsidR="007F30B7" w:rsidRPr="00065FE0" w:rsidRDefault="007F30B7" w:rsidP="003270EA">
            <w:pPr>
              <w:tabs>
                <w:tab w:val="center" w:pos="4419"/>
                <w:tab w:val="right" w:pos="8838"/>
              </w:tabs>
              <w:jc w:val="center"/>
              <w:rPr>
                <w:rFonts w:ascii="Times New Roman" w:hAnsi="Times New Roman" w:cs="Times New Roman"/>
                <w:sz w:val="18"/>
                <w:szCs w:val="18"/>
                <w:lang w:val="en-US"/>
              </w:rPr>
            </w:pPr>
          </w:p>
        </w:tc>
        <w:tc>
          <w:tcPr>
            <w:tcW w:w="1608" w:type="pct"/>
            <w:vAlign w:val="center"/>
          </w:tcPr>
          <w:p w14:paraId="5EAEE80F"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proofErr w:type="spellStart"/>
            <w:r w:rsidRPr="00065FE0">
              <w:rPr>
                <w:rFonts w:ascii="Times New Roman" w:hAnsi="Times New Roman" w:cs="Times New Roman"/>
                <w:color w:val="000000" w:themeColor="text1"/>
                <w:sz w:val="18"/>
                <w:szCs w:val="18"/>
                <w:lang w:val="en-US"/>
              </w:rPr>
              <w:t>ETrp</w:t>
            </w:r>
            <w:proofErr w:type="spellEnd"/>
            <w:r w:rsidRPr="00065FE0">
              <w:rPr>
                <w:rFonts w:ascii="Times New Roman" w:hAnsi="Times New Roman" w:cs="Times New Roman"/>
                <w:color w:val="000000" w:themeColor="text1"/>
                <w:sz w:val="18"/>
                <w:szCs w:val="18"/>
                <w:lang w:val="en-US"/>
              </w:rPr>
              <w:t xml:space="preserve"> (25 </w:t>
            </w:r>
            <w:proofErr w:type="spellStart"/>
            <w:r w:rsidRPr="00065FE0">
              <w:rPr>
                <w:rFonts w:ascii="Times New Roman" w:hAnsi="Times New Roman" w:cs="Times New Roman"/>
                <w:color w:val="000000" w:themeColor="text1"/>
                <w:sz w:val="18"/>
                <w:szCs w:val="18"/>
                <w:lang w:val="en-US"/>
              </w:rPr>
              <w:t>μM</w:t>
            </w:r>
            <w:proofErr w:type="spellEnd"/>
            <w:r w:rsidRPr="00065FE0">
              <w:rPr>
                <w:rFonts w:ascii="Times New Roman" w:hAnsi="Times New Roman" w:cs="Times New Roman"/>
                <w:color w:val="000000" w:themeColor="text1"/>
                <w:sz w:val="18"/>
                <w:szCs w:val="18"/>
                <w:lang w:val="en-US"/>
              </w:rPr>
              <w:t>)</w:t>
            </w:r>
          </w:p>
        </w:tc>
        <w:tc>
          <w:tcPr>
            <w:tcW w:w="880" w:type="pct"/>
            <w:vAlign w:val="center"/>
          </w:tcPr>
          <w:p w14:paraId="77097750" w14:textId="77777777" w:rsidR="007F30B7" w:rsidRPr="00065FE0" w:rsidRDefault="007F30B7" w:rsidP="003270EA">
            <w:pPr>
              <w:autoSpaceDE w:val="0"/>
              <w:autoSpaceDN w:val="0"/>
              <w:adjustRightInd w:val="0"/>
              <w:jc w:val="center"/>
              <w:textAlignment w:val="center"/>
              <w:rPr>
                <w:rFonts w:ascii="Times New Roman" w:hAnsi="Times New Roman" w:cs="Times New Roman"/>
                <w:color w:val="000000" w:themeColor="text1"/>
                <w:sz w:val="18"/>
                <w:szCs w:val="18"/>
                <w:lang w:val="en-US"/>
              </w:rPr>
            </w:pPr>
            <w:r w:rsidRPr="00065FE0">
              <w:rPr>
                <w:rFonts w:ascii="Times New Roman" w:hAnsi="Times New Roman" w:cs="Times New Roman"/>
                <w:color w:val="000000" w:themeColor="text1"/>
                <w:sz w:val="18"/>
                <w:szCs w:val="18"/>
                <w:lang w:val="en-US"/>
              </w:rPr>
              <w:t>0.95</w:t>
            </w:r>
          </w:p>
        </w:tc>
        <w:tc>
          <w:tcPr>
            <w:tcW w:w="704" w:type="pct"/>
            <w:vMerge/>
            <w:vAlign w:val="center"/>
          </w:tcPr>
          <w:p w14:paraId="41333F88"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c>
          <w:tcPr>
            <w:tcW w:w="803" w:type="pct"/>
            <w:vMerge/>
            <w:vAlign w:val="center"/>
          </w:tcPr>
          <w:p w14:paraId="66192DD4" w14:textId="77777777" w:rsidR="007F30B7" w:rsidRPr="00065FE0" w:rsidRDefault="007F30B7" w:rsidP="003270EA">
            <w:pPr>
              <w:autoSpaceDE w:val="0"/>
              <w:autoSpaceDN w:val="0"/>
              <w:adjustRightInd w:val="0"/>
              <w:jc w:val="center"/>
              <w:textAlignment w:val="center"/>
              <w:rPr>
                <w:rFonts w:ascii="Times New Roman" w:hAnsi="Times New Roman" w:cs="Times New Roman"/>
                <w:sz w:val="18"/>
                <w:szCs w:val="18"/>
                <w:lang w:val="en-US"/>
              </w:rPr>
            </w:pPr>
          </w:p>
        </w:tc>
      </w:tr>
      <w:tr w:rsidR="007F30B7" w:rsidRPr="00065FE0" w14:paraId="2404DFA2" w14:textId="77777777" w:rsidTr="003270EA">
        <w:trPr>
          <w:trHeight w:val="240"/>
        </w:trPr>
        <w:tc>
          <w:tcPr>
            <w:tcW w:w="5000" w:type="pct"/>
            <w:gridSpan w:val="5"/>
            <w:vAlign w:val="center"/>
          </w:tcPr>
          <w:p w14:paraId="7018D898"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normality by the Shapiro-Wilks test.</w:t>
            </w:r>
          </w:p>
          <w:p w14:paraId="043A3516" w14:textId="77777777" w:rsidR="007F30B7" w:rsidRPr="00065FE0" w:rsidRDefault="007F30B7" w:rsidP="003270EA">
            <w:pPr>
              <w:rPr>
                <w:rFonts w:ascii="Times New Roman" w:hAnsi="Times New Roman" w:cs="Times New Roman"/>
                <w:lang w:val="en-US" w:eastAsia="es-419"/>
              </w:rPr>
            </w:pPr>
            <w:r w:rsidRPr="00065FE0">
              <w:rPr>
                <w:rFonts w:ascii="Times New Roman" w:hAnsi="Times New Roman" w:cs="Times New Roman"/>
                <w:lang w:val="en-US" w:eastAsia="es-419"/>
              </w:rPr>
              <w:t>**Group that does not meet the assumption of homoscedasticity by the Levene test.</w:t>
            </w:r>
          </w:p>
          <w:p w14:paraId="481335D4" w14:textId="77777777" w:rsidR="007F30B7" w:rsidRPr="00065FE0" w:rsidRDefault="007F30B7" w:rsidP="003270EA">
            <w:pPr>
              <w:autoSpaceDE w:val="0"/>
              <w:autoSpaceDN w:val="0"/>
              <w:adjustRightInd w:val="0"/>
              <w:textAlignment w:val="center"/>
              <w:rPr>
                <w:rFonts w:ascii="Times New Roman" w:hAnsi="Times New Roman" w:cs="Times New Roman"/>
                <w:lang w:val="en-US" w:eastAsia="es-419"/>
              </w:rPr>
            </w:pPr>
            <w:r w:rsidRPr="00065FE0">
              <w:rPr>
                <w:rFonts w:ascii="Times New Roman" w:hAnsi="Times New Roman" w:cs="Times New Roman"/>
                <w:lang w:val="en-US" w:eastAsia="es-419"/>
              </w:rPr>
              <w:t xml:space="preserve">***Statistically significant </w:t>
            </w:r>
            <w:r w:rsidRPr="00065FE0">
              <w:rPr>
                <w:rFonts w:ascii="Times New Roman" w:hAnsi="Times New Roman" w:cs="Times New Roman"/>
                <w:i/>
                <w:iCs/>
                <w:lang w:val="en-US" w:eastAsia="es-419"/>
              </w:rPr>
              <w:t>p-value</w:t>
            </w:r>
            <w:r w:rsidRPr="00065FE0">
              <w:rPr>
                <w:rFonts w:ascii="Times New Roman" w:hAnsi="Times New Roman" w:cs="Times New Roman"/>
                <w:lang w:val="en-US" w:eastAsia="es-419"/>
              </w:rPr>
              <w:t xml:space="preserve"> in the Kruskal-Wallis test </w:t>
            </w:r>
          </w:p>
        </w:tc>
      </w:tr>
    </w:tbl>
    <w:p w14:paraId="377EC127"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uto"/>
        <w:rPr>
          <w:rFonts w:ascii="Times New Roman" w:hAnsi="Times New Roman" w:cs="Times New Roman"/>
          <w:b/>
          <w:bCs/>
          <w:lang w:eastAsia="de-DE" w:bidi="en-US"/>
        </w:rPr>
      </w:pPr>
      <w:r w:rsidRPr="00065FE0">
        <w:rPr>
          <w:rFonts w:ascii="Times New Roman" w:hAnsi="Times New Roman" w:cs="Times New Roman"/>
          <w:b/>
          <w:bCs/>
          <w:lang w:eastAsia="de-DE" w:bidi="en-US"/>
        </w:rPr>
        <w:t>Post-Hoc Analysis</w:t>
      </w:r>
    </w:p>
    <w:p w14:paraId="14C4C246"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lang w:eastAsia="de-DE" w:bidi="en-US"/>
        </w:rPr>
      </w:pPr>
      <w:r w:rsidRPr="00065FE0">
        <w:rPr>
          <w:rFonts w:ascii="Times New Roman" w:hAnsi="Times New Roman" w:cs="Times New Roman"/>
          <w:bCs/>
          <w:lang w:eastAsia="de-DE" w:bidi="en-US"/>
        </w:rPr>
        <w:t xml:space="preserve">For these </w:t>
      </w:r>
      <w:r w:rsidRPr="00065FE0">
        <w:rPr>
          <w:rFonts w:ascii="Times New Roman" w:hAnsi="Times New Roman" w:cs="Times New Roman"/>
          <w:lang w:eastAsia="de-DE" w:bidi="en-US"/>
        </w:rPr>
        <w:t>non-parametric datasets, Mann-Whitney U test was conducted to compare pairs of treatment groups.</w:t>
      </w:r>
    </w:p>
    <w:p w14:paraId="5B5DA762"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w:r w:rsidRPr="00065FE0">
        <w:rPr>
          <w:rFonts w:ascii="Times New Roman" w:hAnsi="Times New Roman" w:cs="Times New Roman"/>
          <w:lang w:eastAsia="de-DE" w:bidi="en-US"/>
        </w:rPr>
        <w:t>Bonferroni correction was applied to account for multiple comparisons</w:t>
      </w:r>
      <w:r w:rsidRPr="00065FE0">
        <w:rPr>
          <w:rFonts w:ascii="Times New Roman" w:hAnsi="Times New Roman" w:cs="Times New Roman"/>
          <w:bCs/>
          <w:lang w:eastAsia="de-DE" w:bidi="en-US"/>
        </w:rPr>
        <w:t>, using the formula:</w:t>
      </w:r>
    </w:p>
    <w:p w14:paraId="32EB3E08" w14:textId="77777777" w:rsidR="007F30B7" w:rsidRPr="00065FE0" w:rsidRDefault="00000000"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lang w:eastAsia="de-DE" w:bidi="en-US"/>
        </w:rPr>
      </w:pPr>
      <m:oMathPara>
        <m:oMath>
          <m:sSup>
            <m:sSupPr>
              <m:ctrlPr>
                <w:rPr>
                  <w:rFonts w:ascii="Cambria Math" w:hAnsi="Cambria Math" w:cs="Times New Roman"/>
                  <w:bCs/>
                  <w:i/>
                  <w:lang w:eastAsia="de-DE" w:bidi="en-US"/>
                </w:rPr>
              </m:ctrlPr>
            </m:sSupPr>
            <m:e>
              <m:r>
                <w:rPr>
                  <w:rFonts w:ascii="Cambria Math" w:hAnsi="Cambria Math" w:cs="Times New Roman"/>
                  <w:lang w:eastAsia="de-DE" w:bidi="en-US"/>
                </w:rPr>
                <m:t>p</m:t>
              </m:r>
            </m:e>
            <m:sup>
              <m:r>
                <w:rPr>
                  <w:rFonts w:ascii="Cambria Math" w:hAnsi="Cambria Math" w:cs="Times New Roman"/>
                  <w:lang w:eastAsia="de-DE" w:bidi="en-US"/>
                </w:rPr>
                <m:t>'</m:t>
              </m:r>
            </m:sup>
          </m:sSup>
          <m:r>
            <w:rPr>
              <w:rFonts w:ascii="Cambria Math" w:hAnsi="Cambria Math" w:cs="Times New Roman"/>
              <w:lang w:eastAsia="de-DE" w:bidi="en-US"/>
            </w:rPr>
            <m:t>=1-</m:t>
          </m:r>
          <m:sSup>
            <m:sSupPr>
              <m:ctrlPr>
                <w:rPr>
                  <w:rFonts w:ascii="Cambria Math" w:hAnsi="Cambria Math" w:cs="Times New Roman"/>
                  <w:bCs/>
                  <w:i/>
                  <w:lang w:eastAsia="de-DE" w:bidi="en-US"/>
                </w:rPr>
              </m:ctrlPr>
            </m:sSupPr>
            <m:e>
              <m:d>
                <m:dPr>
                  <m:ctrlPr>
                    <w:rPr>
                      <w:rFonts w:ascii="Cambria Math" w:hAnsi="Cambria Math" w:cs="Times New Roman"/>
                      <w:bCs/>
                      <w:i/>
                      <w:lang w:eastAsia="de-DE" w:bidi="en-US"/>
                    </w:rPr>
                  </m:ctrlPr>
                </m:dPr>
                <m:e>
                  <m:r>
                    <w:rPr>
                      <w:rFonts w:ascii="Cambria Math" w:hAnsi="Cambria Math" w:cs="Times New Roman"/>
                      <w:lang w:eastAsia="de-DE" w:bidi="en-US"/>
                    </w:rPr>
                    <m:t>1-p</m:t>
                  </m:r>
                </m:e>
              </m:d>
            </m:e>
            <m:sup>
              <m:r>
                <w:rPr>
                  <w:rFonts w:ascii="Cambria Math" w:hAnsi="Cambria Math" w:cs="Times New Roman"/>
                  <w:lang w:eastAsia="de-DE" w:bidi="en-US"/>
                </w:rPr>
                <m:t>c</m:t>
              </m:r>
            </m:sup>
          </m:sSup>
        </m:oMath>
      </m:oMathPara>
    </w:p>
    <w:p w14:paraId="05B7942C" w14:textId="77777777" w:rsidR="007F30B7" w:rsidRPr="00065FE0" w:rsidRDefault="007F30B7" w:rsidP="007F30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Cs/>
          <w:sz w:val="20"/>
          <w:szCs w:val="20"/>
          <w:lang w:eastAsia="de-DE" w:bidi="en-US"/>
        </w:rPr>
      </w:pPr>
      <w:r w:rsidRPr="00065FE0">
        <w:rPr>
          <w:rFonts w:ascii="Times New Roman" w:hAnsi="Times New Roman" w:cs="Times New Roman"/>
          <w:bCs/>
          <w:sz w:val="20"/>
          <w:szCs w:val="20"/>
          <w:lang w:eastAsia="de-DE" w:bidi="en-US"/>
        </w:rPr>
        <w:t xml:space="preserve">Where c is the number of comparisons. </w:t>
      </w:r>
    </w:p>
    <w:p w14:paraId="6EBC1899"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Significant p-values (p &lt; 0.05) were adjusted using this Bonferroni method.</w:t>
      </w:r>
    </w:p>
    <w:p w14:paraId="4108A3C3"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Values between identical groups (e.g., Control vs. Control) were marked as "Not Applicable", as they do not meet independence assumptions.</w:t>
      </w:r>
    </w:p>
    <w:p w14:paraId="037F4530" w14:textId="77777777" w:rsidR="007F30B7" w:rsidRPr="00065FE0" w:rsidRDefault="007F30B7">
      <w:pPr>
        <w:pStyle w:val="ListParagraph"/>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jc w:val="both"/>
        <w:rPr>
          <w:rFonts w:ascii="Times New Roman" w:eastAsia="Times New Roman" w:hAnsi="Times New Roman" w:cs="Times New Roman"/>
          <w:lang w:eastAsia="de-DE" w:bidi="en-US"/>
        </w:rPr>
      </w:pPr>
      <w:r w:rsidRPr="00065FE0">
        <w:rPr>
          <w:rFonts w:ascii="Times New Roman" w:eastAsia="Times New Roman" w:hAnsi="Times New Roman" w:cs="Times New Roman"/>
          <w:lang w:eastAsia="de-DE" w:bidi="en-US"/>
        </w:rPr>
        <w:t>To avoid redundancy, pairwise p-values were reported only once.</w:t>
      </w:r>
    </w:p>
    <w:tbl>
      <w:tblPr>
        <w:tblStyle w:val="Tablaconcuadrcula1"/>
        <w:tblW w:w="0" w:type="auto"/>
        <w:jc w:val="center"/>
        <w:tblLook w:val="04A0" w:firstRow="1" w:lastRow="0" w:firstColumn="1" w:lastColumn="0" w:noHBand="0" w:noVBand="1"/>
      </w:tblPr>
      <w:tblGrid>
        <w:gridCol w:w="1380"/>
        <w:gridCol w:w="1380"/>
        <w:gridCol w:w="1318"/>
        <w:gridCol w:w="1356"/>
        <w:gridCol w:w="768"/>
        <w:gridCol w:w="904"/>
        <w:gridCol w:w="861"/>
        <w:gridCol w:w="861"/>
      </w:tblGrid>
      <w:tr w:rsidR="007F30B7" w:rsidRPr="00065FE0" w14:paraId="05FF2B67" w14:textId="77777777" w:rsidTr="003270EA">
        <w:trPr>
          <w:trHeight w:val="397"/>
          <w:jc w:val="center"/>
        </w:trPr>
        <w:tc>
          <w:tcPr>
            <w:tcW w:w="0" w:type="auto"/>
            <w:gridSpan w:val="8"/>
            <w:noWrap/>
            <w:vAlign w:val="center"/>
          </w:tcPr>
          <w:p w14:paraId="76B7D8A5" w14:textId="554D5F5D"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b/>
                <w:bCs/>
                <w:lang w:val="en-US" w:eastAsia="de-DE" w:bidi="en-US"/>
              </w:rPr>
              <w:t xml:space="preserve">Table </w:t>
            </w:r>
            <w:r w:rsidR="005677BD" w:rsidRPr="00065FE0">
              <w:rPr>
                <w:rFonts w:ascii="Times New Roman" w:hAnsi="Times New Roman" w:cs="Times New Roman"/>
                <w:b/>
                <w:bCs/>
                <w:lang w:val="en-US" w:eastAsia="de-DE" w:bidi="en-US"/>
              </w:rPr>
              <w:t>S14</w:t>
            </w:r>
            <w:r w:rsidRPr="00065FE0">
              <w:rPr>
                <w:rFonts w:ascii="Times New Roman" w:hAnsi="Times New Roman" w:cs="Times New Roman"/>
                <w:lang w:val="en-US" w:eastAsia="de-DE" w:bidi="en-US"/>
              </w:rPr>
              <w:t>. Mann-Whitney U test results: Pairwise p-values for stage 3, with Bonferroni correction for Kruskal-Wallis post-hoc analysis.</w:t>
            </w:r>
          </w:p>
        </w:tc>
      </w:tr>
      <w:tr w:rsidR="007F30B7" w:rsidRPr="00065FE0" w14:paraId="0B9493F5" w14:textId="77777777" w:rsidTr="003270EA">
        <w:trPr>
          <w:trHeight w:val="397"/>
          <w:jc w:val="center"/>
        </w:trPr>
        <w:tc>
          <w:tcPr>
            <w:tcW w:w="0" w:type="auto"/>
            <w:noWrap/>
            <w:vAlign w:val="center"/>
          </w:tcPr>
          <w:p w14:paraId="2930D2D4" w14:textId="77777777" w:rsidR="007F30B7" w:rsidRPr="00065FE0" w:rsidRDefault="007F30B7" w:rsidP="003270EA">
            <w:pPr>
              <w:jc w:val="center"/>
              <w:rPr>
                <w:rFonts w:ascii="Times New Roman" w:hAnsi="Times New Roman" w:cs="Times New Roman"/>
                <w:color w:val="000000" w:themeColor="text1"/>
                <w:sz w:val="16"/>
                <w:szCs w:val="16"/>
                <w:lang w:val="en-US"/>
              </w:rPr>
            </w:pPr>
          </w:p>
        </w:tc>
        <w:tc>
          <w:tcPr>
            <w:tcW w:w="0" w:type="auto"/>
            <w:noWrap/>
            <w:vAlign w:val="center"/>
          </w:tcPr>
          <w:p w14:paraId="5114E2A3"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294755F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30B9BAE6"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6043DF0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26D0B2DE"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2F6AAA8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vAlign w:val="center"/>
          </w:tcPr>
          <w:p w14:paraId="2A1C68D0"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1EEDCBC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23AE7CF0"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77FBC42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10A0D227"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04AAEED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vAlign w:val="center"/>
          </w:tcPr>
          <w:p w14:paraId="2C98C129"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7B3717A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r>
      <w:tr w:rsidR="007F30B7" w:rsidRPr="00065FE0" w14:paraId="0DC06265" w14:textId="77777777" w:rsidTr="003270EA">
        <w:trPr>
          <w:trHeight w:val="397"/>
          <w:jc w:val="center"/>
        </w:trPr>
        <w:tc>
          <w:tcPr>
            <w:tcW w:w="0" w:type="auto"/>
            <w:noWrap/>
            <w:vAlign w:val="center"/>
            <w:hideMark/>
          </w:tcPr>
          <w:p w14:paraId="5DFCC963"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Seizure inducer</w:t>
            </w:r>
          </w:p>
          <w:p w14:paraId="45C6BB53"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(PTZ)</w:t>
            </w:r>
          </w:p>
        </w:tc>
        <w:tc>
          <w:tcPr>
            <w:tcW w:w="0" w:type="auto"/>
            <w:noWrap/>
            <w:vAlign w:val="center"/>
          </w:tcPr>
          <w:p w14:paraId="740D294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37F4951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noWrap/>
            <w:vAlign w:val="center"/>
          </w:tcPr>
          <w:p w14:paraId="3D08F544"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1BB5FDF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2FDD5C9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5A355DCD"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4C5C589D"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6C5D8690" w14:textId="77777777" w:rsidTr="003270EA">
        <w:trPr>
          <w:trHeight w:val="397"/>
          <w:jc w:val="center"/>
        </w:trPr>
        <w:tc>
          <w:tcPr>
            <w:tcW w:w="0" w:type="auto"/>
            <w:noWrap/>
            <w:vAlign w:val="center"/>
          </w:tcPr>
          <w:p w14:paraId="288B6AA0"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Vehicle</w:t>
            </w:r>
          </w:p>
          <w:p w14:paraId="07863CD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(DMSO 0.1%)</w:t>
            </w:r>
          </w:p>
        </w:tc>
        <w:tc>
          <w:tcPr>
            <w:tcW w:w="0" w:type="auto"/>
            <w:noWrap/>
            <w:vAlign w:val="center"/>
          </w:tcPr>
          <w:p w14:paraId="43D9C1BA"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3E9D57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noWrap/>
            <w:vAlign w:val="center"/>
          </w:tcPr>
          <w:p w14:paraId="0CADED80"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077D09B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c>
          <w:tcPr>
            <w:tcW w:w="0" w:type="auto"/>
            <w:vAlign w:val="center"/>
          </w:tcPr>
          <w:p w14:paraId="62EB610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7AF5A99F"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3D792A6E"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7743E128" w14:textId="77777777" w:rsidTr="003270EA">
        <w:trPr>
          <w:trHeight w:val="397"/>
          <w:jc w:val="center"/>
        </w:trPr>
        <w:tc>
          <w:tcPr>
            <w:tcW w:w="0" w:type="auto"/>
            <w:noWrap/>
            <w:vAlign w:val="center"/>
          </w:tcPr>
          <w:p w14:paraId="5B0042E3"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color w:val="000000" w:themeColor="text1"/>
                <w:sz w:val="16"/>
                <w:szCs w:val="16"/>
                <w:lang w:val="en-US"/>
              </w:rPr>
              <w:t>Anticonvulsant</w:t>
            </w:r>
          </w:p>
          <w:p w14:paraId="3412F2F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(DZP)</w:t>
            </w:r>
          </w:p>
        </w:tc>
        <w:tc>
          <w:tcPr>
            <w:tcW w:w="0" w:type="auto"/>
            <w:noWrap/>
            <w:vAlign w:val="center"/>
          </w:tcPr>
          <w:p w14:paraId="56004BF7"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646F393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9F1ED5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7129C7BD"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6AE087E8"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42CABF0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770E363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r>
      <w:tr w:rsidR="007F30B7" w:rsidRPr="00065FE0" w14:paraId="648B1DAC" w14:textId="77777777" w:rsidTr="003270EA">
        <w:trPr>
          <w:trHeight w:val="397"/>
          <w:jc w:val="center"/>
        </w:trPr>
        <w:tc>
          <w:tcPr>
            <w:tcW w:w="0" w:type="auto"/>
            <w:noWrap/>
            <w:vAlign w:val="center"/>
            <w:hideMark/>
          </w:tcPr>
          <w:p w14:paraId="0221A675"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5FFB91C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(63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5114266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0D124D9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23712E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65DC6C6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543862E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0.99</w:t>
            </w:r>
          </w:p>
        </w:tc>
        <w:tc>
          <w:tcPr>
            <w:tcW w:w="0" w:type="auto"/>
            <w:vAlign w:val="center"/>
          </w:tcPr>
          <w:p w14:paraId="1236C81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c>
          <w:tcPr>
            <w:tcW w:w="0" w:type="auto"/>
            <w:vAlign w:val="center"/>
          </w:tcPr>
          <w:p w14:paraId="5AA7704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0.14</w:t>
            </w:r>
            <w:r w:rsidRPr="00065FE0">
              <w:rPr>
                <w:rFonts w:ascii="Times New Roman" w:hAnsi="Times New Roman" w:cs="Times New Roman"/>
                <w:color w:val="000000" w:themeColor="text1"/>
                <w:sz w:val="16"/>
                <w:szCs w:val="16"/>
                <w:vertAlign w:val="superscript"/>
                <w:lang w:val="en-US"/>
              </w:rPr>
              <w:t>a</w:t>
            </w:r>
          </w:p>
        </w:tc>
      </w:tr>
      <w:tr w:rsidR="007F30B7" w:rsidRPr="00065FE0" w14:paraId="41FBBD09" w14:textId="77777777" w:rsidTr="003270EA">
        <w:trPr>
          <w:trHeight w:val="397"/>
          <w:jc w:val="center"/>
        </w:trPr>
        <w:tc>
          <w:tcPr>
            <w:tcW w:w="0" w:type="auto"/>
            <w:noWrap/>
            <w:vAlign w:val="center"/>
            <w:hideMark/>
          </w:tcPr>
          <w:p w14:paraId="47FE2D12"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ETyr</w:t>
            </w:r>
            <w:proofErr w:type="spellEnd"/>
          </w:p>
          <w:p w14:paraId="7D13E05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7E92F492"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66BD8C6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10C160DC"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65AD85ED"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4CF7C32B"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58071BF1"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c>
          <w:tcPr>
            <w:tcW w:w="0" w:type="auto"/>
            <w:vAlign w:val="center"/>
          </w:tcPr>
          <w:p w14:paraId="23C7C5CB" w14:textId="77777777" w:rsidR="007F30B7" w:rsidRPr="00065FE0" w:rsidRDefault="007F30B7" w:rsidP="003270EA">
            <w:pPr>
              <w:jc w:val="center"/>
              <w:rPr>
                <w:rFonts w:ascii="Times New Roman" w:hAnsi="Times New Roman" w:cs="Times New Roman"/>
                <w:b/>
                <w:bCs/>
                <w:color w:val="000000" w:themeColor="text1"/>
                <w:sz w:val="16"/>
                <w:szCs w:val="16"/>
                <w:lang w:val="en-US"/>
              </w:rPr>
            </w:pPr>
            <w:r w:rsidRPr="00065FE0">
              <w:rPr>
                <w:rFonts w:ascii="Times New Roman" w:hAnsi="Times New Roman" w:cs="Times New Roman"/>
                <w:b/>
                <w:bCs/>
                <w:color w:val="000000" w:themeColor="text1"/>
                <w:sz w:val="16"/>
                <w:szCs w:val="16"/>
                <w:lang w:val="en-US"/>
              </w:rPr>
              <w:sym w:font="Symbol" w:char="F03C"/>
            </w:r>
            <w:r w:rsidRPr="00065FE0">
              <w:rPr>
                <w:rFonts w:ascii="Times New Roman" w:hAnsi="Times New Roman" w:cs="Times New Roman"/>
                <w:b/>
                <w:bCs/>
                <w:color w:val="000000" w:themeColor="text1"/>
                <w:sz w:val="16"/>
                <w:szCs w:val="16"/>
                <w:lang w:val="en-US"/>
              </w:rPr>
              <w:t>0.01</w:t>
            </w:r>
            <w:r w:rsidRPr="00065FE0">
              <w:rPr>
                <w:rFonts w:ascii="Times New Roman" w:hAnsi="Times New Roman" w:cs="Times New Roman"/>
                <w:b/>
                <w:bCs/>
                <w:color w:val="000000" w:themeColor="text1"/>
                <w:sz w:val="16"/>
                <w:szCs w:val="16"/>
                <w:vertAlign w:val="superscript"/>
                <w:lang w:val="en-US"/>
              </w:rPr>
              <w:t>a</w:t>
            </w:r>
            <w:r w:rsidRPr="00065FE0">
              <w:rPr>
                <w:rFonts w:ascii="Times New Roman" w:hAnsi="Times New Roman" w:cs="Times New Roman"/>
                <w:b/>
                <w:bCs/>
                <w:color w:val="000000" w:themeColor="text1"/>
                <w:sz w:val="16"/>
                <w:szCs w:val="16"/>
                <w:lang w:val="en-US"/>
              </w:rPr>
              <w:t>*</w:t>
            </w:r>
          </w:p>
        </w:tc>
      </w:tr>
      <w:tr w:rsidR="007F30B7" w:rsidRPr="00065FE0" w14:paraId="65492144" w14:textId="77777777" w:rsidTr="003270EA">
        <w:trPr>
          <w:trHeight w:val="397"/>
          <w:jc w:val="center"/>
        </w:trPr>
        <w:tc>
          <w:tcPr>
            <w:tcW w:w="0" w:type="auto"/>
            <w:noWrap/>
            <w:vAlign w:val="center"/>
            <w:hideMark/>
          </w:tcPr>
          <w:p w14:paraId="718FD643"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361BB9E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(10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60B8C76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2BC5F85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64D4A6C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4D0EE839"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4FEFBAE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3AE32FB4"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c>
          <w:tcPr>
            <w:tcW w:w="0" w:type="auto"/>
            <w:vAlign w:val="center"/>
          </w:tcPr>
          <w:p w14:paraId="38A9CDCE"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0.25</w:t>
            </w:r>
          </w:p>
        </w:tc>
      </w:tr>
      <w:tr w:rsidR="007F30B7" w:rsidRPr="00065FE0" w14:paraId="47BB9A01" w14:textId="77777777" w:rsidTr="003270EA">
        <w:trPr>
          <w:trHeight w:val="397"/>
          <w:jc w:val="center"/>
        </w:trPr>
        <w:tc>
          <w:tcPr>
            <w:tcW w:w="0" w:type="auto"/>
            <w:noWrap/>
            <w:vAlign w:val="center"/>
          </w:tcPr>
          <w:p w14:paraId="418E07D8" w14:textId="77777777" w:rsidR="007F30B7" w:rsidRPr="00065FE0" w:rsidRDefault="007F30B7" w:rsidP="003270EA">
            <w:pPr>
              <w:jc w:val="center"/>
              <w:rPr>
                <w:rFonts w:ascii="Times New Roman" w:hAnsi="Times New Roman" w:cs="Times New Roman"/>
                <w:b/>
                <w:bCs/>
                <w:color w:val="000000" w:themeColor="text1"/>
                <w:sz w:val="16"/>
                <w:szCs w:val="16"/>
                <w:lang w:val="en-US"/>
              </w:rPr>
            </w:pPr>
            <w:proofErr w:type="spellStart"/>
            <w:r w:rsidRPr="00065FE0">
              <w:rPr>
                <w:rFonts w:ascii="Times New Roman" w:hAnsi="Times New Roman" w:cs="Times New Roman"/>
                <w:color w:val="000000" w:themeColor="text1"/>
                <w:sz w:val="16"/>
                <w:szCs w:val="16"/>
                <w:lang w:val="en-US"/>
              </w:rPr>
              <w:t>ETrp</w:t>
            </w:r>
            <w:proofErr w:type="spellEnd"/>
          </w:p>
          <w:p w14:paraId="00CFB0A8"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 xml:space="preserve">(25 </w:t>
            </w:r>
            <w:proofErr w:type="spellStart"/>
            <w:r w:rsidRPr="00065FE0">
              <w:rPr>
                <w:rFonts w:ascii="Times New Roman" w:hAnsi="Times New Roman" w:cs="Times New Roman"/>
                <w:color w:val="000000" w:themeColor="text1"/>
                <w:sz w:val="16"/>
                <w:szCs w:val="16"/>
                <w:lang w:val="en-US"/>
              </w:rPr>
              <w:t>μM</w:t>
            </w:r>
            <w:proofErr w:type="spellEnd"/>
            <w:r w:rsidRPr="00065FE0">
              <w:rPr>
                <w:rFonts w:ascii="Times New Roman" w:hAnsi="Times New Roman" w:cs="Times New Roman"/>
                <w:color w:val="000000" w:themeColor="text1"/>
                <w:sz w:val="16"/>
                <w:szCs w:val="16"/>
                <w:lang w:val="en-US"/>
              </w:rPr>
              <w:t>)</w:t>
            </w:r>
          </w:p>
        </w:tc>
        <w:tc>
          <w:tcPr>
            <w:tcW w:w="0" w:type="auto"/>
            <w:noWrap/>
            <w:vAlign w:val="center"/>
          </w:tcPr>
          <w:p w14:paraId="3AB8BF93"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5C9A3A20"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noWrap/>
            <w:vAlign w:val="center"/>
          </w:tcPr>
          <w:p w14:paraId="23B4CD1F"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6A2DDC8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7C71FEB5"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3C45538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w:t>
            </w:r>
          </w:p>
        </w:tc>
        <w:tc>
          <w:tcPr>
            <w:tcW w:w="0" w:type="auto"/>
            <w:vAlign w:val="center"/>
          </w:tcPr>
          <w:p w14:paraId="4AA21991"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color w:val="000000" w:themeColor="text1"/>
                <w:sz w:val="16"/>
                <w:szCs w:val="16"/>
                <w:lang w:val="en-US"/>
              </w:rPr>
              <w:t>NA</w:t>
            </w:r>
          </w:p>
        </w:tc>
      </w:tr>
      <w:tr w:rsidR="007F30B7" w:rsidRPr="00065FE0" w14:paraId="16DF7A26" w14:textId="77777777" w:rsidTr="003270EA">
        <w:trPr>
          <w:trHeight w:val="397"/>
          <w:jc w:val="center"/>
        </w:trPr>
        <w:tc>
          <w:tcPr>
            <w:tcW w:w="0" w:type="auto"/>
            <w:gridSpan w:val="8"/>
            <w:noWrap/>
            <w:vAlign w:val="center"/>
          </w:tcPr>
          <w:p w14:paraId="030FF966" w14:textId="77777777" w:rsidR="007F30B7" w:rsidRPr="00065FE0" w:rsidRDefault="007F30B7" w:rsidP="003270EA">
            <w:pPr>
              <w:jc w:val="center"/>
              <w:rPr>
                <w:rFonts w:ascii="Times New Roman" w:hAnsi="Times New Roman" w:cs="Times New Roman"/>
                <w:color w:val="000000" w:themeColor="text1"/>
                <w:sz w:val="16"/>
                <w:szCs w:val="16"/>
                <w:lang w:val="en-US"/>
              </w:rPr>
            </w:pPr>
            <w:r w:rsidRPr="00065FE0">
              <w:rPr>
                <w:rFonts w:ascii="Times New Roman" w:hAnsi="Times New Roman" w:cs="Times New Roman"/>
                <w:vertAlign w:val="superscript"/>
                <w:lang w:val="en-US" w:eastAsia="es-419"/>
              </w:rPr>
              <w:t>a</w:t>
            </w:r>
            <w:r w:rsidRPr="00065FE0">
              <w:rPr>
                <w:rFonts w:ascii="Times New Roman" w:hAnsi="Times New Roman" w:cs="Times New Roman"/>
                <w:i/>
                <w:iCs/>
                <w:lang w:val="en-US" w:eastAsia="es-419"/>
              </w:rPr>
              <w:t xml:space="preserve">p-value </w:t>
            </w:r>
            <w:r w:rsidRPr="00065FE0">
              <w:rPr>
                <w:rFonts w:ascii="Times New Roman" w:hAnsi="Times New Roman" w:cs="Times New Roman"/>
                <w:lang w:val="en-US" w:eastAsia="es-419"/>
              </w:rPr>
              <w:t>obtained from the Mann-Whitney U test, corrected by Bonferroni method</w:t>
            </w:r>
            <w:r w:rsidRPr="00065FE0">
              <w:rPr>
                <w:rFonts w:ascii="Times New Roman" w:hAnsi="Times New Roman" w:cs="Times New Roman"/>
                <w:lang w:val="en-US" w:eastAsia="es-419"/>
              </w:rPr>
              <w:br/>
              <w:t xml:space="preserve">*Statistically significant </w:t>
            </w:r>
            <w:r w:rsidRPr="00065FE0">
              <w:rPr>
                <w:rFonts w:ascii="Times New Roman" w:hAnsi="Times New Roman" w:cs="Times New Roman"/>
                <w:i/>
                <w:iCs/>
                <w:lang w:val="en-US" w:eastAsia="es-419"/>
              </w:rPr>
              <w:t>p-value</w:t>
            </w:r>
          </w:p>
        </w:tc>
      </w:tr>
    </w:tbl>
    <w:p w14:paraId="02E52982" w14:textId="5B9C805B" w:rsidR="009D7C56" w:rsidRDefault="009D7C56" w:rsidP="005677BD">
      <w:pPr>
        <w:pStyle w:val="Heading1"/>
        <w:rPr>
          <w:lang w:val="en-US"/>
        </w:rPr>
      </w:pPr>
      <w:bookmarkStart w:id="21" w:name="_Toc199426744"/>
      <w:r w:rsidRPr="00BA02E6">
        <w:rPr>
          <w:lang w:val="en-US"/>
        </w:rPr>
        <w:lastRenderedPageBreak/>
        <w:t>Structure-Activity Relationship (SAR)</w:t>
      </w:r>
      <w:bookmarkEnd w:id="21"/>
    </w:p>
    <w:p w14:paraId="4BBFAA42" w14:textId="77777777" w:rsidR="00BA02E6" w:rsidRPr="00BA02E6" w:rsidRDefault="00BA02E6" w:rsidP="00BA02E6">
      <w:pPr>
        <w:spacing w:after="0"/>
        <w:rPr>
          <w:lang w:eastAsia="en-US"/>
        </w:rPr>
      </w:pPr>
    </w:p>
    <w:p w14:paraId="4827821D" w14:textId="77777777" w:rsidR="00082FB6" w:rsidRPr="00BA02E6" w:rsidRDefault="00082FB6" w:rsidP="00BA02E6">
      <w:pPr>
        <w:pStyle w:val="Heading2"/>
        <w:spacing w:before="0" w:after="0"/>
        <w:rPr>
          <w:b/>
          <w:bCs/>
        </w:rPr>
      </w:pPr>
      <w:bookmarkStart w:id="22" w:name="_Toc199426745"/>
      <w:r w:rsidRPr="00BA02E6">
        <w:rPr>
          <w:b/>
          <w:bCs/>
        </w:rPr>
        <w:t>Aromatic Preference and Workflow</w:t>
      </w:r>
      <w:bookmarkEnd w:id="22"/>
    </w:p>
    <w:p w14:paraId="29645B0E" w14:textId="77777777" w:rsidR="00082FB6" w:rsidRPr="00082FB6" w:rsidRDefault="00082FB6" w:rsidP="00082FB6">
      <w:pPr>
        <w:spacing w:after="0"/>
        <w:rPr>
          <w:lang w:val="es-MX" w:eastAsia="en-US"/>
        </w:rPr>
      </w:pPr>
    </w:p>
    <w:p w14:paraId="2EB76BB4" w14:textId="7AB6CE0D" w:rsidR="00082FB6" w:rsidRPr="00BA02E6" w:rsidRDefault="00082FB6" w:rsidP="00082FB6">
      <w:pPr>
        <w:pStyle w:val="Heading3"/>
        <w:jc w:val="both"/>
        <w:rPr>
          <w:szCs w:val="24"/>
        </w:rPr>
      </w:pPr>
      <w:bookmarkStart w:id="23" w:name="_Toc199426746"/>
      <w:r w:rsidRPr="00BA02E6">
        <w:rPr>
          <w:szCs w:val="24"/>
        </w:rPr>
        <w:t>Library Design: Sixteen Isoindoline Esters Derived from Natural Amino Acids</w:t>
      </w:r>
      <w:bookmarkEnd w:id="23"/>
    </w:p>
    <w:p w14:paraId="2D977394" w14:textId="77777777" w:rsidR="00082FB6" w:rsidRPr="00082FB6" w:rsidRDefault="00082FB6" w:rsidP="00082FB6">
      <w:pPr>
        <w:pStyle w:val="Heading3"/>
        <w:numPr>
          <w:ilvl w:val="0"/>
          <w:numId w:val="0"/>
        </w:numPr>
        <w:ind w:left="720"/>
        <w:jc w:val="both"/>
        <w:rPr>
          <w:b/>
          <w:bCs w:val="0"/>
          <w:szCs w:val="24"/>
        </w:rPr>
      </w:pPr>
    </w:p>
    <w:p w14:paraId="4DABA8B7"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sz w:val="24"/>
          <w:szCs w:val="24"/>
          <w:lang w:eastAsia="en-US"/>
        </w:rPr>
        <w:t>To systematically explore the structural determinants of GABA</w:t>
      </w:r>
      <w:r w:rsidRPr="00655133">
        <w:rPr>
          <w:rFonts w:ascii="Times New Roman" w:hAnsi="Times New Roman" w:cs="Times New Roman"/>
          <w:sz w:val="24"/>
          <w:szCs w:val="24"/>
          <w:vertAlign w:val="subscript"/>
          <w:lang w:eastAsia="en-US"/>
        </w:rPr>
        <w:t>A</w:t>
      </w:r>
      <w:r w:rsidRPr="00655133">
        <w:rPr>
          <w:rFonts w:ascii="Times New Roman" w:hAnsi="Times New Roman" w:cs="Times New Roman"/>
          <w:sz w:val="24"/>
          <w:szCs w:val="24"/>
          <w:lang w:eastAsia="en-US"/>
        </w:rPr>
        <w:t xml:space="preserve"> receptor modulation via π–π interactions, a focused library of sixteen 2-(isoindolin-2-yl) esters was constructed. Each compound in this series was generated by esterification of the isoindoline core with the methyl ester of a natural L-α-amino acid, producing a series of analogs that varied exclusively at the side chain (R-group). This approach maintained a consistent molecular scaffold, enabling reliable comparison of physicochemical properties and binding behaviors across structurally diverse side chains.</w:t>
      </w:r>
    </w:p>
    <w:p w14:paraId="4D744388"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sz w:val="24"/>
          <w:szCs w:val="24"/>
          <w:lang w:eastAsia="en-US"/>
        </w:rPr>
        <w:t>The sixteen amino acids selected for this series span the major chemical categories of natural residues:</w:t>
      </w:r>
    </w:p>
    <w:p w14:paraId="004F8417"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Aromatic</w:t>
      </w:r>
      <w:r w:rsidRPr="00655133">
        <w:rPr>
          <w:rFonts w:ascii="Times New Roman" w:hAnsi="Times New Roman" w:cs="Times New Roman"/>
          <w:sz w:val="24"/>
          <w:szCs w:val="24"/>
          <w:lang w:eastAsia="en-US"/>
        </w:rPr>
        <w:t>: Tryptophan, Tyrosine, Phenylalanine, Histidine</w:t>
      </w:r>
    </w:p>
    <w:p w14:paraId="058B0501"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Aliphatic (non-polar)</w:t>
      </w:r>
      <w:r w:rsidRPr="00655133">
        <w:rPr>
          <w:rFonts w:ascii="Times New Roman" w:hAnsi="Times New Roman" w:cs="Times New Roman"/>
          <w:sz w:val="24"/>
          <w:szCs w:val="24"/>
          <w:lang w:eastAsia="en-US"/>
        </w:rPr>
        <w:t>: Alanine, Valine, Leucine, Isoleucine, Methionine</w:t>
      </w:r>
    </w:p>
    <w:p w14:paraId="414BB601"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Polar (uncharged)</w:t>
      </w:r>
      <w:r w:rsidRPr="00655133">
        <w:rPr>
          <w:rFonts w:ascii="Times New Roman" w:hAnsi="Times New Roman" w:cs="Times New Roman"/>
          <w:sz w:val="24"/>
          <w:szCs w:val="24"/>
          <w:lang w:eastAsia="en-US"/>
        </w:rPr>
        <w:t>: Serine, Threonine, Cysteine, Asparagine, Glutamine</w:t>
      </w:r>
    </w:p>
    <w:p w14:paraId="109226E2"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Polar (charged)</w:t>
      </w:r>
      <w:r w:rsidRPr="00655133">
        <w:rPr>
          <w:rFonts w:ascii="Times New Roman" w:hAnsi="Times New Roman" w:cs="Times New Roman"/>
          <w:sz w:val="24"/>
          <w:szCs w:val="24"/>
          <w:lang w:eastAsia="en-US"/>
        </w:rPr>
        <w:t>: Glutamic acid, Arginine</w:t>
      </w:r>
    </w:p>
    <w:p w14:paraId="51EA699E"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Special case/backbone variation</w:t>
      </w:r>
      <w:r w:rsidRPr="00655133">
        <w:rPr>
          <w:rFonts w:ascii="Times New Roman" w:hAnsi="Times New Roman" w:cs="Times New Roman"/>
          <w:sz w:val="24"/>
          <w:szCs w:val="24"/>
          <w:lang w:eastAsia="en-US"/>
        </w:rPr>
        <w:t>: Glycine, β-Alanine, 4-Aminobutyric acid</w:t>
      </w:r>
    </w:p>
    <w:p w14:paraId="28E2B11C" w14:textId="77777777" w:rsidR="00082FB6" w:rsidRDefault="00082FB6" w:rsidP="00BA02E6">
      <w:pPr>
        <w:spacing w:after="0"/>
        <w:jc w:val="both"/>
        <w:rPr>
          <w:rFonts w:ascii="Times New Roman" w:hAnsi="Times New Roman" w:cs="Times New Roman"/>
          <w:sz w:val="24"/>
          <w:szCs w:val="24"/>
          <w:lang w:eastAsia="en-US"/>
        </w:rPr>
      </w:pPr>
      <w:r w:rsidRPr="00655133">
        <w:rPr>
          <w:rFonts w:ascii="Times New Roman" w:hAnsi="Times New Roman" w:cs="Times New Roman"/>
          <w:sz w:val="24"/>
          <w:szCs w:val="24"/>
          <w:lang w:eastAsia="en-US"/>
        </w:rPr>
        <w:t>This diversity allows the evaluation of side chain effects on binding affinity, ADMET profiles, and ultimately, CNS-targeting potential within a consistent molecular context.</w:t>
      </w:r>
    </w:p>
    <w:p w14:paraId="14B2A747" w14:textId="77777777" w:rsidR="00BA02E6" w:rsidRPr="00655133" w:rsidRDefault="00BA02E6" w:rsidP="00BA02E6">
      <w:pPr>
        <w:spacing w:after="0"/>
        <w:rPr>
          <w:lang w:eastAsia="en-US"/>
        </w:rPr>
      </w:pPr>
    </w:p>
    <w:p w14:paraId="1BB1496E" w14:textId="7D8F2A31" w:rsidR="00082FB6" w:rsidRDefault="00082FB6" w:rsidP="00BA02E6">
      <w:pPr>
        <w:pStyle w:val="Heading3"/>
      </w:pPr>
      <w:bookmarkStart w:id="24" w:name="_Toc199426747"/>
      <w:r w:rsidRPr="00655133">
        <w:t>Grouping Compounds by Side Chain Type</w:t>
      </w:r>
      <w:bookmarkEnd w:id="24"/>
    </w:p>
    <w:p w14:paraId="1197E4CF" w14:textId="77777777" w:rsidR="00BA02E6" w:rsidRPr="00655133" w:rsidRDefault="00BA02E6" w:rsidP="00BA02E6">
      <w:pPr>
        <w:spacing w:after="0"/>
      </w:pPr>
    </w:p>
    <w:p w14:paraId="7B5AB4A8"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sz w:val="24"/>
          <w:szCs w:val="24"/>
          <w:lang w:eastAsia="en-US"/>
        </w:rPr>
        <w:t>To assess the impact of side chain chemistry on receptor interaction, compounds were grouped as follows:</w:t>
      </w:r>
    </w:p>
    <w:p w14:paraId="61D19DF8"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Group A: Aromatic Residues (n = 4)</w:t>
      </w:r>
    </w:p>
    <w:p w14:paraId="41A6268F" w14:textId="77777777" w:rsidR="00082FB6" w:rsidRPr="00655133" w:rsidRDefault="00082FB6" w:rsidP="00082FB6">
      <w:pPr>
        <w:jc w:val="both"/>
        <w:rPr>
          <w:rFonts w:ascii="Times New Roman" w:hAnsi="Times New Roman" w:cs="Times New Roman"/>
          <w:sz w:val="24"/>
          <w:szCs w:val="24"/>
          <w:lang w:eastAsia="en-US"/>
        </w:rPr>
      </w:pPr>
      <w:proofErr w:type="spellStart"/>
      <w:r w:rsidRPr="00655133">
        <w:rPr>
          <w:rFonts w:ascii="Times New Roman" w:hAnsi="Times New Roman" w:cs="Times New Roman"/>
          <w:sz w:val="24"/>
          <w:szCs w:val="24"/>
          <w:lang w:eastAsia="en-US"/>
        </w:rPr>
        <w:t>ETrp</w:t>
      </w:r>
      <w:proofErr w:type="spellEnd"/>
      <w:r w:rsidRPr="00655133">
        <w:rPr>
          <w:rFonts w:ascii="Times New Roman" w:hAnsi="Times New Roman" w:cs="Times New Roman"/>
          <w:sz w:val="24"/>
          <w:szCs w:val="24"/>
          <w:lang w:eastAsia="en-US"/>
        </w:rPr>
        <w:t xml:space="preserve"> (Tryptophan)</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ETyr</w:t>
      </w:r>
      <w:proofErr w:type="spellEnd"/>
      <w:r w:rsidRPr="00655133">
        <w:rPr>
          <w:rFonts w:ascii="Times New Roman" w:hAnsi="Times New Roman" w:cs="Times New Roman"/>
          <w:sz w:val="24"/>
          <w:szCs w:val="24"/>
          <w:lang w:eastAsia="en-US"/>
        </w:rPr>
        <w:t xml:space="preserve"> (Tyrosine)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EPhe</w:t>
      </w:r>
      <w:proofErr w:type="spellEnd"/>
      <w:r w:rsidRPr="00655133">
        <w:rPr>
          <w:rFonts w:ascii="Times New Roman" w:hAnsi="Times New Roman" w:cs="Times New Roman"/>
          <w:sz w:val="24"/>
          <w:szCs w:val="24"/>
          <w:lang w:eastAsia="en-US"/>
        </w:rPr>
        <w:t xml:space="preserve"> (Phenylalanine)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EHis</w:t>
      </w:r>
      <w:proofErr w:type="spellEnd"/>
      <w:r w:rsidRPr="00655133">
        <w:rPr>
          <w:rFonts w:ascii="Times New Roman" w:hAnsi="Times New Roman" w:cs="Times New Roman"/>
          <w:sz w:val="24"/>
          <w:szCs w:val="24"/>
          <w:lang w:eastAsia="en-US"/>
        </w:rPr>
        <w:t xml:space="preserve"> (Histidine)</w:t>
      </w:r>
    </w:p>
    <w:p w14:paraId="1E221245"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Group B: Aliphatic Residues (n = 6)</w:t>
      </w:r>
    </w:p>
    <w:p w14:paraId="1C239E23" w14:textId="77777777" w:rsidR="00082FB6" w:rsidRPr="00655133" w:rsidRDefault="00082FB6" w:rsidP="00082FB6">
      <w:pPr>
        <w:jc w:val="both"/>
        <w:rPr>
          <w:rFonts w:ascii="Times New Roman" w:hAnsi="Times New Roman" w:cs="Times New Roman"/>
          <w:sz w:val="24"/>
          <w:szCs w:val="24"/>
          <w:lang w:eastAsia="en-US"/>
        </w:rPr>
      </w:pPr>
      <w:proofErr w:type="spellStart"/>
      <w:r w:rsidRPr="00655133">
        <w:rPr>
          <w:rFonts w:ascii="Times New Roman" w:hAnsi="Times New Roman" w:cs="Times New Roman"/>
          <w:sz w:val="24"/>
          <w:szCs w:val="24"/>
          <w:lang w:eastAsia="en-US"/>
        </w:rPr>
        <w:t>EAla</w:t>
      </w:r>
      <w:proofErr w:type="spellEnd"/>
      <w:r w:rsidRPr="00655133">
        <w:rPr>
          <w:rFonts w:ascii="Times New Roman" w:hAnsi="Times New Roman" w:cs="Times New Roman"/>
          <w:sz w:val="24"/>
          <w:szCs w:val="24"/>
          <w:lang w:eastAsia="en-US"/>
        </w:rPr>
        <w:t xml:space="preserve"> (Alanine)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EVal</w:t>
      </w:r>
      <w:proofErr w:type="spellEnd"/>
      <w:r w:rsidRPr="00655133">
        <w:rPr>
          <w:rFonts w:ascii="Times New Roman" w:hAnsi="Times New Roman" w:cs="Times New Roman"/>
          <w:sz w:val="24"/>
          <w:szCs w:val="24"/>
          <w:lang w:eastAsia="en-US"/>
        </w:rPr>
        <w:t xml:space="preserve"> (Valine)</w:t>
      </w:r>
      <w:r>
        <w:rPr>
          <w:rFonts w:ascii="Times New Roman" w:hAnsi="Times New Roman" w:cs="Times New Roman"/>
          <w:sz w:val="24"/>
          <w:szCs w:val="24"/>
          <w:lang w:eastAsia="en-US"/>
        </w:rPr>
        <w:t xml:space="preserve">; </w:t>
      </w:r>
      <w:r w:rsidRPr="00655133">
        <w:rPr>
          <w:rFonts w:ascii="Times New Roman" w:hAnsi="Times New Roman" w:cs="Times New Roman"/>
          <w:sz w:val="24"/>
          <w:szCs w:val="24"/>
          <w:lang w:eastAsia="en-US"/>
        </w:rPr>
        <w:t>ELeu (Leucine)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EIso</w:t>
      </w:r>
      <w:proofErr w:type="spellEnd"/>
      <w:r w:rsidRPr="00655133">
        <w:rPr>
          <w:rFonts w:ascii="Times New Roman" w:hAnsi="Times New Roman" w:cs="Times New Roman"/>
          <w:sz w:val="24"/>
          <w:szCs w:val="24"/>
          <w:lang w:eastAsia="en-US"/>
        </w:rPr>
        <w:t xml:space="preserve"> (Isoleucine)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EMet</w:t>
      </w:r>
      <w:proofErr w:type="spellEnd"/>
      <w:r w:rsidRPr="00655133">
        <w:rPr>
          <w:rFonts w:ascii="Times New Roman" w:hAnsi="Times New Roman" w:cs="Times New Roman"/>
          <w:sz w:val="24"/>
          <w:szCs w:val="24"/>
          <w:lang w:eastAsia="en-US"/>
        </w:rPr>
        <w:t xml:space="preserve"> (Methionine)</w:t>
      </w:r>
      <w:r>
        <w:rPr>
          <w:rFonts w:ascii="Times New Roman" w:hAnsi="Times New Roman" w:cs="Times New Roman"/>
          <w:sz w:val="24"/>
          <w:szCs w:val="24"/>
          <w:lang w:eastAsia="en-US"/>
        </w:rPr>
        <w:t xml:space="preserve">; </w:t>
      </w:r>
      <w:r w:rsidRPr="00655133">
        <w:rPr>
          <w:rFonts w:ascii="Times New Roman" w:hAnsi="Times New Roman" w:cs="Times New Roman"/>
          <w:sz w:val="24"/>
          <w:szCs w:val="24"/>
          <w:lang w:eastAsia="en-US"/>
        </w:rPr>
        <w:t>E4-Ab (4-Aminobutyric acid)</w:t>
      </w:r>
    </w:p>
    <w:p w14:paraId="1D76599E"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Group C: Polar Residues (n = 5)</w:t>
      </w:r>
    </w:p>
    <w:p w14:paraId="6058BF04" w14:textId="77777777" w:rsidR="00082FB6" w:rsidRPr="00655133" w:rsidRDefault="00082FB6" w:rsidP="00082FB6">
      <w:pPr>
        <w:jc w:val="both"/>
        <w:rPr>
          <w:rFonts w:ascii="Times New Roman" w:hAnsi="Times New Roman" w:cs="Times New Roman"/>
          <w:sz w:val="24"/>
          <w:szCs w:val="24"/>
          <w:lang w:eastAsia="en-US"/>
        </w:rPr>
      </w:pPr>
      <w:proofErr w:type="spellStart"/>
      <w:r w:rsidRPr="00655133">
        <w:rPr>
          <w:rFonts w:ascii="Times New Roman" w:hAnsi="Times New Roman" w:cs="Times New Roman"/>
          <w:sz w:val="24"/>
          <w:szCs w:val="24"/>
          <w:lang w:eastAsia="en-US"/>
        </w:rPr>
        <w:t>ESer</w:t>
      </w:r>
      <w:proofErr w:type="spellEnd"/>
      <w:r w:rsidRPr="00655133">
        <w:rPr>
          <w:rFonts w:ascii="Times New Roman" w:hAnsi="Times New Roman" w:cs="Times New Roman"/>
          <w:sz w:val="24"/>
          <w:szCs w:val="24"/>
          <w:lang w:eastAsia="en-US"/>
        </w:rPr>
        <w:t xml:space="preserve"> (Serine)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EThr</w:t>
      </w:r>
      <w:proofErr w:type="spellEnd"/>
      <w:r w:rsidRPr="00655133">
        <w:rPr>
          <w:rFonts w:ascii="Times New Roman" w:hAnsi="Times New Roman" w:cs="Times New Roman"/>
          <w:sz w:val="24"/>
          <w:szCs w:val="24"/>
          <w:lang w:eastAsia="en-US"/>
        </w:rPr>
        <w:t xml:space="preserve"> (Threonine)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ECys</w:t>
      </w:r>
      <w:proofErr w:type="spellEnd"/>
      <w:r w:rsidRPr="00655133">
        <w:rPr>
          <w:rFonts w:ascii="Times New Roman" w:hAnsi="Times New Roman" w:cs="Times New Roman"/>
          <w:sz w:val="24"/>
          <w:szCs w:val="24"/>
          <w:lang w:eastAsia="en-US"/>
        </w:rPr>
        <w:t xml:space="preserve"> (Cysteine)</w:t>
      </w:r>
      <w:r>
        <w:rPr>
          <w:rFonts w:ascii="Times New Roman" w:hAnsi="Times New Roman" w:cs="Times New Roman"/>
          <w:sz w:val="24"/>
          <w:szCs w:val="24"/>
          <w:lang w:eastAsia="en-US"/>
        </w:rPr>
        <w:t xml:space="preserve">; </w:t>
      </w:r>
      <w:proofErr w:type="spellStart"/>
      <w:r w:rsidRPr="00655133">
        <w:rPr>
          <w:rFonts w:ascii="Times New Roman" w:hAnsi="Times New Roman" w:cs="Times New Roman"/>
          <w:sz w:val="24"/>
          <w:szCs w:val="24"/>
          <w:lang w:eastAsia="en-US"/>
        </w:rPr>
        <w:t>EGlu</w:t>
      </w:r>
      <w:proofErr w:type="spellEnd"/>
      <w:r w:rsidRPr="00655133">
        <w:rPr>
          <w:rFonts w:ascii="Times New Roman" w:hAnsi="Times New Roman" w:cs="Times New Roman"/>
          <w:sz w:val="24"/>
          <w:szCs w:val="24"/>
          <w:lang w:eastAsia="en-US"/>
        </w:rPr>
        <w:t xml:space="preserve"> (Glutamate)</w:t>
      </w:r>
      <w:r>
        <w:rPr>
          <w:rFonts w:ascii="Times New Roman" w:hAnsi="Times New Roman" w:cs="Times New Roman"/>
          <w:sz w:val="24"/>
          <w:szCs w:val="24"/>
          <w:lang w:eastAsia="en-US"/>
        </w:rPr>
        <w:t xml:space="preserve">; </w:t>
      </w:r>
      <w:r w:rsidRPr="00655133">
        <w:rPr>
          <w:rFonts w:ascii="Times New Roman" w:hAnsi="Times New Roman" w:cs="Times New Roman"/>
          <w:sz w:val="24"/>
          <w:szCs w:val="24"/>
          <w:lang w:eastAsia="en-US"/>
        </w:rPr>
        <w:t>Eβ-Ala (β-Alanine)</w:t>
      </w:r>
    </w:p>
    <w:p w14:paraId="47A4D445"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b/>
          <w:bCs/>
          <w:sz w:val="24"/>
          <w:szCs w:val="24"/>
          <w:lang w:eastAsia="en-US"/>
        </w:rPr>
        <w:t>Group D: Special Case (n = 1)</w:t>
      </w:r>
    </w:p>
    <w:p w14:paraId="1970306A"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sz w:val="24"/>
          <w:szCs w:val="24"/>
          <w:lang w:eastAsia="en-US"/>
        </w:rPr>
        <w:lastRenderedPageBreak/>
        <w:t>EGly (Glycine) — lacks a true side chain; serves as a baseline for flexibility effects</w:t>
      </w:r>
    </w:p>
    <w:p w14:paraId="7FFE01B6" w14:textId="77777777" w:rsidR="00082FB6" w:rsidRDefault="00082FB6" w:rsidP="00BA02E6">
      <w:pPr>
        <w:spacing w:after="0"/>
        <w:jc w:val="both"/>
        <w:rPr>
          <w:rFonts w:ascii="Times New Roman" w:hAnsi="Times New Roman" w:cs="Times New Roman"/>
          <w:sz w:val="24"/>
          <w:szCs w:val="24"/>
          <w:lang w:eastAsia="en-US"/>
        </w:rPr>
      </w:pPr>
      <w:r w:rsidRPr="00655133">
        <w:rPr>
          <w:rFonts w:ascii="Times New Roman" w:hAnsi="Times New Roman" w:cs="Times New Roman"/>
          <w:sz w:val="24"/>
          <w:szCs w:val="24"/>
          <w:lang w:eastAsia="en-US"/>
        </w:rPr>
        <w:t>The aromatic group (Group A) was hypothesized to have superior interaction potential at the benzodiazepine site due to π–electron delocalization, enabling stacking interactions with aromatic residues on the receptor.</w:t>
      </w:r>
    </w:p>
    <w:p w14:paraId="569B31EB" w14:textId="77777777" w:rsidR="00BA02E6" w:rsidRPr="00655133" w:rsidRDefault="00BA02E6" w:rsidP="00BA02E6">
      <w:pPr>
        <w:spacing w:after="0"/>
        <w:jc w:val="both"/>
        <w:rPr>
          <w:rFonts w:ascii="Times New Roman" w:hAnsi="Times New Roman" w:cs="Times New Roman"/>
          <w:sz w:val="24"/>
          <w:szCs w:val="24"/>
          <w:lang w:eastAsia="en-US"/>
        </w:rPr>
      </w:pPr>
    </w:p>
    <w:p w14:paraId="4E948D97" w14:textId="2712F586" w:rsidR="00082FB6" w:rsidRDefault="00082FB6" w:rsidP="00082FB6">
      <w:pPr>
        <w:pStyle w:val="Heading3"/>
        <w:rPr>
          <w:bCs w:val="0"/>
        </w:rPr>
      </w:pPr>
      <w:bookmarkStart w:id="25" w:name="_Toc199426748"/>
      <w:r w:rsidRPr="00082FB6">
        <w:rPr>
          <w:bCs w:val="0"/>
        </w:rPr>
        <w:t>Summary of Core Properties</w:t>
      </w:r>
      <w:bookmarkEnd w:id="25"/>
    </w:p>
    <w:p w14:paraId="435F8ACD" w14:textId="77777777" w:rsidR="00082FB6" w:rsidRPr="00082FB6" w:rsidRDefault="00082FB6" w:rsidP="00082FB6">
      <w:pPr>
        <w:pStyle w:val="Heading3"/>
        <w:numPr>
          <w:ilvl w:val="0"/>
          <w:numId w:val="0"/>
        </w:numPr>
        <w:ind w:left="720"/>
        <w:rPr>
          <w:bCs w:val="0"/>
        </w:rPr>
      </w:pPr>
    </w:p>
    <w:p w14:paraId="3408B80B" w14:textId="77777777" w:rsidR="00082FB6" w:rsidRPr="00655133" w:rsidRDefault="00082FB6" w:rsidP="00082FB6">
      <w:pPr>
        <w:jc w:val="both"/>
        <w:rPr>
          <w:rFonts w:ascii="Times New Roman" w:hAnsi="Times New Roman" w:cs="Times New Roman"/>
          <w:sz w:val="24"/>
          <w:szCs w:val="24"/>
          <w:lang w:eastAsia="en-US"/>
        </w:rPr>
      </w:pPr>
      <w:r w:rsidRPr="00655133">
        <w:rPr>
          <w:rFonts w:ascii="Times New Roman" w:hAnsi="Times New Roman" w:cs="Times New Roman"/>
          <w:sz w:val="24"/>
          <w:szCs w:val="24"/>
          <w:lang w:eastAsia="en-US"/>
        </w:rPr>
        <w:t xml:space="preserve">The results of the physicochemical analysis and docking evaluations are summarized in Table S15, which includes molecular weight, </w:t>
      </w:r>
      <w:proofErr w:type="spellStart"/>
      <w:r w:rsidRPr="00655133">
        <w:rPr>
          <w:rFonts w:ascii="Times New Roman" w:hAnsi="Times New Roman" w:cs="Times New Roman"/>
          <w:sz w:val="24"/>
          <w:szCs w:val="24"/>
          <w:lang w:eastAsia="en-US"/>
        </w:rPr>
        <w:t>logP</w:t>
      </w:r>
      <w:proofErr w:type="spellEnd"/>
      <w:r w:rsidRPr="00655133">
        <w:rPr>
          <w:rFonts w:ascii="Times New Roman" w:hAnsi="Times New Roman" w:cs="Times New Roman"/>
          <w:sz w:val="24"/>
          <w:szCs w:val="24"/>
          <w:lang w:eastAsia="en-US"/>
        </w:rPr>
        <w:t>, TPSA, H-bonding potential, and docking energy for each compound. This data supports initial filtering and illustrates the clustering of top performers (</w:t>
      </w:r>
      <w:proofErr w:type="spellStart"/>
      <w:r w:rsidRPr="00655133">
        <w:rPr>
          <w:rFonts w:ascii="Times New Roman" w:hAnsi="Times New Roman" w:cs="Times New Roman"/>
          <w:sz w:val="24"/>
          <w:szCs w:val="24"/>
          <w:lang w:eastAsia="en-US"/>
        </w:rPr>
        <w:t>Trp</w:t>
      </w:r>
      <w:proofErr w:type="spellEnd"/>
      <w:r w:rsidRPr="00655133">
        <w:rPr>
          <w:rFonts w:ascii="Times New Roman" w:hAnsi="Times New Roman" w:cs="Times New Roman"/>
          <w:sz w:val="24"/>
          <w:szCs w:val="24"/>
          <w:lang w:eastAsia="en-US"/>
        </w:rPr>
        <w:t xml:space="preserve">, Tyr, His, </w:t>
      </w:r>
      <w:proofErr w:type="spellStart"/>
      <w:r w:rsidRPr="00655133">
        <w:rPr>
          <w:rFonts w:ascii="Times New Roman" w:hAnsi="Times New Roman" w:cs="Times New Roman"/>
          <w:sz w:val="24"/>
          <w:szCs w:val="24"/>
          <w:lang w:eastAsia="en-US"/>
        </w:rPr>
        <w:t>Phe</w:t>
      </w:r>
      <w:proofErr w:type="spellEnd"/>
      <w:r w:rsidRPr="00655133">
        <w:rPr>
          <w:rFonts w:ascii="Times New Roman" w:hAnsi="Times New Roman" w:cs="Times New Roman"/>
          <w:sz w:val="24"/>
          <w:szCs w:val="24"/>
          <w:lang w:eastAsia="en-US"/>
        </w:rPr>
        <w:t>) around CNS-compatible parameters.</w:t>
      </w:r>
    </w:p>
    <w:p w14:paraId="4D893DD6" w14:textId="77777777" w:rsidR="00082FB6" w:rsidRPr="00BA02E6" w:rsidRDefault="00082FB6" w:rsidP="00BA02E6">
      <w:pPr>
        <w:spacing w:after="0" w:line="240" w:lineRule="auto"/>
        <w:jc w:val="both"/>
        <w:rPr>
          <w:rFonts w:ascii="Times New Roman" w:hAnsi="Times New Roman" w:cs="Times New Roman"/>
          <w:b/>
          <w:bCs/>
        </w:rPr>
      </w:pPr>
      <w:r w:rsidRPr="00BA02E6">
        <w:rPr>
          <w:rFonts w:ascii="Times New Roman" w:hAnsi="Times New Roman" w:cs="Times New Roman"/>
          <w:b/>
          <w:bCs/>
        </w:rPr>
        <w:t>Table S15. Physicochemical descriptors (Lipinski-relevant) and Molecular docking of 2-(isoindolin-2-yl) esters derived from natural amino acids.</w:t>
      </w:r>
    </w:p>
    <w:tbl>
      <w:tblPr>
        <w:tblW w:w="5000" w:type="pct"/>
        <w:tblLook w:val="04A0" w:firstRow="1" w:lastRow="0" w:firstColumn="1" w:lastColumn="0" w:noHBand="0" w:noVBand="1"/>
      </w:tblPr>
      <w:tblGrid>
        <w:gridCol w:w="981"/>
        <w:gridCol w:w="1350"/>
        <w:gridCol w:w="865"/>
        <w:gridCol w:w="766"/>
        <w:gridCol w:w="712"/>
        <w:gridCol w:w="781"/>
        <w:gridCol w:w="781"/>
        <w:gridCol w:w="782"/>
        <w:gridCol w:w="910"/>
        <w:gridCol w:w="910"/>
      </w:tblGrid>
      <w:tr w:rsidR="00082FB6" w:rsidRPr="00082FB6" w14:paraId="46D419A7" w14:textId="77777777" w:rsidTr="00082FB6">
        <w:trPr>
          <w:trHeight w:val="340"/>
        </w:trPr>
        <w:tc>
          <w:tcPr>
            <w:tcW w:w="500" w:type="pct"/>
            <w:tcBorders>
              <w:top w:val="single" w:sz="4" w:space="0" w:color="auto"/>
              <w:left w:val="nil"/>
              <w:bottom w:val="single" w:sz="4" w:space="0" w:color="auto"/>
              <w:right w:val="nil"/>
            </w:tcBorders>
            <w:shd w:val="clear" w:color="auto" w:fill="auto"/>
            <w:vAlign w:val="center"/>
            <w:hideMark/>
          </w:tcPr>
          <w:p w14:paraId="25160B4B"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Compound</w:t>
            </w:r>
          </w:p>
        </w:tc>
        <w:tc>
          <w:tcPr>
            <w:tcW w:w="500" w:type="pct"/>
            <w:tcBorders>
              <w:top w:val="single" w:sz="4" w:space="0" w:color="auto"/>
              <w:left w:val="nil"/>
              <w:bottom w:val="single" w:sz="4" w:space="0" w:color="auto"/>
              <w:right w:val="nil"/>
            </w:tcBorders>
            <w:shd w:val="clear" w:color="auto" w:fill="auto"/>
            <w:vAlign w:val="center"/>
            <w:hideMark/>
          </w:tcPr>
          <w:p w14:paraId="59BBF9D6"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Amino Acid</w:t>
            </w:r>
          </w:p>
        </w:tc>
        <w:tc>
          <w:tcPr>
            <w:tcW w:w="500" w:type="pct"/>
            <w:tcBorders>
              <w:top w:val="single" w:sz="4" w:space="0" w:color="auto"/>
              <w:left w:val="nil"/>
              <w:bottom w:val="single" w:sz="4" w:space="0" w:color="auto"/>
              <w:right w:val="nil"/>
            </w:tcBorders>
            <w:shd w:val="clear" w:color="auto" w:fill="auto"/>
            <w:vAlign w:val="center"/>
            <w:hideMark/>
          </w:tcPr>
          <w:p w14:paraId="1B6C6C6C"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Aromatic</w:t>
            </w:r>
          </w:p>
        </w:tc>
        <w:tc>
          <w:tcPr>
            <w:tcW w:w="500" w:type="pct"/>
            <w:tcBorders>
              <w:top w:val="single" w:sz="4" w:space="0" w:color="auto"/>
              <w:left w:val="nil"/>
              <w:bottom w:val="single" w:sz="4" w:space="0" w:color="auto"/>
              <w:right w:val="nil"/>
            </w:tcBorders>
            <w:shd w:val="clear" w:color="auto" w:fill="auto"/>
            <w:vAlign w:val="center"/>
            <w:hideMark/>
          </w:tcPr>
          <w:p w14:paraId="2988315E"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MW (Da)</w:t>
            </w:r>
          </w:p>
        </w:tc>
        <w:tc>
          <w:tcPr>
            <w:tcW w:w="500" w:type="pct"/>
            <w:tcBorders>
              <w:top w:val="single" w:sz="4" w:space="0" w:color="auto"/>
              <w:left w:val="nil"/>
              <w:bottom w:val="single" w:sz="4" w:space="0" w:color="auto"/>
              <w:right w:val="nil"/>
            </w:tcBorders>
            <w:shd w:val="clear" w:color="auto" w:fill="auto"/>
            <w:vAlign w:val="center"/>
            <w:hideMark/>
          </w:tcPr>
          <w:p w14:paraId="68DABD96"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proofErr w:type="spellStart"/>
            <w:r w:rsidRPr="00082FB6">
              <w:rPr>
                <w:rFonts w:ascii="Times New Roman" w:eastAsia="Times New Roman" w:hAnsi="Times New Roman" w:cs="Times New Roman"/>
                <w:b/>
                <w:bCs/>
                <w:color w:val="000000"/>
                <w:sz w:val="16"/>
                <w:szCs w:val="16"/>
                <w:lang w:eastAsia="en-US"/>
              </w:rPr>
              <w:t>LogP</w:t>
            </w:r>
            <w:proofErr w:type="spellEnd"/>
          </w:p>
        </w:tc>
        <w:tc>
          <w:tcPr>
            <w:tcW w:w="500" w:type="pct"/>
            <w:tcBorders>
              <w:top w:val="single" w:sz="4" w:space="0" w:color="auto"/>
              <w:left w:val="nil"/>
              <w:bottom w:val="single" w:sz="4" w:space="0" w:color="auto"/>
              <w:right w:val="nil"/>
            </w:tcBorders>
            <w:shd w:val="clear" w:color="auto" w:fill="auto"/>
            <w:vAlign w:val="center"/>
            <w:hideMark/>
          </w:tcPr>
          <w:p w14:paraId="2AA8068D"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TPSA (Å²)</w:t>
            </w:r>
          </w:p>
        </w:tc>
        <w:tc>
          <w:tcPr>
            <w:tcW w:w="500" w:type="pct"/>
            <w:tcBorders>
              <w:top w:val="single" w:sz="4" w:space="0" w:color="auto"/>
              <w:left w:val="nil"/>
              <w:bottom w:val="single" w:sz="4" w:space="0" w:color="auto"/>
              <w:right w:val="nil"/>
            </w:tcBorders>
            <w:shd w:val="clear" w:color="auto" w:fill="auto"/>
            <w:vAlign w:val="center"/>
            <w:hideMark/>
          </w:tcPr>
          <w:p w14:paraId="0B1007A6"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HBD</w:t>
            </w:r>
          </w:p>
        </w:tc>
        <w:tc>
          <w:tcPr>
            <w:tcW w:w="500" w:type="pct"/>
            <w:tcBorders>
              <w:top w:val="single" w:sz="4" w:space="0" w:color="auto"/>
              <w:left w:val="nil"/>
              <w:bottom w:val="single" w:sz="4" w:space="0" w:color="auto"/>
              <w:right w:val="nil"/>
            </w:tcBorders>
            <w:shd w:val="clear" w:color="auto" w:fill="auto"/>
            <w:vAlign w:val="center"/>
            <w:hideMark/>
          </w:tcPr>
          <w:p w14:paraId="0102162B"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HBA</w:t>
            </w:r>
          </w:p>
        </w:tc>
        <w:tc>
          <w:tcPr>
            <w:tcW w:w="500" w:type="pct"/>
            <w:tcBorders>
              <w:top w:val="single" w:sz="4" w:space="0" w:color="auto"/>
              <w:left w:val="nil"/>
              <w:bottom w:val="single" w:sz="4" w:space="0" w:color="auto"/>
              <w:right w:val="nil"/>
            </w:tcBorders>
            <w:shd w:val="clear" w:color="auto" w:fill="auto"/>
            <w:vAlign w:val="center"/>
            <w:hideMark/>
          </w:tcPr>
          <w:p w14:paraId="48191F33"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r w:rsidRPr="00082FB6">
              <w:rPr>
                <w:rFonts w:ascii="Times New Roman" w:eastAsia="Times New Roman" w:hAnsi="Times New Roman" w:cs="Times New Roman"/>
                <w:b/>
                <w:bCs/>
                <w:color w:val="000000"/>
                <w:sz w:val="16"/>
                <w:szCs w:val="16"/>
                <w:lang w:eastAsia="en-US"/>
              </w:rPr>
              <w:t>Binding Energy (kcal/mol)</w:t>
            </w:r>
          </w:p>
        </w:tc>
        <w:tc>
          <w:tcPr>
            <w:tcW w:w="500" w:type="pct"/>
            <w:tcBorders>
              <w:top w:val="single" w:sz="4" w:space="0" w:color="auto"/>
              <w:left w:val="nil"/>
              <w:bottom w:val="single" w:sz="4" w:space="0" w:color="auto"/>
              <w:right w:val="nil"/>
            </w:tcBorders>
            <w:shd w:val="clear" w:color="auto" w:fill="auto"/>
            <w:vAlign w:val="center"/>
            <w:hideMark/>
          </w:tcPr>
          <w:p w14:paraId="06CECE7C" w14:textId="77777777" w:rsidR="00082FB6" w:rsidRPr="00082FB6" w:rsidRDefault="00082FB6" w:rsidP="00A0342B">
            <w:pPr>
              <w:spacing w:after="0" w:line="240" w:lineRule="auto"/>
              <w:jc w:val="center"/>
              <w:rPr>
                <w:rFonts w:ascii="Times New Roman" w:eastAsia="Times New Roman" w:hAnsi="Times New Roman" w:cs="Times New Roman"/>
                <w:b/>
                <w:bCs/>
                <w:color w:val="000000"/>
                <w:sz w:val="16"/>
                <w:szCs w:val="16"/>
                <w:lang w:eastAsia="en-US"/>
              </w:rPr>
            </w:pPr>
            <w:proofErr w:type="spellStart"/>
            <w:r w:rsidRPr="00082FB6">
              <w:rPr>
                <w:rFonts w:ascii="Times New Roman" w:eastAsia="Times New Roman" w:hAnsi="Times New Roman" w:cs="Times New Roman"/>
                <w:b/>
                <w:bCs/>
                <w:color w:val="000000"/>
                <w:sz w:val="16"/>
                <w:szCs w:val="16"/>
                <w:lang w:eastAsia="en-US"/>
              </w:rPr>
              <w:t>ΔG</w:t>
            </w:r>
            <w:r w:rsidRPr="00082FB6">
              <w:rPr>
                <w:rFonts w:ascii="Times New Roman" w:eastAsia="Times New Roman" w:hAnsi="Times New Roman" w:cs="Times New Roman"/>
                <w:b/>
                <w:bCs/>
                <w:color w:val="000000"/>
                <w:sz w:val="16"/>
                <w:szCs w:val="16"/>
                <w:vertAlign w:val="subscript"/>
                <w:lang w:eastAsia="en-US"/>
              </w:rPr>
              <w:t>bind</w:t>
            </w:r>
            <w:proofErr w:type="spellEnd"/>
            <w:r w:rsidRPr="00082FB6">
              <w:rPr>
                <w:rFonts w:ascii="Times New Roman" w:eastAsia="Times New Roman" w:hAnsi="Times New Roman" w:cs="Times New Roman"/>
                <w:b/>
                <w:bCs/>
                <w:color w:val="000000"/>
                <w:sz w:val="16"/>
                <w:szCs w:val="16"/>
                <w:lang w:eastAsia="en-US"/>
              </w:rPr>
              <w:t xml:space="preserve"> (kcal/mol)</w:t>
            </w:r>
          </w:p>
        </w:tc>
      </w:tr>
      <w:tr w:rsidR="00082FB6" w:rsidRPr="00082FB6" w14:paraId="0C789619" w14:textId="77777777" w:rsidTr="00082FB6">
        <w:trPr>
          <w:trHeight w:val="340"/>
        </w:trPr>
        <w:tc>
          <w:tcPr>
            <w:tcW w:w="500" w:type="pct"/>
            <w:tcBorders>
              <w:top w:val="single" w:sz="4" w:space="0" w:color="auto"/>
              <w:left w:val="nil"/>
              <w:bottom w:val="nil"/>
              <w:right w:val="nil"/>
            </w:tcBorders>
            <w:shd w:val="clear" w:color="auto" w:fill="auto"/>
            <w:vAlign w:val="center"/>
            <w:hideMark/>
          </w:tcPr>
          <w:p w14:paraId="51E8F4C2"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DZP</w:t>
            </w:r>
          </w:p>
        </w:tc>
        <w:tc>
          <w:tcPr>
            <w:tcW w:w="500" w:type="pct"/>
            <w:tcBorders>
              <w:top w:val="single" w:sz="4" w:space="0" w:color="auto"/>
              <w:left w:val="nil"/>
              <w:bottom w:val="nil"/>
              <w:right w:val="nil"/>
            </w:tcBorders>
            <w:shd w:val="clear" w:color="auto" w:fill="auto"/>
            <w:vAlign w:val="center"/>
            <w:hideMark/>
          </w:tcPr>
          <w:p w14:paraId="71028F3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Diazepam</w:t>
            </w:r>
          </w:p>
        </w:tc>
        <w:tc>
          <w:tcPr>
            <w:tcW w:w="500" w:type="pct"/>
            <w:tcBorders>
              <w:top w:val="single" w:sz="4" w:space="0" w:color="auto"/>
              <w:left w:val="nil"/>
              <w:bottom w:val="nil"/>
              <w:right w:val="nil"/>
            </w:tcBorders>
            <w:shd w:val="clear" w:color="auto" w:fill="auto"/>
            <w:vAlign w:val="center"/>
            <w:hideMark/>
          </w:tcPr>
          <w:p w14:paraId="0A3C270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Yes</w:t>
            </w:r>
          </w:p>
        </w:tc>
        <w:tc>
          <w:tcPr>
            <w:tcW w:w="500" w:type="pct"/>
            <w:tcBorders>
              <w:top w:val="single" w:sz="4" w:space="0" w:color="auto"/>
              <w:left w:val="nil"/>
              <w:bottom w:val="nil"/>
              <w:right w:val="nil"/>
            </w:tcBorders>
            <w:shd w:val="clear" w:color="auto" w:fill="auto"/>
            <w:vAlign w:val="center"/>
            <w:hideMark/>
          </w:tcPr>
          <w:p w14:paraId="40B2753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284.74</w:t>
            </w:r>
          </w:p>
        </w:tc>
        <w:tc>
          <w:tcPr>
            <w:tcW w:w="500" w:type="pct"/>
            <w:tcBorders>
              <w:top w:val="single" w:sz="4" w:space="0" w:color="auto"/>
              <w:left w:val="nil"/>
              <w:bottom w:val="nil"/>
              <w:right w:val="nil"/>
            </w:tcBorders>
            <w:shd w:val="clear" w:color="auto" w:fill="auto"/>
            <w:vAlign w:val="center"/>
            <w:hideMark/>
          </w:tcPr>
          <w:p w14:paraId="1946820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2.99</w:t>
            </w:r>
          </w:p>
        </w:tc>
        <w:tc>
          <w:tcPr>
            <w:tcW w:w="500" w:type="pct"/>
            <w:tcBorders>
              <w:top w:val="single" w:sz="4" w:space="0" w:color="auto"/>
              <w:left w:val="nil"/>
              <w:bottom w:val="nil"/>
              <w:right w:val="nil"/>
            </w:tcBorders>
            <w:shd w:val="clear" w:color="auto" w:fill="auto"/>
            <w:vAlign w:val="center"/>
            <w:hideMark/>
          </w:tcPr>
          <w:p w14:paraId="40F6832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32.67</w:t>
            </w:r>
          </w:p>
        </w:tc>
        <w:tc>
          <w:tcPr>
            <w:tcW w:w="500" w:type="pct"/>
            <w:tcBorders>
              <w:top w:val="single" w:sz="4" w:space="0" w:color="auto"/>
              <w:left w:val="nil"/>
              <w:bottom w:val="nil"/>
              <w:right w:val="nil"/>
            </w:tcBorders>
            <w:shd w:val="clear" w:color="auto" w:fill="auto"/>
            <w:vAlign w:val="center"/>
            <w:hideMark/>
          </w:tcPr>
          <w:p w14:paraId="4C13709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w:t>
            </w:r>
          </w:p>
        </w:tc>
        <w:tc>
          <w:tcPr>
            <w:tcW w:w="500" w:type="pct"/>
            <w:tcBorders>
              <w:top w:val="single" w:sz="4" w:space="0" w:color="auto"/>
              <w:left w:val="nil"/>
              <w:bottom w:val="nil"/>
              <w:right w:val="nil"/>
            </w:tcBorders>
            <w:shd w:val="clear" w:color="auto" w:fill="auto"/>
            <w:vAlign w:val="center"/>
            <w:hideMark/>
          </w:tcPr>
          <w:p w14:paraId="20D3853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single" w:sz="4" w:space="0" w:color="auto"/>
              <w:left w:val="nil"/>
              <w:bottom w:val="nil"/>
              <w:right w:val="nil"/>
            </w:tcBorders>
            <w:shd w:val="clear" w:color="auto" w:fill="auto"/>
            <w:vAlign w:val="center"/>
            <w:hideMark/>
          </w:tcPr>
          <w:p w14:paraId="6DAA241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–9.3</w:t>
            </w:r>
          </w:p>
        </w:tc>
        <w:tc>
          <w:tcPr>
            <w:tcW w:w="500" w:type="pct"/>
            <w:tcBorders>
              <w:top w:val="single" w:sz="4" w:space="0" w:color="auto"/>
              <w:left w:val="nil"/>
              <w:bottom w:val="nil"/>
              <w:right w:val="nil"/>
            </w:tcBorders>
            <w:shd w:val="clear" w:color="auto" w:fill="auto"/>
            <w:vAlign w:val="center"/>
            <w:hideMark/>
          </w:tcPr>
          <w:p w14:paraId="3338288E"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–77.87</w:t>
            </w:r>
          </w:p>
        </w:tc>
      </w:tr>
      <w:tr w:rsidR="00082FB6" w:rsidRPr="00082FB6" w14:paraId="5B65233F" w14:textId="77777777" w:rsidTr="00082FB6">
        <w:trPr>
          <w:trHeight w:val="340"/>
        </w:trPr>
        <w:tc>
          <w:tcPr>
            <w:tcW w:w="500" w:type="pct"/>
            <w:tcBorders>
              <w:top w:val="nil"/>
              <w:left w:val="nil"/>
              <w:bottom w:val="nil"/>
              <w:right w:val="nil"/>
            </w:tcBorders>
            <w:shd w:val="clear" w:color="auto" w:fill="auto"/>
            <w:vAlign w:val="center"/>
            <w:hideMark/>
          </w:tcPr>
          <w:p w14:paraId="0922EDA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ETrp</w:t>
            </w:r>
            <w:proofErr w:type="spellEnd"/>
            <w:r w:rsidRPr="00082FB6">
              <w:rPr>
                <w:rFonts w:ascii="Times New Roman" w:eastAsia="Times New Roman" w:hAnsi="Times New Roman" w:cs="Times New Roman"/>
                <w:color w:val="000000"/>
                <w:sz w:val="20"/>
                <w:szCs w:val="20"/>
                <w:lang w:eastAsia="en-US"/>
              </w:rPr>
              <w:t xml:space="preserve"> (2)</w:t>
            </w:r>
          </w:p>
        </w:tc>
        <w:tc>
          <w:tcPr>
            <w:tcW w:w="500" w:type="pct"/>
            <w:tcBorders>
              <w:top w:val="nil"/>
              <w:left w:val="nil"/>
              <w:bottom w:val="nil"/>
              <w:right w:val="nil"/>
            </w:tcBorders>
            <w:shd w:val="clear" w:color="auto" w:fill="auto"/>
            <w:vAlign w:val="center"/>
            <w:hideMark/>
          </w:tcPr>
          <w:p w14:paraId="1C0354A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Tryptophan</w:t>
            </w:r>
          </w:p>
        </w:tc>
        <w:tc>
          <w:tcPr>
            <w:tcW w:w="500" w:type="pct"/>
            <w:tcBorders>
              <w:top w:val="nil"/>
              <w:left w:val="nil"/>
              <w:bottom w:val="nil"/>
              <w:right w:val="nil"/>
            </w:tcBorders>
            <w:shd w:val="clear" w:color="auto" w:fill="auto"/>
            <w:vAlign w:val="center"/>
            <w:hideMark/>
          </w:tcPr>
          <w:p w14:paraId="46D3DE6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Yes</w:t>
            </w:r>
          </w:p>
        </w:tc>
        <w:tc>
          <w:tcPr>
            <w:tcW w:w="500" w:type="pct"/>
            <w:tcBorders>
              <w:top w:val="nil"/>
              <w:left w:val="nil"/>
              <w:bottom w:val="nil"/>
              <w:right w:val="nil"/>
            </w:tcBorders>
            <w:shd w:val="clear" w:color="auto" w:fill="auto"/>
            <w:vAlign w:val="center"/>
            <w:hideMark/>
          </w:tcPr>
          <w:p w14:paraId="49086E7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320.39</w:t>
            </w:r>
          </w:p>
        </w:tc>
        <w:tc>
          <w:tcPr>
            <w:tcW w:w="500" w:type="pct"/>
            <w:tcBorders>
              <w:top w:val="nil"/>
              <w:left w:val="nil"/>
              <w:bottom w:val="nil"/>
              <w:right w:val="nil"/>
            </w:tcBorders>
            <w:shd w:val="clear" w:color="auto" w:fill="auto"/>
            <w:vAlign w:val="center"/>
            <w:hideMark/>
          </w:tcPr>
          <w:p w14:paraId="63836D0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2.78</w:t>
            </w:r>
          </w:p>
        </w:tc>
        <w:tc>
          <w:tcPr>
            <w:tcW w:w="500" w:type="pct"/>
            <w:tcBorders>
              <w:top w:val="nil"/>
              <w:left w:val="nil"/>
              <w:bottom w:val="nil"/>
              <w:right w:val="nil"/>
            </w:tcBorders>
            <w:shd w:val="clear" w:color="auto" w:fill="auto"/>
            <w:vAlign w:val="center"/>
            <w:hideMark/>
          </w:tcPr>
          <w:p w14:paraId="43FB7C0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45.33</w:t>
            </w:r>
          </w:p>
        </w:tc>
        <w:tc>
          <w:tcPr>
            <w:tcW w:w="500" w:type="pct"/>
            <w:tcBorders>
              <w:top w:val="nil"/>
              <w:left w:val="nil"/>
              <w:bottom w:val="nil"/>
              <w:right w:val="nil"/>
            </w:tcBorders>
            <w:shd w:val="clear" w:color="auto" w:fill="auto"/>
            <w:vAlign w:val="center"/>
            <w:hideMark/>
          </w:tcPr>
          <w:p w14:paraId="21D2703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2126B223"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w:t>
            </w:r>
          </w:p>
        </w:tc>
        <w:tc>
          <w:tcPr>
            <w:tcW w:w="500" w:type="pct"/>
            <w:tcBorders>
              <w:top w:val="nil"/>
              <w:left w:val="nil"/>
              <w:bottom w:val="nil"/>
              <w:right w:val="nil"/>
            </w:tcBorders>
            <w:shd w:val="clear" w:color="auto" w:fill="auto"/>
            <w:vAlign w:val="center"/>
            <w:hideMark/>
          </w:tcPr>
          <w:p w14:paraId="648CB43E"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–9.8</w:t>
            </w:r>
          </w:p>
        </w:tc>
        <w:tc>
          <w:tcPr>
            <w:tcW w:w="500" w:type="pct"/>
            <w:tcBorders>
              <w:top w:val="nil"/>
              <w:left w:val="nil"/>
              <w:bottom w:val="nil"/>
              <w:right w:val="nil"/>
            </w:tcBorders>
            <w:shd w:val="clear" w:color="auto" w:fill="auto"/>
            <w:vAlign w:val="center"/>
            <w:hideMark/>
          </w:tcPr>
          <w:p w14:paraId="04EB8BF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–168.05</w:t>
            </w:r>
          </w:p>
        </w:tc>
      </w:tr>
      <w:tr w:rsidR="00082FB6" w:rsidRPr="00082FB6" w14:paraId="492F5E65" w14:textId="77777777" w:rsidTr="00082FB6">
        <w:trPr>
          <w:trHeight w:val="340"/>
        </w:trPr>
        <w:tc>
          <w:tcPr>
            <w:tcW w:w="500" w:type="pct"/>
            <w:tcBorders>
              <w:top w:val="nil"/>
              <w:left w:val="nil"/>
              <w:bottom w:val="nil"/>
              <w:right w:val="nil"/>
            </w:tcBorders>
            <w:shd w:val="clear" w:color="auto" w:fill="auto"/>
            <w:vAlign w:val="center"/>
            <w:hideMark/>
          </w:tcPr>
          <w:p w14:paraId="520621A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ETyr</w:t>
            </w:r>
            <w:proofErr w:type="spellEnd"/>
            <w:r w:rsidRPr="00082FB6">
              <w:rPr>
                <w:rFonts w:ascii="Times New Roman" w:eastAsia="Times New Roman" w:hAnsi="Times New Roman" w:cs="Times New Roman"/>
                <w:color w:val="000000"/>
                <w:sz w:val="20"/>
                <w:szCs w:val="20"/>
                <w:lang w:eastAsia="en-US"/>
              </w:rPr>
              <w:t xml:space="preserve"> (14)</w:t>
            </w:r>
          </w:p>
        </w:tc>
        <w:tc>
          <w:tcPr>
            <w:tcW w:w="500" w:type="pct"/>
            <w:tcBorders>
              <w:top w:val="nil"/>
              <w:left w:val="nil"/>
              <w:bottom w:val="nil"/>
              <w:right w:val="nil"/>
            </w:tcBorders>
            <w:shd w:val="clear" w:color="auto" w:fill="auto"/>
            <w:vAlign w:val="center"/>
            <w:hideMark/>
          </w:tcPr>
          <w:p w14:paraId="5045972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Tyrosine</w:t>
            </w:r>
          </w:p>
        </w:tc>
        <w:tc>
          <w:tcPr>
            <w:tcW w:w="500" w:type="pct"/>
            <w:tcBorders>
              <w:top w:val="nil"/>
              <w:left w:val="nil"/>
              <w:bottom w:val="nil"/>
              <w:right w:val="nil"/>
            </w:tcBorders>
            <w:shd w:val="clear" w:color="auto" w:fill="auto"/>
            <w:vAlign w:val="center"/>
            <w:hideMark/>
          </w:tcPr>
          <w:p w14:paraId="18C46F5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Yes</w:t>
            </w:r>
          </w:p>
        </w:tc>
        <w:tc>
          <w:tcPr>
            <w:tcW w:w="500" w:type="pct"/>
            <w:tcBorders>
              <w:top w:val="nil"/>
              <w:left w:val="nil"/>
              <w:bottom w:val="nil"/>
              <w:right w:val="nil"/>
            </w:tcBorders>
            <w:shd w:val="clear" w:color="auto" w:fill="auto"/>
            <w:vAlign w:val="center"/>
            <w:hideMark/>
          </w:tcPr>
          <w:p w14:paraId="42F00A9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297.35</w:t>
            </w:r>
          </w:p>
        </w:tc>
        <w:tc>
          <w:tcPr>
            <w:tcW w:w="500" w:type="pct"/>
            <w:tcBorders>
              <w:top w:val="nil"/>
              <w:left w:val="nil"/>
              <w:bottom w:val="nil"/>
              <w:right w:val="nil"/>
            </w:tcBorders>
            <w:shd w:val="clear" w:color="auto" w:fill="auto"/>
            <w:vAlign w:val="center"/>
            <w:hideMark/>
          </w:tcPr>
          <w:p w14:paraId="0DD3F0B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2.49</w:t>
            </w:r>
          </w:p>
        </w:tc>
        <w:tc>
          <w:tcPr>
            <w:tcW w:w="500" w:type="pct"/>
            <w:tcBorders>
              <w:top w:val="nil"/>
              <w:left w:val="nil"/>
              <w:bottom w:val="nil"/>
              <w:right w:val="nil"/>
            </w:tcBorders>
            <w:shd w:val="clear" w:color="auto" w:fill="auto"/>
            <w:vAlign w:val="center"/>
            <w:hideMark/>
          </w:tcPr>
          <w:p w14:paraId="16C77C5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49.77</w:t>
            </w:r>
          </w:p>
        </w:tc>
        <w:tc>
          <w:tcPr>
            <w:tcW w:w="500" w:type="pct"/>
            <w:tcBorders>
              <w:top w:val="nil"/>
              <w:left w:val="nil"/>
              <w:bottom w:val="nil"/>
              <w:right w:val="nil"/>
            </w:tcBorders>
            <w:shd w:val="clear" w:color="auto" w:fill="auto"/>
            <w:vAlign w:val="center"/>
            <w:hideMark/>
          </w:tcPr>
          <w:p w14:paraId="7DFA153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w:t>
            </w:r>
          </w:p>
        </w:tc>
        <w:tc>
          <w:tcPr>
            <w:tcW w:w="500" w:type="pct"/>
            <w:tcBorders>
              <w:top w:val="nil"/>
              <w:left w:val="nil"/>
              <w:bottom w:val="nil"/>
              <w:right w:val="nil"/>
            </w:tcBorders>
            <w:shd w:val="clear" w:color="auto" w:fill="auto"/>
            <w:vAlign w:val="center"/>
            <w:hideMark/>
          </w:tcPr>
          <w:p w14:paraId="7E0C78E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w:t>
            </w:r>
          </w:p>
        </w:tc>
        <w:tc>
          <w:tcPr>
            <w:tcW w:w="500" w:type="pct"/>
            <w:tcBorders>
              <w:top w:val="nil"/>
              <w:left w:val="nil"/>
              <w:bottom w:val="nil"/>
              <w:right w:val="nil"/>
            </w:tcBorders>
            <w:shd w:val="clear" w:color="auto" w:fill="auto"/>
            <w:vAlign w:val="center"/>
            <w:hideMark/>
          </w:tcPr>
          <w:p w14:paraId="3F87306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–10.0</w:t>
            </w:r>
          </w:p>
        </w:tc>
        <w:tc>
          <w:tcPr>
            <w:tcW w:w="500" w:type="pct"/>
            <w:tcBorders>
              <w:top w:val="nil"/>
              <w:left w:val="nil"/>
              <w:bottom w:val="nil"/>
              <w:right w:val="nil"/>
            </w:tcBorders>
            <w:shd w:val="clear" w:color="auto" w:fill="auto"/>
            <w:vAlign w:val="center"/>
            <w:hideMark/>
          </w:tcPr>
          <w:p w14:paraId="40599ED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–60.97</w:t>
            </w:r>
          </w:p>
        </w:tc>
      </w:tr>
      <w:tr w:rsidR="00082FB6" w:rsidRPr="00082FB6" w14:paraId="35649C64" w14:textId="77777777" w:rsidTr="00082FB6">
        <w:trPr>
          <w:trHeight w:val="340"/>
        </w:trPr>
        <w:tc>
          <w:tcPr>
            <w:tcW w:w="500" w:type="pct"/>
            <w:tcBorders>
              <w:top w:val="nil"/>
              <w:left w:val="nil"/>
              <w:bottom w:val="nil"/>
              <w:right w:val="nil"/>
            </w:tcBorders>
            <w:shd w:val="clear" w:color="auto" w:fill="auto"/>
            <w:vAlign w:val="center"/>
            <w:hideMark/>
          </w:tcPr>
          <w:p w14:paraId="39451CB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EPhe</w:t>
            </w:r>
            <w:proofErr w:type="spellEnd"/>
            <w:r w:rsidRPr="00082FB6">
              <w:rPr>
                <w:rFonts w:ascii="Times New Roman" w:eastAsia="Times New Roman" w:hAnsi="Times New Roman" w:cs="Times New Roman"/>
                <w:color w:val="000000"/>
                <w:sz w:val="20"/>
                <w:szCs w:val="20"/>
                <w:lang w:eastAsia="en-US"/>
              </w:rPr>
              <w:t xml:space="preserve"> (3)</w:t>
            </w:r>
          </w:p>
        </w:tc>
        <w:tc>
          <w:tcPr>
            <w:tcW w:w="500" w:type="pct"/>
            <w:tcBorders>
              <w:top w:val="nil"/>
              <w:left w:val="nil"/>
              <w:bottom w:val="nil"/>
              <w:right w:val="nil"/>
            </w:tcBorders>
            <w:shd w:val="clear" w:color="auto" w:fill="auto"/>
            <w:vAlign w:val="center"/>
            <w:hideMark/>
          </w:tcPr>
          <w:p w14:paraId="2B6A572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Phenylalanine</w:t>
            </w:r>
          </w:p>
        </w:tc>
        <w:tc>
          <w:tcPr>
            <w:tcW w:w="500" w:type="pct"/>
            <w:tcBorders>
              <w:top w:val="nil"/>
              <w:left w:val="nil"/>
              <w:bottom w:val="nil"/>
              <w:right w:val="nil"/>
            </w:tcBorders>
            <w:shd w:val="clear" w:color="auto" w:fill="auto"/>
            <w:vAlign w:val="center"/>
            <w:hideMark/>
          </w:tcPr>
          <w:p w14:paraId="299ECE2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Yes</w:t>
            </w:r>
          </w:p>
        </w:tc>
        <w:tc>
          <w:tcPr>
            <w:tcW w:w="500" w:type="pct"/>
            <w:tcBorders>
              <w:top w:val="nil"/>
              <w:left w:val="nil"/>
              <w:bottom w:val="nil"/>
              <w:right w:val="nil"/>
            </w:tcBorders>
            <w:shd w:val="clear" w:color="auto" w:fill="auto"/>
            <w:vAlign w:val="center"/>
            <w:hideMark/>
          </w:tcPr>
          <w:p w14:paraId="4C58B87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281.35</w:t>
            </w:r>
          </w:p>
        </w:tc>
        <w:tc>
          <w:tcPr>
            <w:tcW w:w="500" w:type="pct"/>
            <w:tcBorders>
              <w:top w:val="nil"/>
              <w:left w:val="nil"/>
              <w:bottom w:val="nil"/>
              <w:right w:val="nil"/>
            </w:tcBorders>
            <w:shd w:val="clear" w:color="auto" w:fill="auto"/>
            <w:vAlign w:val="center"/>
            <w:hideMark/>
          </w:tcPr>
          <w:p w14:paraId="02A898F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2.78</w:t>
            </w:r>
          </w:p>
        </w:tc>
        <w:tc>
          <w:tcPr>
            <w:tcW w:w="500" w:type="pct"/>
            <w:tcBorders>
              <w:top w:val="nil"/>
              <w:left w:val="nil"/>
              <w:bottom w:val="nil"/>
              <w:right w:val="nil"/>
            </w:tcBorders>
            <w:shd w:val="clear" w:color="auto" w:fill="auto"/>
            <w:vAlign w:val="center"/>
            <w:hideMark/>
          </w:tcPr>
          <w:p w14:paraId="19006A3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bottom w:val="nil"/>
              <w:right w:val="nil"/>
            </w:tcBorders>
            <w:shd w:val="clear" w:color="auto" w:fill="auto"/>
            <w:vAlign w:val="center"/>
            <w:hideMark/>
          </w:tcPr>
          <w:p w14:paraId="3FF75B7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0F7D619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5814B00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–9.0</w:t>
            </w:r>
          </w:p>
        </w:tc>
        <w:tc>
          <w:tcPr>
            <w:tcW w:w="500" w:type="pct"/>
            <w:tcBorders>
              <w:top w:val="nil"/>
              <w:left w:val="nil"/>
              <w:bottom w:val="nil"/>
              <w:right w:val="nil"/>
            </w:tcBorders>
            <w:shd w:val="clear" w:color="auto" w:fill="auto"/>
            <w:vAlign w:val="center"/>
            <w:hideMark/>
          </w:tcPr>
          <w:p w14:paraId="2CB1A06F" w14:textId="15C4989A"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29336B28" w14:textId="77777777" w:rsidTr="00082FB6">
        <w:trPr>
          <w:trHeight w:val="340"/>
        </w:trPr>
        <w:tc>
          <w:tcPr>
            <w:tcW w:w="500" w:type="pct"/>
            <w:tcBorders>
              <w:top w:val="nil"/>
              <w:left w:val="nil"/>
              <w:bottom w:val="nil"/>
              <w:right w:val="nil"/>
            </w:tcBorders>
            <w:shd w:val="clear" w:color="auto" w:fill="auto"/>
            <w:vAlign w:val="center"/>
            <w:hideMark/>
          </w:tcPr>
          <w:p w14:paraId="6FD0688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EHis</w:t>
            </w:r>
            <w:proofErr w:type="spellEnd"/>
            <w:r w:rsidRPr="00082FB6">
              <w:rPr>
                <w:rFonts w:ascii="Times New Roman" w:eastAsia="Times New Roman" w:hAnsi="Times New Roman" w:cs="Times New Roman"/>
                <w:color w:val="000000"/>
                <w:sz w:val="20"/>
                <w:szCs w:val="20"/>
                <w:lang w:eastAsia="en-US"/>
              </w:rPr>
              <w:t xml:space="preserve"> (1)</w:t>
            </w:r>
          </w:p>
        </w:tc>
        <w:tc>
          <w:tcPr>
            <w:tcW w:w="500" w:type="pct"/>
            <w:tcBorders>
              <w:top w:val="nil"/>
              <w:left w:val="nil"/>
              <w:bottom w:val="nil"/>
              <w:right w:val="nil"/>
            </w:tcBorders>
            <w:shd w:val="clear" w:color="auto" w:fill="auto"/>
            <w:vAlign w:val="center"/>
            <w:hideMark/>
          </w:tcPr>
          <w:p w14:paraId="2947698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Histidine</w:t>
            </w:r>
          </w:p>
        </w:tc>
        <w:tc>
          <w:tcPr>
            <w:tcW w:w="500" w:type="pct"/>
            <w:tcBorders>
              <w:top w:val="nil"/>
              <w:left w:val="nil"/>
              <w:bottom w:val="nil"/>
              <w:right w:val="nil"/>
            </w:tcBorders>
            <w:shd w:val="clear" w:color="auto" w:fill="auto"/>
            <w:vAlign w:val="center"/>
            <w:hideMark/>
          </w:tcPr>
          <w:p w14:paraId="33A80908"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Yes</w:t>
            </w:r>
          </w:p>
        </w:tc>
        <w:tc>
          <w:tcPr>
            <w:tcW w:w="500" w:type="pct"/>
            <w:tcBorders>
              <w:top w:val="nil"/>
              <w:left w:val="nil"/>
              <w:bottom w:val="nil"/>
              <w:right w:val="nil"/>
            </w:tcBorders>
            <w:shd w:val="clear" w:color="auto" w:fill="auto"/>
            <w:vAlign w:val="center"/>
            <w:hideMark/>
          </w:tcPr>
          <w:p w14:paraId="506F3918"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271.31</w:t>
            </w:r>
          </w:p>
        </w:tc>
        <w:tc>
          <w:tcPr>
            <w:tcW w:w="500" w:type="pct"/>
            <w:tcBorders>
              <w:top w:val="nil"/>
              <w:left w:val="nil"/>
              <w:bottom w:val="nil"/>
              <w:right w:val="nil"/>
            </w:tcBorders>
            <w:shd w:val="clear" w:color="auto" w:fill="auto"/>
            <w:vAlign w:val="center"/>
            <w:hideMark/>
          </w:tcPr>
          <w:p w14:paraId="55EE289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1.02</w:t>
            </w:r>
          </w:p>
        </w:tc>
        <w:tc>
          <w:tcPr>
            <w:tcW w:w="500" w:type="pct"/>
            <w:tcBorders>
              <w:top w:val="nil"/>
              <w:left w:val="nil"/>
              <w:bottom w:val="nil"/>
              <w:right w:val="nil"/>
            </w:tcBorders>
            <w:shd w:val="clear" w:color="auto" w:fill="auto"/>
            <w:vAlign w:val="center"/>
            <w:hideMark/>
          </w:tcPr>
          <w:p w14:paraId="2C98A8D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58.22</w:t>
            </w:r>
          </w:p>
        </w:tc>
        <w:tc>
          <w:tcPr>
            <w:tcW w:w="500" w:type="pct"/>
            <w:tcBorders>
              <w:top w:val="nil"/>
              <w:left w:val="nil"/>
              <w:bottom w:val="nil"/>
              <w:right w:val="nil"/>
            </w:tcBorders>
            <w:shd w:val="clear" w:color="auto" w:fill="auto"/>
            <w:vAlign w:val="center"/>
            <w:hideMark/>
          </w:tcPr>
          <w:p w14:paraId="7790F99E"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w:t>
            </w:r>
          </w:p>
        </w:tc>
        <w:tc>
          <w:tcPr>
            <w:tcW w:w="500" w:type="pct"/>
            <w:tcBorders>
              <w:top w:val="nil"/>
              <w:left w:val="nil"/>
              <w:bottom w:val="nil"/>
              <w:right w:val="nil"/>
            </w:tcBorders>
            <w:shd w:val="clear" w:color="auto" w:fill="auto"/>
            <w:vAlign w:val="center"/>
            <w:hideMark/>
          </w:tcPr>
          <w:p w14:paraId="0FC51C3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w:t>
            </w:r>
          </w:p>
        </w:tc>
        <w:tc>
          <w:tcPr>
            <w:tcW w:w="500" w:type="pct"/>
            <w:tcBorders>
              <w:top w:val="nil"/>
              <w:left w:val="nil"/>
              <w:bottom w:val="nil"/>
              <w:right w:val="nil"/>
            </w:tcBorders>
            <w:shd w:val="clear" w:color="auto" w:fill="auto"/>
            <w:vAlign w:val="center"/>
            <w:hideMark/>
          </w:tcPr>
          <w:p w14:paraId="17D8EAC3"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–9.3</w:t>
            </w:r>
          </w:p>
        </w:tc>
        <w:tc>
          <w:tcPr>
            <w:tcW w:w="500" w:type="pct"/>
            <w:tcBorders>
              <w:top w:val="nil"/>
              <w:left w:val="nil"/>
              <w:bottom w:val="nil"/>
              <w:right w:val="nil"/>
            </w:tcBorders>
            <w:shd w:val="clear" w:color="auto" w:fill="auto"/>
            <w:vAlign w:val="center"/>
            <w:hideMark/>
          </w:tcPr>
          <w:p w14:paraId="77B300D2" w14:textId="6C840985"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677B4900" w14:textId="77777777" w:rsidTr="00082FB6">
        <w:trPr>
          <w:trHeight w:val="340"/>
        </w:trPr>
        <w:tc>
          <w:tcPr>
            <w:tcW w:w="500" w:type="pct"/>
            <w:tcBorders>
              <w:top w:val="nil"/>
              <w:left w:val="nil"/>
              <w:bottom w:val="nil"/>
              <w:right w:val="nil"/>
            </w:tcBorders>
            <w:shd w:val="clear" w:color="auto" w:fill="auto"/>
            <w:vAlign w:val="center"/>
            <w:hideMark/>
          </w:tcPr>
          <w:p w14:paraId="34A2A28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EAla</w:t>
            </w:r>
            <w:proofErr w:type="spellEnd"/>
            <w:r w:rsidRPr="00082FB6">
              <w:rPr>
                <w:rFonts w:ascii="Times New Roman" w:eastAsia="Times New Roman" w:hAnsi="Times New Roman" w:cs="Times New Roman"/>
                <w:color w:val="000000"/>
                <w:sz w:val="20"/>
                <w:szCs w:val="20"/>
                <w:lang w:eastAsia="en-US"/>
              </w:rPr>
              <w:t xml:space="preserve"> (6)</w:t>
            </w:r>
          </w:p>
        </w:tc>
        <w:tc>
          <w:tcPr>
            <w:tcW w:w="500" w:type="pct"/>
            <w:tcBorders>
              <w:top w:val="nil"/>
              <w:left w:val="nil"/>
              <w:bottom w:val="nil"/>
              <w:right w:val="nil"/>
            </w:tcBorders>
            <w:shd w:val="clear" w:color="auto" w:fill="auto"/>
            <w:vAlign w:val="center"/>
            <w:hideMark/>
          </w:tcPr>
          <w:p w14:paraId="5E426D22"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Alanine</w:t>
            </w:r>
          </w:p>
        </w:tc>
        <w:tc>
          <w:tcPr>
            <w:tcW w:w="500" w:type="pct"/>
            <w:tcBorders>
              <w:top w:val="nil"/>
              <w:left w:val="nil"/>
              <w:bottom w:val="nil"/>
              <w:right w:val="nil"/>
            </w:tcBorders>
            <w:shd w:val="clear" w:color="auto" w:fill="auto"/>
            <w:vAlign w:val="center"/>
            <w:hideMark/>
          </w:tcPr>
          <w:p w14:paraId="3561ABD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7F0AF01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205.25</w:t>
            </w:r>
          </w:p>
        </w:tc>
        <w:tc>
          <w:tcPr>
            <w:tcW w:w="500" w:type="pct"/>
            <w:tcBorders>
              <w:top w:val="nil"/>
              <w:left w:val="nil"/>
              <w:bottom w:val="nil"/>
              <w:right w:val="nil"/>
            </w:tcBorders>
            <w:shd w:val="clear" w:color="auto" w:fill="auto"/>
            <w:vAlign w:val="center"/>
            <w:hideMark/>
          </w:tcPr>
          <w:p w14:paraId="61A95BA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1.56</w:t>
            </w:r>
          </w:p>
        </w:tc>
        <w:tc>
          <w:tcPr>
            <w:tcW w:w="500" w:type="pct"/>
            <w:tcBorders>
              <w:top w:val="nil"/>
              <w:left w:val="nil"/>
              <w:bottom w:val="nil"/>
              <w:right w:val="nil"/>
            </w:tcBorders>
            <w:shd w:val="clear" w:color="auto" w:fill="auto"/>
            <w:vAlign w:val="center"/>
            <w:hideMark/>
          </w:tcPr>
          <w:p w14:paraId="392ED40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bottom w:val="nil"/>
              <w:right w:val="nil"/>
            </w:tcBorders>
            <w:shd w:val="clear" w:color="auto" w:fill="auto"/>
            <w:vAlign w:val="center"/>
            <w:hideMark/>
          </w:tcPr>
          <w:p w14:paraId="5489557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33A02A78"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228A0394" w14:textId="7DB75272"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-8</w:t>
            </w:r>
          </w:p>
        </w:tc>
        <w:tc>
          <w:tcPr>
            <w:tcW w:w="500" w:type="pct"/>
            <w:tcBorders>
              <w:top w:val="nil"/>
              <w:left w:val="nil"/>
              <w:bottom w:val="nil"/>
              <w:right w:val="nil"/>
            </w:tcBorders>
            <w:shd w:val="clear" w:color="auto" w:fill="auto"/>
            <w:vAlign w:val="center"/>
            <w:hideMark/>
          </w:tcPr>
          <w:p w14:paraId="23B81145" w14:textId="3F288226"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622A248B" w14:textId="77777777" w:rsidTr="00082FB6">
        <w:trPr>
          <w:trHeight w:val="340"/>
        </w:trPr>
        <w:tc>
          <w:tcPr>
            <w:tcW w:w="500" w:type="pct"/>
            <w:tcBorders>
              <w:top w:val="nil"/>
              <w:left w:val="nil"/>
              <w:bottom w:val="nil"/>
              <w:right w:val="nil"/>
            </w:tcBorders>
            <w:shd w:val="clear" w:color="auto" w:fill="auto"/>
            <w:vAlign w:val="center"/>
            <w:hideMark/>
          </w:tcPr>
          <w:p w14:paraId="7FAC6308"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EVal</w:t>
            </w:r>
            <w:proofErr w:type="spellEnd"/>
            <w:r w:rsidRPr="00082FB6">
              <w:rPr>
                <w:rFonts w:ascii="Times New Roman" w:eastAsia="Times New Roman" w:hAnsi="Times New Roman" w:cs="Times New Roman"/>
                <w:color w:val="000000"/>
                <w:sz w:val="20"/>
                <w:szCs w:val="20"/>
                <w:lang w:eastAsia="en-US"/>
              </w:rPr>
              <w:t xml:space="preserve"> (10)</w:t>
            </w:r>
          </w:p>
        </w:tc>
        <w:tc>
          <w:tcPr>
            <w:tcW w:w="500" w:type="pct"/>
            <w:tcBorders>
              <w:top w:val="nil"/>
              <w:left w:val="nil"/>
              <w:bottom w:val="nil"/>
              <w:right w:val="nil"/>
            </w:tcBorders>
            <w:shd w:val="clear" w:color="auto" w:fill="auto"/>
            <w:vAlign w:val="center"/>
            <w:hideMark/>
          </w:tcPr>
          <w:p w14:paraId="1360288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Valine</w:t>
            </w:r>
          </w:p>
        </w:tc>
        <w:tc>
          <w:tcPr>
            <w:tcW w:w="500" w:type="pct"/>
            <w:tcBorders>
              <w:top w:val="nil"/>
              <w:left w:val="nil"/>
              <w:bottom w:val="nil"/>
              <w:right w:val="nil"/>
            </w:tcBorders>
            <w:shd w:val="clear" w:color="auto" w:fill="auto"/>
            <w:vAlign w:val="center"/>
            <w:hideMark/>
          </w:tcPr>
          <w:p w14:paraId="6AFFE8B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768F58E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233.31</w:t>
            </w:r>
          </w:p>
        </w:tc>
        <w:tc>
          <w:tcPr>
            <w:tcW w:w="500" w:type="pct"/>
            <w:tcBorders>
              <w:top w:val="nil"/>
              <w:left w:val="nil"/>
              <w:bottom w:val="nil"/>
              <w:right w:val="nil"/>
            </w:tcBorders>
            <w:shd w:val="clear" w:color="auto" w:fill="auto"/>
            <w:vAlign w:val="center"/>
            <w:hideMark/>
          </w:tcPr>
          <w:p w14:paraId="74522DD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2.2</w:t>
            </w:r>
          </w:p>
        </w:tc>
        <w:tc>
          <w:tcPr>
            <w:tcW w:w="500" w:type="pct"/>
            <w:tcBorders>
              <w:top w:val="nil"/>
              <w:left w:val="nil"/>
              <w:bottom w:val="nil"/>
              <w:right w:val="nil"/>
            </w:tcBorders>
            <w:shd w:val="clear" w:color="auto" w:fill="auto"/>
            <w:vAlign w:val="center"/>
            <w:hideMark/>
          </w:tcPr>
          <w:p w14:paraId="0FB4A90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bottom w:val="nil"/>
              <w:right w:val="nil"/>
            </w:tcBorders>
            <w:shd w:val="clear" w:color="auto" w:fill="auto"/>
            <w:vAlign w:val="center"/>
            <w:hideMark/>
          </w:tcPr>
          <w:p w14:paraId="20C5665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4FF491B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7486FF74" w14:textId="4240B5F1"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-7.8</w:t>
            </w:r>
          </w:p>
        </w:tc>
        <w:tc>
          <w:tcPr>
            <w:tcW w:w="500" w:type="pct"/>
            <w:tcBorders>
              <w:top w:val="nil"/>
              <w:left w:val="nil"/>
              <w:bottom w:val="nil"/>
              <w:right w:val="nil"/>
            </w:tcBorders>
            <w:shd w:val="clear" w:color="auto" w:fill="auto"/>
            <w:vAlign w:val="center"/>
            <w:hideMark/>
          </w:tcPr>
          <w:p w14:paraId="7A030D82" w14:textId="2ECD76CC"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366792DE" w14:textId="77777777" w:rsidTr="00082FB6">
        <w:trPr>
          <w:trHeight w:val="340"/>
        </w:trPr>
        <w:tc>
          <w:tcPr>
            <w:tcW w:w="500" w:type="pct"/>
            <w:tcBorders>
              <w:top w:val="nil"/>
              <w:left w:val="nil"/>
              <w:bottom w:val="nil"/>
              <w:right w:val="nil"/>
            </w:tcBorders>
            <w:shd w:val="clear" w:color="auto" w:fill="auto"/>
            <w:vAlign w:val="center"/>
            <w:hideMark/>
          </w:tcPr>
          <w:p w14:paraId="05C8CD2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ELeu (12)</w:t>
            </w:r>
          </w:p>
        </w:tc>
        <w:tc>
          <w:tcPr>
            <w:tcW w:w="500" w:type="pct"/>
            <w:tcBorders>
              <w:top w:val="nil"/>
              <w:left w:val="nil"/>
              <w:bottom w:val="nil"/>
              <w:right w:val="nil"/>
            </w:tcBorders>
            <w:shd w:val="clear" w:color="auto" w:fill="auto"/>
            <w:vAlign w:val="center"/>
            <w:hideMark/>
          </w:tcPr>
          <w:p w14:paraId="03721C4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Leucine</w:t>
            </w:r>
          </w:p>
        </w:tc>
        <w:tc>
          <w:tcPr>
            <w:tcW w:w="500" w:type="pct"/>
            <w:tcBorders>
              <w:top w:val="nil"/>
              <w:left w:val="nil"/>
              <w:bottom w:val="nil"/>
              <w:right w:val="nil"/>
            </w:tcBorders>
            <w:shd w:val="clear" w:color="auto" w:fill="auto"/>
            <w:vAlign w:val="center"/>
            <w:hideMark/>
          </w:tcPr>
          <w:p w14:paraId="4BB430A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5ABB547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247.33</w:t>
            </w:r>
          </w:p>
        </w:tc>
        <w:tc>
          <w:tcPr>
            <w:tcW w:w="500" w:type="pct"/>
            <w:tcBorders>
              <w:top w:val="nil"/>
              <w:left w:val="nil"/>
              <w:bottom w:val="nil"/>
              <w:right w:val="nil"/>
            </w:tcBorders>
            <w:shd w:val="clear" w:color="auto" w:fill="auto"/>
            <w:vAlign w:val="center"/>
            <w:hideMark/>
          </w:tcPr>
          <w:p w14:paraId="5FA4B60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2.59</w:t>
            </w:r>
          </w:p>
        </w:tc>
        <w:tc>
          <w:tcPr>
            <w:tcW w:w="500" w:type="pct"/>
            <w:tcBorders>
              <w:top w:val="nil"/>
              <w:left w:val="nil"/>
              <w:bottom w:val="nil"/>
              <w:right w:val="nil"/>
            </w:tcBorders>
            <w:shd w:val="clear" w:color="auto" w:fill="auto"/>
            <w:vAlign w:val="center"/>
            <w:hideMark/>
          </w:tcPr>
          <w:p w14:paraId="4CE8A92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bottom w:val="nil"/>
              <w:right w:val="nil"/>
            </w:tcBorders>
            <w:shd w:val="clear" w:color="auto" w:fill="auto"/>
            <w:vAlign w:val="center"/>
            <w:hideMark/>
          </w:tcPr>
          <w:p w14:paraId="14ADF8E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7131ED62"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236CCF66" w14:textId="59E8EC1D"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-8</w:t>
            </w:r>
          </w:p>
        </w:tc>
        <w:tc>
          <w:tcPr>
            <w:tcW w:w="500" w:type="pct"/>
            <w:tcBorders>
              <w:top w:val="nil"/>
              <w:left w:val="nil"/>
              <w:bottom w:val="nil"/>
              <w:right w:val="nil"/>
            </w:tcBorders>
            <w:shd w:val="clear" w:color="auto" w:fill="auto"/>
            <w:vAlign w:val="center"/>
            <w:hideMark/>
          </w:tcPr>
          <w:p w14:paraId="205D4D34" w14:textId="606C18F2"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6B801D78" w14:textId="77777777" w:rsidTr="00082FB6">
        <w:trPr>
          <w:trHeight w:val="340"/>
        </w:trPr>
        <w:tc>
          <w:tcPr>
            <w:tcW w:w="500" w:type="pct"/>
            <w:tcBorders>
              <w:top w:val="nil"/>
              <w:left w:val="nil"/>
              <w:bottom w:val="nil"/>
              <w:right w:val="nil"/>
            </w:tcBorders>
            <w:shd w:val="clear" w:color="auto" w:fill="auto"/>
            <w:vAlign w:val="center"/>
            <w:hideMark/>
          </w:tcPr>
          <w:p w14:paraId="3E7A135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EIso</w:t>
            </w:r>
            <w:proofErr w:type="spellEnd"/>
            <w:r w:rsidRPr="00082FB6">
              <w:rPr>
                <w:rFonts w:ascii="Times New Roman" w:eastAsia="Times New Roman" w:hAnsi="Times New Roman" w:cs="Times New Roman"/>
                <w:color w:val="000000"/>
                <w:sz w:val="20"/>
                <w:szCs w:val="20"/>
                <w:lang w:eastAsia="en-US"/>
              </w:rPr>
              <w:t xml:space="preserve"> (13)</w:t>
            </w:r>
          </w:p>
        </w:tc>
        <w:tc>
          <w:tcPr>
            <w:tcW w:w="500" w:type="pct"/>
            <w:tcBorders>
              <w:top w:val="nil"/>
              <w:left w:val="nil"/>
              <w:bottom w:val="nil"/>
              <w:right w:val="nil"/>
            </w:tcBorders>
            <w:shd w:val="clear" w:color="auto" w:fill="auto"/>
            <w:vAlign w:val="center"/>
            <w:hideMark/>
          </w:tcPr>
          <w:p w14:paraId="6C45798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Isoleucine</w:t>
            </w:r>
          </w:p>
        </w:tc>
        <w:tc>
          <w:tcPr>
            <w:tcW w:w="500" w:type="pct"/>
            <w:tcBorders>
              <w:top w:val="nil"/>
              <w:left w:val="nil"/>
              <w:bottom w:val="nil"/>
              <w:right w:val="nil"/>
            </w:tcBorders>
            <w:shd w:val="clear" w:color="auto" w:fill="auto"/>
            <w:vAlign w:val="center"/>
            <w:hideMark/>
          </w:tcPr>
          <w:p w14:paraId="4054FAD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172854F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247.33</w:t>
            </w:r>
          </w:p>
        </w:tc>
        <w:tc>
          <w:tcPr>
            <w:tcW w:w="500" w:type="pct"/>
            <w:tcBorders>
              <w:top w:val="nil"/>
              <w:left w:val="nil"/>
              <w:bottom w:val="nil"/>
              <w:right w:val="nil"/>
            </w:tcBorders>
            <w:shd w:val="clear" w:color="auto" w:fill="auto"/>
            <w:vAlign w:val="center"/>
            <w:hideMark/>
          </w:tcPr>
          <w:p w14:paraId="014F499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2.59</w:t>
            </w:r>
          </w:p>
        </w:tc>
        <w:tc>
          <w:tcPr>
            <w:tcW w:w="500" w:type="pct"/>
            <w:tcBorders>
              <w:top w:val="nil"/>
              <w:left w:val="nil"/>
              <w:bottom w:val="nil"/>
              <w:right w:val="nil"/>
            </w:tcBorders>
            <w:shd w:val="clear" w:color="auto" w:fill="auto"/>
            <w:vAlign w:val="center"/>
            <w:hideMark/>
          </w:tcPr>
          <w:p w14:paraId="59C5F30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bottom w:val="nil"/>
              <w:right w:val="nil"/>
            </w:tcBorders>
            <w:shd w:val="clear" w:color="auto" w:fill="auto"/>
            <w:vAlign w:val="center"/>
            <w:hideMark/>
          </w:tcPr>
          <w:p w14:paraId="1A08311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4750792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75459F2B" w14:textId="33815A38"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-8.3</w:t>
            </w:r>
          </w:p>
        </w:tc>
        <w:tc>
          <w:tcPr>
            <w:tcW w:w="500" w:type="pct"/>
            <w:tcBorders>
              <w:top w:val="nil"/>
              <w:left w:val="nil"/>
              <w:bottom w:val="nil"/>
              <w:right w:val="nil"/>
            </w:tcBorders>
            <w:shd w:val="clear" w:color="auto" w:fill="auto"/>
            <w:vAlign w:val="center"/>
            <w:hideMark/>
          </w:tcPr>
          <w:p w14:paraId="0AF81D13" w14:textId="33C8DD8D"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01E0F4AA" w14:textId="77777777" w:rsidTr="00082FB6">
        <w:trPr>
          <w:trHeight w:val="340"/>
        </w:trPr>
        <w:tc>
          <w:tcPr>
            <w:tcW w:w="500" w:type="pct"/>
            <w:tcBorders>
              <w:top w:val="nil"/>
              <w:left w:val="nil"/>
              <w:bottom w:val="nil"/>
              <w:right w:val="nil"/>
            </w:tcBorders>
            <w:shd w:val="clear" w:color="auto" w:fill="auto"/>
            <w:vAlign w:val="center"/>
            <w:hideMark/>
          </w:tcPr>
          <w:p w14:paraId="2CF76DF2"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EMet</w:t>
            </w:r>
            <w:proofErr w:type="spellEnd"/>
            <w:r w:rsidRPr="00082FB6">
              <w:rPr>
                <w:rFonts w:ascii="Times New Roman" w:eastAsia="Times New Roman" w:hAnsi="Times New Roman" w:cs="Times New Roman"/>
                <w:color w:val="000000"/>
                <w:sz w:val="20"/>
                <w:szCs w:val="20"/>
                <w:lang w:eastAsia="en-US"/>
              </w:rPr>
              <w:t xml:space="preserve"> (11)</w:t>
            </w:r>
          </w:p>
        </w:tc>
        <w:tc>
          <w:tcPr>
            <w:tcW w:w="500" w:type="pct"/>
            <w:tcBorders>
              <w:top w:val="nil"/>
              <w:left w:val="nil"/>
              <w:bottom w:val="nil"/>
              <w:right w:val="nil"/>
            </w:tcBorders>
            <w:shd w:val="clear" w:color="auto" w:fill="auto"/>
            <w:vAlign w:val="center"/>
            <w:hideMark/>
          </w:tcPr>
          <w:p w14:paraId="2B419F6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Methionine</w:t>
            </w:r>
          </w:p>
        </w:tc>
        <w:tc>
          <w:tcPr>
            <w:tcW w:w="500" w:type="pct"/>
            <w:tcBorders>
              <w:top w:val="nil"/>
              <w:left w:val="nil"/>
              <w:bottom w:val="nil"/>
              <w:right w:val="nil"/>
            </w:tcBorders>
            <w:shd w:val="clear" w:color="auto" w:fill="auto"/>
            <w:vAlign w:val="center"/>
            <w:hideMark/>
          </w:tcPr>
          <w:p w14:paraId="0F8C0423"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0987798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265.37</w:t>
            </w:r>
          </w:p>
        </w:tc>
        <w:tc>
          <w:tcPr>
            <w:tcW w:w="500" w:type="pct"/>
            <w:tcBorders>
              <w:top w:val="nil"/>
              <w:left w:val="nil"/>
              <w:bottom w:val="nil"/>
              <w:right w:val="nil"/>
            </w:tcBorders>
            <w:shd w:val="clear" w:color="auto" w:fill="auto"/>
            <w:vAlign w:val="center"/>
            <w:hideMark/>
          </w:tcPr>
          <w:p w14:paraId="2D4DD61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2.29</w:t>
            </w:r>
          </w:p>
        </w:tc>
        <w:tc>
          <w:tcPr>
            <w:tcW w:w="500" w:type="pct"/>
            <w:tcBorders>
              <w:top w:val="nil"/>
              <w:left w:val="nil"/>
              <w:bottom w:val="nil"/>
              <w:right w:val="nil"/>
            </w:tcBorders>
            <w:shd w:val="clear" w:color="auto" w:fill="auto"/>
            <w:vAlign w:val="center"/>
            <w:hideMark/>
          </w:tcPr>
          <w:p w14:paraId="1E1BAE2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54.84</w:t>
            </w:r>
          </w:p>
        </w:tc>
        <w:tc>
          <w:tcPr>
            <w:tcW w:w="500" w:type="pct"/>
            <w:tcBorders>
              <w:top w:val="nil"/>
              <w:left w:val="nil"/>
              <w:bottom w:val="nil"/>
              <w:right w:val="nil"/>
            </w:tcBorders>
            <w:shd w:val="clear" w:color="auto" w:fill="auto"/>
            <w:vAlign w:val="center"/>
            <w:hideMark/>
          </w:tcPr>
          <w:p w14:paraId="26F456D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06B580E8"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7C1EFA3A" w14:textId="297E8E25"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-8.2</w:t>
            </w:r>
          </w:p>
        </w:tc>
        <w:tc>
          <w:tcPr>
            <w:tcW w:w="500" w:type="pct"/>
            <w:tcBorders>
              <w:top w:val="nil"/>
              <w:left w:val="nil"/>
              <w:bottom w:val="nil"/>
              <w:right w:val="nil"/>
            </w:tcBorders>
            <w:shd w:val="clear" w:color="auto" w:fill="auto"/>
            <w:vAlign w:val="center"/>
            <w:hideMark/>
          </w:tcPr>
          <w:p w14:paraId="4B727AE1" w14:textId="54F8B47B"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094E53E3" w14:textId="77777777" w:rsidTr="00082FB6">
        <w:trPr>
          <w:trHeight w:val="340"/>
        </w:trPr>
        <w:tc>
          <w:tcPr>
            <w:tcW w:w="500" w:type="pct"/>
            <w:tcBorders>
              <w:top w:val="nil"/>
              <w:left w:val="nil"/>
              <w:bottom w:val="nil"/>
              <w:right w:val="nil"/>
            </w:tcBorders>
            <w:shd w:val="clear" w:color="auto" w:fill="auto"/>
            <w:vAlign w:val="center"/>
            <w:hideMark/>
          </w:tcPr>
          <w:p w14:paraId="2E16D8F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E4-Ab (7)</w:t>
            </w:r>
          </w:p>
        </w:tc>
        <w:tc>
          <w:tcPr>
            <w:tcW w:w="500" w:type="pct"/>
            <w:tcBorders>
              <w:top w:val="nil"/>
              <w:left w:val="nil"/>
              <w:bottom w:val="nil"/>
              <w:right w:val="nil"/>
            </w:tcBorders>
            <w:shd w:val="clear" w:color="auto" w:fill="auto"/>
            <w:vAlign w:val="center"/>
            <w:hideMark/>
          </w:tcPr>
          <w:p w14:paraId="3D8DCF2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4-Aminobutyric</w:t>
            </w:r>
          </w:p>
        </w:tc>
        <w:tc>
          <w:tcPr>
            <w:tcW w:w="500" w:type="pct"/>
            <w:tcBorders>
              <w:top w:val="nil"/>
              <w:left w:val="nil"/>
              <w:bottom w:val="nil"/>
              <w:right w:val="nil"/>
            </w:tcBorders>
            <w:shd w:val="clear" w:color="auto" w:fill="auto"/>
            <w:vAlign w:val="center"/>
            <w:hideMark/>
          </w:tcPr>
          <w:p w14:paraId="0450D2B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2BB0EEF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219.28</w:t>
            </w:r>
          </w:p>
        </w:tc>
        <w:tc>
          <w:tcPr>
            <w:tcW w:w="500" w:type="pct"/>
            <w:tcBorders>
              <w:top w:val="nil"/>
              <w:left w:val="nil"/>
              <w:bottom w:val="nil"/>
              <w:right w:val="nil"/>
            </w:tcBorders>
            <w:shd w:val="clear" w:color="auto" w:fill="auto"/>
            <w:vAlign w:val="center"/>
            <w:hideMark/>
          </w:tcPr>
          <w:p w14:paraId="3DCBE81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1.95</w:t>
            </w:r>
          </w:p>
        </w:tc>
        <w:tc>
          <w:tcPr>
            <w:tcW w:w="500" w:type="pct"/>
            <w:tcBorders>
              <w:top w:val="nil"/>
              <w:left w:val="nil"/>
              <w:bottom w:val="nil"/>
              <w:right w:val="nil"/>
            </w:tcBorders>
            <w:shd w:val="clear" w:color="auto" w:fill="auto"/>
            <w:vAlign w:val="center"/>
            <w:hideMark/>
          </w:tcPr>
          <w:p w14:paraId="5294D32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bottom w:val="nil"/>
              <w:right w:val="nil"/>
            </w:tcBorders>
            <w:shd w:val="clear" w:color="auto" w:fill="auto"/>
            <w:vAlign w:val="center"/>
            <w:hideMark/>
          </w:tcPr>
          <w:p w14:paraId="3275CD4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6C51AAA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140DDFC2" w14:textId="613F050D"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-7.5</w:t>
            </w:r>
          </w:p>
        </w:tc>
        <w:tc>
          <w:tcPr>
            <w:tcW w:w="500" w:type="pct"/>
            <w:tcBorders>
              <w:top w:val="nil"/>
              <w:left w:val="nil"/>
              <w:bottom w:val="nil"/>
              <w:right w:val="nil"/>
            </w:tcBorders>
            <w:shd w:val="clear" w:color="auto" w:fill="auto"/>
            <w:vAlign w:val="center"/>
            <w:hideMark/>
          </w:tcPr>
          <w:p w14:paraId="734DC368" w14:textId="3A93BFA3"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25B480CE" w14:textId="77777777" w:rsidTr="00082FB6">
        <w:trPr>
          <w:trHeight w:val="340"/>
        </w:trPr>
        <w:tc>
          <w:tcPr>
            <w:tcW w:w="500" w:type="pct"/>
            <w:tcBorders>
              <w:top w:val="nil"/>
              <w:left w:val="nil"/>
              <w:bottom w:val="nil"/>
              <w:right w:val="nil"/>
            </w:tcBorders>
            <w:shd w:val="clear" w:color="auto" w:fill="auto"/>
            <w:vAlign w:val="center"/>
            <w:hideMark/>
          </w:tcPr>
          <w:p w14:paraId="1CF4DC8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ESer</w:t>
            </w:r>
            <w:proofErr w:type="spellEnd"/>
            <w:r w:rsidRPr="00082FB6">
              <w:rPr>
                <w:rFonts w:ascii="Times New Roman" w:eastAsia="Times New Roman" w:hAnsi="Times New Roman" w:cs="Times New Roman"/>
                <w:color w:val="000000"/>
                <w:sz w:val="20"/>
                <w:szCs w:val="20"/>
                <w:lang w:eastAsia="en-US"/>
              </w:rPr>
              <w:t xml:space="preserve"> (5)</w:t>
            </w:r>
          </w:p>
        </w:tc>
        <w:tc>
          <w:tcPr>
            <w:tcW w:w="500" w:type="pct"/>
            <w:tcBorders>
              <w:top w:val="nil"/>
              <w:left w:val="nil"/>
              <w:bottom w:val="nil"/>
              <w:right w:val="nil"/>
            </w:tcBorders>
            <w:shd w:val="clear" w:color="auto" w:fill="auto"/>
            <w:vAlign w:val="center"/>
            <w:hideMark/>
          </w:tcPr>
          <w:p w14:paraId="78BD995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Serine</w:t>
            </w:r>
          </w:p>
        </w:tc>
        <w:tc>
          <w:tcPr>
            <w:tcW w:w="500" w:type="pct"/>
            <w:tcBorders>
              <w:top w:val="nil"/>
              <w:left w:val="nil"/>
              <w:bottom w:val="nil"/>
              <w:right w:val="nil"/>
            </w:tcBorders>
            <w:shd w:val="clear" w:color="auto" w:fill="auto"/>
            <w:vAlign w:val="center"/>
            <w:hideMark/>
          </w:tcPr>
          <w:p w14:paraId="1CB1489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583AD7E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221.25</w:t>
            </w:r>
          </w:p>
        </w:tc>
        <w:tc>
          <w:tcPr>
            <w:tcW w:w="500" w:type="pct"/>
            <w:tcBorders>
              <w:top w:val="nil"/>
              <w:left w:val="nil"/>
              <w:bottom w:val="nil"/>
              <w:right w:val="nil"/>
            </w:tcBorders>
            <w:shd w:val="clear" w:color="auto" w:fill="auto"/>
            <w:vAlign w:val="center"/>
            <w:hideMark/>
          </w:tcPr>
          <w:p w14:paraId="64793C83"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0.53</w:t>
            </w:r>
          </w:p>
        </w:tc>
        <w:tc>
          <w:tcPr>
            <w:tcW w:w="500" w:type="pct"/>
            <w:tcBorders>
              <w:top w:val="nil"/>
              <w:left w:val="nil"/>
              <w:bottom w:val="nil"/>
              <w:right w:val="nil"/>
            </w:tcBorders>
            <w:shd w:val="clear" w:color="auto" w:fill="auto"/>
            <w:vAlign w:val="center"/>
            <w:hideMark/>
          </w:tcPr>
          <w:p w14:paraId="1A13630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49.77</w:t>
            </w:r>
          </w:p>
        </w:tc>
        <w:tc>
          <w:tcPr>
            <w:tcW w:w="500" w:type="pct"/>
            <w:tcBorders>
              <w:top w:val="nil"/>
              <w:left w:val="nil"/>
              <w:bottom w:val="nil"/>
              <w:right w:val="nil"/>
            </w:tcBorders>
            <w:shd w:val="clear" w:color="auto" w:fill="auto"/>
            <w:vAlign w:val="center"/>
            <w:hideMark/>
          </w:tcPr>
          <w:p w14:paraId="74C9E90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w:t>
            </w:r>
          </w:p>
        </w:tc>
        <w:tc>
          <w:tcPr>
            <w:tcW w:w="500" w:type="pct"/>
            <w:tcBorders>
              <w:top w:val="nil"/>
              <w:left w:val="nil"/>
              <w:bottom w:val="nil"/>
              <w:right w:val="nil"/>
            </w:tcBorders>
            <w:shd w:val="clear" w:color="auto" w:fill="auto"/>
            <w:vAlign w:val="center"/>
            <w:hideMark/>
          </w:tcPr>
          <w:p w14:paraId="00FE1002"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w:t>
            </w:r>
          </w:p>
        </w:tc>
        <w:tc>
          <w:tcPr>
            <w:tcW w:w="500" w:type="pct"/>
            <w:tcBorders>
              <w:top w:val="nil"/>
              <w:left w:val="nil"/>
              <w:bottom w:val="nil"/>
              <w:right w:val="nil"/>
            </w:tcBorders>
            <w:shd w:val="clear" w:color="auto" w:fill="auto"/>
            <w:vAlign w:val="center"/>
            <w:hideMark/>
          </w:tcPr>
          <w:p w14:paraId="2DB8DB71" w14:textId="4A7D5F64"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-8.1</w:t>
            </w:r>
          </w:p>
        </w:tc>
        <w:tc>
          <w:tcPr>
            <w:tcW w:w="500" w:type="pct"/>
            <w:tcBorders>
              <w:top w:val="nil"/>
              <w:left w:val="nil"/>
              <w:bottom w:val="nil"/>
              <w:right w:val="nil"/>
            </w:tcBorders>
            <w:shd w:val="clear" w:color="auto" w:fill="auto"/>
            <w:vAlign w:val="center"/>
            <w:hideMark/>
          </w:tcPr>
          <w:p w14:paraId="27C7592B" w14:textId="119DDE7B"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68E32974" w14:textId="77777777" w:rsidTr="00082FB6">
        <w:trPr>
          <w:trHeight w:val="340"/>
        </w:trPr>
        <w:tc>
          <w:tcPr>
            <w:tcW w:w="500" w:type="pct"/>
            <w:tcBorders>
              <w:top w:val="nil"/>
              <w:left w:val="nil"/>
              <w:bottom w:val="nil"/>
              <w:right w:val="nil"/>
            </w:tcBorders>
            <w:shd w:val="clear" w:color="auto" w:fill="auto"/>
            <w:vAlign w:val="center"/>
            <w:hideMark/>
          </w:tcPr>
          <w:p w14:paraId="18BE272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EThr</w:t>
            </w:r>
            <w:proofErr w:type="spellEnd"/>
            <w:r w:rsidRPr="00082FB6">
              <w:rPr>
                <w:rFonts w:ascii="Times New Roman" w:eastAsia="Times New Roman" w:hAnsi="Times New Roman" w:cs="Times New Roman"/>
                <w:color w:val="000000"/>
                <w:sz w:val="20"/>
                <w:szCs w:val="20"/>
                <w:lang w:eastAsia="en-US"/>
              </w:rPr>
              <w:t xml:space="preserve"> (9)</w:t>
            </w:r>
          </w:p>
        </w:tc>
        <w:tc>
          <w:tcPr>
            <w:tcW w:w="500" w:type="pct"/>
            <w:tcBorders>
              <w:top w:val="nil"/>
              <w:left w:val="nil"/>
              <w:bottom w:val="nil"/>
              <w:right w:val="nil"/>
            </w:tcBorders>
            <w:shd w:val="clear" w:color="auto" w:fill="auto"/>
            <w:vAlign w:val="center"/>
            <w:hideMark/>
          </w:tcPr>
          <w:p w14:paraId="51F1E4B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Threonine</w:t>
            </w:r>
          </w:p>
        </w:tc>
        <w:tc>
          <w:tcPr>
            <w:tcW w:w="500" w:type="pct"/>
            <w:tcBorders>
              <w:top w:val="nil"/>
              <w:left w:val="nil"/>
              <w:bottom w:val="nil"/>
              <w:right w:val="nil"/>
            </w:tcBorders>
            <w:shd w:val="clear" w:color="auto" w:fill="auto"/>
            <w:vAlign w:val="center"/>
            <w:hideMark/>
          </w:tcPr>
          <w:p w14:paraId="47E0303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7EA75798"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235.28</w:t>
            </w:r>
          </w:p>
        </w:tc>
        <w:tc>
          <w:tcPr>
            <w:tcW w:w="500" w:type="pct"/>
            <w:tcBorders>
              <w:top w:val="nil"/>
              <w:left w:val="nil"/>
              <w:bottom w:val="nil"/>
              <w:right w:val="nil"/>
            </w:tcBorders>
            <w:shd w:val="clear" w:color="auto" w:fill="auto"/>
            <w:vAlign w:val="center"/>
            <w:hideMark/>
          </w:tcPr>
          <w:p w14:paraId="74D84E5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0.92</w:t>
            </w:r>
          </w:p>
        </w:tc>
        <w:tc>
          <w:tcPr>
            <w:tcW w:w="500" w:type="pct"/>
            <w:tcBorders>
              <w:top w:val="nil"/>
              <w:left w:val="nil"/>
              <w:bottom w:val="nil"/>
              <w:right w:val="nil"/>
            </w:tcBorders>
            <w:shd w:val="clear" w:color="auto" w:fill="auto"/>
            <w:vAlign w:val="center"/>
            <w:hideMark/>
          </w:tcPr>
          <w:p w14:paraId="29423DA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49.77</w:t>
            </w:r>
          </w:p>
        </w:tc>
        <w:tc>
          <w:tcPr>
            <w:tcW w:w="500" w:type="pct"/>
            <w:tcBorders>
              <w:top w:val="nil"/>
              <w:left w:val="nil"/>
              <w:bottom w:val="nil"/>
              <w:right w:val="nil"/>
            </w:tcBorders>
            <w:shd w:val="clear" w:color="auto" w:fill="auto"/>
            <w:vAlign w:val="center"/>
            <w:hideMark/>
          </w:tcPr>
          <w:p w14:paraId="6D4394E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4</w:t>
            </w:r>
          </w:p>
        </w:tc>
        <w:tc>
          <w:tcPr>
            <w:tcW w:w="500" w:type="pct"/>
            <w:tcBorders>
              <w:top w:val="nil"/>
              <w:left w:val="nil"/>
              <w:bottom w:val="nil"/>
              <w:right w:val="nil"/>
            </w:tcBorders>
            <w:shd w:val="clear" w:color="auto" w:fill="auto"/>
            <w:vAlign w:val="center"/>
            <w:hideMark/>
          </w:tcPr>
          <w:p w14:paraId="54B4DB21"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w:t>
            </w:r>
          </w:p>
        </w:tc>
        <w:tc>
          <w:tcPr>
            <w:tcW w:w="500" w:type="pct"/>
            <w:tcBorders>
              <w:top w:val="nil"/>
              <w:left w:val="nil"/>
              <w:bottom w:val="nil"/>
              <w:right w:val="nil"/>
            </w:tcBorders>
            <w:shd w:val="clear" w:color="auto" w:fill="auto"/>
            <w:vAlign w:val="center"/>
            <w:hideMark/>
          </w:tcPr>
          <w:p w14:paraId="39476039" w14:textId="21DA17AD"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-8</w:t>
            </w:r>
          </w:p>
        </w:tc>
        <w:tc>
          <w:tcPr>
            <w:tcW w:w="500" w:type="pct"/>
            <w:tcBorders>
              <w:top w:val="nil"/>
              <w:left w:val="nil"/>
              <w:bottom w:val="nil"/>
              <w:right w:val="nil"/>
            </w:tcBorders>
            <w:shd w:val="clear" w:color="auto" w:fill="auto"/>
            <w:vAlign w:val="center"/>
            <w:hideMark/>
          </w:tcPr>
          <w:p w14:paraId="02433F61" w14:textId="16959219"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22BF5A98" w14:textId="77777777" w:rsidTr="00082FB6">
        <w:trPr>
          <w:trHeight w:val="340"/>
        </w:trPr>
        <w:tc>
          <w:tcPr>
            <w:tcW w:w="500" w:type="pct"/>
            <w:tcBorders>
              <w:top w:val="nil"/>
              <w:left w:val="nil"/>
              <w:bottom w:val="nil"/>
              <w:right w:val="nil"/>
            </w:tcBorders>
            <w:shd w:val="clear" w:color="auto" w:fill="auto"/>
            <w:vAlign w:val="center"/>
            <w:hideMark/>
          </w:tcPr>
          <w:p w14:paraId="6DBA305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ECys</w:t>
            </w:r>
            <w:proofErr w:type="spellEnd"/>
            <w:r w:rsidRPr="00082FB6">
              <w:rPr>
                <w:rFonts w:ascii="Times New Roman" w:eastAsia="Times New Roman" w:hAnsi="Times New Roman" w:cs="Times New Roman"/>
                <w:color w:val="000000"/>
                <w:sz w:val="20"/>
                <w:szCs w:val="20"/>
                <w:lang w:eastAsia="en-US"/>
              </w:rPr>
              <w:t xml:space="preserve"> (15)</w:t>
            </w:r>
          </w:p>
        </w:tc>
        <w:tc>
          <w:tcPr>
            <w:tcW w:w="500" w:type="pct"/>
            <w:tcBorders>
              <w:top w:val="nil"/>
              <w:left w:val="nil"/>
              <w:bottom w:val="nil"/>
              <w:right w:val="nil"/>
            </w:tcBorders>
            <w:shd w:val="clear" w:color="auto" w:fill="auto"/>
            <w:vAlign w:val="center"/>
            <w:hideMark/>
          </w:tcPr>
          <w:p w14:paraId="1ADD6B5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Cysteine</w:t>
            </w:r>
          </w:p>
        </w:tc>
        <w:tc>
          <w:tcPr>
            <w:tcW w:w="500" w:type="pct"/>
            <w:tcBorders>
              <w:top w:val="nil"/>
              <w:left w:val="nil"/>
              <w:bottom w:val="nil"/>
              <w:right w:val="nil"/>
            </w:tcBorders>
            <w:shd w:val="clear" w:color="auto" w:fill="auto"/>
            <w:vAlign w:val="center"/>
            <w:hideMark/>
          </w:tcPr>
          <w:p w14:paraId="3B6C04FB"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3A07EE3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237.32</w:t>
            </w:r>
          </w:p>
        </w:tc>
        <w:tc>
          <w:tcPr>
            <w:tcW w:w="500" w:type="pct"/>
            <w:tcBorders>
              <w:top w:val="nil"/>
              <w:left w:val="nil"/>
              <w:bottom w:val="nil"/>
              <w:right w:val="nil"/>
            </w:tcBorders>
            <w:shd w:val="clear" w:color="auto" w:fill="auto"/>
            <w:vAlign w:val="center"/>
            <w:hideMark/>
          </w:tcPr>
          <w:p w14:paraId="5D4BB14A"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1.47</w:t>
            </w:r>
          </w:p>
        </w:tc>
        <w:tc>
          <w:tcPr>
            <w:tcW w:w="500" w:type="pct"/>
            <w:tcBorders>
              <w:top w:val="nil"/>
              <w:left w:val="nil"/>
              <w:bottom w:val="nil"/>
              <w:right w:val="nil"/>
            </w:tcBorders>
            <w:shd w:val="clear" w:color="auto" w:fill="auto"/>
            <w:vAlign w:val="center"/>
            <w:hideMark/>
          </w:tcPr>
          <w:p w14:paraId="3BDD4BE2"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68.34</w:t>
            </w:r>
          </w:p>
        </w:tc>
        <w:tc>
          <w:tcPr>
            <w:tcW w:w="500" w:type="pct"/>
            <w:tcBorders>
              <w:top w:val="nil"/>
              <w:left w:val="nil"/>
              <w:bottom w:val="nil"/>
              <w:right w:val="nil"/>
            </w:tcBorders>
            <w:shd w:val="clear" w:color="auto" w:fill="auto"/>
            <w:vAlign w:val="center"/>
            <w:hideMark/>
          </w:tcPr>
          <w:p w14:paraId="33B4FB7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nil"/>
              <w:right w:val="nil"/>
            </w:tcBorders>
            <w:shd w:val="clear" w:color="auto" w:fill="auto"/>
            <w:vAlign w:val="center"/>
            <w:hideMark/>
          </w:tcPr>
          <w:p w14:paraId="411EC577"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548A2E89" w14:textId="1E49A819"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-7.6</w:t>
            </w:r>
          </w:p>
        </w:tc>
        <w:tc>
          <w:tcPr>
            <w:tcW w:w="500" w:type="pct"/>
            <w:tcBorders>
              <w:top w:val="nil"/>
              <w:left w:val="nil"/>
              <w:bottom w:val="nil"/>
              <w:right w:val="nil"/>
            </w:tcBorders>
            <w:shd w:val="clear" w:color="auto" w:fill="auto"/>
            <w:vAlign w:val="center"/>
            <w:hideMark/>
          </w:tcPr>
          <w:p w14:paraId="54282279" w14:textId="7877BDA7"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6A5FF223" w14:textId="77777777" w:rsidTr="00082FB6">
        <w:trPr>
          <w:trHeight w:val="340"/>
        </w:trPr>
        <w:tc>
          <w:tcPr>
            <w:tcW w:w="500" w:type="pct"/>
            <w:tcBorders>
              <w:top w:val="nil"/>
              <w:left w:val="nil"/>
              <w:bottom w:val="nil"/>
              <w:right w:val="nil"/>
            </w:tcBorders>
            <w:shd w:val="clear" w:color="auto" w:fill="auto"/>
            <w:vAlign w:val="center"/>
            <w:hideMark/>
          </w:tcPr>
          <w:p w14:paraId="22033C82"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proofErr w:type="spellStart"/>
            <w:r w:rsidRPr="00082FB6">
              <w:rPr>
                <w:rFonts w:ascii="Times New Roman" w:eastAsia="Times New Roman" w:hAnsi="Times New Roman" w:cs="Times New Roman"/>
                <w:color w:val="000000"/>
                <w:sz w:val="20"/>
                <w:szCs w:val="20"/>
                <w:lang w:eastAsia="en-US"/>
              </w:rPr>
              <w:t>EGlu</w:t>
            </w:r>
            <w:proofErr w:type="spellEnd"/>
            <w:r w:rsidRPr="00082FB6">
              <w:rPr>
                <w:rFonts w:ascii="Times New Roman" w:eastAsia="Times New Roman" w:hAnsi="Times New Roman" w:cs="Times New Roman"/>
                <w:color w:val="000000"/>
                <w:sz w:val="20"/>
                <w:szCs w:val="20"/>
                <w:lang w:eastAsia="en-US"/>
              </w:rPr>
              <w:t xml:space="preserve"> (16)</w:t>
            </w:r>
          </w:p>
        </w:tc>
        <w:tc>
          <w:tcPr>
            <w:tcW w:w="500" w:type="pct"/>
            <w:tcBorders>
              <w:top w:val="nil"/>
              <w:left w:val="nil"/>
              <w:bottom w:val="nil"/>
              <w:right w:val="nil"/>
            </w:tcBorders>
            <w:shd w:val="clear" w:color="auto" w:fill="auto"/>
            <w:vAlign w:val="center"/>
            <w:hideMark/>
          </w:tcPr>
          <w:p w14:paraId="7134FF0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Glutamate</w:t>
            </w:r>
          </w:p>
        </w:tc>
        <w:tc>
          <w:tcPr>
            <w:tcW w:w="500" w:type="pct"/>
            <w:tcBorders>
              <w:top w:val="nil"/>
              <w:left w:val="nil"/>
              <w:bottom w:val="nil"/>
              <w:right w:val="nil"/>
            </w:tcBorders>
            <w:shd w:val="clear" w:color="auto" w:fill="auto"/>
            <w:vAlign w:val="center"/>
            <w:hideMark/>
          </w:tcPr>
          <w:p w14:paraId="1929559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nil"/>
              <w:right w:val="nil"/>
            </w:tcBorders>
            <w:shd w:val="clear" w:color="auto" w:fill="auto"/>
            <w:vAlign w:val="center"/>
            <w:hideMark/>
          </w:tcPr>
          <w:p w14:paraId="61C445D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277.32</w:t>
            </w:r>
          </w:p>
        </w:tc>
        <w:tc>
          <w:tcPr>
            <w:tcW w:w="500" w:type="pct"/>
            <w:tcBorders>
              <w:top w:val="nil"/>
              <w:left w:val="nil"/>
              <w:bottom w:val="nil"/>
              <w:right w:val="nil"/>
            </w:tcBorders>
            <w:shd w:val="clear" w:color="auto" w:fill="auto"/>
            <w:vAlign w:val="center"/>
            <w:hideMark/>
          </w:tcPr>
          <w:p w14:paraId="41B8ECE0"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1.49</w:t>
            </w:r>
          </w:p>
        </w:tc>
        <w:tc>
          <w:tcPr>
            <w:tcW w:w="500" w:type="pct"/>
            <w:tcBorders>
              <w:top w:val="nil"/>
              <w:left w:val="nil"/>
              <w:bottom w:val="nil"/>
              <w:right w:val="nil"/>
            </w:tcBorders>
            <w:shd w:val="clear" w:color="auto" w:fill="auto"/>
            <w:vAlign w:val="center"/>
            <w:hideMark/>
          </w:tcPr>
          <w:p w14:paraId="6E64330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55.84</w:t>
            </w:r>
          </w:p>
        </w:tc>
        <w:tc>
          <w:tcPr>
            <w:tcW w:w="500" w:type="pct"/>
            <w:tcBorders>
              <w:top w:val="nil"/>
              <w:left w:val="nil"/>
              <w:bottom w:val="nil"/>
              <w:right w:val="nil"/>
            </w:tcBorders>
            <w:shd w:val="clear" w:color="auto" w:fill="auto"/>
            <w:vAlign w:val="center"/>
            <w:hideMark/>
          </w:tcPr>
          <w:p w14:paraId="1507663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5</w:t>
            </w:r>
          </w:p>
        </w:tc>
        <w:tc>
          <w:tcPr>
            <w:tcW w:w="500" w:type="pct"/>
            <w:tcBorders>
              <w:top w:val="nil"/>
              <w:left w:val="nil"/>
              <w:bottom w:val="nil"/>
              <w:right w:val="nil"/>
            </w:tcBorders>
            <w:shd w:val="clear" w:color="auto" w:fill="auto"/>
            <w:vAlign w:val="center"/>
            <w:hideMark/>
          </w:tcPr>
          <w:p w14:paraId="57E94CC8"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nil"/>
              <w:right w:val="nil"/>
            </w:tcBorders>
            <w:shd w:val="clear" w:color="auto" w:fill="auto"/>
            <w:vAlign w:val="center"/>
            <w:hideMark/>
          </w:tcPr>
          <w:p w14:paraId="2C3377B7" w14:textId="1FCC772E"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-8.6</w:t>
            </w:r>
          </w:p>
        </w:tc>
        <w:tc>
          <w:tcPr>
            <w:tcW w:w="500" w:type="pct"/>
            <w:tcBorders>
              <w:top w:val="nil"/>
              <w:left w:val="nil"/>
              <w:bottom w:val="nil"/>
              <w:right w:val="nil"/>
            </w:tcBorders>
            <w:shd w:val="clear" w:color="auto" w:fill="auto"/>
            <w:vAlign w:val="center"/>
            <w:hideMark/>
          </w:tcPr>
          <w:p w14:paraId="4D845FE7" w14:textId="18E84F4C"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7BECAF47" w14:textId="77777777" w:rsidTr="00082FB6">
        <w:trPr>
          <w:trHeight w:val="340"/>
        </w:trPr>
        <w:tc>
          <w:tcPr>
            <w:tcW w:w="500" w:type="pct"/>
            <w:tcBorders>
              <w:top w:val="nil"/>
              <w:left w:val="nil"/>
              <w:right w:val="nil"/>
            </w:tcBorders>
            <w:shd w:val="clear" w:color="auto" w:fill="auto"/>
            <w:vAlign w:val="center"/>
            <w:hideMark/>
          </w:tcPr>
          <w:p w14:paraId="7DD9250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EGly (4)</w:t>
            </w:r>
          </w:p>
        </w:tc>
        <w:tc>
          <w:tcPr>
            <w:tcW w:w="500" w:type="pct"/>
            <w:tcBorders>
              <w:top w:val="nil"/>
              <w:left w:val="nil"/>
              <w:right w:val="nil"/>
            </w:tcBorders>
            <w:shd w:val="clear" w:color="auto" w:fill="auto"/>
            <w:vAlign w:val="center"/>
            <w:hideMark/>
          </w:tcPr>
          <w:p w14:paraId="0E6E17C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Glycine</w:t>
            </w:r>
          </w:p>
        </w:tc>
        <w:tc>
          <w:tcPr>
            <w:tcW w:w="500" w:type="pct"/>
            <w:tcBorders>
              <w:top w:val="nil"/>
              <w:left w:val="nil"/>
              <w:right w:val="nil"/>
            </w:tcBorders>
            <w:shd w:val="clear" w:color="auto" w:fill="auto"/>
            <w:vAlign w:val="center"/>
            <w:hideMark/>
          </w:tcPr>
          <w:p w14:paraId="3092AA3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right w:val="nil"/>
            </w:tcBorders>
            <w:shd w:val="clear" w:color="auto" w:fill="auto"/>
            <w:vAlign w:val="center"/>
            <w:hideMark/>
          </w:tcPr>
          <w:p w14:paraId="0599156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191.23</w:t>
            </w:r>
          </w:p>
        </w:tc>
        <w:tc>
          <w:tcPr>
            <w:tcW w:w="500" w:type="pct"/>
            <w:tcBorders>
              <w:top w:val="nil"/>
              <w:left w:val="nil"/>
              <w:right w:val="nil"/>
            </w:tcBorders>
            <w:shd w:val="clear" w:color="auto" w:fill="auto"/>
            <w:vAlign w:val="center"/>
            <w:hideMark/>
          </w:tcPr>
          <w:p w14:paraId="5CD65825"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1.17</w:t>
            </w:r>
          </w:p>
        </w:tc>
        <w:tc>
          <w:tcPr>
            <w:tcW w:w="500" w:type="pct"/>
            <w:tcBorders>
              <w:top w:val="nil"/>
              <w:left w:val="nil"/>
              <w:right w:val="nil"/>
            </w:tcBorders>
            <w:shd w:val="clear" w:color="auto" w:fill="auto"/>
            <w:vAlign w:val="center"/>
            <w:hideMark/>
          </w:tcPr>
          <w:p w14:paraId="260073D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right w:val="nil"/>
            </w:tcBorders>
            <w:shd w:val="clear" w:color="auto" w:fill="auto"/>
            <w:vAlign w:val="center"/>
            <w:hideMark/>
          </w:tcPr>
          <w:p w14:paraId="7A689DE6"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right w:val="nil"/>
            </w:tcBorders>
            <w:shd w:val="clear" w:color="auto" w:fill="auto"/>
            <w:vAlign w:val="center"/>
            <w:hideMark/>
          </w:tcPr>
          <w:p w14:paraId="1A7E737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right w:val="nil"/>
            </w:tcBorders>
            <w:shd w:val="clear" w:color="auto" w:fill="auto"/>
            <w:vAlign w:val="center"/>
            <w:hideMark/>
          </w:tcPr>
          <w:p w14:paraId="00219B31" w14:textId="6A496208"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-7.2</w:t>
            </w:r>
          </w:p>
        </w:tc>
        <w:tc>
          <w:tcPr>
            <w:tcW w:w="500" w:type="pct"/>
            <w:tcBorders>
              <w:top w:val="nil"/>
              <w:left w:val="nil"/>
              <w:right w:val="nil"/>
            </w:tcBorders>
            <w:shd w:val="clear" w:color="auto" w:fill="auto"/>
            <w:vAlign w:val="center"/>
            <w:hideMark/>
          </w:tcPr>
          <w:p w14:paraId="244B684A" w14:textId="0AB97FB9"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r w:rsidR="00082FB6" w:rsidRPr="00082FB6" w14:paraId="7539562E" w14:textId="77777777" w:rsidTr="00082FB6">
        <w:trPr>
          <w:trHeight w:val="340"/>
        </w:trPr>
        <w:tc>
          <w:tcPr>
            <w:tcW w:w="500" w:type="pct"/>
            <w:tcBorders>
              <w:top w:val="nil"/>
              <w:left w:val="nil"/>
              <w:bottom w:val="single" w:sz="4" w:space="0" w:color="auto"/>
              <w:right w:val="nil"/>
            </w:tcBorders>
            <w:shd w:val="clear" w:color="auto" w:fill="auto"/>
            <w:vAlign w:val="center"/>
            <w:hideMark/>
          </w:tcPr>
          <w:p w14:paraId="420D418F"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Eβ-Ala (8)</w:t>
            </w:r>
          </w:p>
        </w:tc>
        <w:tc>
          <w:tcPr>
            <w:tcW w:w="500" w:type="pct"/>
            <w:tcBorders>
              <w:top w:val="nil"/>
              <w:left w:val="nil"/>
              <w:bottom w:val="single" w:sz="4" w:space="0" w:color="auto"/>
              <w:right w:val="nil"/>
            </w:tcBorders>
            <w:shd w:val="clear" w:color="auto" w:fill="auto"/>
            <w:vAlign w:val="center"/>
            <w:hideMark/>
          </w:tcPr>
          <w:p w14:paraId="1198F414"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β-Alanine</w:t>
            </w:r>
          </w:p>
        </w:tc>
        <w:tc>
          <w:tcPr>
            <w:tcW w:w="500" w:type="pct"/>
            <w:tcBorders>
              <w:top w:val="nil"/>
              <w:left w:val="nil"/>
              <w:bottom w:val="single" w:sz="4" w:space="0" w:color="auto"/>
              <w:right w:val="nil"/>
            </w:tcBorders>
            <w:shd w:val="clear" w:color="auto" w:fill="auto"/>
            <w:vAlign w:val="center"/>
            <w:hideMark/>
          </w:tcPr>
          <w:p w14:paraId="33D850A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No</w:t>
            </w:r>
          </w:p>
        </w:tc>
        <w:tc>
          <w:tcPr>
            <w:tcW w:w="500" w:type="pct"/>
            <w:tcBorders>
              <w:top w:val="nil"/>
              <w:left w:val="nil"/>
              <w:bottom w:val="single" w:sz="4" w:space="0" w:color="auto"/>
              <w:right w:val="nil"/>
            </w:tcBorders>
            <w:shd w:val="clear" w:color="auto" w:fill="auto"/>
            <w:vAlign w:val="center"/>
            <w:hideMark/>
          </w:tcPr>
          <w:p w14:paraId="0C9BB32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205.25</w:t>
            </w:r>
          </w:p>
        </w:tc>
        <w:tc>
          <w:tcPr>
            <w:tcW w:w="500" w:type="pct"/>
            <w:tcBorders>
              <w:top w:val="nil"/>
              <w:left w:val="nil"/>
              <w:bottom w:val="single" w:sz="4" w:space="0" w:color="auto"/>
              <w:right w:val="nil"/>
            </w:tcBorders>
            <w:shd w:val="clear" w:color="auto" w:fill="auto"/>
            <w:vAlign w:val="center"/>
            <w:hideMark/>
          </w:tcPr>
          <w:p w14:paraId="4C356CE9"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1.56</w:t>
            </w:r>
          </w:p>
        </w:tc>
        <w:tc>
          <w:tcPr>
            <w:tcW w:w="500" w:type="pct"/>
            <w:tcBorders>
              <w:top w:val="nil"/>
              <w:left w:val="nil"/>
              <w:bottom w:val="single" w:sz="4" w:space="0" w:color="auto"/>
              <w:right w:val="nil"/>
            </w:tcBorders>
            <w:shd w:val="clear" w:color="auto" w:fill="auto"/>
            <w:vAlign w:val="center"/>
            <w:hideMark/>
          </w:tcPr>
          <w:p w14:paraId="389FFCE3"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29.54</w:t>
            </w:r>
          </w:p>
        </w:tc>
        <w:tc>
          <w:tcPr>
            <w:tcW w:w="500" w:type="pct"/>
            <w:tcBorders>
              <w:top w:val="nil"/>
              <w:left w:val="nil"/>
              <w:bottom w:val="single" w:sz="4" w:space="0" w:color="auto"/>
              <w:right w:val="nil"/>
            </w:tcBorders>
            <w:shd w:val="clear" w:color="auto" w:fill="auto"/>
            <w:vAlign w:val="center"/>
            <w:hideMark/>
          </w:tcPr>
          <w:p w14:paraId="6CB56CED"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3</w:t>
            </w:r>
          </w:p>
        </w:tc>
        <w:tc>
          <w:tcPr>
            <w:tcW w:w="500" w:type="pct"/>
            <w:tcBorders>
              <w:top w:val="nil"/>
              <w:left w:val="nil"/>
              <w:bottom w:val="single" w:sz="4" w:space="0" w:color="auto"/>
              <w:right w:val="nil"/>
            </w:tcBorders>
            <w:shd w:val="clear" w:color="auto" w:fill="auto"/>
            <w:vAlign w:val="center"/>
            <w:hideMark/>
          </w:tcPr>
          <w:p w14:paraId="07209F7C" w14:textId="77777777"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sidRPr="00082FB6">
              <w:rPr>
                <w:rFonts w:ascii="Times New Roman" w:eastAsia="Times New Roman" w:hAnsi="Times New Roman" w:cs="Times New Roman"/>
                <w:color w:val="000000"/>
                <w:sz w:val="20"/>
                <w:szCs w:val="20"/>
                <w:lang w:eastAsia="en-US"/>
              </w:rPr>
              <w:t>0</w:t>
            </w:r>
          </w:p>
        </w:tc>
        <w:tc>
          <w:tcPr>
            <w:tcW w:w="500" w:type="pct"/>
            <w:tcBorders>
              <w:top w:val="nil"/>
              <w:left w:val="nil"/>
              <w:bottom w:val="single" w:sz="4" w:space="0" w:color="auto"/>
              <w:right w:val="nil"/>
            </w:tcBorders>
            <w:shd w:val="clear" w:color="auto" w:fill="auto"/>
            <w:vAlign w:val="center"/>
            <w:hideMark/>
          </w:tcPr>
          <w:p w14:paraId="0993145E" w14:textId="660784D0" w:rsidR="00082FB6" w:rsidRPr="00082FB6" w:rsidRDefault="00082FB6" w:rsidP="00082FB6">
            <w:pPr>
              <w:spacing w:after="0" w:line="240" w:lineRule="auto"/>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-7.7</w:t>
            </w:r>
          </w:p>
        </w:tc>
        <w:tc>
          <w:tcPr>
            <w:tcW w:w="500" w:type="pct"/>
            <w:tcBorders>
              <w:top w:val="nil"/>
              <w:left w:val="nil"/>
              <w:bottom w:val="single" w:sz="4" w:space="0" w:color="auto"/>
              <w:right w:val="nil"/>
            </w:tcBorders>
            <w:shd w:val="clear" w:color="auto" w:fill="auto"/>
            <w:vAlign w:val="center"/>
            <w:hideMark/>
          </w:tcPr>
          <w:p w14:paraId="6A811617" w14:textId="1AE3C01E" w:rsidR="00082FB6" w:rsidRPr="00082FB6" w:rsidRDefault="00D37FD8" w:rsidP="00082FB6">
            <w:pPr>
              <w:spacing w:after="0" w:line="240" w:lineRule="auto"/>
              <w:jc w:val="center"/>
              <w:rPr>
                <w:rFonts w:ascii="Times New Roman" w:eastAsia="Times New Roman" w:hAnsi="Times New Roman" w:cs="Times New Roman"/>
                <w:color w:val="000000"/>
                <w:sz w:val="20"/>
                <w:szCs w:val="20"/>
                <w:highlight w:val="yellow"/>
                <w:lang w:eastAsia="en-US"/>
              </w:rPr>
            </w:pPr>
            <w:r w:rsidRPr="00624C93">
              <w:rPr>
                <w:rFonts w:ascii="Times New Roman" w:hAnsi="Times New Roman" w:cs="Times New Roman"/>
                <w:sz w:val="24"/>
                <w:szCs w:val="24"/>
              </w:rPr>
              <w:t>–</w:t>
            </w:r>
          </w:p>
        </w:tc>
      </w:tr>
    </w:tbl>
    <w:p w14:paraId="33AC1D25" w14:textId="77777777" w:rsidR="00082FB6" w:rsidRDefault="00082FB6" w:rsidP="00082FB6">
      <w:pPr>
        <w:spacing w:after="0" w:line="240" w:lineRule="auto"/>
        <w:jc w:val="both"/>
        <w:rPr>
          <w:rFonts w:ascii="Times New Roman" w:hAnsi="Times New Roman" w:cs="Times New Roman"/>
          <w:b/>
          <w:bCs/>
          <w:sz w:val="24"/>
          <w:szCs w:val="24"/>
        </w:rPr>
      </w:pPr>
    </w:p>
    <w:p w14:paraId="6CE6E6C9" w14:textId="77777777" w:rsidR="00082FB6" w:rsidRDefault="00082FB6" w:rsidP="00082FB6">
      <w:pPr>
        <w:spacing w:after="0" w:line="240" w:lineRule="auto"/>
        <w:jc w:val="both"/>
        <w:rPr>
          <w:rFonts w:ascii="Times New Roman" w:hAnsi="Times New Roman" w:cs="Times New Roman"/>
          <w:b/>
          <w:bCs/>
          <w:sz w:val="24"/>
          <w:szCs w:val="24"/>
        </w:rPr>
      </w:pPr>
    </w:p>
    <w:p w14:paraId="71309EC2" w14:textId="77777777" w:rsidR="00082FB6" w:rsidRDefault="00082FB6" w:rsidP="00082FB6">
      <w:pPr>
        <w:rPr>
          <w:rFonts w:ascii="Times New Roman" w:hAnsi="Times New Roman" w:cs="Times New Roman"/>
          <w:b/>
          <w:bCs/>
          <w:sz w:val="24"/>
          <w:szCs w:val="24"/>
        </w:rPr>
      </w:pPr>
      <w:r>
        <w:rPr>
          <w:rFonts w:ascii="Times New Roman" w:hAnsi="Times New Roman" w:cs="Times New Roman"/>
          <w:b/>
          <w:bCs/>
          <w:sz w:val="24"/>
          <w:szCs w:val="24"/>
        </w:rPr>
        <w:br w:type="page"/>
      </w:r>
    </w:p>
    <w:p w14:paraId="71476E7C" w14:textId="10FDE424" w:rsidR="00082FB6" w:rsidRPr="00BA02E6" w:rsidRDefault="00082FB6" w:rsidP="00082FB6">
      <w:pPr>
        <w:pStyle w:val="Heading2"/>
        <w:rPr>
          <w:b/>
          <w:bCs/>
        </w:rPr>
      </w:pPr>
      <w:bookmarkStart w:id="26" w:name="_Toc199426749"/>
      <w:r w:rsidRPr="00BA02E6">
        <w:rPr>
          <w:b/>
          <w:bCs/>
        </w:rPr>
        <w:lastRenderedPageBreak/>
        <w:t>Physicochemical and ADMET Filtering</w:t>
      </w:r>
      <w:bookmarkEnd w:id="26"/>
    </w:p>
    <w:p w14:paraId="2784C203" w14:textId="77777777" w:rsidR="00082FB6" w:rsidRPr="00082FB6" w:rsidRDefault="00082FB6" w:rsidP="00082FB6">
      <w:pPr>
        <w:spacing w:after="0"/>
        <w:rPr>
          <w:lang w:val="es-MX" w:eastAsia="en-US"/>
        </w:rPr>
      </w:pPr>
    </w:p>
    <w:p w14:paraId="1C2343F6" w14:textId="5E9E6114" w:rsidR="00082FB6" w:rsidRDefault="00082FB6" w:rsidP="00082FB6">
      <w:pPr>
        <w:pStyle w:val="Heading3"/>
      </w:pPr>
      <w:bookmarkStart w:id="27" w:name="_Toc199426750"/>
      <w:r w:rsidRPr="0062578B">
        <w:t>Physicochemical Space and CNS Compatibility</w:t>
      </w:r>
      <w:bookmarkEnd w:id="27"/>
    </w:p>
    <w:p w14:paraId="57BB60D6" w14:textId="77777777" w:rsidR="00082FB6" w:rsidRPr="0062578B" w:rsidRDefault="00082FB6" w:rsidP="00082FB6">
      <w:pPr>
        <w:pStyle w:val="Heading3"/>
        <w:numPr>
          <w:ilvl w:val="0"/>
          <w:numId w:val="0"/>
        </w:numPr>
        <w:ind w:left="720"/>
      </w:pPr>
    </w:p>
    <w:p w14:paraId="6577624E" w14:textId="77777777"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An initial analysis of molecular weight (MW), topological polar surface area (TPSA), and </w:t>
      </w:r>
      <w:proofErr w:type="spellStart"/>
      <w:r w:rsidRPr="0062578B">
        <w:rPr>
          <w:rFonts w:ascii="Times New Roman" w:hAnsi="Times New Roman" w:cs="Times New Roman"/>
          <w:sz w:val="24"/>
          <w:szCs w:val="24"/>
        </w:rPr>
        <w:t>logP</w:t>
      </w:r>
      <w:proofErr w:type="spellEnd"/>
      <w:r w:rsidRPr="0062578B">
        <w:rPr>
          <w:rFonts w:ascii="Times New Roman" w:hAnsi="Times New Roman" w:cs="Times New Roman"/>
          <w:sz w:val="24"/>
          <w:szCs w:val="24"/>
        </w:rPr>
        <w:t xml:space="preserve"> values was used to assess drug-likeness and blood–brain barrier (BBB) permeability of the sixteen isoindoline esters. Key thresholds relevant to CNS drug candidates were applied:</w:t>
      </w:r>
    </w:p>
    <w:p w14:paraId="3003352F" w14:textId="77777777" w:rsidR="00082FB6" w:rsidRPr="0062578B" w:rsidRDefault="00082FB6">
      <w:pPr>
        <w:pStyle w:val="ListParagraph"/>
        <w:numPr>
          <w:ilvl w:val="0"/>
          <w:numId w:val="11"/>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MW &lt; 500 Da (Lipinski rule)</w:t>
      </w:r>
    </w:p>
    <w:p w14:paraId="061C26AB" w14:textId="77777777" w:rsidR="00082FB6" w:rsidRPr="0062578B" w:rsidRDefault="00082FB6">
      <w:pPr>
        <w:pStyle w:val="ListParagraph"/>
        <w:numPr>
          <w:ilvl w:val="0"/>
          <w:numId w:val="11"/>
        </w:numPr>
        <w:spacing w:after="0" w:line="360" w:lineRule="auto"/>
        <w:jc w:val="both"/>
        <w:rPr>
          <w:rFonts w:ascii="Times New Roman" w:hAnsi="Times New Roman" w:cs="Times New Roman"/>
          <w:sz w:val="24"/>
          <w:szCs w:val="24"/>
        </w:rPr>
      </w:pPr>
      <w:proofErr w:type="spellStart"/>
      <w:r w:rsidRPr="0062578B">
        <w:rPr>
          <w:rFonts w:ascii="Times New Roman" w:hAnsi="Times New Roman" w:cs="Times New Roman"/>
          <w:sz w:val="24"/>
          <w:szCs w:val="24"/>
        </w:rPr>
        <w:t>logP</w:t>
      </w:r>
      <w:proofErr w:type="spellEnd"/>
      <w:r w:rsidRPr="0062578B">
        <w:rPr>
          <w:rFonts w:ascii="Times New Roman" w:hAnsi="Times New Roman" w:cs="Times New Roman"/>
          <w:sz w:val="24"/>
          <w:szCs w:val="24"/>
        </w:rPr>
        <w:t xml:space="preserve"> between 2.0 and 3.5 for optimal CNS penetration</w:t>
      </w:r>
    </w:p>
    <w:p w14:paraId="01041264" w14:textId="77777777" w:rsidR="00082FB6" w:rsidRPr="0062578B" w:rsidRDefault="00082FB6">
      <w:pPr>
        <w:pStyle w:val="ListParagraph"/>
        <w:numPr>
          <w:ilvl w:val="0"/>
          <w:numId w:val="11"/>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TPSA &lt; 60 Å² is preferred for BBB permeability</w:t>
      </w:r>
    </w:p>
    <w:p w14:paraId="14423683" w14:textId="77777777" w:rsidR="00082FB6"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Aromatic compounds such as </w:t>
      </w:r>
      <w:proofErr w:type="spellStart"/>
      <w:r w:rsidRPr="0062578B">
        <w:rPr>
          <w:rFonts w:ascii="Times New Roman" w:hAnsi="Times New Roman" w:cs="Times New Roman"/>
          <w:sz w:val="24"/>
          <w:szCs w:val="24"/>
        </w:rPr>
        <w:t>ETrp</w:t>
      </w:r>
      <w:proofErr w:type="spellEnd"/>
      <w:r w:rsidRPr="0062578B">
        <w:rPr>
          <w:rFonts w:ascii="Times New Roman" w:hAnsi="Times New Roman" w:cs="Times New Roman"/>
          <w:sz w:val="24"/>
          <w:szCs w:val="24"/>
        </w:rPr>
        <w:t xml:space="preserve">, </w:t>
      </w:r>
      <w:proofErr w:type="spellStart"/>
      <w:r w:rsidRPr="0062578B">
        <w:rPr>
          <w:rFonts w:ascii="Times New Roman" w:hAnsi="Times New Roman" w:cs="Times New Roman"/>
          <w:sz w:val="24"/>
          <w:szCs w:val="24"/>
        </w:rPr>
        <w:t>ETyr</w:t>
      </w:r>
      <w:proofErr w:type="spellEnd"/>
      <w:r w:rsidRPr="0062578B">
        <w:rPr>
          <w:rFonts w:ascii="Times New Roman" w:hAnsi="Times New Roman" w:cs="Times New Roman"/>
          <w:sz w:val="24"/>
          <w:szCs w:val="24"/>
        </w:rPr>
        <w:t xml:space="preserve">, and </w:t>
      </w:r>
      <w:proofErr w:type="spellStart"/>
      <w:r w:rsidRPr="0062578B">
        <w:rPr>
          <w:rFonts w:ascii="Times New Roman" w:hAnsi="Times New Roman" w:cs="Times New Roman"/>
          <w:sz w:val="24"/>
          <w:szCs w:val="24"/>
        </w:rPr>
        <w:t>EPhe</w:t>
      </w:r>
      <w:proofErr w:type="spellEnd"/>
      <w:r w:rsidRPr="0062578B">
        <w:rPr>
          <w:rFonts w:ascii="Times New Roman" w:hAnsi="Times New Roman" w:cs="Times New Roman"/>
          <w:sz w:val="24"/>
          <w:szCs w:val="24"/>
        </w:rPr>
        <w:t xml:space="preserve"> fell within this ideal window, whereas polar residues like </w:t>
      </w:r>
      <w:proofErr w:type="spellStart"/>
      <w:r w:rsidRPr="0062578B">
        <w:rPr>
          <w:rFonts w:ascii="Times New Roman" w:hAnsi="Times New Roman" w:cs="Times New Roman"/>
          <w:sz w:val="24"/>
          <w:szCs w:val="24"/>
        </w:rPr>
        <w:t>ECys</w:t>
      </w:r>
      <w:proofErr w:type="spellEnd"/>
      <w:r w:rsidRPr="0062578B">
        <w:rPr>
          <w:rFonts w:ascii="Times New Roman" w:hAnsi="Times New Roman" w:cs="Times New Roman"/>
          <w:sz w:val="24"/>
          <w:szCs w:val="24"/>
        </w:rPr>
        <w:t xml:space="preserve">, </w:t>
      </w:r>
      <w:proofErr w:type="spellStart"/>
      <w:r w:rsidRPr="0062578B">
        <w:rPr>
          <w:rFonts w:ascii="Times New Roman" w:hAnsi="Times New Roman" w:cs="Times New Roman"/>
          <w:sz w:val="24"/>
          <w:szCs w:val="24"/>
        </w:rPr>
        <w:t>ESer</w:t>
      </w:r>
      <w:proofErr w:type="spellEnd"/>
      <w:r w:rsidRPr="0062578B">
        <w:rPr>
          <w:rFonts w:ascii="Times New Roman" w:hAnsi="Times New Roman" w:cs="Times New Roman"/>
          <w:sz w:val="24"/>
          <w:szCs w:val="24"/>
        </w:rPr>
        <w:t xml:space="preserve">, </w:t>
      </w:r>
      <w:proofErr w:type="spellStart"/>
      <w:r w:rsidRPr="0062578B">
        <w:rPr>
          <w:rFonts w:ascii="Times New Roman" w:hAnsi="Times New Roman" w:cs="Times New Roman"/>
          <w:sz w:val="24"/>
          <w:szCs w:val="24"/>
        </w:rPr>
        <w:t>EGlu</w:t>
      </w:r>
      <w:proofErr w:type="spellEnd"/>
      <w:r w:rsidRPr="0062578B">
        <w:rPr>
          <w:rFonts w:ascii="Times New Roman" w:hAnsi="Times New Roman" w:cs="Times New Roman"/>
          <w:sz w:val="24"/>
          <w:szCs w:val="24"/>
        </w:rPr>
        <w:t xml:space="preserve">, and </w:t>
      </w:r>
      <w:proofErr w:type="spellStart"/>
      <w:r w:rsidRPr="0062578B">
        <w:rPr>
          <w:rFonts w:ascii="Times New Roman" w:hAnsi="Times New Roman" w:cs="Times New Roman"/>
          <w:sz w:val="24"/>
          <w:szCs w:val="24"/>
        </w:rPr>
        <w:t>EThr</w:t>
      </w:r>
      <w:proofErr w:type="spellEnd"/>
      <w:r w:rsidRPr="0062578B">
        <w:rPr>
          <w:rFonts w:ascii="Times New Roman" w:hAnsi="Times New Roman" w:cs="Times New Roman"/>
          <w:sz w:val="24"/>
          <w:szCs w:val="24"/>
        </w:rPr>
        <w:t xml:space="preserve"> showed elevated TPSA values (&gt;60 Å²), making them unlikely BBB-penetrant candidates.</w:t>
      </w:r>
    </w:p>
    <w:p w14:paraId="4B31EB33" w14:textId="77777777" w:rsidR="00082FB6" w:rsidRDefault="00082FB6" w:rsidP="00082FB6">
      <w:pPr>
        <w:spacing w:after="0" w:line="360" w:lineRule="auto"/>
        <w:jc w:val="center"/>
        <w:rPr>
          <w:rFonts w:ascii="Times New Roman" w:hAnsi="Times New Roman" w:cs="Times New Roman"/>
          <w:sz w:val="24"/>
          <w:szCs w:val="24"/>
        </w:rPr>
      </w:pPr>
      <w:r>
        <w:rPr>
          <w:noProof/>
        </w:rPr>
        <w:drawing>
          <wp:inline distT="0" distB="0" distL="0" distR="0" wp14:anchorId="3307FAEA" wp14:editId="5431A95D">
            <wp:extent cx="4352925" cy="3218642"/>
            <wp:effectExtent l="0" t="0" r="0" b="1270"/>
            <wp:docPr id="12572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72906" name=""/>
                    <pic:cNvPicPr/>
                  </pic:nvPicPr>
                  <pic:blipFill>
                    <a:blip r:embed="rId19"/>
                    <a:stretch>
                      <a:fillRect/>
                    </a:stretch>
                  </pic:blipFill>
                  <pic:spPr>
                    <a:xfrm>
                      <a:off x="0" y="0"/>
                      <a:ext cx="4380923" cy="3239344"/>
                    </a:xfrm>
                    <a:prstGeom prst="rect">
                      <a:avLst/>
                    </a:prstGeom>
                  </pic:spPr>
                </pic:pic>
              </a:graphicData>
            </a:graphic>
          </wp:inline>
        </w:drawing>
      </w:r>
    </w:p>
    <w:p w14:paraId="7DA453D7" w14:textId="24315139" w:rsidR="00082FB6" w:rsidRDefault="00082FB6" w:rsidP="00082FB6">
      <w:pPr>
        <w:spacing w:after="0" w:line="360" w:lineRule="auto"/>
        <w:jc w:val="both"/>
        <w:rPr>
          <w:rFonts w:ascii="Times New Roman" w:hAnsi="Times New Roman" w:cs="Times New Roman"/>
          <w:sz w:val="24"/>
          <w:szCs w:val="24"/>
        </w:rPr>
      </w:pPr>
      <w:r w:rsidRPr="00624C93">
        <w:rPr>
          <w:rFonts w:ascii="Times New Roman" w:hAnsi="Times New Roman" w:cs="Times New Roman"/>
          <w:b/>
          <w:bCs/>
          <w:sz w:val="24"/>
          <w:szCs w:val="24"/>
        </w:rPr>
        <w:t>Figure S1</w:t>
      </w:r>
      <w:r w:rsidRPr="00624C93">
        <w:rPr>
          <w:rFonts w:ascii="Times New Roman" w:hAnsi="Times New Roman" w:cs="Times New Roman"/>
          <w:sz w:val="24"/>
          <w:szCs w:val="24"/>
        </w:rPr>
        <w:t xml:space="preserve">: Distribution of </w:t>
      </w:r>
      <w:proofErr w:type="spellStart"/>
      <w:r w:rsidRPr="00624C93">
        <w:rPr>
          <w:rFonts w:ascii="Times New Roman" w:hAnsi="Times New Roman" w:cs="Times New Roman"/>
          <w:sz w:val="24"/>
          <w:szCs w:val="24"/>
        </w:rPr>
        <w:t>LogP</w:t>
      </w:r>
      <w:proofErr w:type="spellEnd"/>
      <w:r w:rsidRPr="00624C93">
        <w:rPr>
          <w:rFonts w:ascii="Times New Roman" w:hAnsi="Times New Roman" w:cs="Times New Roman"/>
          <w:sz w:val="24"/>
          <w:szCs w:val="24"/>
        </w:rPr>
        <w:t xml:space="preserve"> and TPSA values for 2-(isoindolin-2-yl) esters, categorized by side chain type. Aromatic residues cluster within the CNS-permeable window (</w:t>
      </w:r>
      <w:proofErr w:type="spellStart"/>
      <w:r w:rsidRPr="00624C93">
        <w:rPr>
          <w:rFonts w:ascii="Times New Roman" w:hAnsi="Times New Roman" w:cs="Times New Roman"/>
          <w:sz w:val="24"/>
          <w:szCs w:val="24"/>
        </w:rPr>
        <w:t>LogP</w:t>
      </w:r>
      <w:proofErr w:type="spellEnd"/>
      <w:r w:rsidRPr="00624C93">
        <w:rPr>
          <w:rFonts w:ascii="Times New Roman" w:hAnsi="Times New Roman" w:cs="Times New Roman"/>
          <w:sz w:val="24"/>
          <w:szCs w:val="24"/>
        </w:rPr>
        <w:t xml:space="preserve"> 2.0–3.5, TPSA &lt; 60 Å²), while non-aromatic derivatives are more scattered, often outside optimal CNS drug-like space</w:t>
      </w:r>
      <w:r>
        <w:rPr>
          <w:rFonts w:ascii="Times New Roman" w:hAnsi="Times New Roman" w:cs="Times New Roman"/>
          <w:sz w:val="24"/>
          <w:szCs w:val="24"/>
        </w:rPr>
        <w:t>.</w:t>
      </w:r>
    </w:p>
    <w:p w14:paraId="5F33D153" w14:textId="77777777" w:rsidR="00082FB6" w:rsidRDefault="00082FB6" w:rsidP="00082FB6">
      <w:pPr>
        <w:spacing w:after="0" w:line="360" w:lineRule="auto"/>
        <w:jc w:val="both"/>
        <w:rPr>
          <w:rFonts w:ascii="Times New Roman" w:hAnsi="Times New Roman" w:cs="Times New Roman"/>
          <w:sz w:val="24"/>
          <w:szCs w:val="24"/>
        </w:rPr>
      </w:pPr>
    </w:p>
    <w:p w14:paraId="288A0E07" w14:textId="77777777" w:rsidR="00082FB6" w:rsidRDefault="00082FB6" w:rsidP="00082FB6">
      <w:pPr>
        <w:spacing w:after="0" w:line="360" w:lineRule="auto"/>
        <w:jc w:val="both"/>
        <w:rPr>
          <w:rFonts w:ascii="Times New Roman" w:hAnsi="Times New Roman" w:cs="Times New Roman"/>
          <w:sz w:val="24"/>
          <w:szCs w:val="24"/>
        </w:rPr>
      </w:pPr>
    </w:p>
    <w:p w14:paraId="2F49ACD5" w14:textId="77777777" w:rsidR="00082FB6" w:rsidRPr="0062578B" w:rsidRDefault="00082FB6" w:rsidP="00082FB6">
      <w:pPr>
        <w:spacing w:after="0" w:line="360" w:lineRule="auto"/>
        <w:jc w:val="both"/>
        <w:rPr>
          <w:rFonts w:ascii="Times New Roman" w:hAnsi="Times New Roman" w:cs="Times New Roman"/>
          <w:sz w:val="24"/>
          <w:szCs w:val="24"/>
        </w:rPr>
      </w:pPr>
    </w:p>
    <w:p w14:paraId="3606BFE4" w14:textId="764820D7" w:rsidR="00082FB6" w:rsidRDefault="00082FB6" w:rsidP="00082FB6">
      <w:pPr>
        <w:pStyle w:val="Heading3"/>
      </w:pPr>
      <w:bookmarkStart w:id="28" w:name="_Toc199426751"/>
      <w:r w:rsidRPr="0062578B">
        <w:lastRenderedPageBreak/>
        <w:t>Hydrogen Bonding Profiles</w:t>
      </w:r>
      <w:bookmarkEnd w:id="28"/>
    </w:p>
    <w:p w14:paraId="1CDF2C1C" w14:textId="77777777" w:rsidR="00082FB6" w:rsidRPr="0062578B" w:rsidRDefault="00082FB6" w:rsidP="00082FB6">
      <w:pPr>
        <w:pStyle w:val="Heading3"/>
        <w:numPr>
          <w:ilvl w:val="0"/>
          <w:numId w:val="0"/>
        </w:numPr>
      </w:pPr>
    </w:p>
    <w:p w14:paraId="3BFC4BCB" w14:textId="77777777" w:rsidR="00082FB6"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Aromatic derivatives (Trp, Tyr, His) offered an optimal number of hydrogen bond donors and acceptors (HBD: 3–4; HBA: 1), supporting both BBB permeability and protein binding potential. Polar compounds exceeded these numbers, introducing desolvation penalties and reducing receptor affinity.</w:t>
      </w:r>
    </w:p>
    <w:p w14:paraId="6B467CEF" w14:textId="77777777" w:rsidR="00082FB6" w:rsidRPr="0062578B" w:rsidRDefault="00082FB6" w:rsidP="00082FB6">
      <w:pPr>
        <w:spacing w:after="0" w:line="360" w:lineRule="auto"/>
        <w:jc w:val="both"/>
        <w:rPr>
          <w:rFonts w:ascii="Times New Roman" w:hAnsi="Times New Roman" w:cs="Times New Roman"/>
          <w:sz w:val="24"/>
          <w:szCs w:val="24"/>
        </w:rPr>
      </w:pPr>
    </w:p>
    <w:p w14:paraId="58F48CE7" w14:textId="75DCC02F" w:rsidR="00082FB6" w:rsidRDefault="00082FB6" w:rsidP="00082FB6">
      <w:pPr>
        <w:pStyle w:val="Heading3"/>
      </w:pPr>
      <w:bookmarkStart w:id="29" w:name="_Toc199426752"/>
      <w:r w:rsidRPr="0062578B">
        <w:t>ADMET Prediction Results</w:t>
      </w:r>
      <w:bookmarkEnd w:id="29"/>
    </w:p>
    <w:p w14:paraId="7EFE91F7" w14:textId="77777777" w:rsidR="00082FB6" w:rsidRPr="0062578B" w:rsidRDefault="00082FB6" w:rsidP="00082FB6"/>
    <w:p w14:paraId="38CE51CF" w14:textId="77777777"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Using </w:t>
      </w:r>
      <w:proofErr w:type="spellStart"/>
      <w:r w:rsidRPr="0062578B">
        <w:rPr>
          <w:rFonts w:ascii="Times New Roman" w:hAnsi="Times New Roman" w:cs="Times New Roman"/>
          <w:sz w:val="24"/>
          <w:szCs w:val="24"/>
        </w:rPr>
        <w:t>ADMETlab</w:t>
      </w:r>
      <w:proofErr w:type="spellEnd"/>
      <w:r w:rsidRPr="0062578B">
        <w:rPr>
          <w:rFonts w:ascii="Times New Roman" w:hAnsi="Times New Roman" w:cs="Times New Roman"/>
          <w:sz w:val="24"/>
          <w:szCs w:val="24"/>
        </w:rPr>
        <w:t xml:space="preserve"> 2.0 and </w:t>
      </w:r>
      <w:proofErr w:type="spellStart"/>
      <w:r w:rsidRPr="0062578B">
        <w:rPr>
          <w:rFonts w:ascii="Times New Roman" w:hAnsi="Times New Roman" w:cs="Times New Roman"/>
          <w:sz w:val="24"/>
          <w:szCs w:val="24"/>
        </w:rPr>
        <w:t>SwissADME</w:t>
      </w:r>
      <w:proofErr w:type="spellEnd"/>
      <w:r w:rsidRPr="0062578B">
        <w:rPr>
          <w:rFonts w:ascii="Times New Roman" w:hAnsi="Times New Roman" w:cs="Times New Roman"/>
          <w:sz w:val="24"/>
          <w:szCs w:val="24"/>
        </w:rPr>
        <w:t>, additional pharmacokinetic parameters were assessed:</w:t>
      </w:r>
    </w:p>
    <w:p w14:paraId="5E254E82" w14:textId="77777777" w:rsidR="00082FB6" w:rsidRPr="0062578B" w:rsidRDefault="00082FB6">
      <w:pPr>
        <w:pStyle w:val="ListParagraph"/>
        <w:numPr>
          <w:ilvl w:val="0"/>
          <w:numId w:val="10"/>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All aromatic esters showed favorable BBB permeability scores.</w:t>
      </w:r>
    </w:p>
    <w:p w14:paraId="5841C909" w14:textId="77777777" w:rsidR="00082FB6" w:rsidRPr="0062578B" w:rsidRDefault="00082FB6">
      <w:pPr>
        <w:pStyle w:val="ListParagraph"/>
        <w:numPr>
          <w:ilvl w:val="0"/>
          <w:numId w:val="10"/>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Aliphatic and charged derivatives (e.g., </w:t>
      </w:r>
      <w:proofErr w:type="spellStart"/>
      <w:r w:rsidRPr="0062578B">
        <w:rPr>
          <w:rFonts w:ascii="Times New Roman" w:hAnsi="Times New Roman" w:cs="Times New Roman"/>
          <w:sz w:val="24"/>
          <w:szCs w:val="24"/>
        </w:rPr>
        <w:t>EAsp</w:t>
      </w:r>
      <w:proofErr w:type="spellEnd"/>
      <w:r w:rsidRPr="0062578B">
        <w:rPr>
          <w:rFonts w:ascii="Times New Roman" w:hAnsi="Times New Roman" w:cs="Times New Roman"/>
          <w:sz w:val="24"/>
          <w:szCs w:val="24"/>
        </w:rPr>
        <w:t xml:space="preserve">, </w:t>
      </w:r>
      <w:proofErr w:type="spellStart"/>
      <w:r w:rsidRPr="0062578B">
        <w:rPr>
          <w:rFonts w:ascii="Times New Roman" w:hAnsi="Times New Roman" w:cs="Times New Roman"/>
          <w:sz w:val="24"/>
          <w:szCs w:val="24"/>
        </w:rPr>
        <w:t>EGlu</w:t>
      </w:r>
      <w:proofErr w:type="spellEnd"/>
      <w:r w:rsidRPr="0062578B">
        <w:rPr>
          <w:rFonts w:ascii="Times New Roman" w:hAnsi="Times New Roman" w:cs="Times New Roman"/>
          <w:sz w:val="24"/>
          <w:szCs w:val="24"/>
        </w:rPr>
        <w:t xml:space="preserve">, </w:t>
      </w:r>
      <w:proofErr w:type="spellStart"/>
      <w:r w:rsidRPr="0062578B">
        <w:rPr>
          <w:rFonts w:ascii="Times New Roman" w:hAnsi="Times New Roman" w:cs="Times New Roman"/>
          <w:sz w:val="24"/>
          <w:szCs w:val="24"/>
        </w:rPr>
        <w:t>EArg</w:t>
      </w:r>
      <w:proofErr w:type="spellEnd"/>
      <w:r w:rsidRPr="0062578B">
        <w:rPr>
          <w:rFonts w:ascii="Times New Roman" w:hAnsi="Times New Roman" w:cs="Times New Roman"/>
          <w:sz w:val="24"/>
          <w:szCs w:val="24"/>
        </w:rPr>
        <w:t>) failed one or more ADMET criteria.</w:t>
      </w:r>
    </w:p>
    <w:p w14:paraId="6ECA491D" w14:textId="77777777" w:rsidR="00082FB6" w:rsidRDefault="00082FB6">
      <w:pPr>
        <w:pStyle w:val="ListParagraph"/>
        <w:numPr>
          <w:ilvl w:val="0"/>
          <w:numId w:val="10"/>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Trp and Tyr derivatives showed moderate to high GI absorption, low toxicity scores, and no structural alerts in the Ames test.</w:t>
      </w:r>
    </w:p>
    <w:p w14:paraId="1044405F" w14:textId="77777777" w:rsidR="00082FB6" w:rsidRPr="0062578B" w:rsidRDefault="00082FB6" w:rsidP="00082FB6">
      <w:pPr>
        <w:pStyle w:val="ListParagraph"/>
        <w:spacing w:after="0" w:line="360" w:lineRule="auto"/>
        <w:jc w:val="both"/>
        <w:rPr>
          <w:rFonts w:ascii="Times New Roman" w:hAnsi="Times New Roman" w:cs="Times New Roman"/>
          <w:sz w:val="24"/>
          <w:szCs w:val="24"/>
        </w:rPr>
      </w:pPr>
    </w:p>
    <w:p w14:paraId="6163DE7C" w14:textId="640FEB17" w:rsidR="00082FB6" w:rsidRDefault="00082FB6" w:rsidP="00082FB6">
      <w:pPr>
        <w:pStyle w:val="Heading3"/>
      </w:pPr>
      <w:bookmarkStart w:id="30" w:name="_Toc199426753"/>
      <w:r w:rsidRPr="0062578B">
        <w:t>Conclusion of Filtering Step</w:t>
      </w:r>
      <w:bookmarkEnd w:id="30"/>
    </w:p>
    <w:p w14:paraId="5D82409D" w14:textId="77777777" w:rsidR="00082FB6" w:rsidRPr="0062578B" w:rsidRDefault="00082FB6" w:rsidP="00082FB6">
      <w:pPr>
        <w:spacing w:after="0" w:line="360" w:lineRule="auto"/>
        <w:jc w:val="both"/>
        <w:rPr>
          <w:rFonts w:ascii="Times New Roman" w:hAnsi="Times New Roman" w:cs="Times New Roman"/>
          <w:b/>
          <w:bCs/>
          <w:sz w:val="24"/>
          <w:szCs w:val="24"/>
        </w:rPr>
      </w:pPr>
    </w:p>
    <w:p w14:paraId="4F5B2C1D" w14:textId="77777777" w:rsidR="00082FB6"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Only aromatic amino acid-derived esters passed all three computational stages (physicochemical filters, ADMET criteria, and docking energy cutoffs), justifying their prioritization for molecular dynamics and in vivo testing. A correlation plot (Figure S1) shows the clustering of these candidates within the CNS-compatible physicochemical space.</w:t>
      </w:r>
    </w:p>
    <w:p w14:paraId="77B8320B" w14:textId="77777777" w:rsidR="00082FB6" w:rsidRDefault="00082FB6" w:rsidP="00082FB6">
      <w:pPr>
        <w:rPr>
          <w:rFonts w:ascii="Times New Roman" w:hAnsi="Times New Roman" w:cs="Times New Roman"/>
          <w:b/>
          <w:bCs/>
          <w:sz w:val="24"/>
          <w:szCs w:val="24"/>
        </w:rPr>
      </w:pPr>
      <w:r>
        <w:rPr>
          <w:rFonts w:ascii="Times New Roman" w:hAnsi="Times New Roman" w:cs="Times New Roman"/>
          <w:b/>
          <w:bCs/>
          <w:sz w:val="24"/>
          <w:szCs w:val="24"/>
        </w:rPr>
        <w:br w:type="page"/>
      </w:r>
    </w:p>
    <w:p w14:paraId="7064C435" w14:textId="713C6F9A" w:rsidR="00082FB6" w:rsidRPr="00BA02E6" w:rsidRDefault="00082FB6" w:rsidP="00BA02E6">
      <w:pPr>
        <w:pStyle w:val="Heading2"/>
        <w:spacing w:before="0" w:after="0"/>
        <w:rPr>
          <w:b/>
          <w:bCs/>
          <w:lang w:val="en-US"/>
        </w:rPr>
      </w:pPr>
      <w:bookmarkStart w:id="31" w:name="_Toc199426754"/>
      <w:r w:rsidRPr="00BA02E6">
        <w:rPr>
          <w:b/>
          <w:bCs/>
          <w:lang w:val="en-US"/>
        </w:rPr>
        <w:lastRenderedPageBreak/>
        <w:t xml:space="preserve">Molecular Docking &amp; </w:t>
      </w:r>
      <w:r w:rsidRPr="00BA02E6">
        <w:rPr>
          <w:b/>
          <w:bCs/>
        </w:rPr>
        <w:t>π</w:t>
      </w:r>
      <w:r w:rsidRPr="00BA02E6">
        <w:rPr>
          <w:b/>
          <w:bCs/>
          <w:lang w:val="en-US"/>
        </w:rPr>
        <w:t>–</w:t>
      </w:r>
      <w:r w:rsidRPr="00BA02E6">
        <w:rPr>
          <w:b/>
          <w:bCs/>
        </w:rPr>
        <w:t>π</w:t>
      </w:r>
      <w:r w:rsidRPr="00BA02E6">
        <w:rPr>
          <w:b/>
          <w:bCs/>
          <w:lang w:val="en-US"/>
        </w:rPr>
        <w:t xml:space="preserve"> Interaction Profile</w:t>
      </w:r>
      <w:bookmarkEnd w:id="31"/>
    </w:p>
    <w:p w14:paraId="49C783DC" w14:textId="77777777" w:rsidR="00082FB6" w:rsidRPr="00082FB6" w:rsidRDefault="00082FB6" w:rsidP="00BA02E6">
      <w:pPr>
        <w:spacing w:after="0"/>
        <w:rPr>
          <w:lang w:eastAsia="en-US"/>
        </w:rPr>
      </w:pPr>
    </w:p>
    <w:p w14:paraId="64C81AF7" w14:textId="51102C2E" w:rsidR="00082FB6" w:rsidRDefault="00082FB6" w:rsidP="00BA02E6">
      <w:pPr>
        <w:pStyle w:val="Heading3"/>
      </w:pPr>
      <w:bookmarkStart w:id="32" w:name="_Toc199426755"/>
      <w:r w:rsidRPr="0062578B">
        <w:t>Docking Score Comparison and Prioritization</w:t>
      </w:r>
      <w:bookmarkEnd w:id="32"/>
    </w:p>
    <w:p w14:paraId="7947D80E" w14:textId="77777777" w:rsidR="00082FB6" w:rsidRPr="0062578B" w:rsidRDefault="00082FB6" w:rsidP="00BA02E6">
      <w:pPr>
        <w:spacing w:after="0"/>
      </w:pPr>
    </w:p>
    <w:p w14:paraId="6BBF5D5B" w14:textId="77777777"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All sixteen isoindoline esters were docked to the benzodiazepine binding site of the GABAA receptor (PDB ID: 6D6U) using </w:t>
      </w:r>
      <w:proofErr w:type="spellStart"/>
      <w:r w:rsidRPr="0062578B">
        <w:rPr>
          <w:rFonts w:ascii="Times New Roman" w:hAnsi="Times New Roman" w:cs="Times New Roman"/>
          <w:sz w:val="24"/>
          <w:szCs w:val="24"/>
        </w:rPr>
        <w:t>AutoDock</w:t>
      </w:r>
      <w:proofErr w:type="spellEnd"/>
      <w:r w:rsidRPr="0062578B">
        <w:rPr>
          <w:rFonts w:ascii="Times New Roman" w:hAnsi="Times New Roman" w:cs="Times New Roman"/>
          <w:sz w:val="24"/>
          <w:szCs w:val="24"/>
        </w:rPr>
        <w:t xml:space="preserve"> Vina. The binding site was defined at the α1–γ2 interface, where classical ligands such as diazepam bind. The docking scores for all compounds were ranked and compared.</w:t>
      </w:r>
    </w:p>
    <w:p w14:paraId="276D4DEB" w14:textId="77777777" w:rsidR="00082FB6"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Aromatic derivatives consistently achieved higher (more negative) docking scores, with </w:t>
      </w:r>
      <w:proofErr w:type="spellStart"/>
      <w:r w:rsidRPr="0062578B">
        <w:rPr>
          <w:rFonts w:ascii="Times New Roman" w:hAnsi="Times New Roman" w:cs="Times New Roman"/>
          <w:sz w:val="24"/>
          <w:szCs w:val="24"/>
        </w:rPr>
        <w:t>ETyr</w:t>
      </w:r>
      <w:proofErr w:type="spellEnd"/>
      <w:r w:rsidRPr="0062578B">
        <w:rPr>
          <w:rFonts w:ascii="Times New Roman" w:hAnsi="Times New Roman" w:cs="Times New Roman"/>
          <w:sz w:val="24"/>
          <w:szCs w:val="24"/>
        </w:rPr>
        <w:t xml:space="preserve"> (–10.0 kcal/mol) and </w:t>
      </w:r>
      <w:proofErr w:type="spellStart"/>
      <w:r w:rsidRPr="0062578B">
        <w:rPr>
          <w:rFonts w:ascii="Times New Roman" w:hAnsi="Times New Roman" w:cs="Times New Roman"/>
          <w:sz w:val="24"/>
          <w:szCs w:val="24"/>
        </w:rPr>
        <w:t>ETrp</w:t>
      </w:r>
      <w:proofErr w:type="spellEnd"/>
      <w:r w:rsidRPr="0062578B">
        <w:rPr>
          <w:rFonts w:ascii="Times New Roman" w:hAnsi="Times New Roman" w:cs="Times New Roman"/>
          <w:sz w:val="24"/>
          <w:szCs w:val="24"/>
        </w:rPr>
        <w:t xml:space="preserve"> (–9.8 kcal/mol) outperforming DZP (–9.3 kcal/mol). </w:t>
      </w:r>
      <w:proofErr w:type="spellStart"/>
      <w:r w:rsidRPr="0062578B">
        <w:rPr>
          <w:rFonts w:ascii="Times New Roman" w:hAnsi="Times New Roman" w:cs="Times New Roman"/>
          <w:sz w:val="24"/>
          <w:szCs w:val="24"/>
        </w:rPr>
        <w:t>EPhe</w:t>
      </w:r>
      <w:proofErr w:type="spellEnd"/>
      <w:r w:rsidRPr="0062578B">
        <w:rPr>
          <w:rFonts w:ascii="Times New Roman" w:hAnsi="Times New Roman" w:cs="Times New Roman"/>
          <w:sz w:val="24"/>
          <w:szCs w:val="24"/>
        </w:rPr>
        <w:t xml:space="preserve"> and </w:t>
      </w:r>
      <w:proofErr w:type="spellStart"/>
      <w:r w:rsidRPr="0062578B">
        <w:rPr>
          <w:rFonts w:ascii="Times New Roman" w:hAnsi="Times New Roman" w:cs="Times New Roman"/>
          <w:sz w:val="24"/>
          <w:szCs w:val="24"/>
        </w:rPr>
        <w:t>EHis</w:t>
      </w:r>
      <w:proofErr w:type="spellEnd"/>
      <w:r w:rsidRPr="0062578B">
        <w:rPr>
          <w:rFonts w:ascii="Times New Roman" w:hAnsi="Times New Roman" w:cs="Times New Roman"/>
          <w:sz w:val="24"/>
          <w:szCs w:val="24"/>
        </w:rPr>
        <w:t xml:space="preserve"> also scored in the favorable range (–9.0 and –9.3 kcal/mol, respectively). In contrast, non-aromatic compounds scored below –8.0, with most ranging between –6.1 and –7.5 kcal/mol.</w:t>
      </w:r>
    </w:p>
    <w:p w14:paraId="0141D766" w14:textId="77777777" w:rsidR="00082FB6" w:rsidRPr="0062578B" w:rsidRDefault="00082FB6" w:rsidP="00082FB6">
      <w:pPr>
        <w:spacing w:after="0" w:line="360" w:lineRule="auto"/>
        <w:jc w:val="both"/>
        <w:rPr>
          <w:rFonts w:ascii="Times New Roman" w:hAnsi="Times New Roman" w:cs="Times New Roman"/>
          <w:sz w:val="24"/>
          <w:szCs w:val="24"/>
        </w:rPr>
      </w:pPr>
    </w:p>
    <w:p w14:paraId="2752EC8A" w14:textId="118A7282" w:rsidR="00082FB6" w:rsidRDefault="00082FB6" w:rsidP="00082FB6">
      <w:pPr>
        <w:pStyle w:val="Heading3"/>
      </w:pPr>
      <w:bookmarkStart w:id="33" w:name="_Toc199426756"/>
      <w:r w:rsidRPr="0062578B">
        <w:t>Interaction Mapping and Pose Analysis</w:t>
      </w:r>
      <w:bookmarkEnd w:id="33"/>
    </w:p>
    <w:p w14:paraId="1F7F12CB" w14:textId="77777777" w:rsidR="00082FB6" w:rsidRPr="0062578B" w:rsidRDefault="00082FB6" w:rsidP="00082FB6">
      <w:pPr>
        <w:spacing w:after="0" w:line="360" w:lineRule="auto"/>
        <w:jc w:val="both"/>
        <w:rPr>
          <w:rFonts w:ascii="Times New Roman" w:hAnsi="Times New Roman" w:cs="Times New Roman"/>
          <w:b/>
          <w:bCs/>
          <w:sz w:val="24"/>
          <w:szCs w:val="24"/>
        </w:rPr>
      </w:pPr>
    </w:p>
    <w:p w14:paraId="33493E81" w14:textId="77777777"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Interaction analysis revealed that high-scoring aromatic esters engaged in multiple π–π stacking interactions with aromatic residues in the binding pocket:</w:t>
      </w:r>
    </w:p>
    <w:p w14:paraId="1BEFA292" w14:textId="77777777" w:rsidR="00082FB6" w:rsidRPr="0062578B" w:rsidRDefault="00082FB6" w:rsidP="00082FB6">
      <w:pPr>
        <w:spacing w:after="0" w:line="360" w:lineRule="auto"/>
        <w:jc w:val="both"/>
        <w:rPr>
          <w:rFonts w:ascii="Times New Roman" w:hAnsi="Times New Roman" w:cs="Times New Roman"/>
          <w:sz w:val="24"/>
          <w:szCs w:val="24"/>
        </w:rPr>
      </w:pPr>
      <w:proofErr w:type="spellStart"/>
      <w:r w:rsidRPr="0062578B">
        <w:rPr>
          <w:rFonts w:ascii="Times New Roman" w:hAnsi="Times New Roman" w:cs="Times New Roman"/>
          <w:b/>
          <w:bCs/>
          <w:sz w:val="24"/>
          <w:szCs w:val="24"/>
        </w:rPr>
        <w:t>ETrp</w:t>
      </w:r>
      <w:proofErr w:type="spellEnd"/>
      <w:r w:rsidRPr="0062578B">
        <w:rPr>
          <w:rFonts w:ascii="Times New Roman" w:hAnsi="Times New Roman" w:cs="Times New Roman"/>
          <w:sz w:val="24"/>
          <w:szCs w:val="24"/>
        </w:rPr>
        <w:t>: parallel displaced and edge-to-face interactions with Phe77, Tyr159, and Tyr210</w:t>
      </w:r>
    </w:p>
    <w:p w14:paraId="533C8E5C" w14:textId="77777777" w:rsidR="00082FB6" w:rsidRPr="0062578B" w:rsidRDefault="00082FB6" w:rsidP="00082FB6">
      <w:pPr>
        <w:spacing w:after="0" w:line="360" w:lineRule="auto"/>
        <w:jc w:val="both"/>
        <w:rPr>
          <w:rFonts w:ascii="Times New Roman" w:hAnsi="Times New Roman" w:cs="Times New Roman"/>
          <w:sz w:val="24"/>
          <w:szCs w:val="24"/>
        </w:rPr>
      </w:pPr>
      <w:proofErr w:type="spellStart"/>
      <w:r w:rsidRPr="0062578B">
        <w:rPr>
          <w:rFonts w:ascii="Times New Roman" w:hAnsi="Times New Roman" w:cs="Times New Roman"/>
          <w:b/>
          <w:bCs/>
          <w:sz w:val="24"/>
          <w:szCs w:val="24"/>
        </w:rPr>
        <w:t>ETyr</w:t>
      </w:r>
      <w:proofErr w:type="spellEnd"/>
      <w:r w:rsidRPr="0062578B">
        <w:rPr>
          <w:rFonts w:ascii="Times New Roman" w:hAnsi="Times New Roman" w:cs="Times New Roman"/>
          <w:sz w:val="24"/>
          <w:szCs w:val="24"/>
        </w:rPr>
        <w:t>: π–π stacking with Tyr159 and Phe77, and hydrogen bonding via the phenolic OH</w:t>
      </w:r>
    </w:p>
    <w:p w14:paraId="552E38A9" w14:textId="77777777" w:rsidR="00082FB6" w:rsidRPr="0062578B" w:rsidRDefault="00082FB6" w:rsidP="00082FB6">
      <w:pPr>
        <w:spacing w:after="0" w:line="360" w:lineRule="auto"/>
        <w:jc w:val="both"/>
        <w:rPr>
          <w:rFonts w:ascii="Times New Roman" w:hAnsi="Times New Roman" w:cs="Times New Roman"/>
          <w:sz w:val="24"/>
          <w:szCs w:val="24"/>
        </w:rPr>
      </w:pPr>
      <w:proofErr w:type="spellStart"/>
      <w:r w:rsidRPr="0062578B">
        <w:rPr>
          <w:rFonts w:ascii="Times New Roman" w:hAnsi="Times New Roman" w:cs="Times New Roman"/>
          <w:b/>
          <w:bCs/>
          <w:sz w:val="24"/>
          <w:szCs w:val="24"/>
        </w:rPr>
        <w:t>EPhe</w:t>
      </w:r>
      <w:proofErr w:type="spellEnd"/>
      <w:r w:rsidRPr="0062578B">
        <w:rPr>
          <w:rFonts w:ascii="Times New Roman" w:hAnsi="Times New Roman" w:cs="Times New Roman"/>
          <w:sz w:val="24"/>
          <w:szCs w:val="24"/>
        </w:rPr>
        <w:t>: single π-stacking interaction with Phe77; lacked additional hydrogen bonding</w:t>
      </w:r>
    </w:p>
    <w:p w14:paraId="6940920B" w14:textId="77777777" w:rsidR="00082FB6" w:rsidRPr="0062578B" w:rsidRDefault="00082FB6" w:rsidP="00082FB6">
      <w:pPr>
        <w:spacing w:after="0" w:line="360" w:lineRule="auto"/>
        <w:jc w:val="both"/>
        <w:rPr>
          <w:rFonts w:ascii="Times New Roman" w:hAnsi="Times New Roman" w:cs="Times New Roman"/>
          <w:sz w:val="24"/>
          <w:szCs w:val="24"/>
        </w:rPr>
      </w:pPr>
      <w:proofErr w:type="spellStart"/>
      <w:r w:rsidRPr="0062578B">
        <w:rPr>
          <w:rFonts w:ascii="Times New Roman" w:hAnsi="Times New Roman" w:cs="Times New Roman"/>
          <w:b/>
          <w:bCs/>
          <w:sz w:val="24"/>
          <w:szCs w:val="24"/>
        </w:rPr>
        <w:t>EHis</w:t>
      </w:r>
      <w:proofErr w:type="spellEnd"/>
      <w:r w:rsidRPr="0062578B">
        <w:rPr>
          <w:rFonts w:ascii="Times New Roman" w:hAnsi="Times New Roman" w:cs="Times New Roman"/>
          <w:sz w:val="24"/>
          <w:szCs w:val="24"/>
        </w:rPr>
        <w:t>: weak π-interaction via imidazole ring; less planar and less electron-rich</w:t>
      </w:r>
    </w:p>
    <w:p w14:paraId="6D2FAA5A" w14:textId="77777777" w:rsidR="00082FB6"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These interactions aligned with those observed for diazepam and validate the structural mimicry of the synthetic analogs.</w:t>
      </w:r>
    </w:p>
    <w:p w14:paraId="31CA3253" w14:textId="77777777" w:rsidR="00082FB6" w:rsidRPr="0062578B" w:rsidRDefault="00082FB6" w:rsidP="00082FB6">
      <w:pPr>
        <w:spacing w:after="0" w:line="360" w:lineRule="auto"/>
        <w:jc w:val="both"/>
        <w:rPr>
          <w:rFonts w:ascii="Times New Roman" w:hAnsi="Times New Roman" w:cs="Times New Roman"/>
          <w:sz w:val="24"/>
          <w:szCs w:val="24"/>
        </w:rPr>
      </w:pPr>
    </w:p>
    <w:p w14:paraId="58A73049" w14:textId="02C22E9D" w:rsidR="00082FB6" w:rsidRDefault="00082FB6" w:rsidP="00082FB6">
      <w:pPr>
        <w:pStyle w:val="Heading3"/>
      </w:pPr>
      <w:bookmarkStart w:id="34" w:name="_Toc199426757"/>
      <w:r w:rsidRPr="0062578B">
        <w:t>Receptor Environment and Aromatic Selectivity</w:t>
      </w:r>
      <w:bookmarkEnd w:id="34"/>
    </w:p>
    <w:p w14:paraId="20968F8E" w14:textId="77777777" w:rsidR="00082FB6" w:rsidRDefault="00082FB6" w:rsidP="00082FB6">
      <w:pPr>
        <w:pStyle w:val="Heading3"/>
        <w:numPr>
          <w:ilvl w:val="0"/>
          <w:numId w:val="0"/>
        </w:numPr>
      </w:pPr>
    </w:p>
    <w:p w14:paraId="754995BE" w14:textId="77777777" w:rsidR="00082FB6" w:rsidRPr="0062578B" w:rsidRDefault="00082FB6" w:rsidP="00082FB6">
      <w:pPr>
        <w:pStyle w:val="Heading3"/>
        <w:numPr>
          <w:ilvl w:val="0"/>
          <w:numId w:val="0"/>
        </w:numPr>
      </w:pPr>
    </w:p>
    <w:p w14:paraId="20F44873" w14:textId="449E906B"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The benzodiazepine binding site is characterized by a hydrophobic cleft flanked by aromatic residues. The π-stacking capacity of the ligand is essential for binding stability in this microenvironment. Aromatic amino acids provided the necessary π-surface area and rigidity to complement the binding site geometry, while aliphatic and polar derivatives failed to anchor via π–π interactions.</w:t>
      </w:r>
    </w:p>
    <w:p w14:paraId="568C14C8" w14:textId="47EF089F" w:rsidR="00082FB6" w:rsidRDefault="00082FB6" w:rsidP="00082FB6">
      <w:pPr>
        <w:pStyle w:val="Heading3"/>
      </w:pPr>
      <w:bookmarkStart w:id="35" w:name="_Toc199426758"/>
      <w:r w:rsidRPr="0062578B">
        <w:t>Conclusion</w:t>
      </w:r>
      <w:bookmarkEnd w:id="35"/>
    </w:p>
    <w:p w14:paraId="2C216740" w14:textId="77777777" w:rsidR="00082FB6" w:rsidRPr="0062578B" w:rsidRDefault="00082FB6" w:rsidP="00082FB6"/>
    <w:p w14:paraId="57060E8D" w14:textId="77777777"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The docking studies clearly indicate that aromatic amino acid-derived isoindoline esters possess superior binding potential at the GABA</w:t>
      </w:r>
      <w:r w:rsidRPr="0062578B">
        <w:rPr>
          <w:rFonts w:ascii="Times New Roman" w:hAnsi="Times New Roman" w:cs="Times New Roman"/>
          <w:sz w:val="24"/>
          <w:szCs w:val="24"/>
          <w:vertAlign w:val="subscript"/>
        </w:rPr>
        <w:t>A</w:t>
      </w:r>
      <w:r w:rsidRPr="0062578B">
        <w:rPr>
          <w:rFonts w:ascii="Times New Roman" w:hAnsi="Times New Roman" w:cs="Times New Roman"/>
          <w:sz w:val="24"/>
          <w:szCs w:val="24"/>
        </w:rPr>
        <w:t xml:space="preserve"> receptor, consistent with the receptor’s aromatic microenvironment. This validates their prioritization and supports further investigation of π-extended or heteroaromatic analogs for enhanced receptor engagement.</w:t>
      </w:r>
    </w:p>
    <w:p w14:paraId="1E692585" w14:textId="77777777" w:rsidR="00082FB6"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Figures S2 and S3 provide pose overlays and interaction maps highlighting key π–π stacking interactions.</w:t>
      </w:r>
    </w:p>
    <w:p w14:paraId="0FC5AEAE" w14:textId="77777777" w:rsidR="00082FB6" w:rsidRPr="0062578B" w:rsidRDefault="00082FB6" w:rsidP="00082FB6">
      <w:pPr>
        <w:spacing w:after="0" w:line="360" w:lineRule="auto"/>
        <w:jc w:val="both"/>
        <w:rPr>
          <w:rFonts w:ascii="Times New Roman" w:hAnsi="Times New Roman" w:cs="Times New Roman"/>
          <w:sz w:val="24"/>
          <w:szCs w:val="24"/>
        </w:rPr>
      </w:pPr>
    </w:p>
    <w:p w14:paraId="42D1212E" w14:textId="01766B21" w:rsidR="00082FB6" w:rsidRPr="00BA02E6" w:rsidRDefault="00082FB6" w:rsidP="00082FB6">
      <w:pPr>
        <w:pStyle w:val="Heading2"/>
        <w:spacing w:before="0" w:after="0"/>
        <w:rPr>
          <w:b/>
          <w:bCs/>
        </w:rPr>
      </w:pPr>
      <w:bookmarkStart w:id="36" w:name="_Toc199426759"/>
      <w:r w:rsidRPr="00BA02E6">
        <w:rPr>
          <w:b/>
          <w:bCs/>
        </w:rPr>
        <w:t>Binding Energy Landscape (Metadynamics)</w:t>
      </w:r>
      <w:bookmarkEnd w:id="36"/>
    </w:p>
    <w:p w14:paraId="77B692A0" w14:textId="77777777" w:rsidR="00082FB6" w:rsidRPr="00082FB6" w:rsidRDefault="00082FB6" w:rsidP="00082FB6">
      <w:pPr>
        <w:rPr>
          <w:lang w:val="es-MX" w:eastAsia="en-US"/>
        </w:rPr>
      </w:pPr>
    </w:p>
    <w:p w14:paraId="6BF2AE96" w14:textId="4C1EBE60" w:rsidR="00082FB6" w:rsidRDefault="00082FB6" w:rsidP="00082FB6">
      <w:pPr>
        <w:pStyle w:val="Heading3"/>
      </w:pPr>
      <w:bookmarkStart w:id="37" w:name="_Toc199426760"/>
      <w:r w:rsidRPr="0062578B">
        <w:t>Objective and Rationale</w:t>
      </w:r>
      <w:bookmarkEnd w:id="37"/>
    </w:p>
    <w:p w14:paraId="5B57F1CE" w14:textId="77777777" w:rsidR="00082FB6" w:rsidRPr="0062578B" w:rsidRDefault="00082FB6" w:rsidP="00082FB6"/>
    <w:p w14:paraId="58209844" w14:textId="77777777" w:rsidR="00082FB6"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To complement the docking results and evaluate the dynamic stability of receptor–ligand interactions, metadynamics simulations were performed for selected compounds: </w:t>
      </w:r>
      <w:proofErr w:type="spellStart"/>
      <w:r w:rsidRPr="0062578B">
        <w:rPr>
          <w:rFonts w:ascii="Times New Roman" w:hAnsi="Times New Roman" w:cs="Times New Roman"/>
          <w:sz w:val="24"/>
          <w:szCs w:val="24"/>
        </w:rPr>
        <w:t>ETrp</w:t>
      </w:r>
      <w:proofErr w:type="spellEnd"/>
      <w:r w:rsidRPr="0062578B">
        <w:rPr>
          <w:rFonts w:ascii="Times New Roman" w:hAnsi="Times New Roman" w:cs="Times New Roman"/>
          <w:sz w:val="24"/>
          <w:szCs w:val="24"/>
        </w:rPr>
        <w:t xml:space="preserve">, </w:t>
      </w:r>
      <w:proofErr w:type="spellStart"/>
      <w:r w:rsidRPr="0062578B">
        <w:rPr>
          <w:rFonts w:ascii="Times New Roman" w:hAnsi="Times New Roman" w:cs="Times New Roman"/>
          <w:sz w:val="24"/>
          <w:szCs w:val="24"/>
        </w:rPr>
        <w:t>ETyr</w:t>
      </w:r>
      <w:proofErr w:type="spellEnd"/>
      <w:r w:rsidRPr="0062578B">
        <w:rPr>
          <w:rFonts w:ascii="Times New Roman" w:hAnsi="Times New Roman" w:cs="Times New Roman"/>
          <w:sz w:val="24"/>
          <w:szCs w:val="24"/>
        </w:rPr>
        <w:t>, and diazepam (DZP). These simulations were designed to probe the free energy surface (FES) associated with ligand binding at the benzodiazepine site of the GABA</w:t>
      </w:r>
      <w:r w:rsidRPr="0062578B">
        <w:rPr>
          <w:rFonts w:ascii="Times New Roman" w:hAnsi="Times New Roman" w:cs="Times New Roman"/>
          <w:sz w:val="24"/>
          <w:szCs w:val="24"/>
          <w:vertAlign w:val="subscript"/>
        </w:rPr>
        <w:t>A</w:t>
      </w:r>
      <w:r w:rsidRPr="0062578B">
        <w:rPr>
          <w:rFonts w:ascii="Times New Roman" w:hAnsi="Times New Roman" w:cs="Times New Roman"/>
          <w:sz w:val="24"/>
          <w:szCs w:val="24"/>
        </w:rPr>
        <w:t xml:space="preserve"> receptor and estimate the binding free energy (</w:t>
      </w:r>
      <w:proofErr w:type="spellStart"/>
      <w:r w:rsidRPr="0062578B">
        <w:rPr>
          <w:rFonts w:ascii="Times New Roman" w:hAnsi="Times New Roman" w:cs="Times New Roman"/>
          <w:sz w:val="24"/>
          <w:szCs w:val="24"/>
        </w:rPr>
        <w:t>ΔG</w:t>
      </w:r>
      <w:r w:rsidRPr="0062578B">
        <w:rPr>
          <w:rFonts w:ascii="Times New Roman" w:hAnsi="Times New Roman" w:cs="Times New Roman"/>
          <w:sz w:val="24"/>
          <w:szCs w:val="24"/>
          <w:vertAlign w:val="subscript"/>
        </w:rPr>
        <w:t>bind</w:t>
      </w:r>
      <w:proofErr w:type="spellEnd"/>
      <w:r w:rsidRPr="0062578B">
        <w:rPr>
          <w:rFonts w:ascii="Times New Roman" w:hAnsi="Times New Roman" w:cs="Times New Roman"/>
          <w:sz w:val="24"/>
          <w:szCs w:val="24"/>
        </w:rPr>
        <w:t>) in a more realistic, solvent-accessible dynamic context.</w:t>
      </w:r>
    </w:p>
    <w:p w14:paraId="2ED52C6C" w14:textId="77777777" w:rsidR="00082FB6" w:rsidRPr="0062578B" w:rsidRDefault="00082FB6" w:rsidP="00082FB6">
      <w:pPr>
        <w:spacing w:after="0" w:line="360" w:lineRule="auto"/>
        <w:jc w:val="both"/>
        <w:rPr>
          <w:rFonts w:ascii="Times New Roman" w:hAnsi="Times New Roman" w:cs="Times New Roman"/>
          <w:sz w:val="24"/>
          <w:szCs w:val="24"/>
        </w:rPr>
      </w:pPr>
    </w:p>
    <w:p w14:paraId="757E5891" w14:textId="64183B94" w:rsidR="00082FB6" w:rsidRDefault="00082FB6" w:rsidP="00082FB6">
      <w:pPr>
        <w:pStyle w:val="Heading3"/>
      </w:pPr>
      <w:bookmarkStart w:id="38" w:name="_Toc199426761"/>
      <w:r w:rsidRPr="0062578B">
        <w:t>Simulation Protocol</w:t>
      </w:r>
      <w:bookmarkEnd w:id="38"/>
    </w:p>
    <w:p w14:paraId="3DF8C525" w14:textId="77777777" w:rsidR="00082FB6" w:rsidRPr="0062578B" w:rsidRDefault="00082FB6" w:rsidP="00082FB6">
      <w:pPr>
        <w:pStyle w:val="Heading3"/>
        <w:numPr>
          <w:ilvl w:val="0"/>
          <w:numId w:val="0"/>
        </w:numPr>
        <w:ind w:left="720"/>
      </w:pPr>
    </w:p>
    <w:p w14:paraId="0B18BA26" w14:textId="77777777" w:rsidR="00082FB6" w:rsidRPr="0062578B" w:rsidRDefault="00082FB6">
      <w:pPr>
        <w:numPr>
          <w:ilvl w:val="0"/>
          <w:numId w:val="12"/>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Metadynamics simulations were conducted using the PLUMED plugin in conjunction with GROMACS.</w:t>
      </w:r>
    </w:p>
    <w:p w14:paraId="4EAA06DD" w14:textId="77777777" w:rsidR="00082FB6" w:rsidRPr="0062578B" w:rsidRDefault="00082FB6">
      <w:pPr>
        <w:numPr>
          <w:ilvl w:val="0"/>
          <w:numId w:val="12"/>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The simulations were run for 60 ns with collective variables (CVs) defined as the center-of-mass distance between the ligand and binding site residues (Phe77, Tyr159, Tyr210).</w:t>
      </w:r>
    </w:p>
    <w:p w14:paraId="6BD63BED" w14:textId="77777777" w:rsidR="00082FB6" w:rsidRDefault="00082FB6">
      <w:pPr>
        <w:numPr>
          <w:ilvl w:val="0"/>
          <w:numId w:val="12"/>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Gaussian hills were deposited every 500 steps to accelerate sampling.</w:t>
      </w:r>
    </w:p>
    <w:p w14:paraId="782BFDF7" w14:textId="77777777" w:rsidR="00082FB6" w:rsidRDefault="00082FB6" w:rsidP="00082FB6">
      <w:pPr>
        <w:spacing w:after="0" w:line="360" w:lineRule="auto"/>
        <w:ind w:left="720"/>
        <w:jc w:val="both"/>
        <w:rPr>
          <w:rFonts w:ascii="Times New Roman" w:hAnsi="Times New Roman" w:cs="Times New Roman"/>
          <w:sz w:val="24"/>
          <w:szCs w:val="24"/>
        </w:rPr>
      </w:pPr>
    </w:p>
    <w:p w14:paraId="7F130D35" w14:textId="77777777" w:rsidR="00082FB6" w:rsidRDefault="00082FB6" w:rsidP="00082FB6">
      <w:pPr>
        <w:spacing w:after="0" w:line="360" w:lineRule="auto"/>
        <w:ind w:left="720"/>
        <w:jc w:val="both"/>
        <w:rPr>
          <w:rFonts w:ascii="Times New Roman" w:hAnsi="Times New Roman" w:cs="Times New Roman"/>
          <w:sz w:val="24"/>
          <w:szCs w:val="24"/>
        </w:rPr>
      </w:pPr>
    </w:p>
    <w:p w14:paraId="1672E33D" w14:textId="77777777" w:rsidR="00082FB6" w:rsidRDefault="00082FB6" w:rsidP="00082FB6">
      <w:pPr>
        <w:spacing w:after="0" w:line="360" w:lineRule="auto"/>
        <w:ind w:left="720"/>
        <w:jc w:val="both"/>
        <w:rPr>
          <w:rFonts w:ascii="Times New Roman" w:hAnsi="Times New Roman" w:cs="Times New Roman"/>
          <w:sz w:val="24"/>
          <w:szCs w:val="24"/>
        </w:rPr>
      </w:pPr>
    </w:p>
    <w:p w14:paraId="7E9E76D3" w14:textId="77777777" w:rsidR="00082FB6" w:rsidRDefault="00082FB6" w:rsidP="00082FB6">
      <w:pPr>
        <w:spacing w:after="0" w:line="360" w:lineRule="auto"/>
        <w:ind w:left="720"/>
        <w:jc w:val="both"/>
        <w:rPr>
          <w:rFonts w:ascii="Times New Roman" w:hAnsi="Times New Roman" w:cs="Times New Roman"/>
          <w:sz w:val="24"/>
          <w:szCs w:val="24"/>
        </w:rPr>
      </w:pPr>
    </w:p>
    <w:p w14:paraId="091269E5" w14:textId="77777777" w:rsidR="00082FB6" w:rsidRPr="0062578B" w:rsidRDefault="00082FB6" w:rsidP="00082FB6">
      <w:pPr>
        <w:spacing w:after="0" w:line="360" w:lineRule="auto"/>
        <w:ind w:left="720"/>
        <w:jc w:val="both"/>
        <w:rPr>
          <w:rFonts w:ascii="Times New Roman" w:hAnsi="Times New Roman" w:cs="Times New Roman"/>
          <w:sz w:val="24"/>
          <w:szCs w:val="24"/>
        </w:rPr>
      </w:pPr>
    </w:p>
    <w:p w14:paraId="14C5E5AA" w14:textId="43CFE9B8" w:rsidR="00082FB6" w:rsidRDefault="00082FB6" w:rsidP="00082FB6">
      <w:pPr>
        <w:pStyle w:val="Heading3"/>
      </w:pPr>
      <w:bookmarkStart w:id="39" w:name="_Toc199426762"/>
      <w:r w:rsidRPr="0062578B">
        <w:lastRenderedPageBreak/>
        <w:t>Free Energy Profiles</w:t>
      </w:r>
      <w:bookmarkEnd w:id="39"/>
    </w:p>
    <w:p w14:paraId="0C4C81D2" w14:textId="77777777" w:rsidR="00082FB6" w:rsidRPr="0062578B" w:rsidRDefault="00082FB6" w:rsidP="00082FB6"/>
    <w:p w14:paraId="07087A43" w14:textId="77777777"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The reconstructed free energy landscapes for each compound revealed distinct minima corresponding to energetically favorable bound states:</w:t>
      </w:r>
    </w:p>
    <w:p w14:paraId="6B470519" w14:textId="77777777" w:rsidR="00082FB6" w:rsidRPr="0062578B" w:rsidRDefault="00082FB6">
      <w:pPr>
        <w:numPr>
          <w:ilvl w:val="0"/>
          <w:numId w:val="13"/>
        </w:numPr>
        <w:spacing w:after="0" w:line="360" w:lineRule="auto"/>
        <w:jc w:val="both"/>
        <w:rPr>
          <w:rFonts w:ascii="Times New Roman" w:hAnsi="Times New Roman" w:cs="Times New Roman"/>
          <w:sz w:val="24"/>
          <w:szCs w:val="24"/>
        </w:rPr>
      </w:pPr>
      <w:proofErr w:type="spellStart"/>
      <w:r w:rsidRPr="0062578B">
        <w:rPr>
          <w:rFonts w:ascii="Times New Roman" w:hAnsi="Times New Roman" w:cs="Times New Roman"/>
          <w:b/>
          <w:bCs/>
          <w:sz w:val="24"/>
          <w:szCs w:val="24"/>
        </w:rPr>
        <w:t>ETrp</w:t>
      </w:r>
      <w:proofErr w:type="spellEnd"/>
      <w:r w:rsidRPr="0062578B">
        <w:rPr>
          <w:rFonts w:ascii="Times New Roman" w:hAnsi="Times New Roman" w:cs="Times New Roman"/>
          <w:sz w:val="24"/>
          <w:szCs w:val="24"/>
        </w:rPr>
        <w:t xml:space="preserve"> exhibited a deep and well-defined minimum (</w:t>
      </w:r>
      <w:proofErr w:type="spellStart"/>
      <w:r w:rsidRPr="0062578B">
        <w:rPr>
          <w:rFonts w:ascii="Times New Roman" w:hAnsi="Times New Roman" w:cs="Times New Roman"/>
          <w:sz w:val="24"/>
          <w:szCs w:val="24"/>
        </w:rPr>
        <w:t>ΔG</w:t>
      </w:r>
      <w:r w:rsidRPr="0062578B">
        <w:rPr>
          <w:rFonts w:ascii="Times New Roman" w:hAnsi="Times New Roman" w:cs="Times New Roman"/>
          <w:sz w:val="24"/>
          <w:szCs w:val="24"/>
          <w:vertAlign w:val="subscript"/>
        </w:rPr>
        <w:t>bind</w:t>
      </w:r>
      <w:proofErr w:type="spellEnd"/>
      <w:r w:rsidRPr="0062578B">
        <w:rPr>
          <w:rFonts w:ascii="Times New Roman" w:hAnsi="Times New Roman" w:cs="Times New Roman"/>
          <w:sz w:val="24"/>
          <w:szCs w:val="24"/>
        </w:rPr>
        <w:t xml:space="preserve"> = –168.05 kcal/mol), suggesting a highly stable binding mode with persistent π–π interactions and minimal conformational drift.</w:t>
      </w:r>
    </w:p>
    <w:p w14:paraId="1E9B8918" w14:textId="77777777" w:rsidR="00082FB6" w:rsidRPr="0062578B" w:rsidRDefault="00082FB6">
      <w:pPr>
        <w:numPr>
          <w:ilvl w:val="0"/>
          <w:numId w:val="13"/>
        </w:numPr>
        <w:spacing w:after="0" w:line="360" w:lineRule="auto"/>
        <w:jc w:val="both"/>
        <w:rPr>
          <w:rFonts w:ascii="Times New Roman" w:hAnsi="Times New Roman" w:cs="Times New Roman"/>
          <w:sz w:val="24"/>
          <w:szCs w:val="24"/>
        </w:rPr>
      </w:pPr>
      <w:proofErr w:type="spellStart"/>
      <w:r w:rsidRPr="0062578B">
        <w:rPr>
          <w:rFonts w:ascii="Times New Roman" w:hAnsi="Times New Roman" w:cs="Times New Roman"/>
          <w:b/>
          <w:bCs/>
          <w:sz w:val="24"/>
          <w:szCs w:val="24"/>
        </w:rPr>
        <w:t>ETyr</w:t>
      </w:r>
      <w:proofErr w:type="spellEnd"/>
      <w:r w:rsidRPr="0062578B">
        <w:rPr>
          <w:rFonts w:ascii="Times New Roman" w:hAnsi="Times New Roman" w:cs="Times New Roman"/>
          <w:sz w:val="24"/>
          <w:szCs w:val="24"/>
        </w:rPr>
        <w:t xml:space="preserve"> showed a moderately deep minimum (</w:t>
      </w:r>
      <w:proofErr w:type="spellStart"/>
      <w:r w:rsidRPr="0062578B">
        <w:rPr>
          <w:rFonts w:ascii="Times New Roman" w:hAnsi="Times New Roman" w:cs="Times New Roman"/>
          <w:sz w:val="24"/>
          <w:szCs w:val="24"/>
        </w:rPr>
        <w:t>ΔG</w:t>
      </w:r>
      <w:r w:rsidRPr="0062578B">
        <w:rPr>
          <w:rFonts w:ascii="Times New Roman" w:hAnsi="Times New Roman" w:cs="Times New Roman"/>
          <w:sz w:val="24"/>
          <w:szCs w:val="24"/>
          <w:vertAlign w:val="subscript"/>
        </w:rPr>
        <w:t>bind</w:t>
      </w:r>
      <w:proofErr w:type="spellEnd"/>
      <w:r w:rsidRPr="0062578B">
        <w:rPr>
          <w:rFonts w:ascii="Times New Roman" w:hAnsi="Times New Roman" w:cs="Times New Roman"/>
          <w:sz w:val="24"/>
          <w:szCs w:val="24"/>
        </w:rPr>
        <w:t xml:space="preserve"> = –60.97 kcal/mol), indicating transient but significant binding stability, likely aided by its dual π-stacking and hydrogen bonding.</w:t>
      </w:r>
    </w:p>
    <w:p w14:paraId="4FE71EAE" w14:textId="77777777" w:rsidR="00082FB6" w:rsidRDefault="00082FB6">
      <w:pPr>
        <w:numPr>
          <w:ilvl w:val="0"/>
          <w:numId w:val="13"/>
        </w:numPr>
        <w:spacing w:after="0" w:line="360" w:lineRule="auto"/>
        <w:jc w:val="both"/>
        <w:rPr>
          <w:rFonts w:ascii="Times New Roman" w:hAnsi="Times New Roman" w:cs="Times New Roman"/>
          <w:sz w:val="24"/>
          <w:szCs w:val="24"/>
        </w:rPr>
      </w:pPr>
      <w:r w:rsidRPr="0062578B">
        <w:rPr>
          <w:rFonts w:ascii="Times New Roman" w:hAnsi="Times New Roman" w:cs="Times New Roman"/>
          <w:b/>
          <w:bCs/>
          <w:sz w:val="24"/>
          <w:szCs w:val="24"/>
        </w:rPr>
        <w:t>DZP</w:t>
      </w:r>
      <w:r w:rsidRPr="0062578B">
        <w:rPr>
          <w:rFonts w:ascii="Times New Roman" w:hAnsi="Times New Roman" w:cs="Times New Roman"/>
          <w:sz w:val="24"/>
          <w:szCs w:val="24"/>
        </w:rPr>
        <w:t xml:space="preserve"> displayed a </w:t>
      </w:r>
      <w:proofErr w:type="spellStart"/>
      <w:r w:rsidRPr="0062578B">
        <w:rPr>
          <w:rFonts w:ascii="Times New Roman" w:hAnsi="Times New Roman" w:cs="Times New Roman"/>
          <w:sz w:val="24"/>
          <w:szCs w:val="24"/>
        </w:rPr>
        <w:t>ΔGbind</w:t>
      </w:r>
      <w:proofErr w:type="spellEnd"/>
      <w:r w:rsidRPr="0062578B">
        <w:rPr>
          <w:rFonts w:ascii="Times New Roman" w:hAnsi="Times New Roman" w:cs="Times New Roman"/>
          <w:sz w:val="24"/>
          <w:szCs w:val="24"/>
        </w:rPr>
        <w:t xml:space="preserve"> of –77.87 kcal/mol, consistent with its known efficacy as a GABA</w:t>
      </w:r>
      <w:r w:rsidRPr="0062578B">
        <w:rPr>
          <w:rFonts w:ascii="Times New Roman" w:hAnsi="Times New Roman" w:cs="Times New Roman"/>
          <w:sz w:val="24"/>
          <w:szCs w:val="24"/>
          <w:vertAlign w:val="subscript"/>
        </w:rPr>
        <w:t>A</w:t>
      </w:r>
      <w:r w:rsidRPr="0062578B">
        <w:rPr>
          <w:rFonts w:ascii="Times New Roman" w:hAnsi="Times New Roman" w:cs="Times New Roman"/>
          <w:sz w:val="24"/>
          <w:szCs w:val="24"/>
        </w:rPr>
        <w:t xml:space="preserve"> modulator and serving as a reference benchmark.</w:t>
      </w:r>
    </w:p>
    <w:p w14:paraId="05F15E18" w14:textId="77777777" w:rsidR="00082FB6" w:rsidRPr="0062578B" w:rsidRDefault="00082FB6" w:rsidP="00082FB6">
      <w:pPr>
        <w:spacing w:after="0" w:line="360" w:lineRule="auto"/>
        <w:ind w:left="720"/>
        <w:jc w:val="both"/>
        <w:rPr>
          <w:rFonts w:ascii="Times New Roman" w:hAnsi="Times New Roman" w:cs="Times New Roman"/>
          <w:sz w:val="24"/>
          <w:szCs w:val="24"/>
        </w:rPr>
      </w:pPr>
    </w:p>
    <w:p w14:paraId="7090E58E" w14:textId="2379F167" w:rsidR="00082FB6" w:rsidRDefault="00082FB6" w:rsidP="00082FB6">
      <w:pPr>
        <w:pStyle w:val="Heading3"/>
      </w:pPr>
      <w:bookmarkStart w:id="40" w:name="_Toc199426763"/>
      <w:r w:rsidRPr="0062578B">
        <w:t>Interpretation of Binding Modes</w:t>
      </w:r>
      <w:bookmarkEnd w:id="40"/>
    </w:p>
    <w:p w14:paraId="5CE57AAB" w14:textId="77777777" w:rsidR="00082FB6" w:rsidRPr="0062578B" w:rsidRDefault="00082FB6" w:rsidP="00082FB6">
      <w:pPr>
        <w:spacing w:after="0" w:line="360" w:lineRule="auto"/>
        <w:jc w:val="both"/>
        <w:rPr>
          <w:rFonts w:ascii="Times New Roman" w:hAnsi="Times New Roman" w:cs="Times New Roman"/>
          <w:b/>
          <w:bCs/>
          <w:sz w:val="24"/>
          <w:szCs w:val="24"/>
        </w:rPr>
      </w:pPr>
    </w:p>
    <w:p w14:paraId="01C36B75" w14:textId="77777777" w:rsidR="00082FB6" w:rsidRPr="0062578B" w:rsidRDefault="00082FB6">
      <w:pPr>
        <w:numPr>
          <w:ilvl w:val="0"/>
          <w:numId w:val="14"/>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The deep energy well observed for </w:t>
      </w:r>
      <w:proofErr w:type="spellStart"/>
      <w:r w:rsidRPr="0062578B">
        <w:rPr>
          <w:rFonts w:ascii="Times New Roman" w:hAnsi="Times New Roman" w:cs="Times New Roman"/>
          <w:sz w:val="24"/>
          <w:szCs w:val="24"/>
        </w:rPr>
        <w:t>ETrp</w:t>
      </w:r>
      <w:proofErr w:type="spellEnd"/>
      <w:r w:rsidRPr="0062578B">
        <w:rPr>
          <w:rFonts w:ascii="Times New Roman" w:hAnsi="Times New Roman" w:cs="Times New Roman"/>
          <w:sz w:val="24"/>
          <w:szCs w:val="24"/>
        </w:rPr>
        <w:t xml:space="preserve"> correlates with its extended aromatic surface (indole ring), capable of maintaining multipoint π-stacking throughout the simulation.</w:t>
      </w:r>
    </w:p>
    <w:p w14:paraId="40FE0626" w14:textId="77777777" w:rsidR="00082FB6" w:rsidRPr="0062578B" w:rsidRDefault="00082FB6">
      <w:pPr>
        <w:numPr>
          <w:ilvl w:val="0"/>
          <w:numId w:val="14"/>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The shallower energy minimum for </w:t>
      </w:r>
      <w:proofErr w:type="spellStart"/>
      <w:r w:rsidRPr="0062578B">
        <w:rPr>
          <w:rFonts w:ascii="Times New Roman" w:hAnsi="Times New Roman" w:cs="Times New Roman"/>
          <w:sz w:val="24"/>
          <w:szCs w:val="24"/>
        </w:rPr>
        <w:t>ETyr</w:t>
      </w:r>
      <w:proofErr w:type="spellEnd"/>
      <w:r w:rsidRPr="0062578B">
        <w:rPr>
          <w:rFonts w:ascii="Times New Roman" w:hAnsi="Times New Roman" w:cs="Times New Roman"/>
          <w:sz w:val="24"/>
          <w:szCs w:val="24"/>
        </w:rPr>
        <w:t xml:space="preserve"> may reflect flexibility in the hydroxyl group orientation and dynamic fluctuations in H-bonding.</w:t>
      </w:r>
    </w:p>
    <w:p w14:paraId="6C3EC4CF" w14:textId="77777777" w:rsidR="00082FB6" w:rsidRDefault="00082FB6">
      <w:pPr>
        <w:numPr>
          <w:ilvl w:val="0"/>
          <w:numId w:val="14"/>
        </w:num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The comparison underscores that aromaticity alone is not sufficient; stacking geometry, electron density, and ring orientation play vital roles in dictating binding persistence.</w:t>
      </w:r>
    </w:p>
    <w:p w14:paraId="552F728E" w14:textId="77777777" w:rsidR="00082FB6" w:rsidRPr="0062578B" w:rsidRDefault="00082FB6" w:rsidP="00082FB6">
      <w:pPr>
        <w:spacing w:after="0" w:line="360" w:lineRule="auto"/>
        <w:ind w:left="720"/>
        <w:jc w:val="both"/>
        <w:rPr>
          <w:rFonts w:ascii="Times New Roman" w:hAnsi="Times New Roman" w:cs="Times New Roman"/>
          <w:sz w:val="24"/>
          <w:szCs w:val="24"/>
        </w:rPr>
      </w:pPr>
    </w:p>
    <w:p w14:paraId="3F112459" w14:textId="1FDCB765" w:rsidR="00082FB6" w:rsidRPr="00082FB6" w:rsidRDefault="00082FB6" w:rsidP="00082FB6">
      <w:pPr>
        <w:pStyle w:val="Heading3"/>
      </w:pPr>
      <w:bookmarkStart w:id="41" w:name="_Toc199426764"/>
      <w:r w:rsidRPr="00082FB6">
        <w:t>Summary</w:t>
      </w:r>
      <w:bookmarkEnd w:id="41"/>
    </w:p>
    <w:p w14:paraId="02A21A6F" w14:textId="77777777" w:rsidR="00082FB6" w:rsidRPr="00082FB6" w:rsidRDefault="00082FB6" w:rsidP="00082FB6"/>
    <w:p w14:paraId="0FAC3A95" w14:textId="3B11B3F8"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 xml:space="preserve">These metadynamics results corroborate the docking analysis and further validate </w:t>
      </w:r>
      <w:proofErr w:type="spellStart"/>
      <w:r w:rsidRPr="0062578B">
        <w:rPr>
          <w:rFonts w:ascii="Times New Roman" w:hAnsi="Times New Roman" w:cs="Times New Roman"/>
          <w:sz w:val="24"/>
          <w:szCs w:val="24"/>
        </w:rPr>
        <w:t>ETrp</w:t>
      </w:r>
      <w:proofErr w:type="spellEnd"/>
      <w:r w:rsidRPr="0062578B">
        <w:rPr>
          <w:rFonts w:ascii="Times New Roman" w:hAnsi="Times New Roman" w:cs="Times New Roman"/>
          <w:sz w:val="24"/>
          <w:szCs w:val="24"/>
        </w:rPr>
        <w:t xml:space="preserve"> as the most promising candidate based on binding free energy, interaction stability, and receptor complementarity. </w:t>
      </w:r>
      <w:r w:rsidRPr="00951313">
        <w:rPr>
          <w:rFonts w:ascii="Times New Roman" w:hAnsi="Times New Roman" w:cs="Times New Roman"/>
          <w:sz w:val="24"/>
          <w:szCs w:val="24"/>
        </w:rPr>
        <w:t>Figure S</w:t>
      </w:r>
      <w:r w:rsidR="00951313" w:rsidRPr="00951313">
        <w:rPr>
          <w:rFonts w:ascii="Times New Roman" w:hAnsi="Times New Roman" w:cs="Times New Roman"/>
          <w:sz w:val="24"/>
          <w:szCs w:val="24"/>
        </w:rPr>
        <w:t>1</w:t>
      </w:r>
      <w:r w:rsidRPr="0062578B">
        <w:rPr>
          <w:rFonts w:ascii="Times New Roman" w:hAnsi="Times New Roman" w:cs="Times New Roman"/>
          <w:sz w:val="24"/>
          <w:szCs w:val="24"/>
        </w:rPr>
        <w:t xml:space="preserve"> shows the full free energy surfaces, highlighting the relative depth and shape of the binding wells.</w:t>
      </w:r>
    </w:p>
    <w:p w14:paraId="5D502E35" w14:textId="77777777" w:rsidR="00082FB6" w:rsidRPr="0062578B" w:rsidRDefault="00082FB6" w:rsidP="00082FB6">
      <w:pPr>
        <w:spacing w:after="0" w:line="360" w:lineRule="auto"/>
        <w:jc w:val="both"/>
        <w:rPr>
          <w:rFonts w:ascii="Times New Roman" w:hAnsi="Times New Roman" w:cs="Times New Roman"/>
          <w:sz w:val="24"/>
          <w:szCs w:val="24"/>
        </w:rPr>
      </w:pPr>
      <w:r w:rsidRPr="0062578B">
        <w:rPr>
          <w:rFonts w:ascii="Times New Roman" w:hAnsi="Times New Roman" w:cs="Times New Roman"/>
          <w:sz w:val="24"/>
          <w:szCs w:val="24"/>
        </w:rPr>
        <w:t>These dynamic simulations provide a robust energetic rationale for prioritizing Trp and Tyr derivatives in experimental assays and future structural optimization.</w:t>
      </w:r>
    </w:p>
    <w:p w14:paraId="68099D6A" w14:textId="539DE22D" w:rsidR="00082FB6" w:rsidRDefault="00082FB6" w:rsidP="00082FB6">
      <w:pPr>
        <w:pStyle w:val="Heading2"/>
        <w:rPr>
          <w:b/>
          <w:bCs/>
        </w:rPr>
      </w:pPr>
      <w:bookmarkStart w:id="42" w:name="_Toc199426765"/>
      <w:r w:rsidRPr="00BA02E6">
        <w:rPr>
          <w:b/>
          <w:bCs/>
        </w:rPr>
        <w:lastRenderedPageBreak/>
        <w:t>Receptor-Specific Interpretation</w:t>
      </w:r>
      <w:bookmarkEnd w:id="42"/>
    </w:p>
    <w:p w14:paraId="1207171C" w14:textId="77777777" w:rsidR="00BA02E6" w:rsidRPr="00BA02E6" w:rsidRDefault="00BA02E6" w:rsidP="00BA02E6">
      <w:pPr>
        <w:spacing w:after="0"/>
        <w:rPr>
          <w:lang w:val="es-MX" w:eastAsia="en-US"/>
        </w:rPr>
      </w:pPr>
    </w:p>
    <w:p w14:paraId="53E8D681" w14:textId="49C58E80" w:rsidR="00082FB6" w:rsidRDefault="00082FB6" w:rsidP="00082FB6">
      <w:pPr>
        <w:pStyle w:val="Heading3"/>
      </w:pPr>
      <w:bookmarkStart w:id="43" w:name="_Toc199426766"/>
      <w:r w:rsidRPr="00307E95">
        <w:t>GABA</w:t>
      </w:r>
      <w:r w:rsidRPr="00307E95">
        <w:rPr>
          <w:vertAlign w:val="subscript"/>
        </w:rPr>
        <w:t>A</w:t>
      </w:r>
      <w:r w:rsidRPr="00307E95">
        <w:t xml:space="preserve"> Receptor Binding Site Characteristics</w:t>
      </w:r>
      <w:bookmarkEnd w:id="43"/>
    </w:p>
    <w:p w14:paraId="72183C28" w14:textId="77777777" w:rsidR="00082FB6" w:rsidRPr="00307E95" w:rsidRDefault="00082FB6" w:rsidP="00082FB6"/>
    <w:p w14:paraId="2679FB64" w14:textId="7F9186CA"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The benzodiazepine binding site of the GABA</w:t>
      </w:r>
      <w:r w:rsidRPr="00951313">
        <w:rPr>
          <w:rFonts w:ascii="Times New Roman" w:hAnsi="Times New Roman" w:cs="Times New Roman"/>
          <w:sz w:val="24"/>
          <w:szCs w:val="24"/>
          <w:vertAlign w:val="subscript"/>
        </w:rPr>
        <w:t>A</w:t>
      </w:r>
      <w:r w:rsidRPr="00307E95">
        <w:rPr>
          <w:rFonts w:ascii="Times New Roman" w:hAnsi="Times New Roman" w:cs="Times New Roman"/>
          <w:sz w:val="24"/>
          <w:szCs w:val="24"/>
        </w:rPr>
        <w:t xml:space="preserve"> receptor is located at the interface between the α1 and γ2 subunits and is lined with aromatic and hydrophobic residues, including Phe77, Tyr159, His102, and Tyr210. Structural studies (e.g., cryo-EM, PDB ID: 6D6U) have shown that ligands like diazepam engage in strong π–π stacking and van der Waals interactions at this site</w:t>
      </w:r>
      <w:r>
        <w:rPr>
          <w:rFonts w:ascii="Times New Roman" w:hAnsi="Times New Roman" w:cs="Times New Roman"/>
          <w:sz w:val="24"/>
          <w:szCs w:val="24"/>
        </w:rPr>
        <w:t>.</w:t>
      </w:r>
    </w:p>
    <w:p w14:paraId="7A5D86D2" w14:textId="77777777" w:rsidR="00082FB6" w:rsidRPr="00307E95" w:rsidRDefault="00082FB6" w:rsidP="00082FB6"/>
    <w:p w14:paraId="30ADEDB7" w14:textId="12166A53" w:rsidR="00082FB6" w:rsidRDefault="00082FB6" w:rsidP="00082FB6">
      <w:pPr>
        <w:pStyle w:val="Heading3"/>
      </w:pPr>
      <w:bookmarkStart w:id="44" w:name="_Toc199426767"/>
      <w:r w:rsidRPr="00307E95">
        <w:t>Implications for Ligand Design</w:t>
      </w:r>
      <w:bookmarkEnd w:id="44"/>
    </w:p>
    <w:p w14:paraId="061E0290" w14:textId="77777777" w:rsidR="00082FB6" w:rsidRPr="00307E95" w:rsidRDefault="00082FB6" w:rsidP="00082FB6"/>
    <w:p w14:paraId="1B855CC6"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Given the aromatic density of the binding site, ligands capable of forming π–π interactions are strongly favored. Our docking and metadynamics data confirm that aromatic amino acid esters</w:t>
      </w:r>
      <w:r>
        <w:rPr>
          <w:rFonts w:ascii="Times New Roman" w:hAnsi="Times New Roman" w:cs="Times New Roman"/>
          <w:sz w:val="24"/>
          <w:szCs w:val="24"/>
        </w:rPr>
        <w:t xml:space="preserve">, </w:t>
      </w:r>
      <w:r w:rsidRPr="00307E95">
        <w:rPr>
          <w:rFonts w:ascii="Times New Roman" w:hAnsi="Times New Roman" w:cs="Times New Roman"/>
          <w:sz w:val="24"/>
          <w:szCs w:val="24"/>
        </w:rPr>
        <w:t xml:space="preserve">especially </w:t>
      </w:r>
      <w:proofErr w:type="spellStart"/>
      <w:r w:rsidRPr="00307E95">
        <w:rPr>
          <w:rFonts w:ascii="Times New Roman" w:hAnsi="Times New Roman" w:cs="Times New Roman"/>
          <w:sz w:val="24"/>
          <w:szCs w:val="24"/>
        </w:rPr>
        <w:t>ETrp</w:t>
      </w:r>
      <w:proofErr w:type="spellEnd"/>
      <w:r w:rsidRPr="00307E95">
        <w:rPr>
          <w:rFonts w:ascii="Times New Roman" w:hAnsi="Times New Roman" w:cs="Times New Roman"/>
          <w:sz w:val="24"/>
          <w:szCs w:val="24"/>
        </w:rPr>
        <w:t xml:space="preserve"> and </w:t>
      </w:r>
      <w:proofErr w:type="spellStart"/>
      <w:r w:rsidRPr="00307E95">
        <w:rPr>
          <w:rFonts w:ascii="Times New Roman" w:hAnsi="Times New Roman" w:cs="Times New Roman"/>
          <w:sz w:val="24"/>
          <w:szCs w:val="24"/>
        </w:rPr>
        <w:t>ETyr</w:t>
      </w:r>
      <w:proofErr w:type="spellEnd"/>
      <w:r>
        <w:rPr>
          <w:rFonts w:ascii="Times New Roman" w:hAnsi="Times New Roman" w:cs="Times New Roman"/>
          <w:sz w:val="24"/>
          <w:szCs w:val="24"/>
        </w:rPr>
        <w:t xml:space="preserve"> </w:t>
      </w:r>
      <w:r w:rsidRPr="00307E95">
        <w:rPr>
          <w:rFonts w:ascii="Times New Roman" w:hAnsi="Times New Roman" w:cs="Times New Roman"/>
          <w:sz w:val="24"/>
          <w:szCs w:val="24"/>
        </w:rPr>
        <w:t>possess the correct shape, electronic features, and rigidity to align with these residues and form stabilizing non-covalent interactions.</w:t>
      </w:r>
    </w:p>
    <w:p w14:paraId="6644E2DB"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Non-aromatic or highly polar ligands are at a disadvantage due to:</w:t>
      </w:r>
    </w:p>
    <w:p w14:paraId="7BBFDDF9" w14:textId="77777777" w:rsidR="00082FB6" w:rsidRPr="00307E95" w:rsidRDefault="00082FB6">
      <w:pPr>
        <w:numPr>
          <w:ilvl w:val="0"/>
          <w:numId w:val="15"/>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Lack of π-electron systems needed for stacking</w:t>
      </w:r>
    </w:p>
    <w:p w14:paraId="0AB38150" w14:textId="77777777" w:rsidR="00082FB6" w:rsidRPr="00307E95" w:rsidRDefault="00082FB6">
      <w:pPr>
        <w:numPr>
          <w:ilvl w:val="0"/>
          <w:numId w:val="15"/>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Increased desolvation penalties due to excessive polarity (TPSA &gt; 60 Å²)</w:t>
      </w:r>
    </w:p>
    <w:p w14:paraId="10C9FE6A" w14:textId="5B20E0FE" w:rsidR="00082FB6" w:rsidRDefault="00082FB6">
      <w:pPr>
        <w:numPr>
          <w:ilvl w:val="0"/>
          <w:numId w:val="15"/>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Flexible or extended side chains that reduce conformational complementarity</w:t>
      </w:r>
    </w:p>
    <w:p w14:paraId="7CA19608" w14:textId="77777777" w:rsidR="00082FB6" w:rsidRPr="00082FB6" w:rsidRDefault="00082FB6" w:rsidP="00082FB6"/>
    <w:p w14:paraId="480248D7" w14:textId="1E4F81DF" w:rsidR="00082FB6" w:rsidRDefault="00082FB6" w:rsidP="00082FB6">
      <w:pPr>
        <w:pStyle w:val="Heading3"/>
      </w:pPr>
      <w:bookmarkStart w:id="45" w:name="_Toc199426768"/>
      <w:r w:rsidRPr="00307E95">
        <w:t>Mimicry of Classical Benzodiazepines</w:t>
      </w:r>
      <w:bookmarkEnd w:id="45"/>
    </w:p>
    <w:p w14:paraId="035E2965" w14:textId="77777777" w:rsidR="00082FB6" w:rsidRPr="00307E95" w:rsidRDefault="00082FB6" w:rsidP="00082FB6"/>
    <w:p w14:paraId="1AB145C9" w14:textId="77777777" w:rsidR="00082FB6" w:rsidRPr="00307E95" w:rsidRDefault="00082FB6" w:rsidP="00082FB6">
      <w:pPr>
        <w:spacing w:after="0" w:line="360" w:lineRule="auto"/>
        <w:jc w:val="both"/>
        <w:rPr>
          <w:rFonts w:ascii="Times New Roman" w:hAnsi="Times New Roman" w:cs="Times New Roman"/>
          <w:sz w:val="24"/>
          <w:szCs w:val="24"/>
        </w:rPr>
      </w:pPr>
      <w:proofErr w:type="spellStart"/>
      <w:r w:rsidRPr="00307E95">
        <w:rPr>
          <w:rFonts w:ascii="Times New Roman" w:hAnsi="Times New Roman" w:cs="Times New Roman"/>
          <w:sz w:val="24"/>
          <w:szCs w:val="24"/>
        </w:rPr>
        <w:t>ETrp</w:t>
      </w:r>
      <w:proofErr w:type="spellEnd"/>
      <w:r w:rsidRPr="00307E95">
        <w:rPr>
          <w:rFonts w:ascii="Times New Roman" w:hAnsi="Times New Roman" w:cs="Times New Roman"/>
          <w:sz w:val="24"/>
          <w:szCs w:val="24"/>
        </w:rPr>
        <w:t xml:space="preserve"> and </w:t>
      </w:r>
      <w:proofErr w:type="spellStart"/>
      <w:r w:rsidRPr="00307E95">
        <w:rPr>
          <w:rFonts w:ascii="Times New Roman" w:hAnsi="Times New Roman" w:cs="Times New Roman"/>
          <w:sz w:val="24"/>
          <w:szCs w:val="24"/>
        </w:rPr>
        <w:t>ETyr</w:t>
      </w:r>
      <w:proofErr w:type="spellEnd"/>
      <w:r w:rsidRPr="00307E95">
        <w:rPr>
          <w:rFonts w:ascii="Times New Roman" w:hAnsi="Times New Roman" w:cs="Times New Roman"/>
          <w:sz w:val="24"/>
          <w:szCs w:val="24"/>
        </w:rPr>
        <w:t xml:space="preserve"> share key features with diazepam:</w:t>
      </w:r>
    </w:p>
    <w:p w14:paraId="1DCEF628" w14:textId="77777777" w:rsidR="00082FB6" w:rsidRPr="00307E95" w:rsidRDefault="00082FB6">
      <w:pPr>
        <w:numPr>
          <w:ilvl w:val="0"/>
          <w:numId w:val="16"/>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Aromaticity enabling stacking</w:t>
      </w:r>
    </w:p>
    <w:p w14:paraId="27C6109C" w14:textId="77777777" w:rsidR="00082FB6" w:rsidRPr="00307E95" w:rsidRDefault="00082FB6">
      <w:pPr>
        <w:numPr>
          <w:ilvl w:val="0"/>
          <w:numId w:val="16"/>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 xml:space="preserve">Appropriate </w:t>
      </w:r>
      <w:proofErr w:type="spellStart"/>
      <w:r w:rsidRPr="00307E95">
        <w:rPr>
          <w:rFonts w:ascii="Times New Roman" w:hAnsi="Times New Roman" w:cs="Times New Roman"/>
          <w:sz w:val="24"/>
          <w:szCs w:val="24"/>
        </w:rPr>
        <w:t>logP</w:t>
      </w:r>
      <w:proofErr w:type="spellEnd"/>
      <w:r w:rsidRPr="00307E95">
        <w:rPr>
          <w:rFonts w:ascii="Times New Roman" w:hAnsi="Times New Roman" w:cs="Times New Roman"/>
          <w:sz w:val="24"/>
          <w:szCs w:val="24"/>
        </w:rPr>
        <w:t xml:space="preserve"> (~2.5–3.0)</w:t>
      </w:r>
    </w:p>
    <w:p w14:paraId="7477ED5C" w14:textId="77777777" w:rsidR="00082FB6" w:rsidRPr="00307E95" w:rsidRDefault="00082FB6">
      <w:pPr>
        <w:numPr>
          <w:ilvl w:val="0"/>
          <w:numId w:val="16"/>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Compact, semi-rigid structure</w:t>
      </w:r>
    </w:p>
    <w:p w14:paraId="37D9E792" w14:textId="77777777"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 xml:space="preserve">These </w:t>
      </w:r>
      <w:r>
        <w:rPr>
          <w:rFonts w:ascii="Times New Roman" w:hAnsi="Times New Roman" w:cs="Times New Roman"/>
          <w:sz w:val="24"/>
          <w:szCs w:val="24"/>
        </w:rPr>
        <w:t>results</w:t>
      </w:r>
      <w:r w:rsidRPr="00307E95">
        <w:rPr>
          <w:rFonts w:ascii="Times New Roman" w:hAnsi="Times New Roman" w:cs="Times New Roman"/>
          <w:sz w:val="24"/>
          <w:szCs w:val="24"/>
        </w:rPr>
        <w:t xml:space="preserve"> reinforce the importance of molecular mimicry in rational design and support the hypothesis that 2-(isoindolin-2-yl) esters with aromatic side chains can act as functional analogs of classical benzodiazepines.</w:t>
      </w:r>
    </w:p>
    <w:p w14:paraId="0E2D8B42" w14:textId="77777777" w:rsidR="00082FB6" w:rsidRDefault="00082FB6" w:rsidP="00082FB6">
      <w:pPr>
        <w:spacing w:after="0" w:line="360" w:lineRule="auto"/>
        <w:jc w:val="both"/>
        <w:rPr>
          <w:rFonts w:ascii="Times New Roman" w:hAnsi="Times New Roman" w:cs="Times New Roman"/>
          <w:sz w:val="24"/>
          <w:szCs w:val="24"/>
        </w:rPr>
      </w:pPr>
    </w:p>
    <w:p w14:paraId="411BA8F6" w14:textId="77777777" w:rsidR="00082FB6" w:rsidRDefault="00082FB6" w:rsidP="00082FB6">
      <w:pPr>
        <w:spacing w:after="0" w:line="360" w:lineRule="auto"/>
        <w:jc w:val="both"/>
        <w:rPr>
          <w:rFonts w:ascii="Times New Roman" w:hAnsi="Times New Roman" w:cs="Times New Roman"/>
          <w:sz w:val="24"/>
          <w:szCs w:val="24"/>
        </w:rPr>
      </w:pPr>
    </w:p>
    <w:p w14:paraId="3D959D56" w14:textId="201664C4" w:rsidR="00082FB6" w:rsidRDefault="00082FB6" w:rsidP="00082FB6">
      <w:pPr>
        <w:pStyle w:val="Heading3"/>
      </w:pPr>
      <w:bookmarkStart w:id="46" w:name="_Toc199426769"/>
      <w:r w:rsidRPr="00307E95">
        <w:lastRenderedPageBreak/>
        <w:t>Conclusion</w:t>
      </w:r>
      <w:bookmarkEnd w:id="46"/>
    </w:p>
    <w:p w14:paraId="68392624" w14:textId="77777777" w:rsidR="00082FB6" w:rsidRPr="00307E95" w:rsidRDefault="00082FB6" w:rsidP="00082FB6"/>
    <w:p w14:paraId="2FC1C928" w14:textId="77777777"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The receptor-specific binding environment favors π-rich ligands, explaining the consistent computational superiority of aromatic esters. These insights justify their prioritization in synthesis campaigns and serve as a foundation for designing next-generation analogs with improved potency and selectivity.</w:t>
      </w:r>
    </w:p>
    <w:p w14:paraId="789FA039" w14:textId="77777777" w:rsidR="00082FB6" w:rsidRPr="00307E95" w:rsidRDefault="00082FB6" w:rsidP="00BA02E6">
      <w:pPr>
        <w:spacing w:after="0"/>
      </w:pPr>
    </w:p>
    <w:p w14:paraId="384EC000" w14:textId="4E01B5F6" w:rsidR="00082FB6" w:rsidRPr="00BA02E6" w:rsidRDefault="00082FB6" w:rsidP="00082FB6">
      <w:pPr>
        <w:pStyle w:val="Heading2"/>
        <w:rPr>
          <w:b/>
          <w:bCs/>
        </w:rPr>
      </w:pPr>
      <w:bookmarkStart w:id="47" w:name="_Toc199426770"/>
      <w:r w:rsidRPr="00BA02E6">
        <w:rPr>
          <w:b/>
          <w:bCs/>
        </w:rPr>
        <w:t>Comparative SAR Insights and Outliers</w:t>
      </w:r>
      <w:bookmarkEnd w:id="47"/>
    </w:p>
    <w:p w14:paraId="6AE473CF" w14:textId="77777777" w:rsidR="00082FB6" w:rsidRPr="00082FB6" w:rsidRDefault="00082FB6" w:rsidP="00082FB6">
      <w:pPr>
        <w:rPr>
          <w:lang w:val="es-MX" w:eastAsia="en-US"/>
        </w:rPr>
      </w:pPr>
    </w:p>
    <w:p w14:paraId="402889E1" w14:textId="27C410BA" w:rsidR="00082FB6" w:rsidRDefault="00082FB6" w:rsidP="00082FB6">
      <w:pPr>
        <w:pStyle w:val="Heading3"/>
      </w:pPr>
      <w:bookmarkStart w:id="48" w:name="_Toc199426771"/>
      <w:r w:rsidRPr="00307E95">
        <w:t>Ranking and Performance Clustering</w:t>
      </w:r>
      <w:bookmarkEnd w:id="48"/>
    </w:p>
    <w:p w14:paraId="669337C9" w14:textId="77777777" w:rsidR="00082FB6" w:rsidRPr="00307E95" w:rsidRDefault="00082FB6" w:rsidP="00082FB6">
      <w:pPr>
        <w:spacing w:after="0" w:line="360" w:lineRule="auto"/>
        <w:jc w:val="both"/>
        <w:rPr>
          <w:rFonts w:ascii="Times New Roman" w:hAnsi="Times New Roman" w:cs="Times New Roman"/>
          <w:b/>
          <w:bCs/>
          <w:sz w:val="24"/>
          <w:szCs w:val="24"/>
        </w:rPr>
      </w:pPr>
    </w:p>
    <w:p w14:paraId="6E3E5A52" w14:textId="77777777"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 xml:space="preserve">A summary of docking scores and metadynamics results revealed a clear separation between aromatic and non-aromatic compounds in terms of receptor affinity and predicted stability. </w:t>
      </w:r>
      <w:proofErr w:type="spellStart"/>
      <w:r w:rsidRPr="00307E95">
        <w:rPr>
          <w:rFonts w:ascii="Times New Roman" w:hAnsi="Times New Roman" w:cs="Times New Roman"/>
          <w:sz w:val="24"/>
          <w:szCs w:val="24"/>
        </w:rPr>
        <w:t>ETrp</w:t>
      </w:r>
      <w:proofErr w:type="spellEnd"/>
      <w:r w:rsidRPr="00307E95">
        <w:rPr>
          <w:rFonts w:ascii="Times New Roman" w:hAnsi="Times New Roman" w:cs="Times New Roman"/>
          <w:sz w:val="24"/>
          <w:szCs w:val="24"/>
        </w:rPr>
        <w:t xml:space="preserve"> and </w:t>
      </w:r>
      <w:proofErr w:type="spellStart"/>
      <w:r w:rsidRPr="00307E95">
        <w:rPr>
          <w:rFonts w:ascii="Times New Roman" w:hAnsi="Times New Roman" w:cs="Times New Roman"/>
          <w:sz w:val="24"/>
          <w:szCs w:val="24"/>
        </w:rPr>
        <w:t>ETyr</w:t>
      </w:r>
      <w:proofErr w:type="spellEnd"/>
      <w:r w:rsidRPr="00307E95">
        <w:rPr>
          <w:rFonts w:ascii="Times New Roman" w:hAnsi="Times New Roman" w:cs="Times New Roman"/>
          <w:sz w:val="24"/>
          <w:szCs w:val="24"/>
        </w:rPr>
        <w:t xml:space="preserve"> ranked at the top across all metrics, followed by </w:t>
      </w:r>
      <w:proofErr w:type="spellStart"/>
      <w:r w:rsidRPr="00307E95">
        <w:rPr>
          <w:rFonts w:ascii="Times New Roman" w:hAnsi="Times New Roman" w:cs="Times New Roman"/>
          <w:sz w:val="24"/>
          <w:szCs w:val="24"/>
        </w:rPr>
        <w:t>EPhe</w:t>
      </w:r>
      <w:proofErr w:type="spellEnd"/>
      <w:r w:rsidRPr="00307E95">
        <w:rPr>
          <w:rFonts w:ascii="Times New Roman" w:hAnsi="Times New Roman" w:cs="Times New Roman"/>
          <w:sz w:val="24"/>
          <w:szCs w:val="24"/>
        </w:rPr>
        <w:t xml:space="preserve"> and </w:t>
      </w:r>
      <w:proofErr w:type="spellStart"/>
      <w:r w:rsidRPr="00307E95">
        <w:rPr>
          <w:rFonts w:ascii="Times New Roman" w:hAnsi="Times New Roman" w:cs="Times New Roman"/>
          <w:sz w:val="24"/>
          <w:szCs w:val="24"/>
        </w:rPr>
        <w:t>EHis</w:t>
      </w:r>
      <w:proofErr w:type="spellEnd"/>
      <w:r w:rsidRPr="00307E95">
        <w:rPr>
          <w:rFonts w:ascii="Times New Roman" w:hAnsi="Times New Roman" w:cs="Times New Roman"/>
          <w:sz w:val="24"/>
          <w:szCs w:val="24"/>
        </w:rPr>
        <w:t xml:space="preserve"> with slightly reduced performance. Aliphatic and polar derivatives clustered at the bottom with docking scores above –8.0 kcal/mol and no detectable π-stacking.</w:t>
      </w:r>
    </w:p>
    <w:p w14:paraId="368B975F" w14:textId="77777777" w:rsidR="00082FB6" w:rsidRPr="00307E95" w:rsidRDefault="00082FB6" w:rsidP="00082FB6"/>
    <w:p w14:paraId="691BF6F8" w14:textId="189762FE" w:rsidR="00082FB6" w:rsidRDefault="00082FB6" w:rsidP="00082FB6">
      <w:pPr>
        <w:pStyle w:val="Heading3"/>
      </w:pPr>
      <w:bookmarkStart w:id="49" w:name="_Toc199426772"/>
      <w:r w:rsidRPr="00307E95">
        <w:t>Outlier Analysis</w:t>
      </w:r>
      <w:bookmarkEnd w:id="49"/>
    </w:p>
    <w:p w14:paraId="013C158D" w14:textId="77777777" w:rsidR="00082FB6" w:rsidRPr="00307E95" w:rsidRDefault="00082FB6" w:rsidP="00082FB6"/>
    <w:p w14:paraId="70DE799C"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 xml:space="preserve">Among the aromatic derivatives, </w:t>
      </w:r>
      <w:proofErr w:type="spellStart"/>
      <w:r w:rsidRPr="00307E95">
        <w:rPr>
          <w:rFonts w:ascii="Times New Roman" w:hAnsi="Times New Roman" w:cs="Times New Roman"/>
          <w:b/>
          <w:bCs/>
          <w:sz w:val="24"/>
          <w:szCs w:val="24"/>
        </w:rPr>
        <w:t>EPhe</w:t>
      </w:r>
      <w:proofErr w:type="spellEnd"/>
      <w:r w:rsidRPr="00307E95">
        <w:rPr>
          <w:rFonts w:ascii="Times New Roman" w:hAnsi="Times New Roman" w:cs="Times New Roman"/>
          <w:sz w:val="24"/>
          <w:szCs w:val="24"/>
        </w:rPr>
        <w:t xml:space="preserve"> and </w:t>
      </w:r>
      <w:proofErr w:type="spellStart"/>
      <w:r w:rsidRPr="00307E95">
        <w:rPr>
          <w:rFonts w:ascii="Times New Roman" w:hAnsi="Times New Roman" w:cs="Times New Roman"/>
          <w:b/>
          <w:bCs/>
          <w:sz w:val="24"/>
          <w:szCs w:val="24"/>
        </w:rPr>
        <w:t>EHis</w:t>
      </w:r>
      <w:proofErr w:type="spellEnd"/>
      <w:r w:rsidRPr="00307E95">
        <w:rPr>
          <w:rFonts w:ascii="Times New Roman" w:hAnsi="Times New Roman" w:cs="Times New Roman"/>
          <w:sz w:val="24"/>
          <w:szCs w:val="24"/>
        </w:rPr>
        <w:t xml:space="preserve"> performed moderately well in docking but were not selected for in vivo testing. This was due to:</w:t>
      </w:r>
    </w:p>
    <w:p w14:paraId="21EC36A2" w14:textId="77777777" w:rsidR="00082FB6" w:rsidRPr="00307E95" w:rsidRDefault="00082FB6">
      <w:pPr>
        <w:numPr>
          <w:ilvl w:val="0"/>
          <w:numId w:val="17"/>
        </w:numPr>
        <w:spacing w:after="0" w:line="360" w:lineRule="auto"/>
        <w:jc w:val="both"/>
        <w:rPr>
          <w:rFonts w:ascii="Times New Roman" w:hAnsi="Times New Roman" w:cs="Times New Roman"/>
          <w:sz w:val="24"/>
          <w:szCs w:val="24"/>
        </w:rPr>
      </w:pPr>
      <w:proofErr w:type="spellStart"/>
      <w:r w:rsidRPr="00307E95">
        <w:rPr>
          <w:rFonts w:ascii="Times New Roman" w:hAnsi="Times New Roman" w:cs="Times New Roman"/>
          <w:b/>
          <w:bCs/>
          <w:sz w:val="24"/>
          <w:szCs w:val="24"/>
        </w:rPr>
        <w:t>EPhe</w:t>
      </w:r>
      <w:proofErr w:type="spellEnd"/>
      <w:r w:rsidRPr="00307E95">
        <w:rPr>
          <w:rFonts w:ascii="Times New Roman" w:hAnsi="Times New Roman" w:cs="Times New Roman"/>
          <w:sz w:val="24"/>
          <w:szCs w:val="24"/>
        </w:rPr>
        <w:t>: Lacked polar functional groups, offering only mono-site π-stacking; no H-bonding potential.</w:t>
      </w:r>
    </w:p>
    <w:p w14:paraId="7DF89A1F" w14:textId="77777777" w:rsidR="00082FB6" w:rsidRPr="00307E95" w:rsidRDefault="00082FB6">
      <w:pPr>
        <w:numPr>
          <w:ilvl w:val="0"/>
          <w:numId w:val="17"/>
        </w:numPr>
        <w:spacing w:after="0" w:line="360" w:lineRule="auto"/>
        <w:jc w:val="both"/>
        <w:rPr>
          <w:rFonts w:ascii="Times New Roman" w:hAnsi="Times New Roman" w:cs="Times New Roman"/>
          <w:sz w:val="24"/>
          <w:szCs w:val="24"/>
        </w:rPr>
      </w:pPr>
      <w:proofErr w:type="spellStart"/>
      <w:r w:rsidRPr="00307E95">
        <w:rPr>
          <w:rFonts w:ascii="Times New Roman" w:hAnsi="Times New Roman" w:cs="Times New Roman"/>
          <w:b/>
          <w:bCs/>
          <w:sz w:val="24"/>
          <w:szCs w:val="24"/>
        </w:rPr>
        <w:t>EHis</w:t>
      </w:r>
      <w:proofErr w:type="spellEnd"/>
      <w:r w:rsidRPr="00307E95">
        <w:rPr>
          <w:rFonts w:ascii="Times New Roman" w:hAnsi="Times New Roman" w:cs="Times New Roman"/>
          <w:sz w:val="24"/>
          <w:szCs w:val="24"/>
        </w:rPr>
        <w:t>: Imidazole ring is less electron-rich and partially protonated at physiological pH, reducing π-stacking ability.</w:t>
      </w:r>
    </w:p>
    <w:p w14:paraId="453D9D15" w14:textId="77777777"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Their physicochemical profiles (</w:t>
      </w:r>
      <w:proofErr w:type="spellStart"/>
      <w:r w:rsidRPr="00307E95">
        <w:rPr>
          <w:rFonts w:ascii="Times New Roman" w:hAnsi="Times New Roman" w:cs="Times New Roman"/>
          <w:sz w:val="24"/>
          <w:szCs w:val="24"/>
        </w:rPr>
        <w:t>logP</w:t>
      </w:r>
      <w:proofErr w:type="spellEnd"/>
      <w:r w:rsidRPr="00307E95">
        <w:rPr>
          <w:rFonts w:ascii="Times New Roman" w:hAnsi="Times New Roman" w:cs="Times New Roman"/>
          <w:sz w:val="24"/>
          <w:szCs w:val="24"/>
        </w:rPr>
        <w:t xml:space="preserve"> and TPSA) were acceptable, but not optimal compared to </w:t>
      </w:r>
      <w:proofErr w:type="spellStart"/>
      <w:r w:rsidRPr="00307E95">
        <w:rPr>
          <w:rFonts w:ascii="Times New Roman" w:hAnsi="Times New Roman" w:cs="Times New Roman"/>
          <w:sz w:val="24"/>
          <w:szCs w:val="24"/>
        </w:rPr>
        <w:t>ETyr</w:t>
      </w:r>
      <w:proofErr w:type="spellEnd"/>
      <w:r w:rsidRPr="00307E95">
        <w:rPr>
          <w:rFonts w:ascii="Times New Roman" w:hAnsi="Times New Roman" w:cs="Times New Roman"/>
          <w:sz w:val="24"/>
          <w:szCs w:val="24"/>
        </w:rPr>
        <w:t xml:space="preserve"> and </w:t>
      </w:r>
      <w:proofErr w:type="spellStart"/>
      <w:r w:rsidRPr="00307E95">
        <w:rPr>
          <w:rFonts w:ascii="Times New Roman" w:hAnsi="Times New Roman" w:cs="Times New Roman"/>
          <w:sz w:val="24"/>
          <w:szCs w:val="24"/>
        </w:rPr>
        <w:t>ETrp</w:t>
      </w:r>
      <w:proofErr w:type="spellEnd"/>
      <w:r w:rsidRPr="00307E95">
        <w:rPr>
          <w:rFonts w:ascii="Times New Roman" w:hAnsi="Times New Roman" w:cs="Times New Roman"/>
          <w:sz w:val="24"/>
          <w:szCs w:val="24"/>
        </w:rPr>
        <w:t>. The latter two showed superior ADMET profiles, dual interaction capacity (π–π and H-bond), and broader receptor engagement.</w:t>
      </w:r>
    </w:p>
    <w:p w14:paraId="204FD866" w14:textId="77777777" w:rsidR="00082FB6" w:rsidRDefault="00082FB6" w:rsidP="00082FB6">
      <w:pPr>
        <w:spacing w:after="0" w:line="360" w:lineRule="auto"/>
        <w:jc w:val="both"/>
        <w:rPr>
          <w:rFonts w:ascii="Times New Roman" w:hAnsi="Times New Roman" w:cs="Times New Roman"/>
          <w:sz w:val="24"/>
          <w:szCs w:val="24"/>
        </w:rPr>
      </w:pPr>
    </w:p>
    <w:p w14:paraId="2C34E815" w14:textId="77777777" w:rsidR="00082FB6" w:rsidRDefault="00082FB6" w:rsidP="00082FB6">
      <w:pPr>
        <w:spacing w:after="0" w:line="360" w:lineRule="auto"/>
        <w:jc w:val="both"/>
        <w:rPr>
          <w:rFonts w:ascii="Times New Roman" w:hAnsi="Times New Roman" w:cs="Times New Roman"/>
          <w:sz w:val="24"/>
          <w:szCs w:val="24"/>
        </w:rPr>
      </w:pPr>
    </w:p>
    <w:p w14:paraId="2BDFC0AC" w14:textId="77777777" w:rsidR="00082FB6" w:rsidRDefault="00082FB6" w:rsidP="00082FB6">
      <w:pPr>
        <w:spacing w:after="0" w:line="360" w:lineRule="auto"/>
        <w:jc w:val="both"/>
        <w:rPr>
          <w:rFonts w:ascii="Times New Roman" w:hAnsi="Times New Roman" w:cs="Times New Roman"/>
          <w:sz w:val="24"/>
          <w:szCs w:val="24"/>
        </w:rPr>
      </w:pPr>
    </w:p>
    <w:p w14:paraId="172403C4" w14:textId="77777777" w:rsidR="00082FB6" w:rsidRPr="00307E95" w:rsidRDefault="00082FB6" w:rsidP="00082FB6">
      <w:pPr>
        <w:spacing w:after="0" w:line="360" w:lineRule="auto"/>
        <w:jc w:val="both"/>
        <w:rPr>
          <w:rFonts w:ascii="Times New Roman" w:hAnsi="Times New Roman" w:cs="Times New Roman"/>
          <w:sz w:val="24"/>
          <w:szCs w:val="24"/>
        </w:rPr>
      </w:pPr>
    </w:p>
    <w:p w14:paraId="67C0185A" w14:textId="5B4C0EEA" w:rsidR="00082FB6" w:rsidRDefault="00082FB6" w:rsidP="00082FB6">
      <w:pPr>
        <w:pStyle w:val="Heading3"/>
      </w:pPr>
      <w:bookmarkStart w:id="50" w:name="_Toc199426773"/>
      <w:r w:rsidRPr="00307E95">
        <w:lastRenderedPageBreak/>
        <w:t>Non-Aromatic Class Performance</w:t>
      </w:r>
      <w:bookmarkEnd w:id="50"/>
    </w:p>
    <w:p w14:paraId="16BC617C" w14:textId="77777777" w:rsidR="00082FB6" w:rsidRPr="00307E95" w:rsidRDefault="00082FB6" w:rsidP="00082FB6"/>
    <w:p w14:paraId="4F7319D9"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All non-aromatic esters consistently underperformed across docking and ADMET filters. The absence of aromatic moieties precluded π–π stacking, and many polar residues exceeded TPSA or HBD/HBA thresholds. This class included:</w:t>
      </w:r>
    </w:p>
    <w:p w14:paraId="0DB37BEB" w14:textId="77777777" w:rsidR="00082FB6" w:rsidRPr="00307E95" w:rsidRDefault="00082FB6">
      <w:pPr>
        <w:numPr>
          <w:ilvl w:val="0"/>
          <w:numId w:val="18"/>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 xml:space="preserve">High-polarity amino acids: Glu, Ser, </w:t>
      </w:r>
      <w:proofErr w:type="spellStart"/>
      <w:r w:rsidRPr="00307E95">
        <w:rPr>
          <w:rFonts w:ascii="Times New Roman" w:hAnsi="Times New Roman" w:cs="Times New Roman"/>
          <w:sz w:val="24"/>
          <w:szCs w:val="24"/>
        </w:rPr>
        <w:t>Thr</w:t>
      </w:r>
      <w:proofErr w:type="spellEnd"/>
      <w:r w:rsidRPr="00307E95">
        <w:rPr>
          <w:rFonts w:ascii="Times New Roman" w:hAnsi="Times New Roman" w:cs="Times New Roman"/>
          <w:sz w:val="24"/>
          <w:szCs w:val="24"/>
        </w:rPr>
        <w:t xml:space="preserve">, </w:t>
      </w:r>
      <w:proofErr w:type="spellStart"/>
      <w:r w:rsidRPr="00307E95">
        <w:rPr>
          <w:rFonts w:ascii="Times New Roman" w:hAnsi="Times New Roman" w:cs="Times New Roman"/>
          <w:sz w:val="24"/>
          <w:szCs w:val="24"/>
        </w:rPr>
        <w:t>Cys</w:t>
      </w:r>
      <w:proofErr w:type="spellEnd"/>
      <w:r w:rsidRPr="00307E95">
        <w:rPr>
          <w:rFonts w:ascii="Times New Roman" w:hAnsi="Times New Roman" w:cs="Times New Roman"/>
          <w:sz w:val="24"/>
          <w:szCs w:val="24"/>
        </w:rPr>
        <w:t xml:space="preserve"> → high TPSA, failed BBB</w:t>
      </w:r>
    </w:p>
    <w:p w14:paraId="39A590EE" w14:textId="77777777" w:rsidR="00082FB6" w:rsidRPr="00307E95" w:rsidRDefault="00082FB6">
      <w:pPr>
        <w:numPr>
          <w:ilvl w:val="0"/>
          <w:numId w:val="18"/>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Small/flexible residues: Gly, β-Ala, 4-Ab → insufficient contact points</w:t>
      </w:r>
    </w:p>
    <w:p w14:paraId="1FB5DAE5" w14:textId="77777777" w:rsidR="00082FB6" w:rsidRDefault="00082FB6">
      <w:pPr>
        <w:numPr>
          <w:ilvl w:val="0"/>
          <w:numId w:val="18"/>
        </w:num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Aliphatic side chains: Ala, Val, Leu → weak van der Waals, no aromatic fit</w:t>
      </w:r>
    </w:p>
    <w:p w14:paraId="3A0B422E" w14:textId="77777777" w:rsidR="00082FB6" w:rsidRPr="00307E95" w:rsidRDefault="00082FB6" w:rsidP="00082FB6">
      <w:pPr>
        <w:spacing w:after="0" w:line="360" w:lineRule="auto"/>
        <w:ind w:left="720"/>
        <w:jc w:val="both"/>
        <w:rPr>
          <w:rFonts w:ascii="Times New Roman" w:hAnsi="Times New Roman" w:cs="Times New Roman"/>
          <w:sz w:val="24"/>
          <w:szCs w:val="24"/>
        </w:rPr>
      </w:pPr>
    </w:p>
    <w:p w14:paraId="1E9B5444" w14:textId="48E9FDFF" w:rsidR="00082FB6" w:rsidRDefault="00082FB6" w:rsidP="00082FB6">
      <w:pPr>
        <w:pStyle w:val="Heading3"/>
      </w:pPr>
      <w:bookmarkStart w:id="51" w:name="_Toc199426774"/>
      <w:r w:rsidRPr="00307E95">
        <w:t>SAR Summary Table Reference</w:t>
      </w:r>
      <w:bookmarkEnd w:id="51"/>
    </w:p>
    <w:p w14:paraId="00212A41" w14:textId="77777777" w:rsidR="00082FB6" w:rsidRPr="00307E95" w:rsidRDefault="00082FB6" w:rsidP="00082FB6">
      <w:pPr>
        <w:spacing w:after="0" w:line="360" w:lineRule="auto"/>
        <w:jc w:val="both"/>
        <w:rPr>
          <w:rFonts w:ascii="Times New Roman" w:hAnsi="Times New Roman" w:cs="Times New Roman"/>
          <w:b/>
          <w:bCs/>
          <w:sz w:val="24"/>
          <w:szCs w:val="24"/>
        </w:rPr>
      </w:pPr>
    </w:p>
    <w:p w14:paraId="26B7284A" w14:textId="0BE78E95"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 xml:space="preserve">The comparative data is compiled in </w:t>
      </w:r>
      <w:r w:rsidRPr="00FB7243">
        <w:rPr>
          <w:rFonts w:ascii="Times New Roman" w:hAnsi="Times New Roman" w:cs="Times New Roman"/>
          <w:sz w:val="24"/>
          <w:szCs w:val="24"/>
        </w:rPr>
        <w:t>Table S1</w:t>
      </w:r>
      <w:r w:rsidR="00FB7243" w:rsidRPr="00FB7243">
        <w:rPr>
          <w:rFonts w:ascii="Times New Roman" w:hAnsi="Times New Roman" w:cs="Times New Roman"/>
          <w:sz w:val="24"/>
          <w:szCs w:val="24"/>
        </w:rPr>
        <w:t>5</w:t>
      </w:r>
      <w:r w:rsidRPr="00307E95">
        <w:rPr>
          <w:rFonts w:ascii="Times New Roman" w:hAnsi="Times New Roman" w:cs="Times New Roman"/>
          <w:sz w:val="24"/>
          <w:szCs w:val="24"/>
        </w:rPr>
        <w:t xml:space="preserve"> and visualized in </w:t>
      </w:r>
      <w:r w:rsidRPr="00FB7243">
        <w:rPr>
          <w:rFonts w:ascii="Times New Roman" w:hAnsi="Times New Roman" w:cs="Times New Roman"/>
          <w:sz w:val="24"/>
          <w:szCs w:val="24"/>
        </w:rPr>
        <w:t>Figure S1</w:t>
      </w:r>
      <w:r w:rsidRPr="00307E95">
        <w:rPr>
          <w:rFonts w:ascii="Times New Roman" w:hAnsi="Times New Roman" w:cs="Times New Roman"/>
          <w:sz w:val="24"/>
          <w:szCs w:val="24"/>
        </w:rPr>
        <w:t>. These clearly support the selective advantage of electron-rich, spatially complementary aromatic systems for GABA</w:t>
      </w:r>
      <w:r w:rsidRPr="00307E95">
        <w:rPr>
          <w:rFonts w:ascii="Times New Roman" w:hAnsi="Times New Roman" w:cs="Times New Roman"/>
          <w:sz w:val="24"/>
          <w:szCs w:val="24"/>
          <w:vertAlign w:val="subscript"/>
        </w:rPr>
        <w:t>A</w:t>
      </w:r>
      <w:r w:rsidRPr="00307E95">
        <w:rPr>
          <w:rFonts w:ascii="Times New Roman" w:hAnsi="Times New Roman" w:cs="Times New Roman"/>
          <w:sz w:val="24"/>
          <w:szCs w:val="24"/>
        </w:rPr>
        <w:t xml:space="preserve"> receptor engagement.</w:t>
      </w:r>
    </w:p>
    <w:p w14:paraId="648F13F1" w14:textId="77777777" w:rsidR="00082FB6" w:rsidRPr="00307E95" w:rsidRDefault="00082FB6" w:rsidP="00082FB6">
      <w:pPr>
        <w:spacing w:after="0" w:line="360" w:lineRule="auto"/>
        <w:jc w:val="both"/>
        <w:rPr>
          <w:rFonts w:ascii="Times New Roman" w:hAnsi="Times New Roman" w:cs="Times New Roman"/>
          <w:sz w:val="24"/>
          <w:szCs w:val="24"/>
        </w:rPr>
      </w:pPr>
    </w:p>
    <w:p w14:paraId="3C491AF3" w14:textId="5503204D" w:rsidR="00082FB6" w:rsidRPr="00BA02E6" w:rsidRDefault="00082FB6" w:rsidP="00082FB6">
      <w:pPr>
        <w:pStyle w:val="Heading2"/>
        <w:spacing w:before="0" w:after="0"/>
        <w:rPr>
          <w:b/>
          <w:bCs/>
          <w:lang w:val="en-US"/>
        </w:rPr>
      </w:pPr>
      <w:bookmarkStart w:id="52" w:name="_Toc199426775"/>
      <w:r w:rsidRPr="00BA02E6">
        <w:rPr>
          <w:b/>
          <w:bCs/>
          <w:lang w:val="en-US"/>
        </w:rPr>
        <w:t>Design Implications and Next-Generation Analogs</w:t>
      </w:r>
      <w:bookmarkEnd w:id="52"/>
    </w:p>
    <w:p w14:paraId="53BD6CCB" w14:textId="77777777" w:rsidR="00082FB6" w:rsidRPr="00307E95" w:rsidRDefault="00082FB6" w:rsidP="00082FB6"/>
    <w:p w14:paraId="5B9BA508" w14:textId="07C80FAC" w:rsidR="00082FB6" w:rsidRDefault="00082FB6" w:rsidP="00082FB6">
      <w:pPr>
        <w:pStyle w:val="Heading3"/>
      </w:pPr>
      <w:bookmarkStart w:id="53" w:name="_Toc199426776"/>
      <w:r w:rsidRPr="00307E95">
        <w:t>Key Design Principles</w:t>
      </w:r>
      <w:bookmarkEnd w:id="53"/>
    </w:p>
    <w:p w14:paraId="137DBE6F" w14:textId="77777777" w:rsidR="00082FB6" w:rsidRPr="00307E95" w:rsidRDefault="00082FB6" w:rsidP="00082FB6">
      <w:pPr>
        <w:spacing w:after="0" w:line="360" w:lineRule="auto"/>
        <w:jc w:val="both"/>
        <w:rPr>
          <w:rFonts w:ascii="Times New Roman" w:hAnsi="Times New Roman" w:cs="Times New Roman"/>
          <w:b/>
          <w:bCs/>
          <w:sz w:val="24"/>
          <w:szCs w:val="24"/>
        </w:rPr>
      </w:pPr>
    </w:p>
    <w:p w14:paraId="7D170C0E"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The following molecular features emerged as critical for potent GABAA receptor modulation:</w:t>
      </w:r>
    </w:p>
    <w:p w14:paraId="7836615B" w14:textId="77777777" w:rsidR="00082FB6" w:rsidRPr="00307E95" w:rsidRDefault="00082FB6">
      <w:pPr>
        <w:numPr>
          <w:ilvl w:val="0"/>
          <w:numId w:val="19"/>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Extended π-surface</w:t>
      </w:r>
      <w:r w:rsidRPr="00307E95">
        <w:rPr>
          <w:rFonts w:ascii="Times New Roman" w:hAnsi="Times New Roman" w:cs="Times New Roman"/>
          <w:sz w:val="24"/>
          <w:szCs w:val="24"/>
        </w:rPr>
        <w:t>: Enables multipoint stacking with aromatic residues</w:t>
      </w:r>
    </w:p>
    <w:p w14:paraId="5941CC07" w14:textId="77777777" w:rsidR="00082FB6" w:rsidRPr="00307E95" w:rsidRDefault="00082FB6">
      <w:pPr>
        <w:numPr>
          <w:ilvl w:val="0"/>
          <w:numId w:val="19"/>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 xml:space="preserve">Moderate </w:t>
      </w:r>
      <w:proofErr w:type="spellStart"/>
      <w:r w:rsidRPr="00307E95">
        <w:rPr>
          <w:rFonts w:ascii="Times New Roman" w:hAnsi="Times New Roman" w:cs="Times New Roman"/>
          <w:b/>
          <w:bCs/>
          <w:sz w:val="24"/>
          <w:szCs w:val="24"/>
        </w:rPr>
        <w:t>logP</w:t>
      </w:r>
      <w:proofErr w:type="spellEnd"/>
      <w:r w:rsidRPr="00307E95">
        <w:rPr>
          <w:rFonts w:ascii="Times New Roman" w:hAnsi="Times New Roman" w:cs="Times New Roman"/>
          <w:b/>
          <w:bCs/>
          <w:sz w:val="24"/>
          <w:szCs w:val="24"/>
        </w:rPr>
        <w:t xml:space="preserve"> (2.5–3.0)</w:t>
      </w:r>
      <w:r w:rsidRPr="00307E95">
        <w:rPr>
          <w:rFonts w:ascii="Times New Roman" w:hAnsi="Times New Roman" w:cs="Times New Roman"/>
          <w:sz w:val="24"/>
          <w:szCs w:val="24"/>
        </w:rPr>
        <w:t>: Ensures CNS penetration while avoiding lipophilic toxicity</w:t>
      </w:r>
    </w:p>
    <w:p w14:paraId="4C3D1F01" w14:textId="77777777" w:rsidR="00082FB6" w:rsidRPr="00307E95" w:rsidRDefault="00082FB6">
      <w:pPr>
        <w:numPr>
          <w:ilvl w:val="0"/>
          <w:numId w:val="19"/>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TPSA &lt; 60 Å²</w:t>
      </w:r>
      <w:r w:rsidRPr="00307E95">
        <w:rPr>
          <w:rFonts w:ascii="Times New Roman" w:hAnsi="Times New Roman" w:cs="Times New Roman"/>
          <w:sz w:val="24"/>
          <w:szCs w:val="24"/>
        </w:rPr>
        <w:t>: Maintains BBB permeability</w:t>
      </w:r>
    </w:p>
    <w:p w14:paraId="5FDB49DF" w14:textId="77777777" w:rsidR="00082FB6" w:rsidRPr="00307E95" w:rsidRDefault="00082FB6">
      <w:pPr>
        <w:numPr>
          <w:ilvl w:val="0"/>
          <w:numId w:val="19"/>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H-bonding functionality</w:t>
      </w:r>
      <w:r w:rsidRPr="00307E95">
        <w:rPr>
          <w:rFonts w:ascii="Times New Roman" w:hAnsi="Times New Roman" w:cs="Times New Roman"/>
          <w:sz w:val="24"/>
          <w:szCs w:val="24"/>
        </w:rPr>
        <w:t>: Provides auxiliary stabilization (e.g., Tyr OH)</w:t>
      </w:r>
    </w:p>
    <w:p w14:paraId="7AADC80D" w14:textId="77777777" w:rsidR="00082FB6" w:rsidRDefault="00082FB6">
      <w:pPr>
        <w:numPr>
          <w:ilvl w:val="0"/>
          <w:numId w:val="19"/>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Conformational rigidity</w:t>
      </w:r>
      <w:r w:rsidRPr="00307E95">
        <w:rPr>
          <w:rFonts w:ascii="Times New Roman" w:hAnsi="Times New Roman" w:cs="Times New Roman"/>
          <w:sz w:val="24"/>
          <w:szCs w:val="24"/>
        </w:rPr>
        <w:t>: Minimizes entropic penalty upon binding</w:t>
      </w:r>
    </w:p>
    <w:p w14:paraId="1DD52D5D" w14:textId="77777777" w:rsidR="00082FB6" w:rsidRPr="00307E95" w:rsidRDefault="00082FB6" w:rsidP="00082FB6"/>
    <w:p w14:paraId="77E084F8" w14:textId="10DAA427" w:rsidR="00082FB6" w:rsidRDefault="00082FB6" w:rsidP="00082FB6">
      <w:pPr>
        <w:pStyle w:val="Heading3"/>
      </w:pPr>
      <w:bookmarkStart w:id="54" w:name="_Toc199426777"/>
      <w:r w:rsidRPr="00307E95">
        <w:t>Recommended Modifications</w:t>
      </w:r>
      <w:bookmarkEnd w:id="54"/>
    </w:p>
    <w:p w14:paraId="381CC241" w14:textId="77777777" w:rsidR="00082FB6" w:rsidRPr="00307E95" w:rsidRDefault="00082FB6" w:rsidP="00082FB6"/>
    <w:p w14:paraId="7B5A0DCF"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Based on these principles, future analogs may benefit from:</w:t>
      </w:r>
    </w:p>
    <w:p w14:paraId="48D0B7CF" w14:textId="77777777" w:rsidR="00082FB6" w:rsidRPr="00307E95" w:rsidRDefault="00082FB6">
      <w:pPr>
        <w:numPr>
          <w:ilvl w:val="0"/>
          <w:numId w:val="20"/>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π-Extended groups</w:t>
      </w:r>
      <w:r w:rsidRPr="00307E95">
        <w:rPr>
          <w:rFonts w:ascii="Times New Roman" w:hAnsi="Times New Roman" w:cs="Times New Roman"/>
          <w:sz w:val="24"/>
          <w:szCs w:val="24"/>
        </w:rPr>
        <w:t>: e.g., naphthyl, biphenyl, or fluorene instead of phenyl</w:t>
      </w:r>
    </w:p>
    <w:p w14:paraId="0A28528D" w14:textId="77777777" w:rsidR="00082FB6" w:rsidRPr="00307E95" w:rsidRDefault="00082FB6">
      <w:pPr>
        <w:numPr>
          <w:ilvl w:val="0"/>
          <w:numId w:val="20"/>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Heteroaromatics</w:t>
      </w:r>
      <w:r w:rsidRPr="00307E95">
        <w:rPr>
          <w:rFonts w:ascii="Times New Roman" w:hAnsi="Times New Roman" w:cs="Times New Roman"/>
          <w:sz w:val="24"/>
          <w:szCs w:val="24"/>
        </w:rPr>
        <w:t>: e.g., thiophene, indazole to modulate electronic properties</w:t>
      </w:r>
    </w:p>
    <w:p w14:paraId="47F3903D" w14:textId="77777777" w:rsidR="00082FB6" w:rsidRPr="00307E95" w:rsidRDefault="00082FB6">
      <w:pPr>
        <w:numPr>
          <w:ilvl w:val="0"/>
          <w:numId w:val="20"/>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lastRenderedPageBreak/>
        <w:t>Substituent tuning</w:t>
      </w:r>
      <w:r w:rsidRPr="00307E95">
        <w:rPr>
          <w:rFonts w:ascii="Times New Roman" w:hAnsi="Times New Roman" w:cs="Times New Roman"/>
          <w:sz w:val="24"/>
          <w:szCs w:val="24"/>
        </w:rPr>
        <w:t>: e.g., 4-F, 4-OCH₃ on phenyl to influence stacking energy and polarity</w:t>
      </w:r>
    </w:p>
    <w:p w14:paraId="65F143A8" w14:textId="77777777" w:rsidR="00082FB6" w:rsidRDefault="00082FB6">
      <w:pPr>
        <w:numPr>
          <w:ilvl w:val="0"/>
          <w:numId w:val="20"/>
        </w:numPr>
        <w:spacing w:after="0" w:line="360" w:lineRule="auto"/>
        <w:jc w:val="both"/>
        <w:rPr>
          <w:rFonts w:ascii="Times New Roman" w:hAnsi="Times New Roman" w:cs="Times New Roman"/>
          <w:sz w:val="24"/>
          <w:szCs w:val="24"/>
        </w:rPr>
      </w:pPr>
      <w:r w:rsidRPr="00307E95">
        <w:rPr>
          <w:rFonts w:ascii="Times New Roman" w:hAnsi="Times New Roman" w:cs="Times New Roman"/>
          <w:b/>
          <w:bCs/>
          <w:sz w:val="24"/>
          <w:szCs w:val="24"/>
        </w:rPr>
        <w:t>Non-natural amino acids</w:t>
      </w:r>
      <w:r w:rsidRPr="00307E95">
        <w:rPr>
          <w:rFonts w:ascii="Times New Roman" w:hAnsi="Times New Roman" w:cs="Times New Roman"/>
          <w:sz w:val="24"/>
          <w:szCs w:val="24"/>
        </w:rPr>
        <w:t>: e.g., phenylglycine, β-</w:t>
      </w:r>
      <w:proofErr w:type="spellStart"/>
      <w:r w:rsidRPr="00307E95">
        <w:rPr>
          <w:rFonts w:ascii="Times New Roman" w:hAnsi="Times New Roman" w:cs="Times New Roman"/>
          <w:sz w:val="24"/>
          <w:szCs w:val="24"/>
        </w:rPr>
        <w:t>naphthylalanine</w:t>
      </w:r>
      <w:proofErr w:type="spellEnd"/>
      <w:r w:rsidRPr="00307E95">
        <w:rPr>
          <w:rFonts w:ascii="Times New Roman" w:hAnsi="Times New Roman" w:cs="Times New Roman"/>
          <w:sz w:val="24"/>
          <w:szCs w:val="24"/>
        </w:rPr>
        <w:t xml:space="preserve"> to explore steric and electronic diversity</w:t>
      </w:r>
    </w:p>
    <w:p w14:paraId="01F19A42" w14:textId="77777777" w:rsidR="00082FB6" w:rsidRPr="00307E95" w:rsidRDefault="00082FB6" w:rsidP="00082FB6">
      <w:pPr>
        <w:spacing w:after="0" w:line="360" w:lineRule="auto"/>
        <w:ind w:left="720"/>
        <w:jc w:val="both"/>
        <w:rPr>
          <w:rFonts w:ascii="Times New Roman" w:hAnsi="Times New Roman" w:cs="Times New Roman"/>
          <w:sz w:val="24"/>
          <w:szCs w:val="24"/>
        </w:rPr>
      </w:pPr>
    </w:p>
    <w:p w14:paraId="73BD7984" w14:textId="3FA4137E" w:rsidR="00082FB6" w:rsidRDefault="00082FB6" w:rsidP="00082FB6">
      <w:pPr>
        <w:pStyle w:val="Heading3"/>
      </w:pPr>
      <w:bookmarkStart w:id="55" w:name="_Toc199426778"/>
      <w:r w:rsidRPr="00307E95">
        <w:t>Broader Application</w:t>
      </w:r>
      <w:bookmarkEnd w:id="55"/>
    </w:p>
    <w:p w14:paraId="177D2030" w14:textId="77777777" w:rsidR="00082FB6" w:rsidRPr="00307E95" w:rsidRDefault="00082FB6" w:rsidP="00082FB6"/>
    <w:p w14:paraId="46EBB5F6" w14:textId="77777777"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These findings can inform the design of other CNS-active scaffolds targeting aromatic-rich binding sites, including serotonergic, dopaminergic, or opioid receptors, where similar stacking mechanisms apply.</w:t>
      </w:r>
    </w:p>
    <w:p w14:paraId="71B4994D" w14:textId="77777777" w:rsidR="00082FB6" w:rsidRPr="00307E95" w:rsidRDefault="00082FB6" w:rsidP="00082FB6">
      <w:pPr>
        <w:spacing w:after="0" w:line="360" w:lineRule="auto"/>
        <w:jc w:val="both"/>
        <w:rPr>
          <w:rFonts w:ascii="Times New Roman" w:hAnsi="Times New Roman" w:cs="Times New Roman"/>
          <w:sz w:val="24"/>
          <w:szCs w:val="24"/>
        </w:rPr>
      </w:pPr>
    </w:p>
    <w:p w14:paraId="5BB085B1" w14:textId="69923EF0" w:rsidR="00082FB6" w:rsidRDefault="00082FB6" w:rsidP="00082FB6">
      <w:pPr>
        <w:pStyle w:val="Heading3"/>
      </w:pPr>
      <w:bookmarkStart w:id="56" w:name="_Toc199426779"/>
      <w:r w:rsidRPr="00307E95">
        <w:t>Conclusion</w:t>
      </w:r>
      <w:bookmarkEnd w:id="56"/>
    </w:p>
    <w:p w14:paraId="572A1679" w14:textId="77777777" w:rsidR="00082FB6" w:rsidRPr="00307E95" w:rsidRDefault="00082FB6" w:rsidP="00082FB6">
      <w:pPr>
        <w:spacing w:after="0" w:line="360" w:lineRule="auto"/>
        <w:jc w:val="both"/>
        <w:rPr>
          <w:rFonts w:ascii="Times New Roman" w:hAnsi="Times New Roman" w:cs="Times New Roman"/>
          <w:b/>
          <w:bCs/>
          <w:sz w:val="24"/>
          <w:szCs w:val="24"/>
        </w:rPr>
      </w:pPr>
    </w:p>
    <w:p w14:paraId="1E05C3A6" w14:textId="77777777" w:rsidR="00082FB6"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This SAR investigation demonstrates the strong predictive power of integrating physicochemical filtering, ADMET profiling, docking, and metadynamics simulations. The insights offer a clear path toward rational design of optimized ligands with enhanced selectivity and pharmacokinetic balance.</w:t>
      </w:r>
    </w:p>
    <w:p w14:paraId="03F3E700" w14:textId="77777777" w:rsidR="00082FB6" w:rsidRPr="00307E95" w:rsidRDefault="00082FB6" w:rsidP="00082FB6"/>
    <w:p w14:paraId="5E2F83CE" w14:textId="33B39607" w:rsidR="00082FB6" w:rsidRPr="00BA02E6" w:rsidRDefault="00082FB6" w:rsidP="00082FB6">
      <w:pPr>
        <w:pStyle w:val="Heading2"/>
        <w:rPr>
          <w:b/>
          <w:bCs/>
        </w:rPr>
      </w:pPr>
      <w:bookmarkStart w:id="57" w:name="_Toc199426780"/>
      <w:r w:rsidRPr="00BA02E6">
        <w:rPr>
          <w:b/>
          <w:bCs/>
        </w:rPr>
        <w:t>SAR Conclusion</w:t>
      </w:r>
      <w:bookmarkEnd w:id="57"/>
    </w:p>
    <w:p w14:paraId="55A46824" w14:textId="77777777" w:rsidR="00082FB6" w:rsidRPr="00307E95" w:rsidRDefault="00082FB6" w:rsidP="00082FB6"/>
    <w:p w14:paraId="5FE06122"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This comprehensive SAR analysis of sixteen 2-(isoindolin-2-yl) esters underscores the central role of aromaticity, π–π stacking potential, and physicochemical balance in determining GABA</w:t>
      </w:r>
      <w:r w:rsidRPr="00307E95">
        <w:rPr>
          <w:rFonts w:ascii="Times New Roman" w:hAnsi="Times New Roman" w:cs="Times New Roman"/>
          <w:sz w:val="24"/>
          <w:szCs w:val="24"/>
          <w:vertAlign w:val="subscript"/>
        </w:rPr>
        <w:t>A</w:t>
      </w:r>
      <w:r w:rsidRPr="00307E95">
        <w:rPr>
          <w:rFonts w:ascii="Times New Roman" w:hAnsi="Times New Roman" w:cs="Times New Roman"/>
          <w:sz w:val="24"/>
          <w:szCs w:val="24"/>
        </w:rPr>
        <w:t xml:space="preserve"> receptor binding affinity and CNS relevance. Aromatic amino acid-derived compounds, particularly </w:t>
      </w:r>
      <w:proofErr w:type="spellStart"/>
      <w:r w:rsidRPr="00307E95">
        <w:rPr>
          <w:rFonts w:ascii="Times New Roman" w:hAnsi="Times New Roman" w:cs="Times New Roman"/>
          <w:sz w:val="24"/>
          <w:szCs w:val="24"/>
        </w:rPr>
        <w:t>ETrp</w:t>
      </w:r>
      <w:proofErr w:type="spellEnd"/>
      <w:r w:rsidRPr="00307E95">
        <w:rPr>
          <w:rFonts w:ascii="Times New Roman" w:hAnsi="Times New Roman" w:cs="Times New Roman"/>
          <w:sz w:val="24"/>
          <w:szCs w:val="24"/>
        </w:rPr>
        <w:t xml:space="preserve"> and </w:t>
      </w:r>
      <w:proofErr w:type="spellStart"/>
      <w:r w:rsidRPr="00307E95">
        <w:rPr>
          <w:rFonts w:ascii="Times New Roman" w:hAnsi="Times New Roman" w:cs="Times New Roman"/>
          <w:sz w:val="24"/>
          <w:szCs w:val="24"/>
        </w:rPr>
        <w:t>ETyr</w:t>
      </w:r>
      <w:proofErr w:type="spellEnd"/>
      <w:r w:rsidRPr="00307E95">
        <w:rPr>
          <w:rFonts w:ascii="Times New Roman" w:hAnsi="Times New Roman" w:cs="Times New Roman"/>
          <w:sz w:val="24"/>
          <w:szCs w:val="24"/>
        </w:rPr>
        <w:t>, consistently outperformed their aliphatic and polar counterparts across all computational stages</w:t>
      </w:r>
      <w:r>
        <w:rPr>
          <w:rFonts w:ascii="Times New Roman" w:hAnsi="Times New Roman" w:cs="Times New Roman"/>
          <w:sz w:val="24"/>
          <w:szCs w:val="24"/>
        </w:rPr>
        <w:t xml:space="preserve">: </w:t>
      </w:r>
      <w:r w:rsidRPr="00307E95">
        <w:rPr>
          <w:rFonts w:ascii="Times New Roman" w:hAnsi="Times New Roman" w:cs="Times New Roman"/>
          <w:sz w:val="24"/>
          <w:szCs w:val="24"/>
        </w:rPr>
        <w:t>physicochemical screening, ADMET filtering, molecular docking, and metadynamics simulations.</w:t>
      </w:r>
    </w:p>
    <w:p w14:paraId="3DFB3363"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The structural features of the GABA</w:t>
      </w:r>
      <w:r w:rsidRPr="00307E95">
        <w:rPr>
          <w:rFonts w:ascii="Times New Roman" w:hAnsi="Times New Roman" w:cs="Times New Roman"/>
          <w:sz w:val="24"/>
          <w:szCs w:val="24"/>
          <w:vertAlign w:val="subscript"/>
        </w:rPr>
        <w:t>A</w:t>
      </w:r>
      <w:r w:rsidRPr="00307E95">
        <w:rPr>
          <w:rFonts w:ascii="Times New Roman" w:hAnsi="Times New Roman" w:cs="Times New Roman"/>
          <w:sz w:val="24"/>
          <w:szCs w:val="24"/>
        </w:rPr>
        <w:t xml:space="preserve"> receptor benzodiazepine site inherently favor π-rich ligands with spatial complementarity, moderate polarity, and rigid conformations. The ability of Trp and Tyr derivatives to establish multipoint interactions through both π–π stacking and hydrogen bonding contributes to their superior predicted binding energies and pharmacokinetic profiles. Conversely, non-aromatic compounds suffered from poor binding </w:t>
      </w:r>
      <w:r w:rsidRPr="00307E95">
        <w:rPr>
          <w:rFonts w:ascii="Times New Roman" w:hAnsi="Times New Roman" w:cs="Times New Roman"/>
          <w:sz w:val="24"/>
          <w:szCs w:val="24"/>
        </w:rPr>
        <w:lastRenderedPageBreak/>
        <w:t>geometry, limited contact surface area, and ADMET liabilities such as high TPSA or insufficient lipophilicity.</w:t>
      </w:r>
    </w:p>
    <w:p w14:paraId="68EF353A"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By integrating multiple computational layers into a coherent evaluation framework, this SAR analysis provides not only mechanistic insights into binding preferences but also clear directives for future analog development. The findings support the prioritization of aromatic scaffolds</w:t>
      </w:r>
      <w:r>
        <w:rPr>
          <w:rFonts w:ascii="Times New Roman" w:hAnsi="Times New Roman" w:cs="Times New Roman"/>
          <w:sz w:val="24"/>
          <w:szCs w:val="24"/>
        </w:rPr>
        <w:t xml:space="preserve">, </w:t>
      </w:r>
      <w:r w:rsidRPr="00307E95">
        <w:rPr>
          <w:rFonts w:ascii="Times New Roman" w:hAnsi="Times New Roman" w:cs="Times New Roman"/>
          <w:sz w:val="24"/>
          <w:szCs w:val="24"/>
        </w:rPr>
        <w:t>especially those incorporating π-extended or heteroaromatic systems</w:t>
      </w:r>
      <w:r>
        <w:rPr>
          <w:rFonts w:ascii="Times New Roman" w:hAnsi="Times New Roman" w:cs="Times New Roman"/>
          <w:sz w:val="24"/>
          <w:szCs w:val="24"/>
        </w:rPr>
        <w:t xml:space="preserve"> </w:t>
      </w:r>
      <w:r w:rsidRPr="00307E95">
        <w:rPr>
          <w:rFonts w:ascii="Times New Roman" w:hAnsi="Times New Roman" w:cs="Times New Roman"/>
          <w:sz w:val="24"/>
          <w:szCs w:val="24"/>
        </w:rPr>
        <w:t>and establish a rational foundation for next-generation CNS ligand design targeting the GABA</w:t>
      </w:r>
      <w:r w:rsidRPr="00307E95">
        <w:rPr>
          <w:rFonts w:ascii="Times New Roman" w:hAnsi="Times New Roman" w:cs="Times New Roman"/>
          <w:sz w:val="24"/>
          <w:szCs w:val="24"/>
          <w:vertAlign w:val="subscript"/>
        </w:rPr>
        <w:t>A</w:t>
      </w:r>
      <w:r w:rsidRPr="00307E95">
        <w:rPr>
          <w:rFonts w:ascii="Times New Roman" w:hAnsi="Times New Roman" w:cs="Times New Roman"/>
          <w:sz w:val="24"/>
          <w:szCs w:val="24"/>
        </w:rPr>
        <w:t xml:space="preserve"> receptor.</w:t>
      </w:r>
    </w:p>
    <w:p w14:paraId="3BD9F139" w14:textId="77777777" w:rsidR="00082FB6" w:rsidRPr="00307E95" w:rsidRDefault="00082FB6" w:rsidP="00082FB6">
      <w:pPr>
        <w:spacing w:after="0" w:line="360" w:lineRule="auto"/>
        <w:jc w:val="both"/>
        <w:rPr>
          <w:rFonts w:ascii="Times New Roman" w:hAnsi="Times New Roman" w:cs="Times New Roman"/>
          <w:sz w:val="24"/>
          <w:szCs w:val="24"/>
        </w:rPr>
      </w:pPr>
      <w:r w:rsidRPr="00307E95">
        <w:rPr>
          <w:rFonts w:ascii="Times New Roman" w:hAnsi="Times New Roman" w:cs="Times New Roman"/>
          <w:sz w:val="24"/>
          <w:szCs w:val="24"/>
        </w:rPr>
        <w:t>Collectively, this SAR study validates the hypothesis that π-interaction-driven design, supported by dynamic and energetic modeling, is an effective strategy for developing selective, brain-penetrant GABAergic agents.</w:t>
      </w:r>
    </w:p>
    <w:p w14:paraId="08A135B7" w14:textId="77777777" w:rsidR="00CA1CC7" w:rsidRPr="00065FE0" w:rsidRDefault="00CA1CC7" w:rsidP="009D7C56">
      <w:pPr>
        <w:spacing w:line="480" w:lineRule="auto"/>
        <w:jc w:val="both"/>
        <w:rPr>
          <w:rFonts w:ascii="Times New Roman" w:hAnsi="Times New Roman" w:cs="Times New Roman"/>
          <w:b/>
          <w:bCs/>
        </w:rPr>
      </w:pPr>
    </w:p>
    <w:p w14:paraId="42ADCD34" w14:textId="77777777" w:rsidR="00CA1CC7" w:rsidRPr="00065FE0" w:rsidRDefault="00CA1CC7" w:rsidP="009D7C56">
      <w:pPr>
        <w:spacing w:line="480" w:lineRule="auto"/>
        <w:jc w:val="both"/>
        <w:rPr>
          <w:rFonts w:ascii="Times New Roman" w:hAnsi="Times New Roman" w:cs="Times New Roman"/>
          <w:b/>
          <w:bCs/>
        </w:rPr>
      </w:pPr>
    </w:p>
    <w:p w14:paraId="1E5C914A" w14:textId="77777777" w:rsidR="00CA1CC7" w:rsidRPr="00065FE0" w:rsidRDefault="00CA1CC7" w:rsidP="009D7C56">
      <w:pPr>
        <w:spacing w:line="480" w:lineRule="auto"/>
        <w:jc w:val="both"/>
        <w:rPr>
          <w:rFonts w:ascii="Times New Roman" w:hAnsi="Times New Roman" w:cs="Times New Roman"/>
          <w:b/>
          <w:bCs/>
        </w:rPr>
      </w:pPr>
    </w:p>
    <w:p w14:paraId="5C527E18" w14:textId="77777777" w:rsidR="00CA1CC7" w:rsidRPr="00065FE0" w:rsidRDefault="00CA1CC7" w:rsidP="009D7C56">
      <w:pPr>
        <w:spacing w:line="480" w:lineRule="auto"/>
        <w:jc w:val="both"/>
        <w:rPr>
          <w:rFonts w:ascii="Times New Roman" w:hAnsi="Times New Roman" w:cs="Times New Roman"/>
          <w:b/>
          <w:bCs/>
        </w:rPr>
      </w:pPr>
    </w:p>
    <w:p w14:paraId="498D1832" w14:textId="77777777" w:rsidR="00CA1CC7" w:rsidRPr="00065FE0" w:rsidRDefault="00CA1CC7" w:rsidP="009D7C56">
      <w:pPr>
        <w:spacing w:line="480" w:lineRule="auto"/>
        <w:jc w:val="both"/>
        <w:rPr>
          <w:rFonts w:ascii="Times New Roman" w:hAnsi="Times New Roman" w:cs="Times New Roman"/>
          <w:b/>
          <w:bCs/>
        </w:rPr>
      </w:pPr>
    </w:p>
    <w:p w14:paraId="48572FAA" w14:textId="77777777" w:rsidR="00CA1CC7" w:rsidRPr="00065FE0" w:rsidRDefault="00CA1CC7" w:rsidP="009D7C56">
      <w:pPr>
        <w:spacing w:line="480" w:lineRule="auto"/>
        <w:jc w:val="both"/>
        <w:rPr>
          <w:rFonts w:ascii="Times New Roman" w:hAnsi="Times New Roman" w:cs="Times New Roman"/>
          <w:b/>
          <w:bCs/>
        </w:rPr>
      </w:pPr>
    </w:p>
    <w:p w14:paraId="6568D7A8" w14:textId="77777777" w:rsidR="00CA1CC7" w:rsidRPr="00065FE0" w:rsidRDefault="00CA1CC7" w:rsidP="009D7C56">
      <w:pPr>
        <w:spacing w:line="480" w:lineRule="auto"/>
        <w:jc w:val="both"/>
        <w:rPr>
          <w:rFonts w:ascii="Times New Roman" w:hAnsi="Times New Roman" w:cs="Times New Roman"/>
          <w:b/>
          <w:bCs/>
        </w:rPr>
      </w:pPr>
    </w:p>
    <w:p w14:paraId="0C361674" w14:textId="77777777" w:rsidR="00CA1CC7" w:rsidRPr="00065FE0" w:rsidRDefault="00CA1CC7" w:rsidP="009D7C56">
      <w:pPr>
        <w:spacing w:line="480" w:lineRule="auto"/>
        <w:jc w:val="both"/>
        <w:rPr>
          <w:rFonts w:ascii="Times New Roman" w:hAnsi="Times New Roman" w:cs="Times New Roman"/>
          <w:b/>
          <w:bCs/>
        </w:rPr>
      </w:pPr>
    </w:p>
    <w:p w14:paraId="5CA30904" w14:textId="77777777" w:rsidR="00CA1CC7" w:rsidRPr="00065FE0" w:rsidRDefault="00CA1CC7" w:rsidP="009D7C56">
      <w:pPr>
        <w:spacing w:line="480" w:lineRule="auto"/>
        <w:jc w:val="both"/>
        <w:rPr>
          <w:rFonts w:ascii="Times New Roman" w:hAnsi="Times New Roman" w:cs="Times New Roman"/>
          <w:b/>
          <w:bCs/>
        </w:rPr>
      </w:pPr>
    </w:p>
    <w:p w14:paraId="42C02842" w14:textId="77777777" w:rsidR="00CA1CC7" w:rsidRPr="00065FE0" w:rsidRDefault="00CA1CC7" w:rsidP="009D7C56">
      <w:pPr>
        <w:spacing w:line="480" w:lineRule="auto"/>
        <w:jc w:val="both"/>
        <w:rPr>
          <w:rFonts w:ascii="Times New Roman" w:hAnsi="Times New Roman" w:cs="Times New Roman"/>
          <w:b/>
          <w:bCs/>
        </w:rPr>
      </w:pPr>
    </w:p>
    <w:p w14:paraId="71E12937" w14:textId="77777777" w:rsidR="00CA1CC7" w:rsidRPr="00065FE0" w:rsidRDefault="00CA1CC7" w:rsidP="009D7C56">
      <w:pPr>
        <w:spacing w:line="480" w:lineRule="auto"/>
        <w:jc w:val="both"/>
        <w:rPr>
          <w:rFonts w:ascii="Times New Roman" w:hAnsi="Times New Roman" w:cs="Times New Roman"/>
          <w:b/>
          <w:bCs/>
        </w:rPr>
      </w:pPr>
    </w:p>
    <w:p w14:paraId="5261729A" w14:textId="77777777" w:rsidR="00CA1CC7" w:rsidRPr="00065FE0" w:rsidRDefault="00CA1CC7" w:rsidP="009D7C56">
      <w:pPr>
        <w:spacing w:line="480" w:lineRule="auto"/>
        <w:jc w:val="both"/>
        <w:rPr>
          <w:rFonts w:ascii="Times New Roman" w:hAnsi="Times New Roman" w:cs="Times New Roman"/>
          <w:b/>
          <w:bCs/>
        </w:rPr>
      </w:pPr>
    </w:p>
    <w:p w14:paraId="5A392677" w14:textId="77777777" w:rsidR="005677BD" w:rsidRPr="00065FE0" w:rsidRDefault="005677BD" w:rsidP="009D7C56">
      <w:pPr>
        <w:spacing w:line="480" w:lineRule="auto"/>
        <w:jc w:val="both"/>
        <w:rPr>
          <w:rFonts w:ascii="Times New Roman" w:hAnsi="Times New Roman" w:cs="Times New Roman"/>
          <w:b/>
          <w:bCs/>
        </w:rPr>
      </w:pPr>
    </w:p>
    <w:p w14:paraId="2C1B62B8" w14:textId="77777777" w:rsidR="005677BD" w:rsidRPr="00065FE0" w:rsidRDefault="005677BD" w:rsidP="009D7C56">
      <w:pPr>
        <w:spacing w:line="480" w:lineRule="auto"/>
        <w:jc w:val="both"/>
        <w:rPr>
          <w:rFonts w:ascii="Times New Roman" w:hAnsi="Times New Roman" w:cs="Times New Roman"/>
          <w:b/>
          <w:bCs/>
        </w:rPr>
        <w:sectPr w:rsidR="005677BD" w:rsidRPr="00065FE0" w:rsidSect="00B7627D">
          <w:footerReference w:type="default" r:id="rId20"/>
          <w:endnotePr>
            <w:numFmt w:val="decimal"/>
          </w:endnotePr>
          <w:pgSz w:w="12240" w:h="15840"/>
          <w:pgMar w:top="1418" w:right="1701" w:bottom="1418" w:left="1701" w:header="720" w:footer="720" w:gutter="0"/>
          <w:cols w:space="720"/>
          <w:docGrid w:linePitch="360"/>
        </w:sectPr>
      </w:pPr>
    </w:p>
    <w:p w14:paraId="4988E041" w14:textId="3CC87F37" w:rsidR="00AD77C8" w:rsidRPr="00065FE0" w:rsidRDefault="00AD77C8" w:rsidP="005677BD">
      <w:pPr>
        <w:pStyle w:val="Heading1"/>
        <w:jc w:val="center"/>
        <w:rPr>
          <w:lang w:val="en-US"/>
        </w:rPr>
      </w:pPr>
      <w:bookmarkStart w:id="58" w:name="_Toc199426781"/>
      <w:r w:rsidRPr="00065FE0">
        <w:rPr>
          <w:lang w:val="en-US"/>
        </w:rPr>
        <w:lastRenderedPageBreak/>
        <w:t>NMR</w:t>
      </w:r>
      <w:r w:rsidR="00E81314" w:rsidRPr="00065FE0">
        <w:rPr>
          <w:lang w:val="en-US"/>
        </w:rPr>
        <w:t xml:space="preserve"> </w:t>
      </w:r>
      <w:r w:rsidR="00065FE0" w:rsidRPr="00065FE0">
        <w:rPr>
          <w:lang w:val="en-US"/>
        </w:rPr>
        <w:t xml:space="preserve">and MS </w:t>
      </w:r>
      <w:r w:rsidR="000D6605" w:rsidRPr="00065FE0">
        <w:rPr>
          <w:lang w:val="en-US"/>
        </w:rPr>
        <w:t>Specte</w:t>
      </w:r>
      <w:r w:rsidR="000D6605">
        <w:rPr>
          <w:lang w:val="en-US"/>
        </w:rPr>
        <w:t>rs</w:t>
      </w:r>
      <w:bookmarkEnd w:id="58"/>
    </w:p>
    <w:p w14:paraId="17FF2D07" w14:textId="77777777" w:rsidR="00B7627D" w:rsidRPr="00065FE0" w:rsidRDefault="00B7627D" w:rsidP="00B7627D">
      <w:pPr>
        <w:rPr>
          <w:lang w:eastAsia="en-US"/>
        </w:rPr>
      </w:pPr>
    </w:p>
    <w:p w14:paraId="0A6A81E4" w14:textId="64D6ECFD" w:rsidR="00F77DD4" w:rsidRPr="00065FE0" w:rsidRDefault="00C705EE" w:rsidP="005677BD">
      <w:pPr>
        <w:rPr>
          <w:rFonts w:ascii="Times New Roman" w:hAnsi="Times New Roman" w:cs="Times New Roman"/>
        </w:rPr>
      </w:pPr>
      <w:r w:rsidRPr="00065FE0">
        <w:rPr>
          <w:rFonts w:ascii="Times New Roman" w:hAnsi="Times New Roman" w:cs="Times New Roman"/>
          <w:noProof/>
        </w:rPr>
        <w:drawing>
          <wp:inline distT="0" distB="0" distL="0" distR="0" wp14:anchorId="3A5CC4AF" wp14:editId="6B7E39EE">
            <wp:extent cx="8152701" cy="5334000"/>
            <wp:effectExtent l="0" t="0" r="1270" b="0"/>
            <wp:docPr id="752803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2793" cy="5340603"/>
                    </a:xfrm>
                    <a:prstGeom prst="rect">
                      <a:avLst/>
                    </a:prstGeom>
                    <a:noFill/>
                  </pic:spPr>
                </pic:pic>
              </a:graphicData>
            </a:graphic>
          </wp:inline>
        </w:drawing>
      </w:r>
    </w:p>
    <w:p w14:paraId="64E5E7E1" w14:textId="77777777" w:rsidR="00C705EE" w:rsidRPr="00065FE0" w:rsidRDefault="00C705EE" w:rsidP="00406E6A">
      <w:pPr>
        <w:spacing w:line="480" w:lineRule="auto"/>
        <w:jc w:val="both"/>
        <w:rPr>
          <w:rFonts w:ascii="Times New Roman" w:hAnsi="Times New Roman" w:cs="Times New Roman"/>
        </w:rPr>
      </w:pPr>
      <w:r w:rsidRPr="00065FE0">
        <w:rPr>
          <w:rFonts w:ascii="Times New Roman" w:hAnsi="Times New Roman" w:cs="Times New Roman"/>
          <w:noProof/>
        </w:rPr>
        <w:lastRenderedPageBreak/>
        <w:drawing>
          <wp:inline distT="0" distB="0" distL="0" distR="0" wp14:anchorId="0FDDD1BD" wp14:editId="45F8CF9B">
            <wp:extent cx="8153400" cy="5711438"/>
            <wp:effectExtent l="0" t="0" r="0" b="3810"/>
            <wp:docPr id="14480565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60591" cy="5716475"/>
                    </a:xfrm>
                    <a:prstGeom prst="rect">
                      <a:avLst/>
                    </a:prstGeom>
                    <a:noFill/>
                  </pic:spPr>
                </pic:pic>
              </a:graphicData>
            </a:graphic>
          </wp:inline>
        </w:drawing>
      </w:r>
    </w:p>
    <w:p w14:paraId="5EB9607F" w14:textId="7B67FA03" w:rsidR="000620AC" w:rsidRPr="00065FE0" w:rsidRDefault="000620AC" w:rsidP="00406E6A">
      <w:pPr>
        <w:spacing w:line="480" w:lineRule="auto"/>
        <w:jc w:val="both"/>
        <w:rPr>
          <w:rFonts w:ascii="Times New Roman" w:hAnsi="Times New Roman" w:cs="Times New Roman"/>
        </w:rPr>
      </w:pPr>
      <w:r w:rsidRPr="00065FE0">
        <w:rPr>
          <w:rFonts w:ascii="Times New Roman" w:hAnsi="Times New Roman" w:cs="Times New Roman"/>
          <w:noProof/>
        </w:rPr>
        <w:lastRenderedPageBreak/>
        <w:drawing>
          <wp:inline distT="0" distB="0" distL="0" distR="0" wp14:anchorId="5EEF4717" wp14:editId="1C871CE4">
            <wp:extent cx="8034655" cy="5943600"/>
            <wp:effectExtent l="0" t="0" r="4445" b="0"/>
            <wp:docPr id="5" name="Imagen 4">
              <a:extLst xmlns:a="http://schemas.openxmlformats.org/drawingml/2006/main">
                <a:ext uri="{FF2B5EF4-FFF2-40B4-BE49-F238E27FC236}">
                  <a16:creationId xmlns:a16="http://schemas.microsoft.com/office/drawing/2014/main" id="{4AFC26A1-49B8-D4BC-3687-C4D82BC82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AFC26A1-49B8-D4BC-3687-C4D82BC82D56}"/>
                        </a:ext>
                      </a:extLst>
                    </pic:cNvPr>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8034655" cy="5943600"/>
                    </a:xfrm>
                    <a:prstGeom prst="rect">
                      <a:avLst/>
                    </a:prstGeom>
                  </pic:spPr>
                </pic:pic>
              </a:graphicData>
            </a:graphic>
          </wp:inline>
        </w:drawing>
      </w:r>
    </w:p>
    <w:p w14:paraId="4CA5E112" w14:textId="77777777" w:rsidR="00C705EE" w:rsidRPr="00065FE0" w:rsidRDefault="00C705EE" w:rsidP="00406E6A">
      <w:pPr>
        <w:spacing w:line="480" w:lineRule="auto"/>
        <w:jc w:val="both"/>
        <w:rPr>
          <w:rFonts w:ascii="Times New Roman" w:hAnsi="Times New Roman" w:cs="Times New Roman"/>
        </w:rPr>
      </w:pPr>
      <w:r w:rsidRPr="00065FE0">
        <w:rPr>
          <w:rFonts w:ascii="Times New Roman" w:hAnsi="Times New Roman" w:cs="Times New Roman"/>
          <w:noProof/>
        </w:rPr>
        <w:lastRenderedPageBreak/>
        <w:drawing>
          <wp:inline distT="0" distB="0" distL="0" distR="0" wp14:anchorId="4C8A5F9D" wp14:editId="0DA2E3A3">
            <wp:extent cx="8230235" cy="5333279"/>
            <wp:effectExtent l="0" t="0" r="0" b="1270"/>
            <wp:docPr id="3247333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39097" cy="5339022"/>
                    </a:xfrm>
                    <a:prstGeom prst="rect">
                      <a:avLst/>
                    </a:prstGeom>
                    <a:noFill/>
                  </pic:spPr>
                </pic:pic>
              </a:graphicData>
            </a:graphic>
          </wp:inline>
        </w:drawing>
      </w:r>
    </w:p>
    <w:p w14:paraId="412653F5" w14:textId="77777777" w:rsidR="00C705EE" w:rsidRPr="00065FE0" w:rsidRDefault="00C705EE" w:rsidP="00406E6A">
      <w:pPr>
        <w:spacing w:line="480" w:lineRule="auto"/>
        <w:jc w:val="both"/>
        <w:rPr>
          <w:rFonts w:ascii="Times New Roman" w:hAnsi="Times New Roman" w:cs="Times New Roman"/>
        </w:rPr>
      </w:pPr>
    </w:p>
    <w:p w14:paraId="4E61CB64" w14:textId="77777777" w:rsidR="00C705EE" w:rsidRPr="00065FE0" w:rsidRDefault="00C705EE" w:rsidP="00C705EE">
      <w:pPr>
        <w:spacing w:line="480" w:lineRule="auto"/>
        <w:jc w:val="center"/>
        <w:rPr>
          <w:rFonts w:ascii="Times New Roman" w:hAnsi="Times New Roman" w:cs="Times New Roman"/>
        </w:rPr>
      </w:pPr>
      <w:r w:rsidRPr="00065FE0">
        <w:rPr>
          <w:rFonts w:ascii="Times New Roman" w:hAnsi="Times New Roman" w:cs="Times New Roman"/>
          <w:noProof/>
        </w:rPr>
        <w:lastRenderedPageBreak/>
        <w:drawing>
          <wp:inline distT="0" distB="0" distL="0" distR="0" wp14:anchorId="32E17D2E" wp14:editId="7E24CB67">
            <wp:extent cx="8315325" cy="5901065"/>
            <wp:effectExtent l="0" t="0" r="0" b="4445"/>
            <wp:docPr id="13851856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9402" cy="5903958"/>
                    </a:xfrm>
                    <a:prstGeom prst="rect">
                      <a:avLst/>
                    </a:prstGeom>
                    <a:noFill/>
                  </pic:spPr>
                </pic:pic>
              </a:graphicData>
            </a:graphic>
          </wp:inline>
        </w:drawing>
      </w:r>
    </w:p>
    <w:p w14:paraId="4A812E70" w14:textId="05CF904E" w:rsidR="008B03CB" w:rsidRPr="00065FE0" w:rsidRDefault="008B03CB" w:rsidP="00C705EE">
      <w:pPr>
        <w:spacing w:line="480" w:lineRule="auto"/>
        <w:jc w:val="center"/>
        <w:rPr>
          <w:rFonts w:ascii="Times New Roman" w:hAnsi="Times New Roman" w:cs="Times New Roman"/>
        </w:rPr>
      </w:pPr>
      <w:r w:rsidRPr="00065FE0">
        <w:rPr>
          <w:rFonts w:ascii="Times New Roman" w:hAnsi="Times New Roman" w:cs="Times New Roman"/>
          <w:noProof/>
        </w:rPr>
        <w:lastRenderedPageBreak/>
        <w:drawing>
          <wp:inline distT="0" distB="0" distL="0" distR="0" wp14:anchorId="06DFAF05" wp14:editId="4E4A0C83">
            <wp:extent cx="7875270" cy="5943600"/>
            <wp:effectExtent l="0" t="0" r="0" b="0"/>
            <wp:docPr id="3" name="Imagen 2">
              <a:extLst xmlns:a="http://schemas.openxmlformats.org/drawingml/2006/main">
                <a:ext uri="{FF2B5EF4-FFF2-40B4-BE49-F238E27FC236}">
                  <a16:creationId xmlns:a16="http://schemas.microsoft.com/office/drawing/2014/main" id="{E36B6EE3-A34A-92BB-32CB-5BEFE59AD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36B6EE3-A34A-92BB-32CB-5BEFE59AD6E4}"/>
                        </a:ext>
                      </a:extLst>
                    </pic:cNvPr>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7875270" cy="5943600"/>
                    </a:xfrm>
                    <a:prstGeom prst="rect">
                      <a:avLst/>
                    </a:prstGeom>
                  </pic:spPr>
                </pic:pic>
              </a:graphicData>
            </a:graphic>
          </wp:inline>
        </w:drawing>
      </w:r>
    </w:p>
    <w:p w14:paraId="1EA77BB3" w14:textId="2AC4ADDD" w:rsidR="008B03CB" w:rsidRPr="00065FE0" w:rsidRDefault="008B03CB" w:rsidP="00C705EE">
      <w:pPr>
        <w:spacing w:line="480" w:lineRule="auto"/>
        <w:jc w:val="center"/>
        <w:rPr>
          <w:rFonts w:ascii="Times New Roman" w:hAnsi="Times New Roman" w:cs="Times New Roman"/>
        </w:rPr>
        <w:sectPr w:rsidR="008B03CB" w:rsidRPr="00065FE0" w:rsidSect="00B7627D">
          <w:pgSz w:w="15840" w:h="12240" w:orient="landscape"/>
          <w:pgMar w:top="1134" w:right="1418" w:bottom="1134" w:left="1418" w:header="720" w:footer="720" w:gutter="0"/>
          <w:cols w:space="720"/>
          <w:docGrid w:linePitch="360"/>
        </w:sectPr>
      </w:pPr>
    </w:p>
    <w:p w14:paraId="6C4BA45A" w14:textId="6D103CBF" w:rsidR="00656642" w:rsidRDefault="000242D0" w:rsidP="005677BD">
      <w:pPr>
        <w:pStyle w:val="Heading1"/>
        <w:rPr>
          <w:lang w:val="en-US"/>
        </w:rPr>
      </w:pPr>
      <w:bookmarkStart w:id="59" w:name="_Toc199426782"/>
      <w:r w:rsidRPr="00065FE0">
        <w:rPr>
          <w:lang w:val="en-US"/>
        </w:rPr>
        <w:lastRenderedPageBreak/>
        <w:t>References</w:t>
      </w:r>
      <w:bookmarkEnd w:id="59"/>
    </w:p>
    <w:p w14:paraId="67D9AC7C" w14:textId="77777777" w:rsidR="000D6605" w:rsidRPr="000D6605" w:rsidRDefault="000D6605" w:rsidP="000D6605">
      <w:pPr>
        <w:rPr>
          <w:lang w:eastAsia="en-US"/>
        </w:rPr>
      </w:pPr>
    </w:p>
    <w:p w14:paraId="0815EAC6" w14:textId="77777777" w:rsidR="000D6605" w:rsidRPr="00635878" w:rsidRDefault="00656642" w:rsidP="000D6605">
      <w:pPr>
        <w:pStyle w:val="EndNoteBibliography"/>
        <w:spacing w:after="0"/>
        <w:ind w:left="720" w:hanging="436"/>
        <w:rPr>
          <w:rFonts w:ascii="Times New Roman" w:hAnsi="Times New Roman" w:cs="Times New Roman"/>
        </w:rPr>
      </w:pPr>
      <w:r w:rsidRPr="00065FE0">
        <w:rPr>
          <w:rFonts w:ascii="Times New Roman" w:hAnsi="Times New Roman" w:cs="Times New Roman"/>
          <w:b/>
          <w:bCs/>
        </w:rPr>
        <w:fldChar w:fldCharType="begin"/>
      </w:r>
      <w:r w:rsidRPr="00065FE0">
        <w:rPr>
          <w:rFonts w:ascii="Times New Roman" w:hAnsi="Times New Roman" w:cs="Times New Roman"/>
          <w:b/>
          <w:bCs/>
        </w:rPr>
        <w:instrText xml:space="preserve"> ADDIN EN.REFLIST </w:instrText>
      </w:r>
      <w:r w:rsidRPr="00065FE0">
        <w:rPr>
          <w:rFonts w:ascii="Times New Roman" w:hAnsi="Times New Roman" w:cs="Times New Roman"/>
          <w:b/>
          <w:bCs/>
        </w:rPr>
        <w:fldChar w:fldCharType="separate"/>
      </w:r>
      <w:r w:rsidR="000D6605" w:rsidRPr="000D6605">
        <w:t>1.</w:t>
      </w:r>
      <w:r w:rsidR="000D6605" w:rsidRPr="000D6605">
        <w:tab/>
      </w:r>
      <w:r w:rsidR="000D6605" w:rsidRPr="00635878">
        <w:rPr>
          <w:rFonts w:ascii="Times New Roman" w:hAnsi="Times New Roman" w:cs="Times New Roman"/>
        </w:rPr>
        <w:t xml:space="preserve">Mussulini, B. H.; Leite, C. E.; Zenki, K. C.; Moro, L.; Baggio, S.; Rico, E. P.; Rosemberg, D. B.; Dias, R. D.; Souza, T. M.; Calcagnotto, M. E.; Campos, M. M.; Battastini, A. M.; de Oliveira, D. L., Seizures induced by pentylenetetrazole in the adult zebrafish: a detailed behavioral characterization. </w:t>
      </w:r>
      <w:r w:rsidR="000D6605" w:rsidRPr="00635878">
        <w:rPr>
          <w:rFonts w:ascii="Times New Roman" w:hAnsi="Times New Roman" w:cs="Times New Roman"/>
          <w:i/>
        </w:rPr>
        <w:t xml:space="preserve">PLoS One </w:t>
      </w:r>
      <w:r w:rsidR="000D6605" w:rsidRPr="00635878">
        <w:rPr>
          <w:rFonts w:ascii="Times New Roman" w:hAnsi="Times New Roman" w:cs="Times New Roman"/>
          <w:b/>
        </w:rPr>
        <w:t>2013,</w:t>
      </w:r>
      <w:r w:rsidR="000D6605" w:rsidRPr="00635878">
        <w:rPr>
          <w:rFonts w:ascii="Times New Roman" w:hAnsi="Times New Roman" w:cs="Times New Roman"/>
        </w:rPr>
        <w:t xml:space="preserve"> 8, (1), e54515.</w:t>
      </w:r>
    </w:p>
    <w:p w14:paraId="6027493D" w14:textId="77777777" w:rsidR="000D6605" w:rsidRPr="00635878" w:rsidRDefault="000D6605" w:rsidP="000D6605">
      <w:pPr>
        <w:pStyle w:val="EndNoteBibliography"/>
        <w:spacing w:after="0"/>
        <w:ind w:left="720" w:hanging="436"/>
        <w:rPr>
          <w:rFonts w:ascii="Times New Roman" w:hAnsi="Times New Roman" w:cs="Times New Roman"/>
        </w:rPr>
      </w:pPr>
      <w:r w:rsidRPr="00635878">
        <w:rPr>
          <w:rFonts w:ascii="Times New Roman" w:hAnsi="Times New Roman" w:cs="Times New Roman"/>
        </w:rPr>
        <w:t>2.</w:t>
      </w:r>
      <w:r w:rsidRPr="00635878">
        <w:rPr>
          <w:rFonts w:ascii="Times New Roman" w:hAnsi="Times New Roman" w:cs="Times New Roman"/>
        </w:rPr>
        <w:tab/>
        <w:t xml:space="preserve">Zhu, S.; Noviello, C. M.; Teng, J.; Walsh, R. M., Jr.; Kim, J. J.; Hibbs, R. E., Structure of a human synaptic GABA(A) receptor. </w:t>
      </w:r>
      <w:r w:rsidRPr="00635878">
        <w:rPr>
          <w:rFonts w:ascii="Times New Roman" w:hAnsi="Times New Roman" w:cs="Times New Roman"/>
          <w:i/>
        </w:rPr>
        <w:t xml:space="preserve">Nature </w:t>
      </w:r>
      <w:r w:rsidRPr="00635878">
        <w:rPr>
          <w:rFonts w:ascii="Times New Roman" w:hAnsi="Times New Roman" w:cs="Times New Roman"/>
          <w:b/>
        </w:rPr>
        <w:t>2018,</w:t>
      </w:r>
      <w:r w:rsidRPr="00635878">
        <w:rPr>
          <w:rFonts w:ascii="Times New Roman" w:hAnsi="Times New Roman" w:cs="Times New Roman"/>
        </w:rPr>
        <w:t xml:space="preserve"> 559, (7712), 67-72.</w:t>
      </w:r>
    </w:p>
    <w:p w14:paraId="66318BF3" w14:textId="77777777" w:rsidR="000D6605" w:rsidRPr="00635878" w:rsidRDefault="000D6605" w:rsidP="000D6605">
      <w:pPr>
        <w:pStyle w:val="EndNoteBibliography"/>
        <w:spacing w:after="0"/>
        <w:ind w:left="720" w:hanging="436"/>
        <w:rPr>
          <w:rFonts w:ascii="Times New Roman" w:hAnsi="Times New Roman" w:cs="Times New Roman"/>
        </w:rPr>
      </w:pPr>
      <w:r w:rsidRPr="00635878">
        <w:rPr>
          <w:rFonts w:ascii="Times New Roman" w:hAnsi="Times New Roman" w:cs="Times New Roman"/>
        </w:rPr>
        <w:t>3.</w:t>
      </w:r>
      <w:r w:rsidRPr="00635878">
        <w:rPr>
          <w:rFonts w:ascii="Times New Roman" w:hAnsi="Times New Roman" w:cs="Times New Roman"/>
        </w:rPr>
        <w:tab/>
        <w:t xml:space="preserve">Morris, G. M.; Huey, R.; Lindstrom, W.; Sanner, M. F.; Belew, R. K.; Goodsell, D. S.; Olson, A. J., AutoDock4 and AutoDockTools4: Automated docking with selective receptor flexibility. </w:t>
      </w:r>
      <w:r w:rsidRPr="00635878">
        <w:rPr>
          <w:rFonts w:ascii="Times New Roman" w:hAnsi="Times New Roman" w:cs="Times New Roman"/>
          <w:i/>
        </w:rPr>
        <w:t xml:space="preserve">J Comput Chem </w:t>
      </w:r>
      <w:r w:rsidRPr="00635878">
        <w:rPr>
          <w:rFonts w:ascii="Times New Roman" w:hAnsi="Times New Roman" w:cs="Times New Roman"/>
          <w:b/>
        </w:rPr>
        <w:t>2009,</w:t>
      </w:r>
      <w:r w:rsidRPr="00635878">
        <w:rPr>
          <w:rFonts w:ascii="Times New Roman" w:hAnsi="Times New Roman" w:cs="Times New Roman"/>
        </w:rPr>
        <w:t xml:space="preserve"> 30, (16), 2785-91.</w:t>
      </w:r>
    </w:p>
    <w:p w14:paraId="17CF44C9" w14:textId="77777777" w:rsidR="000D6605" w:rsidRPr="00635878" w:rsidRDefault="000D6605" w:rsidP="000D6605">
      <w:pPr>
        <w:pStyle w:val="EndNoteBibliography"/>
        <w:spacing w:after="0"/>
        <w:ind w:left="720" w:hanging="436"/>
        <w:rPr>
          <w:rFonts w:ascii="Times New Roman" w:hAnsi="Times New Roman" w:cs="Times New Roman"/>
        </w:rPr>
      </w:pPr>
      <w:r w:rsidRPr="00635878">
        <w:rPr>
          <w:rFonts w:ascii="Times New Roman" w:hAnsi="Times New Roman" w:cs="Times New Roman"/>
        </w:rPr>
        <w:t>4.</w:t>
      </w:r>
      <w:r w:rsidRPr="00635878">
        <w:rPr>
          <w:rFonts w:ascii="Times New Roman" w:hAnsi="Times New Roman" w:cs="Times New Roman"/>
        </w:rPr>
        <w:tab/>
        <w:t xml:space="preserve">Dong, J.; Wang, N. N.; Yao, Z. J.; Zhang, L.; Cheng, Y.; Ouyang, D.; Lu, A. P.; Cao, D. S., ADMETlab: a platform for systematic ADMET evaluation based on a comprehensively collected ADMET database. </w:t>
      </w:r>
      <w:r w:rsidRPr="00635878">
        <w:rPr>
          <w:rFonts w:ascii="Times New Roman" w:hAnsi="Times New Roman" w:cs="Times New Roman"/>
          <w:i/>
        </w:rPr>
        <w:t xml:space="preserve">J Cheminform </w:t>
      </w:r>
      <w:r w:rsidRPr="00635878">
        <w:rPr>
          <w:rFonts w:ascii="Times New Roman" w:hAnsi="Times New Roman" w:cs="Times New Roman"/>
          <w:b/>
        </w:rPr>
        <w:t>2018,</w:t>
      </w:r>
      <w:r w:rsidRPr="00635878">
        <w:rPr>
          <w:rFonts w:ascii="Times New Roman" w:hAnsi="Times New Roman" w:cs="Times New Roman"/>
        </w:rPr>
        <w:t xml:space="preserve"> 10, (1), 29.</w:t>
      </w:r>
    </w:p>
    <w:p w14:paraId="2DD11944" w14:textId="77777777" w:rsidR="000D6605" w:rsidRPr="00635878" w:rsidRDefault="000D6605" w:rsidP="000D6605">
      <w:pPr>
        <w:pStyle w:val="EndNoteBibliography"/>
        <w:ind w:left="720" w:hanging="436"/>
        <w:rPr>
          <w:rFonts w:ascii="Times New Roman" w:hAnsi="Times New Roman" w:cs="Times New Roman"/>
        </w:rPr>
      </w:pPr>
      <w:r w:rsidRPr="00635878">
        <w:rPr>
          <w:rFonts w:ascii="Times New Roman" w:hAnsi="Times New Roman" w:cs="Times New Roman"/>
        </w:rPr>
        <w:t>5.</w:t>
      </w:r>
      <w:r w:rsidRPr="00635878">
        <w:rPr>
          <w:rFonts w:ascii="Times New Roman" w:hAnsi="Times New Roman" w:cs="Times New Roman"/>
        </w:rPr>
        <w:tab/>
        <w:t xml:space="preserve">Xiong, G.; Wu, Z.; Yi, J.; Fu, L.; Yang, Z.; Hsieh, C.; Yin, M.; Zeng, X.; Wu, C.; Lu, A.; Chen, X.; Hou, T.; Cao, D., ADMETlab 2.0: an integrated online platform for accurate and comprehensive predictions of ADMET properties. </w:t>
      </w:r>
      <w:r w:rsidRPr="00635878">
        <w:rPr>
          <w:rFonts w:ascii="Times New Roman" w:hAnsi="Times New Roman" w:cs="Times New Roman"/>
          <w:i/>
        </w:rPr>
        <w:t xml:space="preserve">Nucleic Acids Res </w:t>
      </w:r>
      <w:r w:rsidRPr="00635878">
        <w:rPr>
          <w:rFonts w:ascii="Times New Roman" w:hAnsi="Times New Roman" w:cs="Times New Roman"/>
          <w:b/>
        </w:rPr>
        <w:t>2021,</w:t>
      </w:r>
      <w:r w:rsidRPr="00635878">
        <w:rPr>
          <w:rFonts w:ascii="Times New Roman" w:hAnsi="Times New Roman" w:cs="Times New Roman"/>
        </w:rPr>
        <w:t xml:space="preserve"> 49, (W1), W5-W14.</w:t>
      </w:r>
    </w:p>
    <w:p w14:paraId="303BEFBE" w14:textId="017DFEA6" w:rsidR="00892AA8" w:rsidRPr="00065FE0" w:rsidRDefault="00656642" w:rsidP="008E412B">
      <w:pPr>
        <w:rPr>
          <w:rFonts w:ascii="Times New Roman" w:hAnsi="Times New Roman" w:cs="Times New Roman"/>
          <w:b/>
          <w:bCs/>
        </w:rPr>
      </w:pPr>
      <w:r w:rsidRPr="00065FE0">
        <w:rPr>
          <w:rFonts w:ascii="Times New Roman" w:hAnsi="Times New Roman" w:cs="Times New Roman"/>
          <w:b/>
          <w:bCs/>
        </w:rPr>
        <w:fldChar w:fldCharType="end"/>
      </w:r>
    </w:p>
    <w:sectPr w:rsidR="00892AA8" w:rsidRPr="00065FE0" w:rsidSect="00B7627D">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C3F67" w14:textId="77777777" w:rsidR="007975B2" w:rsidRDefault="007975B2" w:rsidP="009D7C56">
      <w:pPr>
        <w:spacing w:after="0" w:line="240" w:lineRule="auto"/>
      </w:pPr>
      <w:r>
        <w:separator/>
      </w:r>
    </w:p>
  </w:endnote>
  <w:endnote w:type="continuationSeparator" w:id="0">
    <w:p w14:paraId="4751691D" w14:textId="77777777" w:rsidR="007975B2" w:rsidRDefault="007975B2" w:rsidP="009D7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534870"/>
      <w:docPartObj>
        <w:docPartGallery w:val="Page Numbers (Bottom of Page)"/>
        <w:docPartUnique/>
      </w:docPartObj>
    </w:sdtPr>
    <w:sdtEndPr>
      <w:rPr>
        <w:noProof/>
      </w:rPr>
    </w:sdtEndPr>
    <w:sdtContent>
      <w:p w14:paraId="66EF7555" w14:textId="03A97A0E" w:rsidR="009D7C56" w:rsidRDefault="009D7C56">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28FEEAC2" w14:textId="77777777" w:rsidR="009D7C56" w:rsidRDefault="009D7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926C2" w14:textId="77777777" w:rsidR="007975B2" w:rsidRDefault="007975B2" w:rsidP="009D7C56">
      <w:pPr>
        <w:spacing w:after="0" w:line="240" w:lineRule="auto"/>
      </w:pPr>
      <w:r>
        <w:separator/>
      </w:r>
    </w:p>
  </w:footnote>
  <w:footnote w:type="continuationSeparator" w:id="0">
    <w:p w14:paraId="23CEF4E2" w14:textId="77777777" w:rsidR="007975B2" w:rsidRDefault="007975B2" w:rsidP="009D7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A3C"/>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57A92"/>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45C97"/>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42803"/>
    <w:multiLevelType w:val="multilevel"/>
    <w:tmpl w:val="83FCF35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FB57A4"/>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9C7E49"/>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33E82"/>
    <w:multiLevelType w:val="multilevel"/>
    <w:tmpl w:val="722216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107527"/>
    <w:multiLevelType w:val="hybridMultilevel"/>
    <w:tmpl w:val="73283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1343C"/>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B59D3"/>
    <w:multiLevelType w:val="multilevel"/>
    <w:tmpl w:val="197E650C"/>
    <w:lvl w:ilvl="0">
      <w:start w:val="1"/>
      <w:numFmt w:val="decimal"/>
      <w:lvlText w:val="%1"/>
      <w:lvlJc w:val="left"/>
      <w:pPr>
        <w:ind w:left="2968" w:hanging="360"/>
      </w:pPr>
      <w:rPr>
        <w:rFonts w:hint="default"/>
      </w:rPr>
    </w:lvl>
    <w:lvl w:ilvl="1">
      <w:start w:val="4"/>
      <w:numFmt w:val="decimal"/>
      <w:isLgl/>
      <w:lvlText w:val="%1.%2."/>
      <w:lvlJc w:val="left"/>
      <w:pPr>
        <w:ind w:left="3208" w:hanging="600"/>
      </w:pPr>
      <w:rPr>
        <w:rFonts w:hint="default"/>
      </w:rPr>
    </w:lvl>
    <w:lvl w:ilvl="2">
      <w:start w:val="5"/>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4048" w:hanging="144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408" w:hanging="1800"/>
      </w:pPr>
      <w:rPr>
        <w:rFonts w:hint="default"/>
      </w:rPr>
    </w:lvl>
  </w:abstractNum>
  <w:abstractNum w:abstractNumId="10" w15:restartNumberingAfterBreak="0">
    <w:nsid w:val="41A47DEE"/>
    <w:multiLevelType w:val="hybridMultilevel"/>
    <w:tmpl w:val="96D29530"/>
    <w:lvl w:ilvl="0" w:tplc="3372FA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043013"/>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E56F8D"/>
    <w:multiLevelType w:val="hybridMultilevel"/>
    <w:tmpl w:val="8A14B8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9D0AAF"/>
    <w:multiLevelType w:val="multilevel"/>
    <w:tmpl w:val="722216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81C57"/>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FA0E6D"/>
    <w:multiLevelType w:val="multilevel"/>
    <w:tmpl w:val="0C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9346D18"/>
    <w:multiLevelType w:val="hybridMultilevel"/>
    <w:tmpl w:val="F606EB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D755FF"/>
    <w:multiLevelType w:val="multilevel"/>
    <w:tmpl w:val="119250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EB657A"/>
    <w:multiLevelType w:val="multilevel"/>
    <w:tmpl w:val="722216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2100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61176025">
    <w:abstractNumId w:val="18"/>
  </w:num>
  <w:num w:numId="2" w16cid:durableId="176425711">
    <w:abstractNumId w:val="10"/>
  </w:num>
  <w:num w:numId="3" w16cid:durableId="603003106">
    <w:abstractNumId w:val="3"/>
  </w:num>
  <w:num w:numId="4" w16cid:durableId="184562680">
    <w:abstractNumId w:val="19"/>
  </w:num>
  <w:num w:numId="5" w16cid:durableId="1456406575">
    <w:abstractNumId w:val="7"/>
  </w:num>
  <w:num w:numId="6" w16cid:durableId="48193493">
    <w:abstractNumId w:val="6"/>
  </w:num>
  <w:num w:numId="7" w16cid:durableId="395669663">
    <w:abstractNumId w:val="13"/>
  </w:num>
  <w:num w:numId="8" w16cid:durableId="367147600">
    <w:abstractNumId w:val="9"/>
  </w:num>
  <w:num w:numId="9" w16cid:durableId="2056733695">
    <w:abstractNumId w:val="15"/>
  </w:num>
  <w:num w:numId="10" w16cid:durableId="1585794775">
    <w:abstractNumId w:val="12"/>
  </w:num>
  <w:num w:numId="11" w16cid:durableId="106242202">
    <w:abstractNumId w:val="16"/>
  </w:num>
  <w:num w:numId="12" w16cid:durableId="1053771889">
    <w:abstractNumId w:val="14"/>
  </w:num>
  <w:num w:numId="13" w16cid:durableId="1709719165">
    <w:abstractNumId w:val="17"/>
  </w:num>
  <w:num w:numId="14" w16cid:durableId="312225187">
    <w:abstractNumId w:val="1"/>
  </w:num>
  <w:num w:numId="15" w16cid:durableId="644547450">
    <w:abstractNumId w:val="11"/>
  </w:num>
  <w:num w:numId="16" w16cid:durableId="2033719986">
    <w:abstractNumId w:val="2"/>
  </w:num>
  <w:num w:numId="17" w16cid:durableId="1054618278">
    <w:abstractNumId w:val="0"/>
  </w:num>
  <w:num w:numId="18" w16cid:durableId="327443309">
    <w:abstractNumId w:val="8"/>
  </w:num>
  <w:num w:numId="19" w16cid:durableId="1832022771">
    <w:abstractNumId w:val="5"/>
  </w:num>
  <w:num w:numId="20" w16cid:durableId="199243867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6"/>
  <w:proofState w:spelling="clean" w:grammar="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Molecular Scien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fer0ts4z09w8evss7555pbf99tppxssxps&quot;&gt;My EndNote Library&lt;record-ids&gt;&lt;item&gt;17&lt;/item&gt;&lt;item&gt;142&lt;/item&gt;&lt;item&gt;143&lt;/item&gt;&lt;item&gt;144&lt;/item&gt;&lt;item&gt;145&lt;/item&gt;&lt;/record-ids&gt;&lt;/item&gt;&lt;/Libraries&gt;"/>
  </w:docVars>
  <w:rsids>
    <w:rsidRoot w:val="00F225A9"/>
    <w:rsid w:val="00021F32"/>
    <w:rsid w:val="000242D0"/>
    <w:rsid w:val="00025058"/>
    <w:rsid w:val="00050DF5"/>
    <w:rsid w:val="000513DA"/>
    <w:rsid w:val="00053A71"/>
    <w:rsid w:val="00054B78"/>
    <w:rsid w:val="00061024"/>
    <w:rsid w:val="000620AC"/>
    <w:rsid w:val="00065FE0"/>
    <w:rsid w:val="000810DA"/>
    <w:rsid w:val="00081FB1"/>
    <w:rsid w:val="00082FB6"/>
    <w:rsid w:val="00084B3C"/>
    <w:rsid w:val="0009641C"/>
    <w:rsid w:val="000A6AA4"/>
    <w:rsid w:val="000B5BDE"/>
    <w:rsid w:val="000C4AB6"/>
    <w:rsid w:val="000D6605"/>
    <w:rsid w:val="000F3B22"/>
    <w:rsid w:val="000F3F3B"/>
    <w:rsid w:val="000F562B"/>
    <w:rsid w:val="00100E50"/>
    <w:rsid w:val="00102FFA"/>
    <w:rsid w:val="00104E5C"/>
    <w:rsid w:val="001319C5"/>
    <w:rsid w:val="00134D96"/>
    <w:rsid w:val="001424DE"/>
    <w:rsid w:val="00143575"/>
    <w:rsid w:val="001463C9"/>
    <w:rsid w:val="0017642D"/>
    <w:rsid w:val="00182DB0"/>
    <w:rsid w:val="0018762A"/>
    <w:rsid w:val="00190452"/>
    <w:rsid w:val="00193B5E"/>
    <w:rsid w:val="001A626E"/>
    <w:rsid w:val="001B5D33"/>
    <w:rsid w:val="001B71F5"/>
    <w:rsid w:val="001B784A"/>
    <w:rsid w:val="001C4017"/>
    <w:rsid w:val="001C7290"/>
    <w:rsid w:val="001D2098"/>
    <w:rsid w:val="001D2AE5"/>
    <w:rsid w:val="00204441"/>
    <w:rsid w:val="0021147E"/>
    <w:rsid w:val="0021155B"/>
    <w:rsid w:val="002248CF"/>
    <w:rsid w:val="00255A67"/>
    <w:rsid w:val="00255A95"/>
    <w:rsid w:val="0026227B"/>
    <w:rsid w:val="002657DC"/>
    <w:rsid w:val="00273EC1"/>
    <w:rsid w:val="0028295D"/>
    <w:rsid w:val="00284E8A"/>
    <w:rsid w:val="002865CD"/>
    <w:rsid w:val="0028753E"/>
    <w:rsid w:val="0029434B"/>
    <w:rsid w:val="002955EE"/>
    <w:rsid w:val="002A32BB"/>
    <w:rsid w:val="002C6EB1"/>
    <w:rsid w:val="002E7421"/>
    <w:rsid w:val="002F003C"/>
    <w:rsid w:val="002F7061"/>
    <w:rsid w:val="0032382A"/>
    <w:rsid w:val="003252DF"/>
    <w:rsid w:val="00325D01"/>
    <w:rsid w:val="00333878"/>
    <w:rsid w:val="00333D19"/>
    <w:rsid w:val="003428F5"/>
    <w:rsid w:val="003471B5"/>
    <w:rsid w:val="00371703"/>
    <w:rsid w:val="00375A5D"/>
    <w:rsid w:val="00381B9C"/>
    <w:rsid w:val="0039087C"/>
    <w:rsid w:val="003B3639"/>
    <w:rsid w:val="003B60A1"/>
    <w:rsid w:val="003C203B"/>
    <w:rsid w:val="003D0078"/>
    <w:rsid w:val="003D6FB0"/>
    <w:rsid w:val="003E099E"/>
    <w:rsid w:val="003E31AE"/>
    <w:rsid w:val="003E4B11"/>
    <w:rsid w:val="00400A3F"/>
    <w:rsid w:val="00406E6A"/>
    <w:rsid w:val="00407808"/>
    <w:rsid w:val="00414B37"/>
    <w:rsid w:val="0043159D"/>
    <w:rsid w:val="00434821"/>
    <w:rsid w:val="00436F65"/>
    <w:rsid w:val="00436F82"/>
    <w:rsid w:val="00450547"/>
    <w:rsid w:val="004548E6"/>
    <w:rsid w:val="00470BA1"/>
    <w:rsid w:val="004760B8"/>
    <w:rsid w:val="00484B79"/>
    <w:rsid w:val="00493098"/>
    <w:rsid w:val="004A6ACC"/>
    <w:rsid w:val="004A7F94"/>
    <w:rsid w:val="004B1315"/>
    <w:rsid w:val="004B13BA"/>
    <w:rsid w:val="004B7028"/>
    <w:rsid w:val="004C27BB"/>
    <w:rsid w:val="004C5772"/>
    <w:rsid w:val="004C7EBB"/>
    <w:rsid w:val="004E3B26"/>
    <w:rsid w:val="0050218F"/>
    <w:rsid w:val="0051000A"/>
    <w:rsid w:val="005154CA"/>
    <w:rsid w:val="00520111"/>
    <w:rsid w:val="00522AE4"/>
    <w:rsid w:val="005231AE"/>
    <w:rsid w:val="005371E1"/>
    <w:rsid w:val="00561A89"/>
    <w:rsid w:val="005677BD"/>
    <w:rsid w:val="00576EA6"/>
    <w:rsid w:val="00587407"/>
    <w:rsid w:val="00592147"/>
    <w:rsid w:val="00592C4C"/>
    <w:rsid w:val="0059796B"/>
    <w:rsid w:val="005C0CB3"/>
    <w:rsid w:val="005F1933"/>
    <w:rsid w:val="005F4356"/>
    <w:rsid w:val="00612A4D"/>
    <w:rsid w:val="00615BE3"/>
    <w:rsid w:val="0061697F"/>
    <w:rsid w:val="0062555C"/>
    <w:rsid w:val="00635878"/>
    <w:rsid w:val="00636DB1"/>
    <w:rsid w:val="006375D9"/>
    <w:rsid w:val="00656642"/>
    <w:rsid w:val="00687B95"/>
    <w:rsid w:val="006B1A08"/>
    <w:rsid w:val="006B1ACB"/>
    <w:rsid w:val="006C1DBA"/>
    <w:rsid w:val="006C565B"/>
    <w:rsid w:val="006C5BD9"/>
    <w:rsid w:val="007431FD"/>
    <w:rsid w:val="00745561"/>
    <w:rsid w:val="007508BC"/>
    <w:rsid w:val="00761566"/>
    <w:rsid w:val="00776C79"/>
    <w:rsid w:val="0078209B"/>
    <w:rsid w:val="007854E6"/>
    <w:rsid w:val="007975B2"/>
    <w:rsid w:val="007A1987"/>
    <w:rsid w:val="007A1F06"/>
    <w:rsid w:val="007B7097"/>
    <w:rsid w:val="007C5BD2"/>
    <w:rsid w:val="007D2336"/>
    <w:rsid w:val="007D4F48"/>
    <w:rsid w:val="007E0793"/>
    <w:rsid w:val="007F2C30"/>
    <w:rsid w:val="007F30B7"/>
    <w:rsid w:val="00814E2D"/>
    <w:rsid w:val="00816D29"/>
    <w:rsid w:val="00830E8B"/>
    <w:rsid w:val="0083541F"/>
    <w:rsid w:val="0084192B"/>
    <w:rsid w:val="00841D32"/>
    <w:rsid w:val="00843A41"/>
    <w:rsid w:val="0087681A"/>
    <w:rsid w:val="008776D3"/>
    <w:rsid w:val="00892AA8"/>
    <w:rsid w:val="00895DEC"/>
    <w:rsid w:val="008A4205"/>
    <w:rsid w:val="008B03CB"/>
    <w:rsid w:val="008B51D1"/>
    <w:rsid w:val="008C2DC9"/>
    <w:rsid w:val="008C6F5C"/>
    <w:rsid w:val="008C7825"/>
    <w:rsid w:val="008D068E"/>
    <w:rsid w:val="008E2124"/>
    <w:rsid w:val="008E412B"/>
    <w:rsid w:val="008E7740"/>
    <w:rsid w:val="008F0AAF"/>
    <w:rsid w:val="008F6AA8"/>
    <w:rsid w:val="00900C70"/>
    <w:rsid w:val="00901C8D"/>
    <w:rsid w:val="00901DDD"/>
    <w:rsid w:val="00917713"/>
    <w:rsid w:val="00951313"/>
    <w:rsid w:val="009566B0"/>
    <w:rsid w:val="00966ED5"/>
    <w:rsid w:val="0097454B"/>
    <w:rsid w:val="00984DE4"/>
    <w:rsid w:val="00987D5A"/>
    <w:rsid w:val="00991B18"/>
    <w:rsid w:val="009A63E9"/>
    <w:rsid w:val="009A79E3"/>
    <w:rsid w:val="009B2467"/>
    <w:rsid w:val="009B275C"/>
    <w:rsid w:val="009B4144"/>
    <w:rsid w:val="009B527F"/>
    <w:rsid w:val="009C3063"/>
    <w:rsid w:val="009D7C56"/>
    <w:rsid w:val="009F155E"/>
    <w:rsid w:val="009F5317"/>
    <w:rsid w:val="009F6A5B"/>
    <w:rsid w:val="00A023DF"/>
    <w:rsid w:val="00A03AF0"/>
    <w:rsid w:val="00A1617B"/>
    <w:rsid w:val="00A244C5"/>
    <w:rsid w:val="00A5171A"/>
    <w:rsid w:val="00A676D6"/>
    <w:rsid w:val="00A7335C"/>
    <w:rsid w:val="00A75068"/>
    <w:rsid w:val="00A77C9D"/>
    <w:rsid w:val="00A83B7A"/>
    <w:rsid w:val="00A91696"/>
    <w:rsid w:val="00A95F75"/>
    <w:rsid w:val="00AA0342"/>
    <w:rsid w:val="00AC087F"/>
    <w:rsid w:val="00AD03C8"/>
    <w:rsid w:val="00AD77C8"/>
    <w:rsid w:val="00AD7CD2"/>
    <w:rsid w:val="00AE08FF"/>
    <w:rsid w:val="00AE0A6D"/>
    <w:rsid w:val="00AE5F15"/>
    <w:rsid w:val="00AF2785"/>
    <w:rsid w:val="00B063D9"/>
    <w:rsid w:val="00B10862"/>
    <w:rsid w:val="00B12A1E"/>
    <w:rsid w:val="00B20BB4"/>
    <w:rsid w:val="00B221D1"/>
    <w:rsid w:val="00B26D61"/>
    <w:rsid w:val="00B3207E"/>
    <w:rsid w:val="00B34C76"/>
    <w:rsid w:val="00B35D10"/>
    <w:rsid w:val="00B3755F"/>
    <w:rsid w:val="00B46B02"/>
    <w:rsid w:val="00B475BC"/>
    <w:rsid w:val="00B60A38"/>
    <w:rsid w:val="00B64BF5"/>
    <w:rsid w:val="00B7627D"/>
    <w:rsid w:val="00B7788B"/>
    <w:rsid w:val="00BA02E6"/>
    <w:rsid w:val="00BB59FC"/>
    <w:rsid w:val="00BB6F79"/>
    <w:rsid w:val="00BC1AC8"/>
    <w:rsid w:val="00BC5121"/>
    <w:rsid w:val="00BC6F86"/>
    <w:rsid w:val="00BE7DE8"/>
    <w:rsid w:val="00C32289"/>
    <w:rsid w:val="00C34436"/>
    <w:rsid w:val="00C359E6"/>
    <w:rsid w:val="00C561AE"/>
    <w:rsid w:val="00C705EE"/>
    <w:rsid w:val="00C833ED"/>
    <w:rsid w:val="00C8351D"/>
    <w:rsid w:val="00C86EFF"/>
    <w:rsid w:val="00C92B10"/>
    <w:rsid w:val="00C977E2"/>
    <w:rsid w:val="00CA0D16"/>
    <w:rsid w:val="00CA1CC7"/>
    <w:rsid w:val="00CA2E76"/>
    <w:rsid w:val="00CA5565"/>
    <w:rsid w:val="00CB2729"/>
    <w:rsid w:val="00CC5092"/>
    <w:rsid w:val="00CC54A9"/>
    <w:rsid w:val="00CD16F3"/>
    <w:rsid w:val="00CD1EA3"/>
    <w:rsid w:val="00CE725A"/>
    <w:rsid w:val="00CE7CA9"/>
    <w:rsid w:val="00D026EB"/>
    <w:rsid w:val="00D06D16"/>
    <w:rsid w:val="00D1494E"/>
    <w:rsid w:val="00D1600F"/>
    <w:rsid w:val="00D27B39"/>
    <w:rsid w:val="00D37FD8"/>
    <w:rsid w:val="00D62C14"/>
    <w:rsid w:val="00D63DFB"/>
    <w:rsid w:val="00D642CF"/>
    <w:rsid w:val="00D804B9"/>
    <w:rsid w:val="00D838AF"/>
    <w:rsid w:val="00D85271"/>
    <w:rsid w:val="00D9047A"/>
    <w:rsid w:val="00D90AF0"/>
    <w:rsid w:val="00DB6E6B"/>
    <w:rsid w:val="00DB7222"/>
    <w:rsid w:val="00DC00BE"/>
    <w:rsid w:val="00DC49D7"/>
    <w:rsid w:val="00DD0B7D"/>
    <w:rsid w:val="00DD4553"/>
    <w:rsid w:val="00DD4887"/>
    <w:rsid w:val="00DE3D06"/>
    <w:rsid w:val="00DE5734"/>
    <w:rsid w:val="00DE6E2D"/>
    <w:rsid w:val="00DE7FA7"/>
    <w:rsid w:val="00DF6D6C"/>
    <w:rsid w:val="00E3049D"/>
    <w:rsid w:val="00E3198A"/>
    <w:rsid w:val="00E4072F"/>
    <w:rsid w:val="00E5511C"/>
    <w:rsid w:val="00E637EB"/>
    <w:rsid w:val="00E70D06"/>
    <w:rsid w:val="00E71BA0"/>
    <w:rsid w:val="00E8085C"/>
    <w:rsid w:val="00E81314"/>
    <w:rsid w:val="00EC340A"/>
    <w:rsid w:val="00EC4313"/>
    <w:rsid w:val="00EC601C"/>
    <w:rsid w:val="00EC68FC"/>
    <w:rsid w:val="00EC7767"/>
    <w:rsid w:val="00ED0475"/>
    <w:rsid w:val="00ED26D1"/>
    <w:rsid w:val="00ED29B9"/>
    <w:rsid w:val="00EE113D"/>
    <w:rsid w:val="00EE6AD3"/>
    <w:rsid w:val="00EF2399"/>
    <w:rsid w:val="00EF2EC5"/>
    <w:rsid w:val="00EF59E8"/>
    <w:rsid w:val="00F0546C"/>
    <w:rsid w:val="00F07EF7"/>
    <w:rsid w:val="00F145D6"/>
    <w:rsid w:val="00F2234B"/>
    <w:rsid w:val="00F225A9"/>
    <w:rsid w:val="00F22B8F"/>
    <w:rsid w:val="00F31501"/>
    <w:rsid w:val="00F346C4"/>
    <w:rsid w:val="00F41146"/>
    <w:rsid w:val="00F6425F"/>
    <w:rsid w:val="00F67744"/>
    <w:rsid w:val="00F71A93"/>
    <w:rsid w:val="00F7298C"/>
    <w:rsid w:val="00F77DD4"/>
    <w:rsid w:val="00F808C3"/>
    <w:rsid w:val="00F85439"/>
    <w:rsid w:val="00F96549"/>
    <w:rsid w:val="00FA12D6"/>
    <w:rsid w:val="00FB066F"/>
    <w:rsid w:val="00FB3551"/>
    <w:rsid w:val="00FB3FEB"/>
    <w:rsid w:val="00FB4DA5"/>
    <w:rsid w:val="00FB7243"/>
    <w:rsid w:val="00FF0967"/>
    <w:rsid w:val="00FF7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63044"/>
  <w15:chartTrackingRefBased/>
  <w15:docId w15:val="{6F21AF9D-2DD1-442C-B890-71B8E736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34B"/>
  </w:style>
  <w:style w:type="paragraph" w:styleId="Heading1">
    <w:name w:val="heading 1"/>
    <w:basedOn w:val="Normal"/>
    <w:next w:val="Normal"/>
    <w:link w:val="Heading1Char"/>
    <w:uiPriority w:val="9"/>
    <w:qFormat/>
    <w:rsid w:val="005677BD"/>
    <w:pPr>
      <w:keepNext/>
      <w:keepLines/>
      <w:numPr>
        <w:numId w:val="9"/>
      </w:numPr>
      <w:spacing w:before="360" w:after="80"/>
      <w:outlineLvl w:val="0"/>
    </w:pPr>
    <w:rPr>
      <w:rFonts w:ascii="Times New Roman" w:eastAsiaTheme="majorEastAsia" w:hAnsi="Times New Roman" w:cstheme="majorBidi"/>
      <w:b/>
      <w:sz w:val="24"/>
      <w:szCs w:val="40"/>
      <w:lang w:val="es-MX" w:eastAsia="en-US"/>
      <w14:ligatures w14:val="standardContextual"/>
    </w:rPr>
  </w:style>
  <w:style w:type="paragraph" w:styleId="Heading2">
    <w:name w:val="heading 2"/>
    <w:basedOn w:val="Normal"/>
    <w:next w:val="Normal"/>
    <w:link w:val="Heading2Char"/>
    <w:uiPriority w:val="9"/>
    <w:unhideWhenUsed/>
    <w:qFormat/>
    <w:rsid w:val="005677BD"/>
    <w:pPr>
      <w:keepNext/>
      <w:keepLines/>
      <w:numPr>
        <w:ilvl w:val="1"/>
        <w:numId w:val="9"/>
      </w:numPr>
      <w:spacing w:before="160" w:after="80"/>
      <w:outlineLvl w:val="1"/>
    </w:pPr>
    <w:rPr>
      <w:rFonts w:ascii="Times New Roman" w:eastAsiaTheme="majorEastAsia" w:hAnsi="Times New Roman" w:cstheme="majorBidi"/>
      <w:sz w:val="24"/>
      <w:szCs w:val="32"/>
      <w:lang w:val="es-MX" w:eastAsia="en-US"/>
      <w14:ligatures w14:val="standardContextual"/>
    </w:rPr>
  </w:style>
  <w:style w:type="paragraph" w:styleId="Heading3">
    <w:name w:val="heading 3"/>
    <w:basedOn w:val="Normal"/>
    <w:link w:val="Heading3Char"/>
    <w:uiPriority w:val="9"/>
    <w:qFormat/>
    <w:rsid w:val="00082FB6"/>
    <w:pPr>
      <w:numPr>
        <w:ilvl w:val="2"/>
        <w:numId w:val="9"/>
      </w:numPr>
      <w:spacing w:after="0" w:line="240" w:lineRule="auto"/>
      <w:outlineLvl w:val="2"/>
    </w:pPr>
    <w:rPr>
      <w:rFonts w:ascii="Times New Roman" w:eastAsia="Times New Roman" w:hAnsi="Times New Roman" w:cs="Times New Roman"/>
      <w:bCs/>
      <w:sz w:val="24"/>
      <w:szCs w:val="27"/>
      <w:lang w:eastAsia="en-US"/>
    </w:rPr>
  </w:style>
  <w:style w:type="paragraph" w:styleId="Heading4">
    <w:name w:val="heading 4"/>
    <w:basedOn w:val="Normal"/>
    <w:next w:val="Normal"/>
    <w:link w:val="Heading4Char"/>
    <w:uiPriority w:val="9"/>
    <w:unhideWhenUsed/>
    <w:qFormat/>
    <w:rsid w:val="00DB6E6B"/>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F30B7"/>
    <w:pPr>
      <w:keepNext/>
      <w:keepLines/>
      <w:numPr>
        <w:ilvl w:val="4"/>
        <w:numId w:val="9"/>
      </w:numPr>
      <w:spacing w:before="80" w:after="40"/>
      <w:outlineLvl w:val="4"/>
    </w:pPr>
    <w:rPr>
      <w:rFonts w:eastAsiaTheme="majorEastAsia" w:cstheme="majorBidi"/>
      <w:color w:val="2E74B5" w:themeColor="accent1" w:themeShade="BF"/>
      <w:lang w:val="es-MX" w:eastAsia="en-US"/>
      <w14:ligatures w14:val="standardContextual"/>
    </w:rPr>
  </w:style>
  <w:style w:type="paragraph" w:styleId="Heading6">
    <w:name w:val="heading 6"/>
    <w:basedOn w:val="Normal"/>
    <w:next w:val="Normal"/>
    <w:link w:val="Heading6Char"/>
    <w:uiPriority w:val="9"/>
    <w:semiHidden/>
    <w:unhideWhenUsed/>
    <w:qFormat/>
    <w:rsid w:val="007F30B7"/>
    <w:pPr>
      <w:keepNext/>
      <w:keepLines/>
      <w:numPr>
        <w:ilvl w:val="5"/>
        <w:numId w:val="9"/>
      </w:numPr>
      <w:spacing w:before="40" w:after="0"/>
      <w:outlineLvl w:val="5"/>
    </w:pPr>
    <w:rPr>
      <w:rFonts w:eastAsiaTheme="majorEastAsia" w:cstheme="majorBidi"/>
      <w:i/>
      <w:iCs/>
      <w:color w:val="595959" w:themeColor="text1" w:themeTint="A6"/>
      <w:lang w:val="es-MX" w:eastAsia="en-US"/>
      <w14:ligatures w14:val="standardContextual"/>
    </w:rPr>
  </w:style>
  <w:style w:type="paragraph" w:styleId="Heading7">
    <w:name w:val="heading 7"/>
    <w:basedOn w:val="Normal"/>
    <w:next w:val="Normal"/>
    <w:link w:val="Heading7Char"/>
    <w:uiPriority w:val="9"/>
    <w:semiHidden/>
    <w:unhideWhenUsed/>
    <w:qFormat/>
    <w:rsid w:val="007F30B7"/>
    <w:pPr>
      <w:keepNext/>
      <w:keepLines/>
      <w:numPr>
        <w:ilvl w:val="6"/>
        <w:numId w:val="9"/>
      </w:numPr>
      <w:spacing w:before="40" w:after="0"/>
      <w:outlineLvl w:val="6"/>
    </w:pPr>
    <w:rPr>
      <w:rFonts w:eastAsiaTheme="majorEastAsia" w:cstheme="majorBidi"/>
      <w:color w:val="595959" w:themeColor="text1" w:themeTint="A6"/>
      <w:lang w:val="es-MX" w:eastAsia="en-US"/>
      <w14:ligatures w14:val="standardContextual"/>
    </w:rPr>
  </w:style>
  <w:style w:type="paragraph" w:styleId="Heading8">
    <w:name w:val="heading 8"/>
    <w:basedOn w:val="Normal"/>
    <w:next w:val="Normal"/>
    <w:link w:val="Heading8Char"/>
    <w:uiPriority w:val="9"/>
    <w:semiHidden/>
    <w:unhideWhenUsed/>
    <w:qFormat/>
    <w:rsid w:val="007F30B7"/>
    <w:pPr>
      <w:keepNext/>
      <w:keepLines/>
      <w:numPr>
        <w:ilvl w:val="7"/>
        <w:numId w:val="9"/>
      </w:numPr>
      <w:spacing w:after="0"/>
      <w:outlineLvl w:val="7"/>
    </w:pPr>
    <w:rPr>
      <w:rFonts w:eastAsiaTheme="majorEastAsia" w:cstheme="majorBidi"/>
      <w:i/>
      <w:iCs/>
      <w:color w:val="272727" w:themeColor="text1" w:themeTint="D8"/>
      <w:lang w:val="es-MX" w:eastAsia="en-US"/>
      <w14:ligatures w14:val="standardContextual"/>
    </w:rPr>
  </w:style>
  <w:style w:type="paragraph" w:styleId="Heading9">
    <w:name w:val="heading 9"/>
    <w:basedOn w:val="Normal"/>
    <w:next w:val="Normal"/>
    <w:link w:val="Heading9Char"/>
    <w:uiPriority w:val="9"/>
    <w:semiHidden/>
    <w:unhideWhenUsed/>
    <w:qFormat/>
    <w:rsid w:val="007F30B7"/>
    <w:pPr>
      <w:keepNext/>
      <w:keepLines/>
      <w:numPr>
        <w:ilvl w:val="8"/>
        <w:numId w:val="9"/>
      </w:numPr>
      <w:spacing w:after="0"/>
      <w:outlineLvl w:val="8"/>
    </w:pPr>
    <w:rPr>
      <w:rFonts w:eastAsiaTheme="majorEastAsia" w:cstheme="majorBidi"/>
      <w:color w:val="272727" w:themeColor="text1" w:themeTint="D8"/>
      <w:lang w:val="es-MX"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23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6F82"/>
    <w:pPr>
      <w:ind w:left="720"/>
      <w:contextualSpacing/>
    </w:pPr>
  </w:style>
  <w:style w:type="character" w:styleId="PlaceholderText">
    <w:name w:val="Placeholder Text"/>
    <w:basedOn w:val="DefaultParagraphFont"/>
    <w:uiPriority w:val="99"/>
    <w:semiHidden/>
    <w:rsid w:val="00CE7CA9"/>
    <w:rPr>
      <w:color w:val="666666"/>
    </w:rPr>
  </w:style>
  <w:style w:type="character" w:customStyle="1" w:styleId="Heading3Char">
    <w:name w:val="Heading 3 Char"/>
    <w:basedOn w:val="DefaultParagraphFont"/>
    <w:link w:val="Heading3"/>
    <w:uiPriority w:val="9"/>
    <w:rsid w:val="00082FB6"/>
    <w:rPr>
      <w:rFonts w:ascii="Times New Roman" w:eastAsia="Times New Roman" w:hAnsi="Times New Roman" w:cs="Times New Roman"/>
      <w:bCs/>
      <w:sz w:val="24"/>
      <w:szCs w:val="27"/>
      <w:lang w:eastAsia="en-US"/>
    </w:rPr>
  </w:style>
  <w:style w:type="character" w:styleId="Strong">
    <w:name w:val="Strong"/>
    <w:basedOn w:val="DefaultParagraphFont"/>
    <w:uiPriority w:val="22"/>
    <w:qFormat/>
    <w:rsid w:val="00DD4887"/>
    <w:rPr>
      <w:b/>
      <w:bCs/>
    </w:rPr>
  </w:style>
  <w:style w:type="table" w:styleId="TableGrid">
    <w:name w:val="Table Grid"/>
    <w:basedOn w:val="TableNormal"/>
    <w:uiPriority w:val="39"/>
    <w:rsid w:val="00AA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7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C56"/>
  </w:style>
  <w:style w:type="paragraph" w:styleId="Footer">
    <w:name w:val="footer"/>
    <w:basedOn w:val="Normal"/>
    <w:link w:val="FooterChar"/>
    <w:uiPriority w:val="99"/>
    <w:unhideWhenUsed/>
    <w:rsid w:val="009D7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C56"/>
  </w:style>
  <w:style w:type="character" w:styleId="Hyperlink">
    <w:name w:val="Hyperlink"/>
    <w:basedOn w:val="DefaultParagraphFont"/>
    <w:uiPriority w:val="99"/>
    <w:unhideWhenUsed/>
    <w:rsid w:val="009D7C56"/>
    <w:rPr>
      <w:color w:val="0563C1" w:themeColor="hyperlink"/>
      <w:u w:val="single"/>
    </w:rPr>
  </w:style>
  <w:style w:type="character" w:styleId="UnresolvedMention">
    <w:name w:val="Unresolved Mention"/>
    <w:basedOn w:val="DefaultParagraphFont"/>
    <w:uiPriority w:val="99"/>
    <w:semiHidden/>
    <w:unhideWhenUsed/>
    <w:rsid w:val="009D7C56"/>
    <w:rPr>
      <w:color w:val="605E5C"/>
      <w:shd w:val="clear" w:color="auto" w:fill="E1DFDD"/>
    </w:rPr>
  </w:style>
  <w:style w:type="character" w:styleId="FollowedHyperlink">
    <w:name w:val="FollowedHyperlink"/>
    <w:basedOn w:val="DefaultParagraphFont"/>
    <w:uiPriority w:val="99"/>
    <w:semiHidden/>
    <w:unhideWhenUsed/>
    <w:rsid w:val="009D7C56"/>
    <w:rPr>
      <w:color w:val="954F72" w:themeColor="followedHyperlink"/>
      <w:u w:val="single"/>
    </w:rPr>
  </w:style>
  <w:style w:type="character" w:styleId="CommentReference">
    <w:name w:val="annotation reference"/>
    <w:basedOn w:val="DefaultParagraphFont"/>
    <w:uiPriority w:val="99"/>
    <w:semiHidden/>
    <w:unhideWhenUsed/>
    <w:rsid w:val="009D7C56"/>
    <w:rPr>
      <w:sz w:val="16"/>
      <w:szCs w:val="16"/>
    </w:rPr>
  </w:style>
  <w:style w:type="paragraph" w:styleId="CommentText">
    <w:name w:val="annotation text"/>
    <w:basedOn w:val="Normal"/>
    <w:link w:val="CommentTextChar"/>
    <w:uiPriority w:val="99"/>
    <w:semiHidden/>
    <w:unhideWhenUsed/>
    <w:rsid w:val="009D7C56"/>
    <w:pPr>
      <w:spacing w:line="240" w:lineRule="auto"/>
    </w:pPr>
    <w:rPr>
      <w:sz w:val="20"/>
      <w:szCs w:val="20"/>
    </w:rPr>
  </w:style>
  <w:style w:type="character" w:customStyle="1" w:styleId="CommentTextChar">
    <w:name w:val="Comment Text Char"/>
    <w:basedOn w:val="DefaultParagraphFont"/>
    <w:link w:val="CommentText"/>
    <w:uiPriority w:val="99"/>
    <w:semiHidden/>
    <w:rsid w:val="009D7C56"/>
    <w:rPr>
      <w:sz w:val="20"/>
      <w:szCs w:val="20"/>
    </w:rPr>
  </w:style>
  <w:style w:type="paragraph" w:styleId="CommentSubject">
    <w:name w:val="annotation subject"/>
    <w:basedOn w:val="CommentText"/>
    <w:next w:val="CommentText"/>
    <w:link w:val="CommentSubjectChar"/>
    <w:uiPriority w:val="99"/>
    <w:semiHidden/>
    <w:unhideWhenUsed/>
    <w:rsid w:val="009D7C56"/>
    <w:rPr>
      <w:b/>
      <w:bCs/>
    </w:rPr>
  </w:style>
  <w:style w:type="character" w:customStyle="1" w:styleId="CommentSubjectChar">
    <w:name w:val="Comment Subject Char"/>
    <w:basedOn w:val="CommentTextChar"/>
    <w:link w:val="CommentSubject"/>
    <w:uiPriority w:val="99"/>
    <w:semiHidden/>
    <w:rsid w:val="009D7C56"/>
    <w:rPr>
      <w:b/>
      <w:bCs/>
      <w:sz w:val="20"/>
      <w:szCs w:val="20"/>
    </w:rPr>
  </w:style>
  <w:style w:type="character" w:customStyle="1" w:styleId="Heading4Char">
    <w:name w:val="Heading 4 Char"/>
    <w:basedOn w:val="DefaultParagraphFont"/>
    <w:link w:val="Heading4"/>
    <w:uiPriority w:val="9"/>
    <w:rsid w:val="00DB6E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DB6E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6E6B"/>
    <w:rPr>
      <w:sz w:val="20"/>
      <w:szCs w:val="20"/>
    </w:rPr>
  </w:style>
  <w:style w:type="character" w:styleId="EndnoteReference">
    <w:name w:val="endnote reference"/>
    <w:basedOn w:val="DefaultParagraphFont"/>
    <w:uiPriority w:val="99"/>
    <w:semiHidden/>
    <w:unhideWhenUsed/>
    <w:rsid w:val="00DB6E6B"/>
    <w:rPr>
      <w:vertAlign w:val="superscript"/>
    </w:rPr>
  </w:style>
  <w:style w:type="character" w:customStyle="1" w:styleId="apple-converted-space">
    <w:name w:val="apple-converted-space"/>
    <w:basedOn w:val="DefaultParagraphFont"/>
    <w:rsid w:val="00DB6E6B"/>
  </w:style>
  <w:style w:type="character" w:styleId="HTMLCite">
    <w:name w:val="HTML Cite"/>
    <w:basedOn w:val="DefaultParagraphFont"/>
    <w:uiPriority w:val="99"/>
    <w:semiHidden/>
    <w:unhideWhenUsed/>
    <w:rsid w:val="00DB6E6B"/>
    <w:rPr>
      <w:i/>
      <w:iCs/>
    </w:rPr>
  </w:style>
  <w:style w:type="character" w:styleId="Emphasis">
    <w:name w:val="Emphasis"/>
    <w:basedOn w:val="DefaultParagraphFont"/>
    <w:uiPriority w:val="20"/>
    <w:qFormat/>
    <w:rsid w:val="00DB6E6B"/>
    <w:rPr>
      <w:i/>
      <w:iCs/>
    </w:rPr>
  </w:style>
  <w:style w:type="paragraph" w:customStyle="1" w:styleId="msonormal0">
    <w:name w:val="msonormal"/>
    <w:basedOn w:val="Normal"/>
    <w:uiPriority w:val="99"/>
    <w:rsid w:val="00EC43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15BE3"/>
    <w:pP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64">
    <w:name w:val="xl64"/>
    <w:basedOn w:val="Normal"/>
    <w:rsid w:val="00615BE3"/>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65">
    <w:name w:val="xl65"/>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66">
    <w:name w:val="xl66"/>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US"/>
    </w:rPr>
  </w:style>
  <w:style w:type="paragraph" w:customStyle="1" w:styleId="xl67">
    <w:name w:val="xl67"/>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68">
    <w:name w:val="xl68"/>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US"/>
    </w:rPr>
  </w:style>
  <w:style w:type="paragraph" w:customStyle="1" w:styleId="xl69">
    <w:name w:val="xl69"/>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US"/>
    </w:rPr>
  </w:style>
  <w:style w:type="paragraph" w:customStyle="1" w:styleId="xl70">
    <w:name w:val="xl70"/>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US"/>
    </w:rPr>
  </w:style>
  <w:style w:type="paragraph" w:customStyle="1" w:styleId="xl71">
    <w:name w:val="xl71"/>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US"/>
    </w:rPr>
  </w:style>
  <w:style w:type="paragraph" w:customStyle="1" w:styleId="xl72">
    <w:name w:val="xl72"/>
    <w:basedOn w:val="Normal"/>
    <w:rsid w:val="00615BE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US"/>
    </w:rPr>
  </w:style>
  <w:style w:type="paragraph" w:customStyle="1" w:styleId="xl73">
    <w:name w:val="xl73"/>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74">
    <w:name w:val="xl74"/>
    <w:basedOn w:val="Normal"/>
    <w:rsid w:val="00615BE3"/>
    <w:pP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5">
    <w:name w:val="xl75"/>
    <w:basedOn w:val="Normal"/>
    <w:rsid w:val="00615B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RSCB01ARTAbstract">
    <w:name w:val="RSC B01 ART Abstract"/>
    <w:basedOn w:val="Normal"/>
    <w:link w:val="RSCB01ARTAbstractChar"/>
    <w:qFormat/>
    <w:rsid w:val="008E7740"/>
    <w:pPr>
      <w:spacing w:after="200" w:line="240" w:lineRule="exact"/>
      <w:jc w:val="both"/>
    </w:pPr>
    <w:rPr>
      <w:rFonts w:eastAsia="MS Mincho"/>
      <w:noProof/>
      <w:sz w:val="16"/>
      <w:lang w:val="en-GB" w:eastAsia="en-GB"/>
    </w:rPr>
  </w:style>
  <w:style w:type="character" w:customStyle="1" w:styleId="RSCB01ARTAbstractChar">
    <w:name w:val="RSC B01 ART Abstract Char"/>
    <w:basedOn w:val="DefaultParagraphFont"/>
    <w:link w:val="RSCB01ARTAbstract"/>
    <w:rsid w:val="008E7740"/>
    <w:rPr>
      <w:rFonts w:eastAsia="MS Mincho"/>
      <w:noProof/>
      <w:sz w:val="16"/>
      <w:lang w:val="en-GB" w:eastAsia="en-GB"/>
    </w:rPr>
  </w:style>
  <w:style w:type="character" w:customStyle="1" w:styleId="Heading1Char">
    <w:name w:val="Heading 1 Char"/>
    <w:basedOn w:val="DefaultParagraphFont"/>
    <w:link w:val="Heading1"/>
    <w:uiPriority w:val="9"/>
    <w:rsid w:val="005677BD"/>
    <w:rPr>
      <w:rFonts w:ascii="Times New Roman" w:eastAsiaTheme="majorEastAsia" w:hAnsi="Times New Roman" w:cstheme="majorBidi"/>
      <w:b/>
      <w:sz w:val="24"/>
      <w:szCs w:val="40"/>
      <w:lang w:val="es-MX" w:eastAsia="en-US"/>
      <w14:ligatures w14:val="standardContextual"/>
    </w:rPr>
  </w:style>
  <w:style w:type="character" w:customStyle="1" w:styleId="Heading2Char">
    <w:name w:val="Heading 2 Char"/>
    <w:basedOn w:val="DefaultParagraphFont"/>
    <w:link w:val="Heading2"/>
    <w:uiPriority w:val="9"/>
    <w:rsid w:val="005677BD"/>
    <w:rPr>
      <w:rFonts w:ascii="Times New Roman" w:eastAsiaTheme="majorEastAsia" w:hAnsi="Times New Roman" w:cstheme="majorBidi"/>
      <w:sz w:val="24"/>
      <w:szCs w:val="32"/>
      <w:lang w:val="es-MX" w:eastAsia="en-US"/>
      <w14:ligatures w14:val="standardContextual"/>
    </w:rPr>
  </w:style>
  <w:style w:type="character" w:customStyle="1" w:styleId="Heading5Char">
    <w:name w:val="Heading 5 Char"/>
    <w:basedOn w:val="DefaultParagraphFont"/>
    <w:link w:val="Heading5"/>
    <w:uiPriority w:val="9"/>
    <w:semiHidden/>
    <w:rsid w:val="007F30B7"/>
    <w:rPr>
      <w:rFonts w:eastAsiaTheme="majorEastAsia" w:cstheme="majorBidi"/>
      <w:color w:val="2E74B5" w:themeColor="accent1" w:themeShade="BF"/>
      <w:lang w:val="es-MX" w:eastAsia="en-US"/>
      <w14:ligatures w14:val="standardContextual"/>
    </w:rPr>
  </w:style>
  <w:style w:type="character" w:customStyle="1" w:styleId="Heading6Char">
    <w:name w:val="Heading 6 Char"/>
    <w:basedOn w:val="DefaultParagraphFont"/>
    <w:link w:val="Heading6"/>
    <w:uiPriority w:val="9"/>
    <w:semiHidden/>
    <w:rsid w:val="007F30B7"/>
    <w:rPr>
      <w:rFonts w:eastAsiaTheme="majorEastAsia" w:cstheme="majorBidi"/>
      <w:i/>
      <w:iCs/>
      <w:color w:val="595959" w:themeColor="text1" w:themeTint="A6"/>
      <w:lang w:val="es-MX" w:eastAsia="en-US"/>
      <w14:ligatures w14:val="standardContextual"/>
    </w:rPr>
  </w:style>
  <w:style w:type="character" w:customStyle="1" w:styleId="Heading7Char">
    <w:name w:val="Heading 7 Char"/>
    <w:basedOn w:val="DefaultParagraphFont"/>
    <w:link w:val="Heading7"/>
    <w:uiPriority w:val="9"/>
    <w:semiHidden/>
    <w:rsid w:val="007F30B7"/>
    <w:rPr>
      <w:rFonts w:eastAsiaTheme="majorEastAsia" w:cstheme="majorBidi"/>
      <w:color w:val="595959" w:themeColor="text1" w:themeTint="A6"/>
      <w:lang w:val="es-MX" w:eastAsia="en-US"/>
      <w14:ligatures w14:val="standardContextual"/>
    </w:rPr>
  </w:style>
  <w:style w:type="character" w:customStyle="1" w:styleId="Heading8Char">
    <w:name w:val="Heading 8 Char"/>
    <w:basedOn w:val="DefaultParagraphFont"/>
    <w:link w:val="Heading8"/>
    <w:uiPriority w:val="9"/>
    <w:semiHidden/>
    <w:rsid w:val="007F30B7"/>
    <w:rPr>
      <w:rFonts w:eastAsiaTheme="majorEastAsia" w:cstheme="majorBidi"/>
      <w:i/>
      <w:iCs/>
      <w:color w:val="272727" w:themeColor="text1" w:themeTint="D8"/>
      <w:lang w:val="es-MX" w:eastAsia="en-US"/>
      <w14:ligatures w14:val="standardContextual"/>
    </w:rPr>
  </w:style>
  <w:style w:type="character" w:customStyle="1" w:styleId="Heading9Char">
    <w:name w:val="Heading 9 Char"/>
    <w:basedOn w:val="DefaultParagraphFont"/>
    <w:link w:val="Heading9"/>
    <w:uiPriority w:val="9"/>
    <w:semiHidden/>
    <w:rsid w:val="007F30B7"/>
    <w:rPr>
      <w:rFonts w:eastAsiaTheme="majorEastAsia" w:cstheme="majorBidi"/>
      <w:color w:val="272727" w:themeColor="text1" w:themeTint="D8"/>
      <w:lang w:val="es-MX" w:eastAsia="en-US"/>
      <w14:ligatures w14:val="standardContextual"/>
    </w:rPr>
  </w:style>
  <w:style w:type="paragraph" w:styleId="Title">
    <w:name w:val="Title"/>
    <w:basedOn w:val="Normal"/>
    <w:next w:val="Normal"/>
    <w:link w:val="TitleChar"/>
    <w:uiPriority w:val="10"/>
    <w:qFormat/>
    <w:rsid w:val="007F30B7"/>
    <w:pPr>
      <w:spacing w:after="80" w:line="240" w:lineRule="auto"/>
      <w:contextualSpacing/>
    </w:pPr>
    <w:rPr>
      <w:rFonts w:asciiTheme="majorHAnsi" w:eastAsiaTheme="majorEastAsia" w:hAnsiTheme="majorHAnsi" w:cstheme="majorBidi"/>
      <w:spacing w:val="-10"/>
      <w:kern w:val="28"/>
      <w:sz w:val="56"/>
      <w:szCs w:val="56"/>
      <w:lang w:val="es-MX" w:eastAsia="en-US"/>
      <w14:ligatures w14:val="standardContextual"/>
    </w:rPr>
  </w:style>
  <w:style w:type="character" w:customStyle="1" w:styleId="TitleChar">
    <w:name w:val="Title Char"/>
    <w:basedOn w:val="DefaultParagraphFont"/>
    <w:link w:val="Title"/>
    <w:uiPriority w:val="10"/>
    <w:rsid w:val="007F30B7"/>
    <w:rPr>
      <w:rFonts w:asciiTheme="majorHAnsi" w:eastAsiaTheme="majorEastAsia" w:hAnsiTheme="majorHAnsi" w:cstheme="majorBidi"/>
      <w:spacing w:val="-10"/>
      <w:kern w:val="28"/>
      <w:sz w:val="56"/>
      <w:szCs w:val="56"/>
      <w:lang w:val="es-MX" w:eastAsia="en-US"/>
      <w14:ligatures w14:val="standardContextual"/>
    </w:rPr>
  </w:style>
  <w:style w:type="paragraph" w:styleId="Subtitle">
    <w:name w:val="Subtitle"/>
    <w:basedOn w:val="Normal"/>
    <w:next w:val="Normal"/>
    <w:link w:val="SubtitleChar"/>
    <w:uiPriority w:val="11"/>
    <w:qFormat/>
    <w:rsid w:val="007F30B7"/>
    <w:pPr>
      <w:numPr>
        <w:ilvl w:val="1"/>
      </w:numPr>
    </w:pPr>
    <w:rPr>
      <w:rFonts w:eastAsiaTheme="majorEastAsia" w:cstheme="majorBidi"/>
      <w:color w:val="595959" w:themeColor="text1" w:themeTint="A6"/>
      <w:spacing w:val="15"/>
      <w:sz w:val="28"/>
      <w:szCs w:val="28"/>
      <w:lang w:val="es-MX" w:eastAsia="en-US"/>
      <w14:ligatures w14:val="standardContextual"/>
    </w:rPr>
  </w:style>
  <w:style w:type="character" w:customStyle="1" w:styleId="SubtitleChar">
    <w:name w:val="Subtitle Char"/>
    <w:basedOn w:val="DefaultParagraphFont"/>
    <w:link w:val="Subtitle"/>
    <w:uiPriority w:val="11"/>
    <w:rsid w:val="007F30B7"/>
    <w:rPr>
      <w:rFonts w:eastAsiaTheme="majorEastAsia" w:cstheme="majorBidi"/>
      <w:color w:val="595959" w:themeColor="text1" w:themeTint="A6"/>
      <w:spacing w:val="15"/>
      <w:sz w:val="28"/>
      <w:szCs w:val="28"/>
      <w:lang w:val="es-MX" w:eastAsia="en-US"/>
      <w14:ligatures w14:val="standardContextual"/>
    </w:rPr>
  </w:style>
  <w:style w:type="paragraph" w:styleId="Quote">
    <w:name w:val="Quote"/>
    <w:basedOn w:val="Normal"/>
    <w:next w:val="Normal"/>
    <w:link w:val="QuoteChar"/>
    <w:uiPriority w:val="29"/>
    <w:qFormat/>
    <w:rsid w:val="007F30B7"/>
    <w:pPr>
      <w:spacing w:before="160"/>
      <w:jc w:val="center"/>
    </w:pPr>
    <w:rPr>
      <w:rFonts w:eastAsiaTheme="minorHAnsi"/>
      <w:i/>
      <w:iCs/>
      <w:color w:val="404040" w:themeColor="text1" w:themeTint="BF"/>
      <w:lang w:val="es-MX" w:eastAsia="en-US"/>
      <w14:ligatures w14:val="standardContextual"/>
    </w:rPr>
  </w:style>
  <w:style w:type="character" w:customStyle="1" w:styleId="QuoteChar">
    <w:name w:val="Quote Char"/>
    <w:basedOn w:val="DefaultParagraphFont"/>
    <w:link w:val="Quote"/>
    <w:uiPriority w:val="29"/>
    <w:rsid w:val="007F30B7"/>
    <w:rPr>
      <w:rFonts w:eastAsiaTheme="minorHAnsi"/>
      <w:i/>
      <w:iCs/>
      <w:color w:val="404040" w:themeColor="text1" w:themeTint="BF"/>
      <w:lang w:val="es-MX" w:eastAsia="en-US"/>
      <w14:ligatures w14:val="standardContextual"/>
    </w:rPr>
  </w:style>
  <w:style w:type="character" w:styleId="IntenseEmphasis">
    <w:name w:val="Intense Emphasis"/>
    <w:basedOn w:val="DefaultParagraphFont"/>
    <w:uiPriority w:val="21"/>
    <w:qFormat/>
    <w:rsid w:val="007F30B7"/>
    <w:rPr>
      <w:i/>
      <w:iCs/>
      <w:color w:val="2E74B5" w:themeColor="accent1" w:themeShade="BF"/>
    </w:rPr>
  </w:style>
  <w:style w:type="paragraph" w:styleId="IntenseQuote">
    <w:name w:val="Intense Quote"/>
    <w:basedOn w:val="Normal"/>
    <w:next w:val="Normal"/>
    <w:link w:val="IntenseQuoteChar"/>
    <w:uiPriority w:val="30"/>
    <w:qFormat/>
    <w:rsid w:val="007F30B7"/>
    <w:pPr>
      <w:pBdr>
        <w:top w:val="single" w:sz="4" w:space="10" w:color="2E74B5" w:themeColor="accent1" w:themeShade="BF"/>
        <w:bottom w:val="single" w:sz="4" w:space="10" w:color="2E74B5" w:themeColor="accent1" w:themeShade="BF"/>
      </w:pBdr>
      <w:spacing w:before="360" w:after="360"/>
      <w:ind w:left="864" w:right="864"/>
      <w:jc w:val="center"/>
    </w:pPr>
    <w:rPr>
      <w:rFonts w:eastAsiaTheme="minorHAnsi"/>
      <w:i/>
      <w:iCs/>
      <w:color w:val="2E74B5" w:themeColor="accent1" w:themeShade="BF"/>
      <w:lang w:val="es-MX" w:eastAsia="en-US"/>
      <w14:ligatures w14:val="standardContextual"/>
    </w:rPr>
  </w:style>
  <w:style w:type="character" w:customStyle="1" w:styleId="IntenseQuoteChar">
    <w:name w:val="Intense Quote Char"/>
    <w:basedOn w:val="DefaultParagraphFont"/>
    <w:link w:val="IntenseQuote"/>
    <w:uiPriority w:val="30"/>
    <w:rsid w:val="007F30B7"/>
    <w:rPr>
      <w:rFonts w:eastAsiaTheme="minorHAnsi"/>
      <w:i/>
      <w:iCs/>
      <w:color w:val="2E74B5" w:themeColor="accent1" w:themeShade="BF"/>
      <w:lang w:val="es-MX" w:eastAsia="en-US"/>
      <w14:ligatures w14:val="standardContextual"/>
    </w:rPr>
  </w:style>
  <w:style w:type="character" w:styleId="IntenseReference">
    <w:name w:val="Intense Reference"/>
    <w:basedOn w:val="DefaultParagraphFont"/>
    <w:uiPriority w:val="32"/>
    <w:qFormat/>
    <w:rsid w:val="007F30B7"/>
    <w:rPr>
      <w:b/>
      <w:bCs/>
      <w:smallCaps/>
      <w:color w:val="2E74B5" w:themeColor="accent1" w:themeShade="BF"/>
      <w:spacing w:val="5"/>
    </w:rPr>
  </w:style>
  <w:style w:type="table" w:customStyle="1" w:styleId="Tablaconcuadrcula1">
    <w:name w:val="Tabla con cuadrícula1"/>
    <w:basedOn w:val="TableNormal"/>
    <w:next w:val="TableGrid"/>
    <w:uiPriority w:val="59"/>
    <w:rsid w:val="007F30B7"/>
    <w:pPr>
      <w:spacing w:after="0" w:line="240" w:lineRule="auto"/>
    </w:pPr>
    <w:rPr>
      <w:rFonts w:eastAsiaTheme="minorHAns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656642"/>
    <w:pPr>
      <w:spacing w:after="0"/>
      <w:jc w:val="center"/>
    </w:pPr>
    <w:rPr>
      <w:rFonts w:ascii="Calibri" w:hAnsi="Calibri" w:cs="Calibri"/>
      <w:noProof/>
    </w:rPr>
  </w:style>
  <w:style w:type="character" w:customStyle="1" w:styleId="EndNoteBibliographyTitleCar">
    <w:name w:val="EndNote Bibliography Title Car"/>
    <w:basedOn w:val="DefaultParagraphFont"/>
    <w:link w:val="EndNoteBibliographyTitle"/>
    <w:rsid w:val="00656642"/>
    <w:rPr>
      <w:rFonts w:ascii="Calibri" w:hAnsi="Calibri" w:cs="Calibri"/>
      <w:noProof/>
    </w:rPr>
  </w:style>
  <w:style w:type="paragraph" w:customStyle="1" w:styleId="EndNoteBibliography">
    <w:name w:val="EndNote Bibliography"/>
    <w:basedOn w:val="Normal"/>
    <w:link w:val="EndNoteBibliographyCar"/>
    <w:rsid w:val="00656642"/>
    <w:pPr>
      <w:spacing w:line="240" w:lineRule="auto"/>
      <w:jc w:val="both"/>
    </w:pPr>
    <w:rPr>
      <w:rFonts w:ascii="Calibri" w:hAnsi="Calibri" w:cs="Calibri"/>
      <w:noProof/>
    </w:rPr>
  </w:style>
  <w:style w:type="character" w:customStyle="1" w:styleId="EndNoteBibliographyCar">
    <w:name w:val="EndNote Bibliography Car"/>
    <w:basedOn w:val="DefaultParagraphFont"/>
    <w:link w:val="EndNoteBibliography"/>
    <w:rsid w:val="00656642"/>
    <w:rPr>
      <w:rFonts w:ascii="Calibri" w:hAnsi="Calibri" w:cs="Calibri"/>
      <w:noProof/>
    </w:rPr>
  </w:style>
  <w:style w:type="paragraph" w:styleId="TOCHeading">
    <w:name w:val="TOC Heading"/>
    <w:basedOn w:val="Heading1"/>
    <w:next w:val="Normal"/>
    <w:uiPriority w:val="39"/>
    <w:unhideWhenUsed/>
    <w:qFormat/>
    <w:rsid w:val="005677BD"/>
    <w:pPr>
      <w:spacing w:before="240" w:after="0"/>
      <w:outlineLvl w:val="9"/>
    </w:pPr>
    <w:rPr>
      <w:rFonts w:asciiTheme="majorHAnsi" w:hAnsiTheme="majorHAnsi"/>
      <w:b w:val="0"/>
      <w:color w:val="2E74B5" w:themeColor="accent1" w:themeShade="BF"/>
      <w:sz w:val="32"/>
      <w:szCs w:val="32"/>
      <w:lang w:eastAsia="es-MX"/>
      <w14:ligatures w14:val="none"/>
    </w:rPr>
  </w:style>
  <w:style w:type="paragraph" w:styleId="TOC1">
    <w:name w:val="toc 1"/>
    <w:basedOn w:val="Normal"/>
    <w:next w:val="Normal"/>
    <w:autoRedefine/>
    <w:uiPriority w:val="39"/>
    <w:unhideWhenUsed/>
    <w:rsid w:val="005677BD"/>
    <w:pPr>
      <w:spacing w:after="100"/>
    </w:pPr>
  </w:style>
  <w:style w:type="paragraph" w:styleId="TOC2">
    <w:name w:val="toc 2"/>
    <w:basedOn w:val="Normal"/>
    <w:next w:val="Normal"/>
    <w:autoRedefine/>
    <w:uiPriority w:val="39"/>
    <w:unhideWhenUsed/>
    <w:rsid w:val="005677BD"/>
    <w:pPr>
      <w:spacing w:after="100"/>
      <w:ind w:left="220"/>
    </w:pPr>
  </w:style>
  <w:style w:type="paragraph" w:styleId="TOC3">
    <w:name w:val="toc 3"/>
    <w:basedOn w:val="Normal"/>
    <w:next w:val="Normal"/>
    <w:autoRedefine/>
    <w:uiPriority w:val="39"/>
    <w:unhideWhenUsed/>
    <w:rsid w:val="007431FD"/>
    <w:pPr>
      <w:spacing w:after="100"/>
      <w:ind w:left="440"/>
    </w:pPr>
  </w:style>
  <w:style w:type="paragraph" w:customStyle="1" w:styleId="MDPI16affiliation">
    <w:name w:val="MDPI_1.6_affiliation"/>
    <w:qFormat/>
    <w:rsid w:val="00D90AF0"/>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3authornames">
    <w:name w:val="MDPI_1.3_authornames"/>
    <w:next w:val="Normal"/>
    <w:qFormat/>
    <w:rsid w:val="00D90AF0"/>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4500">
      <w:bodyDiv w:val="1"/>
      <w:marLeft w:val="0"/>
      <w:marRight w:val="0"/>
      <w:marTop w:val="0"/>
      <w:marBottom w:val="0"/>
      <w:divBdr>
        <w:top w:val="none" w:sz="0" w:space="0" w:color="auto"/>
        <w:left w:val="none" w:sz="0" w:space="0" w:color="auto"/>
        <w:bottom w:val="none" w:sz="0" w:space="0" w:color="auto"/>
        <w:right w:val="none" w:sz="0" w:space="0" w:color="auto"/>
      </w:divBdr>
    </w:div>
    <w:div w:id="60059792">
      <w:bodyDiv w:val="1"/>
      <w:marLeft w:val="0"/>
      <w:marRight w:val="0"/>
      <w:marTop w:val="0"/>
      <w:marBottom w:val="0"/>
      <w:divBdr>
        <w:top w:val="none" w:sz="0" w:space="0" w:color="auto"/>
        <w:left w:val="none" w:sz="0" w:space="0" w:color="auto"/>
        <w:bottom w:val="none" w:sz="0" w:space="0" w:color="auto"/>
        <w:right w:val="none" w:sz="0" w:space="0" w:color="auto"/>
      </w:divBdr>
    </w:div>
    <w:div w:id="69232384">
      <w:bodyDiv w:val="1"/>
      <w:marLeft w:val="0"/>
      <w:marRight w:val="0"/>
      <w:marTop w:val="0"/>
      <w:marBottom w:val="0"/>
      <w:divBdr>
        <w:top w:val="none" w:sz="0" w:space="0" w:color="auto"/>
        <w:left w:val="none" w:sz="0" w:space="0" w:color="auto"/>
        <w:bottom w:val="none" w:sz="0" w:space="0" w:color="auto"/>
        <w:right w:val="none" w:sz="0" w:space="0" w:color="auto"/>
      </w:divBdr>
    </w:div>
    <w:div w:id="82382675">
      <w:bodyDiv w:val="1"/>
      <w:marLeft w:val="0"/>
      <w:marRight w:val="0"/>
      <w:marTop w:val="0"/>
      <w:marBottom w:val="0"/>
      <w:divBdr>
        <w:top w:val="none" w:sz="0" w:space="0" w:color="auto"/>
        <w:left w:val="none" w:sz="0" w:space="0" w:color="auto"/>
        <w:bottom w:val="none" w:sz="0" w:space="0" w:color="auto"/>
        <w:right w:val="none" w:sz="0" w:space="0" w:color="auto"/>
      </w:divBdr>
    </w:div>
    <w:div w:id="98332009">
      <w:bodyDiv w:val="1"/>
      <w:marLeft w:val="0"/>
      <w:marRight w:val="0"/>
      <w:marTop w:val="0"/>
      <w:marBottom w:val="0"/>
      <w:divBdr>
        <w:top w:val="none" w:sz="0" w:space="0" w:color="auto"/>
        <w:left w:val="none" w:sz="0" w:space="0" w:color="auto"/>
        <w:bottom w:val="none" w:sz="0" w:space="0" w:color="auto"/>
        <w:right w:val="none" w:sz="0" w:space="0" w:color="auto"/>
      </w:divBdr>
    </w:div>
    <w:div w:id="99498122">
      <w:bodyDiv w:val="1"/>
      <w:marLeft w:val="0"/>
      <w:marRight w:val="0"/>
      <w:marTop w:val="0"/>
      <w:marBottom w:val="0"/>
      <w:divBdr>
        <w:top w:val="none" w:sz="0" w:space="0" w:color="auto"/>
        <w:left w:val="none" w:sz="0" w:space="0" w:color="auto"/>
        <w:bottom w:val="none" w:sz="0" w:space="0" w:color="auto"/>
        <w:right w:val="none" w:sz="0" w:space="0" w:color="auto"/>
      </w:divBdr>
    </w:div>
    <w:div w:id="107091660">
      <w:bodyDiv w:val="1"/>
      <w:marLeft w:val="0"/>
      <w:marRight w:val="0"/>
      <w:marTop w:val="0"/>
      <w:marBottom w:val="0"/>
      <w:divBdr>
        <w:top w:val="none" w:sz="0" w:space="0" w:color="auto"/>
        <w:left w:val="none" w:sz="0" w:space="0" w:color="auto"/>
        <w:bottom w:val="none" w:sz="0" w:space="0" w:color="auto"/>
        <w:right w:val="none" w:sz="0" w:space="0" w:color="auto"/>
      </w:divBdr>
    </w:div>
    <w:div w:id="119418786">
      <w:bodyDiv w:val="1"/>
      <w:marLeft w:val="0"/>
      <w:marRight w:val="0"/>
      <w:marTop w:val="0"/>
      <w:marBottom w:val="0"/>
      <w:divBdr>
        <w:top w:val="none" w:sz="0" w:space="0" w:color="auto"/>
        <w:left w:val="none" w:sz="0" w:space="0" w:color="auto"/>
        <w:bottom w:val="none" w:sz="0" w:space="0" w:color="auto"/>
        <w:right w:val="none" w:sz="0" w:space="0" w:color="auto"/>
      </w:divBdr>
    </w:div>
    <w:div w:id="128086304">
      <w:bodyDiv w:val="1"/>
      <w:marLeft w:val="0"/>
      <w:marRight w:val="0"/>
      <w:marTop w:val="0"/>
      <w:marBottom w:val="0"/>
      <w:divBdr>
        <w:top w:val="none" w:sz="0" w:space="0" w:color="auto"/>
        <w:left w:val="none" w:sz="0" w:space="0" w:color="auto"/>
        <w:bottom w:val="none" w:sz="0" w:space="0" w:color="auto"/>
        <w:right w:val="none" w:sz="0" w:space="0" w:color="auto"/>
      </w:divBdr>
    </w:div>
    <w:div w:id="132528975">
      <w:bodyDiv w:val="1"/>
      <w:marLeft w:val="0"/>
      <w:marRight w:val="0"/>
      <w:marTop w:val="0"/>
      <w:marBottom w:val="0"/>
      <w:divBdr>
        <w:top w:val="none" w:sz="0" w:space="0" w:color="auto"/>
        <w:left w:val="none" w:sz="0" w:space="0" w:color="auto"/>
        <w:bottom w:val="none" w:sz="0" w:space="0" w:color="auto"/>
        <w:right w:val="none" w:sz="0" w:space="0" w:color="auto"/>
      </w:divBdr>
    </w:div>
    <w:div w:id="151071613">
      <w:bodyDiv w:val="1"/>
      <w:marLeft w:val="0"/>
      <w:marRight w:val="0"/>
      <w:marTop w:val="0"/>
      <w:marBottom w:val="0"/>
      <w:divBdr>
        <w:top w:val="none" w:sz="0" w:space="0" w:color="auto"/>
        <w:left w:val="none" w:sz="0" w:space="0" w:color="auto"/>
        <w:bottom w:val="none" w:sz="0" w:space="0" w:color="auto"/>
        <w:right w:val="none" w:sz="0" w:space="0" w:color="auto"/>
      </w:divBdr>
      <w:divsChild>
        <w:div w:id="121533182">
          <w:marLeft w:val="0"/>
          <w:marRight w:val="0"/>
          <w:marTop w:val="0"/>
          <w:marBottom w:val="0"/>
          <w:divBdr>
            <w:top w:val="none" w:sz="0" w:space="0" w:color="auto"/>
            <w:left w:val="none" w:sz="0" w:space="0" w:color="auto"/>
            <w:bottom w:val="none" w:sz="0" w:space="0" w:color="auto"/>
            <w:right w:val="none" w:sz="0" w:space="0" w:color="auto"/>
          </w:divBdr>
        </w:div>
        <w:div w:id="909342021">
          <w:marLeft w:val="0"/>
          <w:marRight w:val="0"/>
          <w:marTop w:val="0"/>
          <w:marBottom w:val="0"/>
          <w:divBdr>
            <w:top w:val="none" w:sz="0" w:space="0" w:color="auto"/>
            <w:left w:val="none" w:sz="0" w:space="0" w:color="auto"/>
            <w:bottom w:val="none" w:sz="0" w:space="0" w:color="auto"/>
            <w:right w:val="none" w:sz="0" w:space="0" w:color="auto"/>
          </w:divBdr>
        </w:div>
      </w:divsChild>
    </w:div>
    <w:div w:id="168645353">
      <w:bodyDiv w:val="1"/>
      <w:marLeft w:val="0"/>
      <w:marRight w:val="0"/>
      <w:marTop w:val="0"/>
      <w:marBottom w:val="0"/>
      <w:divBdr>
        <w:top w:val="none" w:sz="0" w:space="0" w:color="auto"/>
        <w:left w:val="none" w:sz="0" w:space="0" w:color="auto"/>
        <w:bottom w:val="none" w:sz="0" w:space="0" w:color="auto"/>
        <w:right w:val="none" w:sz="0" w:space="0" w:color="auto"/>
      </w:divBdr>
    </w:div>
    <w:div w:id="171341475">
      <w:bodyDiv w:val="1"/>
      <w:marLeft w:val="0"/>
      <w:marRight w:val="0"/>
      <w:marTop w:val="0"/>
      <w:marBottom w:val="0"/>
      <w:divBdr>
        <w:top w:val="none" w:sz="0" w:space="0" w:color="auto"/>
        <w:left w:val="none" w:sz="0" w:space="0" w:color="auto"/>
        <w:bottom w:val="none" w:sz="0" w:space="0" w:color="auto"/>
        <w:right w:val="none" w:sz="0" w:space="0" w:color="auto"/>
      </w:divBdr>
      <w:divsChild>
        <w:div w:id="242111381">
          <w:marLeft w:val="0"/>
          <w:marRight w:val="0"/>
          <w:marTop w:val="0"/>
          <w:marBottom w:val="0"/>
          <w:divBdr>
            <w:top w:val="none" w:sz="0" w:space="0" w:color="auto"/>
            <w:left w:val="none" w:sz="0" w:space="0" w:color="auto"/>
            <w:bottom w:val="none" w:sz="0" w:space="0" w:color="auto"/>
            <w:right w:val="none" w:sz="0" w:space="0" w:color="auto"/>
          </w:divBdr>
        </w:div>
        <w:div w:id="381098029">
          <w:marLeft w:val="0"/>
          <w:marRight w:val="0"/>
          <w:marTop w:val="0"/>
          <w:marBottom w:val="0"/>
          <w:divBdr>
            <w:top w:val="none" w:sz="0" w:space="0" w:color="auto"/>
            <w:left w:val="none" w:sz="0" w:space="0" w:color="auto"/>
            <w:bottom w:val="none" w:sz="0" w:space="0" w:color="auto"/>
            <w:right w:val="none" w:sz="0" w:space="0" w:color="auto"/>
          </w:divBdr>
        </w:div>
      </w:divsChild>
    </w:div>
    <w:div w:id="180435090">
      <w:bodyDiv w:val="1"/>
      <w:marLeft w:val="0"/>
      <w:marRight w:val="0"/>
      <w:marTop w:val="0"/>
      <w:marBottom w:val="0"/>
      <w:divBdr>
        <w:top w:val="none" w:sz="0" w:space="0" w:color="auto"/>
        <w:left w:val="none" w:sz="0" w:space="0" w:color="auto"/>
        <w:bottom w:val="none" w:sz="0" w:space="0" w:color="auto"/>
        <w:right w:val="none" w:sz="0" w:space="0" w:color="auto"/>
      </w:divBdr>
    </w:div>
    <w:div w:id="215774115">
      <w:bodyDiv w:val="1"/>
      <w:marLeft w:val="0"/>
      <w:marRight w:val="0"/>
      <w:marTop w:val="0"/>
      <w:marBottom w:val="0"/>
      <w:divBdr>
        <w:top w:val="none" w:sz="0" w:space="0" w:color="auto"/>
        <w:left w:val="none" w:sz="0" w:space="0" w:color="auto"/>
        <w:bottom w:val="none" w:sz="0" w:space="0" w:color="auto"/>
        <w:right w:val="none" w:sz="0" w:space="0" w:color="auto"/>
      </w:divBdr>
    </w:div>
    <w:div w:id="242227558">
      <w:bodyDiv w:val="1"/>
      <w:marLeft w:val="0"/>
      <w:marRight w:val="0"/>
      <w:marTop w:val="0"/>
      <w:marBottom w:val="0"/>
      <w:divBdr>
        <w:top w:val="none" w:sz="0" w:space="0" w:color="auto"/>
        <w:left w:val="none" w:sz="0" w:space="0" w:color="auto"/>
        <w:bottom w:val="none" w:sz="0" w:space="0" w:color="auto"/>
        <w:right w:val="none" w:sz="0" w:space="0" w:color="auto"/>
      </w:divBdr>
    </w:div>
    <w:div w:id="242569053">
      <w:bodyDiv w:val="1"/>
      <w:marLeft w:val="0"/>
      <w:marRight w:val="0"/>
      <w:marTop w:val="0"/>
      <w:marBottom w:val="0"/>
      <w:divBdr>
        <w:top w:val="none" w:sz="0" w:space="0" w:color="auto"/>
        <w:left w:val="none" w:sz="0" w:space="0" w:color="auto"/>
        <w:bottom w:val="none" w:sz="0" w:space="0" w:color="auto"/>
        <w:right w:val="none" w:sz="0" w:space="0" w:color="auto"/>
      </w:divBdr>
    </w:div>
    <w:div w:id="248194029">
      <w:bodyDiv w:val="1"/>
      <w:marLeft w:val="0"/>
      <w:marRight w:val="0"/>
      <w:marTop w:val="0"/>
      <w:marBottom w:val="0"/>
      <w:divBdr>
        <w:top w:val="none" w:sz="0" w:space="0" w:color="auto"/>
        <w:left w:val="none" w:sz="0" w:space="0" w:color="auto"/>
        <w:bottom w:val="none" w:sz="0" w:space="0" w:color="auto"/>
        <w:right w:val="none" w:sz="0" w:space="0" w:color="auto"/>
      </w:divBdr>
    </w:div>
    <w:div w:id="259526683">
      <w:bodyDiv w:val="1"/>
      <w:marLeft w:val="0"/>
      <w:marRight w:val="0"/>
      <w:marTop w:val="0"/>
      <w:marBottom w:val="0"/>
      <w:divBdr>
        <w:top w:val="none" w:sz="0" w:space="0" w:color="auto"/>
        <w:left w:val="none" w:sz="0" w:space="0" w:color="auto"/>
        <w:bottom w:val="none" w:sz="0" w:space="0" w:color="auto"/>
        <w:right w:val="none" w:sz="0" w:space="0" w:color="auto"/>
      </w:divBdr>
    </w:div>
    <w:div w:id="260722163">
      <w:bodyDiv w:val="1"/>
      <w:marLeft w:val="0"/>
      <w:marRight w:val="0"/>
      <w:marTop w:val="0"/>
      <w:marBottom w:val="0"/>
      <w:divBdr>
        <w:top w:val="none" w:sz="0" w:space="0" w:color="auto"/>
        <w:left w:val="none" w:sz="0" w:space="0" w:color="auto"/>
        <w:bottom w:val="none" w:sz="0" w:space="0" w:color="auto"/>
        <w:right w:val="none" w:sz="0" w:space="0" w:color="auto"/>
      </w:divBdr>
    </w:div>
    <w:div w:id="283006689">
      <w:bodyDiv w:val="1"/>
      <w:marLeft w:val="0"/>
      <w:marRight w:val="0"/>
      <w:marTop w:val="0"/>
      <w:marBottom w:val="0"/>
      <w:divBdr>
        <w:top w:val="none" w:sz="0" w:space="0" w:color="auto"/>
        <w:left w:val="none" w:sz="0" w:space="0" w:color="auto"/>
        <w:bottom w:val="none" w:sz="0" w:space="0" w:color="auto"/>
        <w:right w:val="none" w:sz="0" w:space="0" w:color="auto"/>
      </w:divBdr>
    </w:div>
    <w:div w:id="283848641">
      <w:bodyDiv w:val="1"/>
      <w:marLeft w:val="0"/>
      <w:marRight w:val="0"/>
      <w:marTop w:val="0"/>
      <w:marBottom w:val="0"/>
      <w:divBdr>
        <w:top w:val="none" w:sz="0" w:space="0" w:color="auto"/>
        <w:left w:val="none" w:sz="0" w:space="0" w:color="auto"/>
        <w:bottom w:val="none" w:sz="0" w:space="0" w:color="auto"/>
        <w:right w:val="none" w:sz="0" w:space="0" w:color="auto"/>
      </w:divBdr>
    </w:div>
    <w:div w:id="284582707">
      <w:bodyDiv w:val="1"/>
      <w:marLeft w:val="0"/>
      <w:marRight w:val="0"/>
      <w:marTop w:val="0"/>
      <w:marBottom w:val="0"/>
      <w:divBdr>
        <w:top w:val="none" w:sz="0" w:space="0" w:color="auto"/>
        <w:left w:val="none" w:sz="0" w:space="0" w:color="auto"/>
        <w:bottom w:val="none" w:sz="0" w:space="0" w:color="auto"/>
        <w:right w:val="none" w:sz="0" w:space="0" w:color="auto"/>
      </w:divBdr>
    </w:div>
    <w:div w:id="313727606">
      <w:bodyDiv w:val="1"/>
      <w:marLeft w:val="0"/>
      <w:marRight w:val="0"/>
      <w:marTop w:val="0"/>
      <w:marBottom w:val="0"/>
      <w:divBdr>
        <w:top w:val="none" w:sz="0" w:space="0" w:color="auto"/>
        <w:left w:val="none" w:sz="0" w:space="0" w:color="auto"/>
        <w:bottom w:val="none" w:sz="0" w:space="0" w:color="auto"/>
        <w:right w:val="none" w:sz="0" w:space="0" w:color="auto"/>
      </w:divBdr>
    </w:div>
    <w:div w:id="317152258">
      <w:bodyDiv w:val="1"/>
      <w:marLeft w:val="0"/>
      <w:marRight w:val="0"/>
      <w:marTop w:val="0"/>
      <w:marBottom w:val="0"/>
      <w:divBdr>
        <w:top w:val="none" w:sz="0" w:space="0" w:color="auto"/>
        <w:left w:val="none" w:sz="0" w:space="0" w:color="auto"/>
        <w:bottom w:val="none" w:sz="0" w:space="0" w:color="auto"/>
        <w:right w:val="none" w:sz="0" w:space="0" w:color="auto"/>
      </w:divBdr>
    </w:div>
    <w:div w:id="319358621">
      <w:bodyDiv w:val="1"/>
      <w:marLeft w:val="0"/>
      <w:marRight w:val="0"/>
      <w:marTop w:val="0"/>
      <w:marBottom w:val="0"/>
      <w:divBdr>
        <w:top w:val="none" w:sz="0" w:space="0" w:color="auto"/>
        <w:left w:val="none" w:sz="0" w:space="0" w:color="auto"/>
        <w:bottom w:val="none" w:sz="0" w:space="0" w:color="auto"/>
        <w:right w:val="none" w:sz="0" w:space="0" w:color="auto"/>
      </w:divBdr>
    </w:div>
    <w:div w:id="319774024">
      <w:bodyDiv w:val="1"/>
      <w:marLeft w:val="0"/>
      <w:marRight w:val="0"/>
      <w:marTop w:val="0"/>
      <w:marBottom w:val="0"/>
      <w:divBdr>
        <w:top w:val="none" w:sz="0" w:space="0" w:color="auto"/>
        <w:left w:val="none" w:sz="0" w:space="0" w:color="auto"/>
        <w:bottom w:val="none" w:sz="0" w:space="0" w:color="auto"/>
        <w:right w:val="none" w:sz="0" w:space="0" w:color="auto"/>
      </w:divBdr>
    </w:div>
    <w:div w:id="333262912">
      <w:bodyDiv w:val="1"/>
      <w:marLeft w:val="0"/>
      <w:marRight w:val="0"/>
      <w:marTop w:val="0"/>
      <w:marBottom w:val="0"/>
      <w:divBdr>
        <w:top w:val="none" w:sz="0" w:space="0" w:color="auto"/>
        <w:left w:val="none" w:sz="0" w:space="0" w:color="auto"/>
        <w:bottom w:val="none" w:sz="0" w:space="0" w:color="auto"/>
        <w:right w:val="none" w:sz="0" w:space="0" w:color="auto"/>
      </w:divBdr>
    </w:div>
    <w:div w:id="347760704">
      <w:bodyDiv w:val="1"/>
      <w:marLeft w:val="0"/>
      <w:marRight w:val="0"/>
      <w:marTop w:val="0"/>
      <w:marBottom w:val="0"/>
      <w:divBdr>
        <w:top w:val="none" w:sz="0" w:space="0" w:color="auto"/>
        <w:left w:val="none" w:sz="0" w:space="0" w:color="auto"/>
        <w:bottom w:val="none" w:sz="0" w:space="0" w:color="auto"/>
        <w:right w:val="none" w:sz="0" w:space="0" w:color="auto"/>
      </w:divBdr>
    </w:div>
    <w:div w:id="362756795">
      <w:bodyDiv w:val="1"/>
      <w:marLeft w:val="0"/>
      <w:marRight w:val="0"/>
      <w:marTop w:val="0"/>
      <w:marBottom w:val="0"/>
      <w:divBdr>
        <w:top w:val="none" w:sz="0" w:space="0" w:color="auto"/>
        <w:left w:val="none" w:sz="0" w:space="0" w:color="auto"/>
        <w:bottom w:val="none" w:sz="0" w:space="0" w:color="auto"/>
        <w:right w:val="none" w:sz="0" w:space="0" w:color="auto"/>
      </w:divBdr>
    </w:div>
    <w:div w:id="369112081">
      <w:bodyDiv w:val="1"/>
      <w:marLeft w:val="0"/>
      <w:marRight w:val="0"/>
      <w:marTop w:val="0"/>
      <w:marBottom w:val="0"/>
      <w:divBdr>
        <w:top w:val="none" w:sz="0" w:space="0" w:color="auto"/>
        <w:left w:val="none" w:sz="0" w:space="0" w:color="auto"/>
        <w:bottom w:val="none" w:sz="0" w:space="0" w:color="auto"/>
        <w:right w:val="none" w:sz="0" w:space="0" w:color="auto"/>
      </w:divBdr>
    </w:div>
    <w:div w:id="374891694">
      <w:bodyDiv w:val="1"/>
      <w:marLeft w:val="0"/>
      <w:marRight w:val="0"/>
      <w:marTop w:val="0"/>
      <w:marBottom w:val="0"/>
      <w:divBdr>
        <w:top w:val="none" w:sz="0" w:space="0" w:color="auto"/>
        <w:left w:val="none" w:sz="0" w:space="0" w:color="auto"/>
        <w:bottom w:val="none" w:sz="0" w:space="0" w:color="auto"/>
        <w:right w:val="none" w:sz="0" w:space="0" w:color="auto"/>
      </w:divBdr>
      <w:divsChild>
        <w:div w:id="1839688201">
          <w:marLeft w:val="0"/>
          <w:marRight w:val="0"/>
          <w:marTop w:val="0"/>
          <w:marBottom w:val="0"/>
          <w:divBdr>
            <w:top w:val="none" w:sz="0" w:space="0" w:color="auto"/>
            <w:left w:val="none" w:sz="0" w:space="0" w:color="auto"/>
            <w:bottom w:val="none" w:sz="0" w:space="0" w:color="auto"/>
            <w:right w:val="none" w:sz="0" w:space="0" w:color="auto"/>
          </w:divBdr>
        </w:div>
        <w:div w:id="2128117191">
          <w:marLeft w:val="0"/>
          <w:marRight w:val="0"/>
          <w:marTop w:val="0"/>
          <w:marBottom w:val="0"/>
          <w:divBdr>
            <w:top w:val="none" w:sz="0" w:space="0" w:color="auto"/>
            <w:left w:val="none" w:sz="0" w:space="0" w:color="auto"/>
            <w:bottom w:val="none" w:sz="0" w:space="0" w:color="auto"/>
            <w:right w:val="none" w:sz="0" w:space="0" w:color="auto"/>
          </w:divBdr>
        </w:div>
        <w:div w:id="1570848249">
          <w:marLeft w:val="0"/>
          <w:marRight w:val="0"/>
          <w:marTop w:val="0"/>
          <w:marBottom w:val="0"/>
          <w:divBdr>
            <w:top w:val="none" w:sz="0" w:space="0" w:color="auto"/>
            <w:left w:val="none" w:sz="0" w:space="0" w:color="auto"/>
            <w:bottom w:val="none" w:sz="0" w:space="0" w:color="auto"/>
            <w:right w:val="none" w:sz="0" w:space="0" w:color="auto"/>
          </w:divBdr>
        </w:div>
      </w:divsChild>
    </w:div>
    <w:div w:id="376902677">
      <w:bodyDiv w:val="1"/>
      <w:marLeft w:val="0"/>
      <w:marRight w:val="0"/>
      <w:marTop w:val="0"/>
      <w:marBottom w:val="0"/>
      <w:divBdr>
        <w:top w:val="none" w:sz="0" w:space="0" w:color="auto"/>
        <w:left w:val="none" w:sz="0" w:space="0" w:color="auto"/>
        <w:bottom w:val="none" w:sz="0" w:space="0" w:color="auto"/>
        <w:right w:val="none" w:sz="0" w:space="0" w:color="auto"/>
      </w:divBdr>
    </w:div>
    <w:div w:id="385841472">
      <w:bodyDiv w:val="1"/>
      <w:marLeft w:val="0"/>
      <w:marRight w:val="0"/>
      <w:marTop w:val="0"/>
      <w:marBottom w:val="0"/>
      <w:divBdr>
        <w:top w:val="none" w:sz="0" w:space="0" w:color="auto"/>
        <w:left w:val="none" w:sz="0" w:space="0" w:color="auto"/>
        <w:bottom w:val="none" w:sz="0" w:space="0" w:color="auto"/>
        <w:right w:val="none" w:sz="0" w:space="0" w:color="auto"/>
      </w:divBdr>
    </w:div>
    <w:div w:id="387262104">
      <w:bodyDiv w:val="1"/>
      <w:marLeft w:val="0"/>
      <w:marRight w:val="0"/>
      <w:marTop w:val="0"/>
      <w:marBottom w:val="0"/>
      <w:divBdr>
        <w:top w:val="none" w:sz="0" w:space="0" w:color="auto"/>
        <w:left w:val="none" w:sz="0" w:space="0" w:color="auto"/>
        <w:bottom w:val="none" w:sz="0" w:space="0" w:color="auto"/>
        <w:right w:val="none" w:sz="0" w:space="0" w:color="auto"/>
      </w:divBdr>
    </w:div>
    <w:div w:id="387610168">
      <w:bodyDiv w:val="1"/>
      <w:marLeft w:val="0"/>
      <w:marRight w:val="0"/>
      <w:marTop w:val="0"/>
      <w:marBottom w:val="0"/>
      <w:divBdr>
        <w:top w:val="none" w:sz="0" w:space="0" w:color="auto"/>
        <w:left w:val="none" w:sz="0" w:space="0" w:color="auto"/>
        <w:bottom w:val="none" w:sz="0" w:space="0" w:color="auto"/>
        <w:right w:val="none" w:sz="0" w:space="0" w:color="auto"/>
      </w:divBdr>
    </w:div>
    <w:div w:id="412362232">
      <w:bodyDiv w:val="1"/>
      <w:marLeft w:val="0"/>
      <w:marRight w:val="0"/>
      <w:marTop w:val="0"/>
      <w:marBottom w:val="0"/>
      <w:divBdr>
        <w:top w:val="none" w:sz="0" w:space="0" w:color="auto"/>
        <w:left w:val="none" w:sz="0" w:space="0" w:color="auto"/>
        <w:bottom w:val="none" w:sz="0" w:space="0" w:color="auto"/>
        <w:right w:val="none" w:sz="0" w:space="0" w:color="auto"/>
      </w:divBdr>
    </w:div>
    <w:div w:id="437674655">
      <w:bodyDiv w:val="1"/>
      <w:marLeft w:val="0"/>
      <w:marRight w:val="0"/>
      <w:marTop w:val="0"/>
      <w:marBottom w:val="0"/>
      <w:divBdr>
        <w:top w:val="none" w:sz="0" w:space="0" w:color="auto"/>
        <w:left w:val="none" w:sz="0" w:space="0" w:color="auto"/>
        <w:bottom w:val="none" w:sz="0" w:space="0" w:color="auto"/>
        <w:right w:val="none" w:sz="0" w:space="0" w:color="auto"/>
      </w:divBdr>
    </w:div>
    <w:div w:id="448547524">
      <w:bodyDiv w:val="1"/>
      <w:marLeft w:val="0"/>
      <w:marRight w:val="0"/>
      <w:marTop w:val="0"/>
      <w:marBottom w:val="0"/>
      <w:divBdr>
        <w:top w:val="none" w:sz="0" w:space="0" w:color="auto"/>
        <w:left w:val="none" w:sz="0" w:space="0" w:color="auto"/>
        <w:bottom w:val="none" w:sz="0" w:space="0" w:color="auto"/>
        <w:right w:val="none" w:sz="0" w:space="0" w:color="auto"/>
      </w:divBdr>
    </w:div>
    <w:div w:id="470175026">
      <w:bodyDiv w:val="1"/>
      <w:marLeft w:val="0"/>
      <w:marRight w:val="0"/>
      <w:marTop w:val="0"/>
      <w:marBottom w:val="0"/>
      <w:divBdr>
        <w:top w:val="none" w:sz="0" w:space="0" w:color="auto"/>
        <w:left w:val="none" w:sz="0" w:space="0" w:color="auto"/>
        <w:bottom w:val="none" w:sz="0" w:space="0" w:color="auto"/>
        <w:right w:val="none" w:sz="0" w:space="0" w:color="auto"/>
      </w:divBdr>
    </w:div>
    <w:div w:id="486676615">
      <w:bodyDiv w:val="1"/>
      <w:marLeft w:val="0"/>
      <w:marRight w:val="0"/>
      <w:marTop w:val="0"/>
      <w:marBottom w:val="0"/>
      <w:divBdr>
        <w:top w:val="none" w:sz="0" w:space="0" w:color="auto"/>
        <w:left w:val="none" w:sz="0" w:space="0" w:color="auto"/>
        <w:bottom w:val="none" w:sz="0" w:space="0" w:color="auto"/>
        <w:right w:val="none" w:sz="0" w:space="0" w:color="auto"/>
      </w:divBdr>
    </w:div>
    <w:div w:id="497427283">
      <w:bodyDiv w:val="1"/>
      <w:marLeft w:val="0"/>
      <w:marRight w:val="0"/>
      <w:marTop w:val="0"/>
      <w:marBottom w:val="0"/>
      <w:divBdr>
        <w:top w:val="none" w:sz="0" w:space="0" w:color="auto"/>
        <w:left w:val="none" w:sz="0" w:space="0" w:color="auto"/>
        <w:bottom w:val="none" w:sz="0" w:space="0" w:color="auto"/>
        <w:right w:val="none" w:sz="0" w:space="0" w:color="auto"/>
      </w:divBdr>
    </w:div>
    <w:div w:id="519047017">
      <w:bodyDiv w:val="1"/>
      <w:marLeft w:val="0"/>
      <w:marRight w:val="0"/>
      <w:marTop w:val="0"/>
      <w:marBottom w:val="0"/>
      <w:divBdr>
        <w:top w:val="none" w:sz="0" w:space="0" w:color="auto"/>
        <w:left w:val="none" w:sz="0" w:space="0" w:color="auto"/>
        <w:bottom w:val="none" w:sz="0" w:space="0" w:color="auto"/>
        <w:right w:val="none" w:sz="0" w:space="0" w:color="auto"/>
      </w:divBdr>
    </w:div>
    <w:div w:id="526262244">
      <w:bodyDiv w:val="1"/>
      <w:marLeft w:val="0"/>
      <w:marRight w:val="0"/>
      <w:marTop w:val="0"/>
      <w:marBottom w:val="0"/>
      <w:divBdr>
        <w:top w:val="none" w:sz="0" w:space="0" w:color="auto"/>
        <w:left w:val="none" w:sz="0" w:space="0" w:color="auto"/>
        <w:bottom w:val="none" w:sz="0" w:space="0" w:color="auto"/>
        <w:right w:val="none" w:sz="0" w:space="0" w:color="auto"/>
      </w:divBdr>
    </w:div>
    <w:div w:id="528572459">
      <w:bodyDiv w:val="1"/>
      <w:marLeft w:val="0"/>
      <w:marRight w:val="0"/>
      <w:marTop w:val="0"/>
      <w:marBottom w:val="0"/>
      <w:divBdr>
        <w:top w:val="none" w:sz="0" w:space="0" w:color="auto"/>
        <w:left w:val="none" w:sz="0" w:space="0" w:color="auto"/>
        <w:bottom w:val="none" w:sz="0" w:space="0" w:color="auto"/>
        <w:right w:val="none" w:sz="0" w:space="0" w:color="auto"/>
      </w:divBdr>
    </w:div>
    <w:div w:id="553127563">
      <w:bodyDiv w:val="1"/>
      <w:marLeft w:val="0"/>
      <w:marRight w:val="0"/>
      <w:marTop w:val="0"/>
      <w:marBottom w:val="0"/>
      <w:divBdr>
        <w:top w:val="none" w:sz="0" w:space="0" w:color="auto"/>
        <w:left w:val="none" w:sz="0" w:space="0" w:color="auto"/>
        <w:bottom w:val="none" w:sz="0" w:space="0" w:color="auto"/>
        <w:right w:val="none" w:sz="0" w:space="0" w:color="auto"/>
      </w:divBdr>
    </w:div>
    <w:div w:id="554319405">
      <w:bodyDiv w:val="1"/>
      <w:marLeft w:val="0"/>
      <w:marRight w:val="0"/>
      <w:marTop w:val="0"/>
      <w:marBottom w:val="0"/>
      <w:divBdr>
        <w:top w:val="none" w:sz="0" w:space="0" w:color="auto"/>
        <w:left w:val="none" w:sz="0" w:space="0" w:color="auto"/>
        <w:bottom w:val="none" w:sz="0" w:space="0" w:color="auto"/>
        <w:right w:val="none" w:sz="0" w:space="0" w:color="auto"/>
      </w:divBdr>
    </w:div>
    <w:div w:id="563950720">
      <w:bodyDiv w:val="1"/>
      <w:marLeft w:val="0"/>
      <w:marRight w:val="0"/>
      <w:marTop w:val="0"/>
      <w:marBottom w:val="0"/>
      <w:divBdr>
        <w:top w:val="none" w:sz="0" w:space="0" w:color="auto"/>
        <w:left w:val="none" w:sz="0" w:space="0" w:color="auto"/>
        <w:bottom w:val="none" w:sz="0" w:space="0" w:color="auto"/>
        <w:right w:val="none" w:sz="0" w:space="0" w:color="auto"/>
      </w:divBdr>
    </w:div>
    <w:div w:id="580021628">
      <w:bodyDiv w:val="1"/>
      <w:marLeft w:val="0"/>
      <w:marRight w:val="0"/>
      <w:marTop w:val="0"/>
      <w:marBottom w:val="0"/>
      <w:divBdr>
        <w:top w:val="none" w:sz="0" w:space="0" w:color="auto"/>
        <w:left w:val="none" w:sz="0" w:space="0" w:color="auto"/>
        <w:bottom w:val="none" w:sz="0" w:space="0" w:color="auto"/>
        <w:right w:val="none" w:sz="0" w:space="0" w:color="auto"/>
      </w:divBdr>
    </w:div>
    <w:div w:id="586812887">
      <w:bodyDiv w:val="1"/>
      <w:marLeft w:val="0"/>
      <w:marRight w:val="0"/>
      <w:marTop w:val="0"/>
      <w:marBottom w:val="0"/>
      <w:divBdr>
        <w:top w:val="none" w:sz="0" w:space="0" w:color="auto"/>
        <w:left w:val="none" w:sz="0" w:space="0" w:color="auto"/>
        <w:bottom w:val="none" w:sz="0" w:space="0" w:color="auto"/>
        <w:right w:val="none" w:sz="0" w:space="0" w:color="auto"/>
      </w:divBdr>
    </w:div>
    <w:div w:id="593127010">
      <w:bodyDiv w:val="1"/>
      <w:marLeft w:val="0"/>
      <w:marRight w:val="0"/>
      <w:marTop w:val="0"/>
      <w:marBottom w:val="0"/>
      <w:divBdr>
        <w:top w:val="none" w:sz="0" w:space="0" w:color="auto"/>
        <w:left w:val="none" w:sz="0" w:space="0" w:color="auto"/>
        <w:bottom w:val="none" w:sz="0" w:space="0" w:color="auto"/>
        <w:right w:val="none" w:sz="0" w:space="0" w:color="auto"/>
      </w:divBdr>
    </w:div>
    <w:div w:id="613177808">
      <w:bodyDiv w:val="1"/>
      <w:marLeft w:val="0"/>
      <w:marRight w:val="0"/>
      <w:marTop w:val="0"/>
      <w:marBottom w:val="0"/>
      <w:divBdr>
        <w:top w:val="none" w:sz="0" w:space="0" w:color="auto"/>
        <w:left w:val="none" w:sz="0" w:space="0" w:color="auto"/>
        <w:bottom w:val="none" w:sz="0" w:space="0" w:color="auto"/>
        <w:right w:val="none" w:sz="0" w:space="0" w:color="auto"/>
      </w:divBdr>
    </w:div>
    <w:div w:id="617953297">
      <w:bodyDiv w:val="1"/>
      <w:marLeft w:val="0"/>
      <w:marRight w:val="0"/>
      <w:marTop w:val="0"/>
      <w:marBottom w:val="0"/>
      <w:divBdr>
        <w:top w:val="none" w:sz="0" w:space="0" w:color="auto"/>
        <w:left w:val="none" w:sz="0" w:space="0" w:color="auto"/>
        <w:bottom w:val="none" w:sz="0" w:space="0" w:color="auto"/>
        <w:right w:val="none" w:sz="0" w:space="0" w:color="auto"/>
      </w:divBdr>
    </w:div>
    <w:div w:id="622351406">
      <w:bodyDiv w:val="1"/>
      <w:marLeft w:val="0"/>
      <w:marRight w:val="0"/>
      <w:marTop w:val="0"/>
      <w:marBottom w:val="0"/>
      <w:divBdr>
        <w:top w:val="none" w:sz="0" w:space="0" w:color="auto"/>
        <w:left w:val="none" w:sz="0" w:space="0" w:color="auto"/>
        <w:bottom w:val="none" w:sz="0" w:space="0" w:color="auto"/>
        <w:right w:val="none" w:sz="0" w:space="0" w:color="auto"/>
      </w:divBdr>
    </w:div>
    <w:div w:id="635334621">
      <w:bodyDiv w:val="1"/>
      <w:marLeft w:val="0"/>
      <w:marRight w:val="0"/>
      <w:marTop w:val="0"/>
      <w:marBottom w:val="0"/>
      <w:divBdr>
        <w:top w:val="none" w:sz="0" w:space="0" w:color="auto"/>
        <w:left w:val="none" w:sz="0" w:space="0" w:color="auto"/>
        <w:bottom w:val="none" w:sz="0" w:space="0" w:color="auto"/>
        <w:right w:val="none" w:sz="0" w:space="0" w:color="auto"/>
      </w:divBdr>
    </w:div>
    <w:div w:id="655112352">
      <w:bodyDiv w:val="1"/>
      <w:marLeft w:val="0"/>
      <w:marRight w:val="0"/>
      <w:marTop w:val="0"/>
      <w:marBottom w:val="0"/>
      <w:divBdr>
        <w:top w:val="none" w:sz="0" w:space="0" w:color="auto"/>
        <w:left w:val="none" w:sz="0" w:space="0" w:color="auto"/>
        <w:bottom w:val="none" w:sz="0" w:space="0" w:color="auto"/>
        <w:right w:val="none" w:sz="0" w:space="0" w:color="auto"/>
      </w:divBdr>
    </w:div>
    <w:div w:id="699629511">
      <w:bodyDiv w:val="1"/>
      <w:marLeft w:val="0"/>
      <w:marRight w:val="0"/>
      <w:marTop w:val="0"/>
      <w:marBottom w:val="0"/>
      <w:divBdr>
        <w:top w:val="none" w:sz="0" w:space="0" w:color="auto"/>
        <w:left w:val="none" w:sz="0" w:space="0" w:color="auto"/>
        <w:bottom w:val="none" w:sz="0" w:space="0" w:color="auto"/>
        <w:right w:val="none" w:sz="0" w:space="0" w:color="auto"/>
      </w:divBdr>
    </w:div>
    <w:div w:id="713047064">
      <w:bodyDiv w:val="1"/>
      <w:marLeft w:val="0"/>
      <w:marRight w:val="0"/>
      <w:marTop w:val="0"/>
      <w:marBottom w:val="0"/>
      <w:divBdr>
        <w:top w:val="none" w:sz="0" w:space="0" w:color="auto"/>
        <w:left w:val="none" w:sz="0" w:space="0" w:color="auto"/>
        <w:bottom w:val="none" w:sz="0" w:space="0" w:color="auto"/>
        <w:right w:val="none" w:sz="0" w:space="0" w:color="auto"/>
      </w:divBdr>
    </w:div>
    <w:div w:id="723719797">
      <w:bodyDiv w:val="1"/>
      <w:marLeft w:val="0"/>
      <w:marRight w:val="0"/>
      <w:marTop w:val="0"/>
      <w:marBottom w:val="0"/>
      <w:divBdr>
        <w:top w:val="none" w:sz="0" w:space="0" w:color="auto"/>
        <w:left w:val="none" w:sz="0" w:space="0" w:color="auto"/>
        <w:bottom w:val="none" w:sz="0" w:space="0" w:color="auto"/>
        <w:right w:val="none" w:sz="0" w:space="0" w:color="auto"/>
      </w:divBdr>
    </w:div>
    <w:div w:id="729228217">
      <w:bodyDiv w:val="1"/>
      <w:marLeft w:val="0"/>
      <w:marRight w:val="0"/>
      <w:marTop w:val="0"/>
      <w:marBottom w:val="0"/>
      <w:divBdr>
        <w:top w:val="none" w:sz="0" w:space="0" w:color="auto"/>
        <w:left w:val="none" w:sz="0" w:space="0" w:color="auto"/>
        <w:bottom w:val="none" w:sz="0" w:space="0" w:color="auto"/>
        <w:right w:val="none" w:sz="0" w:space="0" w:color="auto"/>
      </w:divBdr>
    </w:div>
    <w:div w:id="744106222">
      <w:bodyDiv w:val="1"/>
      <w:marLeft w:val="0"/>
      <w:marRight w:val="0"/>
      <w:marTop w:val="0"/>
      <w:marBottom w:val="0"/>
      <w:divBdr>
        <w:top w:val="none" w:sz="0" w:space="0" w:color="auto"/>
        <w:left w:val="none" w:sz="0" w:space="0" w:color="auto"/>
        <w:bottom w:val="none" w:sz="0" w:space="0" w:color="auto"/>
        <w:right w:val="none" w:sz="0" w:space="0" w:color="auto"/>
      </w:divBdr>
    </w:div>
    <w:div w:id="748893436">
      <w:bodyDiv w:val="1"/>
      <w:marLeft w:val="0"/>
      <w:marRight w:val="0"/>
      <w:marTop w:val="0"/>
      <w:marBottom w:val="0"/>
      <w:divBdr>
        <w:top w:val="none" w:sz="0" w:space="0" w:color="auto"/>
        <w:left w:val="none" w:sz="0" w:space="0" w:color="auto"/>
        <w:bottom w:val="none" w:sz="0" w:space="0" w:color="auto"/>
        <w:right w:val="none" w:sz="0" w:space="0" w:color="auto"/>
      </w:divBdr>
      <w:divsChild>
        <w:div w:id="973371733">
          <w:marLeft w:val="0"/>
          <w:marRight w:val="0"/>
          <w:marTop w:val="0"/>
          <w:marBottom w:val="0"/>
          <w:divBdr>
            <w:top w:val="none" w:sz="0" w:space="0" w:color="auto"/>
            <w:left w:val="none" w:sz="0" w:space="0" w:color="auto"/>
            <w:bottom w:val="none" w:sz="0" w:space="0" w:color="auto"/>
            <w:right w:val="none" w:sz="0" w:space="0" w:color="auto"/>
          </w:divBdr>
        </w:div>
        <w:div w:id="1301885890">
          <w:marLeft w:val="0"/>
          <w:marRight w:val="0"/>
          <w:marTop w:val="0"/>
          <w:marBottom w:val="0"/>
          <w:divBdr>
            <w:top w:val="none" w:sz="0" w:space="0" w:color="auto"/>
            <w:left w:val="none" w:sz="0" w:space="0" w:color="auto"/>
            <w:bottom w:val="none" w:sz="0" w:space="0" w:color="auto"/>
            <w:right w:val="none" w:sz="0" w:space="0" w:color="auto"/>
          </w:divBdr>
        </w:div>
        <w:div w:id="696395490">
          <w:marLeft w:val="0"/>
          <w:marRight w:val="0"/>
          <w:marTop w:val="0"/>
          <w:marBottom w:val="0"/>
          <w:divBdr>
            <w:top w:val="none" w:sz="0" w:space="0" w:color="auto"/>
            <w:left w:val="none" w:sz="0" w:space="0" w:color="auto"/>
            <w:bottom w:val="none" w:sz="0" w:space="0" w:color="auto"/>
            <w:right w:val="none" w:sz="0" w:space="0" w:color="auto"/>
          </w:divBdr>
        </w:div>
      </w:divsChild>
    </w:div>
    <w:div w:id="749160177">
      <w:bodyDiv w:val="1"/>
      <w:marLeft w:val="0"/>
      <w:marRight w:val="0"/>
      <w:marTop w:val="0"/>
      <w:marBottom w:val="0"/>
      <w:divBdr>
        <w:top w:val="none" w:sz="0" w:space="0" w:color="auto"/>
        <w:left w:val="none" w:sz="0" w:space="0" w:color="auto"/>
        <w:bottom w:val="none" w:sz="0" w:space="0" w:color="auto"/>
        <w:right w:val="none" w:sz="0" w:space="0" w:color="auto"/>
      </w:divBdr>
    </w:div>
    <w:div w:id="753673421">
      <w:bodyDiv w:val="1"/>
      <w:marLeft w:val="0"/>
      <w:marRight w:val="0"/>
      <w:marTop w:val="0"/>
      <w:marBottom w:val="0"/>
      <w:divBdr>
        <w:top w:val="none" w:sz="0" w:space="0" w:color="auto"/>
        <w:left w:val="none" w:sz="0" w:space="0" w:color="auto"/>
        <w:bottom w:val="none" w:sz="0" w:space="0" w:color="auto"/>
        <w:right w:val="none" w:sz="0" w:space="0" w:color="auto"/>
      </w:divBdr>
    </w:div>
    <w:div w:id="754976901">
      <w:bodyDiv w:val="1"/>
      <w:marLeft w:val="0"/>
      <w:marRight w:val="0"/>
      <w:marTop w:val="0"/>
      <w:marBottom w:val="0"/>
      <w:divBdr>
        <w:top w:val="none" w:sz="0" w:space="0" w:color="auto"/>
        <w:left w:val="none" w:sz="0" w:space="0" w:color="auto"/>
        <w:bottom w:val="none" w:sz="0" w:space="0" w:color="auto"/>
        <w:right w:val="none" w:sz="0" w:space="0" w:color="auto"/>
      </w:divBdr>
    </w:div>
    <w:div w:id="760417107">
      <w:bodyDiv w:val="1"/>
      <w:marLeft w:val="0"/>
      <w:marRight w:val="0"/>
      <w:marTop w:val="0"/>
      <w:marBottom w:val="0"/>
      <w:divBdr>
        <w:top w:val="none" w:sz="0" w:space="0" w:color="auto"/>
        <w:left w:val="none" w:sz="0" w:space="0" w:color="auto"/>
        <w:bottom w:val="none" w:sz="0" w:space="0" w:color="auto"/>
        <w:right w:val="none" w:sz="0" w:space="0" w:color="auto"/>
      </w:divBdr>
    </w:div>
    <w:div w:id="768308123">
      <w:bodyDiv w:val="1"/>
      <w:marLeft w:val="0"/>
      <w:marRight w:val="0"/>
      <w:marTop w:val="0"/>
      <w:marBottom w:val="0"/>
      <w:divBdr>
        <w:top w:val="none" w:sz="0" w:space="0" w:color="auto"/>
        <w:left w:val="none" w:sz="0" w:space="0" w:color="auto"/>
        <w:bottom w:val="none" w:sz="0" w:space="0" w:color="auto"/>
        <w:right w:val="none" w:sz="0" w:space="0" w:color="auto"/>
      </w:divBdr>
    </w:div>
    <w:div w:id="779646705">
      <w:bodyDiv w:val="1"/>
      <w:marLeft w:val="0"/>
      <w:marRight w:val="0"/>
      <w:marTop w:val="0"/>
      <w:marBottom w:val="0"/>
      <w:divBdr>
        <w:top w:val="none" w:sz="0" w:space="0" w:color="auto"/>
        <w:left w:val="none" w:sz="0" w:space="0" w:color="auto"/>
        <w:bottom w:val="none" w:sz="0" w:space="0" w:color="auto"/>
        <w:right w:val="none" w:sz="0" w:space="0" w:color="auto"/>
      </w:divBdr>
    </w:div>
    <w:div w:id="783040698">
      <w:bodyDiv w:val="1"/>
      <w:marLeft w:val="0"/>
      <w:marRight w:val="0"/>
      <w:marTop w:val="0"/>
      <w:marBottom w:val="0"/>
      <w:divBdr>
        <w:top w:val="none" w:sz="0" w:space="0" w:color="auto"/>
        <w:left w:val="none" w:sz="0" w:space="0" w:color="auto"/>
        <w:bottom w:val="none" w:sz="0" w:space="0" w:color="auto"/>
        <w:right w:val="none" w:sz="0" w:space="0" w:color="auto"/>
      </w:divBdr>
    </w:div>
    <w:div w:id="790057100">
      <w:bodyDiv w:val="1"/>
      <w:marLeft w:val="0"/>
      <w:marRight w:val="0"/>
      <w:marTop w:val="0"/>
      <w:marBottom w:val="0"/>
      <w:divBdr>
        <w:top w:val="none" w:sz="0" w:space="0" w:color="auto"/>
        <w:left w:val="none" w:sz="0" w:space="0" w:color="auto"/>
        <w:bottom w:val="none" w:sz="0" w:space="0" w:color="auto"/>
        <w:right w:val="none" w:sz="0" w:space="0" w:color="auto"/>
      </w:divBdr>
    </w:div>
    <w:div w:id="795101678">
      <w:bodyDiv w:val="1"/>
      <w:marLeft w:val="0"/>
      <w:marRight w:val="0"/>
      <w:marTop w:val="0"/>
      <w:marBottom w:val="0"/>
      <w:divBdr>
        <w:top w:val="none" w:sz="0" w:space="0" w:color="auto"/>
        <w:left w:val="none" w:sz="0" w:space="0" w:color="auto"/>
        <w:bottom w:val="none" w:sz="0" w:space="0" w:color="auto"/>
        <w:right w:val="none" w:sz="0" w:space="0" w:color="auto"/>
      </w:divBdr>
    </w:div>
    <w:div w:id="796798116">
      <w:bodyDiv w:val="1"/>
      <w:marLeft w:val="0"/>
      <w:marRight w:val="0"/>
      <w:marTop w:val="0"/>
      <w:marBottom w:val="0"/>
      <w:divBdr>
        <w:top w:val="none" w:sz="0" w:space="0" w:color="auto"/>
        <w:left w:val="none" w:sz="0" w:space="0" w:color="auto"/>
        <w:bottom w:val="none" w:sz="0" w:space="0" w:color="auto"/>
        <w:right w:val="none" w:sz="0" w:space="0" w:color="auto"/>
      </w:divBdr>
    </w:div>
    <w:div w:id="799613224">
      <w:bodyDiv w:val="1"/>
      <w:marLeft w:val="0"/>
      <w:marRight w:val="0"/>
      <w:marTop w:val="0"/>
      <w:marBottom w:val="0"/>
      <w:divBdr>
        <w:top w:val="none" w:sz="0" w:space="0" w:color="auto"/>
        <w:left w:val="none" w:sz="0" w:space="0" w:color="auto"/>
        <w:bottom w:val="none" w:sz="0" w:space="0" w:color="auto"/>
        <w:right w:val="none" w:sz="0" w:space="0" w:color="auto"/>
      </w:divBdr>
    </w:div>
    <w:div w:id="804158390">
      <w:bodyDiv w:val="1"/>
      <w:marLeft w:val="0"/>
      <w:marRight w:val="0"/>
      <w:marTop w:val="0"/>
      <w:marBottom w:val="0"/>
      <w:divBdr>
        <w:top w:val="none" w:sz="0" w:space="0" w:color="auto"/>
        <w:left w:val="none" w:sz="0" w:space="0" w:color="auto"/>
        <w:bottom w:val="none" w:sz="0" w:space="0" w:color="auto"/>
        <w:right w:val="none" w:sz="0" w:space="0" w:color="auto"/>
      </w:divBdr>
    </w:div>
    <w:div w:id="812720908">
      <w:bodyDiv w:val="1"/>
      <w:marLeft w:val="0"/>
      <w:marRight w:val="0"/>
      <w:marTop w:val="0"/>
      <w:marBottom w:val="0"/>
      <w:divBdr>
        <w:top w:val="none" w:sz="0" w:space="0" w:color="auto"/>
        <w:left w:val="none" w:sz="0" w:space="0" w:color="auto"/>
        <w:bottom w:val="none" w:sz="0" w:space="0" w:color="auto"/>
        <w:right w:val="none" w:sz="0" w:space="0" w:color="auto"/>
      </w:divBdr>
    </w:div>
    <w:div w:id="823087493">
      <w:bodyDiv w:val="1"/>
      <w:marLeft w:val="0"/>
      <w:marRight w:val="0"/>
      <w:marTop w:val="0"/>
      <w:marBottom w:val="0"/>
      <w:divBdr>
        <w:top w:val="none" w:sz="0" w:space="0" w:color="auto"/>
        <w:left w:val="none" w:sz="0" w:space="0" w:color="auto"/>
        <w:bottom w:val="none" w:sz="0" w:space="0" w:color="auto"/>
        <w:right w:val="none" w:sz="0" w:space="0" w:color="auto"/>
      </w:divBdr>
    </w:div>
    <w:div w:id="830561882">
      <w:bodyDiv w:val="1"/>
      <w:marLeft w:val="0"/>
      <w:marRight w:val="0"/>
      <w:marTop w:val="0"/>
      <w:marBottom w:val="0"/>
      <w:divBdr>
        <w:top w:val="none" w:sz="0" w:space="0" w:color="auto"/>
        <w:left w:val="none" w:sz="0" w:space="0" w:color="auto"/>
        <w:bottom w:val="none" w:sz="0" w:space="0" w:color="auto"/>
        <w:right w:val="none" w:sz="0" w:space="0" w:color="auto"/>
      </w:divBdr>
    </w:div>
    <w:div w:id="840698102">
      <w:bodyDiv w:val="1"/>
      <w:marLeft w:val="0"/>
      <w:marRight w:val="0"/>
      <w:marTop w:val="0"/>
      <w:marBottom w:val="0"/>
      <w:divBdr>
        <w:top w:val="none" w:sz="0" w:space="0" w:color="auto"/>
        <w:left w:val="none" w:sz="0" w:space="0" w:color="auto"/>
        <w:bottom w:val="none" w:sz="0" w:space="0" w:color="auto"/>
        <w:right w:val="none" w:sz="0" w:space="0" w:color="auto"/>
      </w:divBdr>
    </w:div>
    <w:div w:id="845900709">
      <w:bodyDiv w:val="1"/>
      <w:marLeft w:val="0"/>
      <w:marRight w:val="0"/>
      <w:marTop w:val="0"/>
      <w:marBottom w:val="0"/>
      <w:divBdr>
        <w:top w:val="none" w:sz="0" w:space="0" w:color="auto"/>
        <w:left w:val="none" w:sz="0" w:space="0" w:color="auto"/>
        <w:bottom w:val="none" w:sz="0" w:space="0" w:color="auto"/>
        <w:right w:val="none" w:sz="0" w:space="0" w:color="auto"/>
      </w:divBdr>
    </w:div>
    <w:div w:id="853807108">
      <w:bodyDiv w:val="1"/>
      <w:marLeft w:val="0"/>
      <w:marRight w:val="0"/>
      <w:marTop w:val="0"/>
      <w:marBottom w:val="0"/>
      <w:divBdr>
        <w:top w:val="none" w:sz="0" w:space="0" w:color="auto"/>
        <w:left w:val="none" w:sz="0" w:space="0" w:color="auto"/>
        <w:bottom w:val="none" w:sz="0" w:space="0" w:color="auto"/>
        <w:right w:val="none" w:sz="0" w:space="0" w:color="auto"/>
      </w:divBdr>
    </w:div>
    <w:div w:id="854274087">
      <w:bodyDiv w:val="1"/>
      <w:marLeft w:val="0"/>
      <w:marRight w:val="0"/>
      <w:marTop w:val="0"/>
      <w:marBottom w:val="0"/>
      <w:divBdr>
        <w:top w:val="none" w:sz="0" w:space="0" w:color="auto"/>
        <w:left w:val="none" w:sz="0" w:space="0" w:color="auto"/>
        <w:bottom w:val="none" w:sz="0" w:space="0" w:color="auto"/>
        <w:right w:val="none" w:sz="0" w:space="0" w:color="auto"/>
      </w:divBdr>
    </w:div>
    <w:div w:id="861091810">
      <w:bodyDiv w:val="1"/>
      <w:marLeft w:val="0"/>
      <w:marRight w:val="0"/>
      <w:marTop w:val="0"/>
      <w:marBottom w:val="0"/>
      <w:divBdr>
        <w:top w:val="none" w:sz="0" w:space="0" w:color="auto"/>
        <w:left w:val="none" w:sz="0" w:space="0" w:color="auto"/>
        <w:bottom w:val="none" w:sz="0" w:space="0" w:color="auto"/>
        <w:right w:val="none" w:sz="0" w:space="0" w:color="auto"/>
      </w:divBdr>
    </w:div>
    <w:div w:id="865754940">
      <w:bodyDiv w:val="1"/>
      <w:marLeft w:val="0"/>
      <w:marRight w:val="0"/>
      <w:marTop w:val="0"/>
      <w:marBottom w:val="0"/>
      <w:divBdr>
        <w:top w:val="none" w:sz="0" w:space="0" w:color="auto"/>
        <w:left w:val="none" w:sz="0" w:space="0" w:color="auto"/>
        <w:bottom w:val="none" w:sz="0" w:space="0" w:color="auto"/>
        <w:right w:val="none" w:sz="0" w:space="0" w:color="auto"/>
      </w:divBdr>
    </w:div>
    <w:div w:id="913206030">
      <w:bodyDiv w:val="1"/>
      <w:marLeft w:val="0"/>
      <w:marRight w:val="0"/>
      <w:marTop w:val="0"/>
      <w:marBottom w:val="0"/>
      <w:divBdr>
        <w:top w:val="none" w:sz="0" w:space="0" w:color="auto"/>
        <w:left w:val="none" w:sz="0" w:space="0" w:color="auto"/>
        <w:bottom w:val="none" w:sz="0" w:space="0" w:color="auto"/>
        <w:right w:val="none" w:sz="0" w:space="0" w:color="auto"/>
      </w:divBdr>
    </w:div>
    <w:div w:id="929629249">
      <w:bodyDiv w:val="1"/>
      <w:marLeft w:val="0"/>
      <w:marRight w:val="0"/>
      <w:marTop w:val="0"/>
      <w:marBottom w:val="0"/>
      <w:divBdr>
        <w:top w:val="none" w:sz="0" w:space="0" w:color="auto"/>
        <w:left w:val="none" w:sz="0" w:space="0" w:color="auto"/>
        <w:bottom w:val="none" w:sz="0" w:space="0" w:color="auto"/>
        <w:right w:val="none" w:sz="0" w:space="0" w:color="auto"/>
      </w:divBdr>
    </w:div>
    <w:div w:id="938679065">
      <w:bodyDiv w:val="1"/>
      <w:marLeft w:val="0"/>
      <w:marRight w:val="0"/>
      <w:marTop w:val="0"/>
      <w:marBottom w:val="0"/>
      <w:divBdr>
        <w:top w:val="none" w:sz="0" w:space="0" w:color="auto"/>
        <w:left w:val="none" w:sz="0" w:space="0" w:color="auto"/>
        <w:bottom w:val="none" w:sz="0" w:space="0" w:color="auto"/>
        <w:right w:val="none" w:sz="0" w:space="0" w:color="auto"/>
      </w:divBdr>
    </w:div>
    <w:div w:id="939144272">
      <w:bodyDiv w:val="1"/>
      <w:marLeft w:val="0"/>
      <w:marRight w:val="0"/>
      <w:marTop w:val="0"/>
      <w:marBottom w:val="0"/>
      <w:divBdr>
        <w:top w:val="none" w:sz="0" w:space="0" w:color="auto"/>
        <w:left w:val="none" w:sz="0" w:space="0" w:color="auto"/>
        <w:bottom w:val="none" w:sz="0" w:space="0" w:color="auto"/>
        <w:right w:val="none" w:sz="0" w:space="0" w:color="auto"/>
      </w:divBdr>
    </w:div>
    <w:div w:id="940263572">
      <w:bodyDiv w:val="1"/>
      <w:marLeft w:val="0"/>
      <w:marRight w:val="0"/>
      <w:marTop w:val="0"/>
      <w:marBottom w:val="0"/>
      <w:divBdr>
        <w:top w:val="none" w:sz="0" w:space="0" w:color="auto"/>
        <w:left w:val="none" w:sz="0" w:space="0" w:color="auto"/>
        <w:bottom w:val="none" w:sz="0" w:space="0" w:color="auto"/>
        <w:right w:val="none" w:sz="0" w:space="0" w:color="auto"/>
      </w:divBdr>
    </w:div>
    <w:div w:id="940334635">
      <w:bodyDiv w:val="1"/>
      <w:marLeft w:val="0"/>
      <w:marRight w:val="0"/>
      <w:marTop w:val="0"/>
      <w:marBottom w:val="0"/>
      <w:divBdr>
        <w:top w:val="none" w:sz="0" w:space="0" w:color="auto"/>
        <w:left w:val="none" w:sz="0" w:space="0" w:color="auto"/>
        <w:bottom w:val="none" w:sz="0" w:space="0" w:color="auto"/>
        <w:right w:val="none" w:sz="0" w:space="0" w:color="auto"/>
      </w:divBdr>
    </w:div>
    <w:div w:id="955989097">
      <w:bodyDiv w:val="1"/>
      <w:marLeft w:val="0"/>
      <w:marRight w:val="0"/>
      <w:marTop w:val="0"/>
      <w:marBottom w:val="0"/>
      <w:divBdr>
        <w:top w:val="none" w:sz="0" w:space="0" w:color="auto"/>
        <w:left w:val="none" w:sz="0" w:space="0" w:color="auto"/>
        <w:bottom w:val="none" w:sz="0" w:space="0" w:color="auto"/>
        <w:right w:val="none" w:sz="0" w:space="0" w:color="auto"/>
      </w:divBdr>
    </w:div>
    <w:div w:id="960839197">
      <w:bodyDiv w:val="1"/>
      <w:marLeft w:val="0"/>
      <w:marRight w:val="0"/>
      <w:marTop w:val="0"/>
      <w:marBottom w:val="0"/>
      <w:divBdr>
        <w:top w:val="none" w:sz="0" w:space="0" w:color="auto"/>
        <w:left w:val="none" w:sz="0" w:space="0" w:color="auto"/>
        <w:bottom w:val="none" w:sz="0" w:space="0" w:color="auto"/>
        <w:right w:val="none" w:sz="0" w:space="0" w:color="auto"/>
      </w:divBdr>
    </w:div>
    <w:div w:id="975915973">
      <w:bodyDiv w:val="1"/>
      <w:marLeft w:val="0"/>
      <w:marRight w:val="0"/>
      <w:marTop w:val="0"/>
      <w:marBottom w:val="0"/>
      <w:divBdr>
        <w:top w:val="none" w:sz="0" w:space="0" w:color="auto"/>
        <w:left w:val="none" w:sz="0" w:space="0" w:color="auto"/>
        <w:bottom w:val="none" w:sz="0" w:space="0" w:color="auto"/>
        <w:right w:val="none" w:sz="0" w:space="0" w:color="auto"/>
      </w:divBdr>
    </w:div>
    <w:div w:id="979923011">
      <w:bodyDiv w:val="1"/>
      <w:marLeft w:val="0"/>
      <w:marRight w:val="0"/>
      <w:marTop w:val="0"/>
      <w:marBottom w:val="0"/>
      <w:divBdr>
        <w:top w:val="none" w:sz="0" w:space="0" w:color="auto"/>
        <w:left w:val="none" w:sz="0" w:space="0" w:color="auto"/>
        <w:bottom w:val="none" w:sz="0" w:space="0" w:color="auto"/>
        <w:right w:val="none" w:sz="0" w:space="0" w:color="auto"/>
      </w:divBdr>
    </w:div>
    <w:div w:id="997608757">
      <w:bodyDiv w:val="1"/>
      <w:marLeft w:val="0"/>
      <w:marRight w:val="0"/>
      <w:marTop w:val="0"/>
      <w:marBottom w:val="0"/>
      <w:divBdr>
        <w:top w:val="none" w:sz="0" w:space="0" w:color="auto"/>
        <w:left w:val="none" w:sz="0" w:space="0" w:color="auto"/>
        <w:bottom w:val="none" w:sz="0" w:space="0" w:color="auto"/>
        <w:right w:val="none" w:sz="0" w:space="0" w:color="auto"/>
      </w:divBdr>
    </w:div>
    <w:div w:id="1007681662">
      <w:bodyDiv w:val="1"/>
      <w:marLeft w:val="0"/>
      <w:marRight w:val="0"/>
      <w:marTop w:val="0"/>
      <w:marBottom w:val="0"/>
      <w:divBdr>
        <w:top w:val="none" w:sz="0" w:space="0" w:color="auto"/>
        <w:left w:val="none" w:sz="0" w:space="0" w:color="auto"/>
        <w:bottom w:val="none" w:sz="0" w:space="0" w:color="auto"/>
        <w:right w:val="none" w:sz="0" w:space="0" w:color="auto"/>
      </w:divBdr>
    </w:div>
    <w:div w:id="1015110784">
      <w:bodyDiv w:val="1"/>
      <w:marLeft w:val="0"/>
      <w:marRight w:val="0"/>
      <w:marTop w:val="0"/>
      <w:marBottom w:val="0"/>
      <w:divBdr>
        <w:top w:val="none" w:sz="0" w:space="0" w:color="auto"/>
        <w:left w:val="none" w:sz="0" w:space="0" w:color="auto"/>
        <w:bottom w:val="none" w:sz="0" w:space="0" w:color="auto"/>
        <w:right w:val="none" w:sz="0" w:space="0" w:color="auto"/>
      </w:divBdr>
    </w:div>
    <w:div w:id="1015152907">
      <w:bodyDiv w:val="1"/>
      <w:marLeft w:val="0"/>
      <w:marRight w:val="0"/>
      <w:marTop w:val="0"/>
      <w:marBottom w:val="0"/>
      <w:divBdr>
        <w:top w:val="none" w:sz="0" w:space="0" w:color="auto"/>
        <w:left w:val="none" w:sz="0" w:space="0" w:color="auto"/>
        <w:bottom w:val="none" w:sz="0" w:space="0" w:color="auto"/>
        <w:right w:val="none" w:sz="0" w:space="0" w:color="auto"/>
      </w:divBdr>
    </w:div>
    <w:div w:id="1024013990">
      <w:bodyDiv w:val="1"/>
      <w:marLeft w:val="0"/>
      <w:marRight w:val="0"/>
      <w:marTop w:val="0"/>
      <w:marBottom w:val="0"/>
      <w:divBdr>
        <w:top w:val="none" w:sz="0" w:space="0" w:color="auto"/>
        <w:left w:val="none" w:sz="0" w:space="0" w:color="auto"/>
        <w:bottom w:val="none" w:sz="0" w:space="0" w:color="auto"/>
        <w:right w:val="none" w:sz="0" w:space="0" w:color="auto"/>
      </w:divBdr>
    </w:div>
    <w:div w:id="1038314817">
      <w:bodyDiv w:val="1"/>
      <w:marLeft w:val="0"/>
      <w:marRight w:val="0"/>
      <w:marTop w:val="0"/>
      <w:marBottom w:val="0"/>
      <w:divBdr>
        <w:top w:val="none" w:sz="0" w:space="0" w:color="auto"/>
        <w:left w:val="none" w:sz="0" w:space="0" w:color="auto"/>
        <w:bottom w:val="none" w:sz="0" w:space="0" w:color="auto"/>
        <w:right w:val="none" w:sz="0" w:space="0" w:color="auto"/>
      </w:divBdr>
    </w:div>
    <w:div w:id="1038698026">
      <w:bodyDiv w:val="1"/>
      <w:marLeft w:val="0"/>
      <w:marRight w:val="0"/>
      <w:marTop w:val="0"/>
      <w:marBottom w:val="0"/>
      <w:divBdr>
        <w:top w:val="none" w:sz="0" w:space="0" w:color="auto"/>
        <w:left w:val="none" w:sz="0" w:space="0" w:color="auto"/>
        <w:bottom w:val="none" w:sz="0" w:space="0" w:color="auto"/>
        <w:right w:val="none" w:sz="0" w:space="0" w:color="auto"/>
      </w:divBdr>
    </w:div>
    <w:div w:id="1051419489">
      <w:bodyDiv w:val="1"/>
      <w:marLeft w:val="0"/>
      <w:marRight w:val="0"/>
      <w:marTop w:val="0"/>
      <w:marBottom w:val="0"/>
      <w:divBdr>
        <w:top w:val="none" w:sz="0" w:space="0" w:color="auto"/>
        <w:left w:val="none" w:sz="0" w:space="0" w:color="auto"/>
        <w:bottom w:val="none" w:sz="0" w:space="0" w:color="auto"/>
        <w:right w:val="none" w:sz="0" w:space="0" w:color="auto"/>
      </w:divBdr>
    </w:div>
    <w:div w:id="1053384359">
      <w:bodyDiv w:val="1"/>
      <w:marLeft w:val="0"/>
      <w:marRight w:val="0"/>
      <w:marTop w:val="0"/>
      <w:marBottom w:val="0"/>
      <w:divBdr>
        <w:top w:val="none" w:sz="0" w:space="0" w:color="auto"/>
        <w:left w:val="none" w:sz="0" w:space="0" w:color="auto"/>
        <w:bottom w:val="none" w:sz="0" w:space="0" w:color="auto"/>
        <w:right w:val="none" w:sz="0" w:space="0" w:color="auto"/>
      </w:divBdr>
    </w:div>
    <w:div w:id="1057700291">
      <w:bodyDiv w:val="1"/>
      <w:marLeft w:val="0"/>
      <w:marRight w:val="0"/>
      <w:marTop w:val="0"/>
      <w:marBottom w:val="0"/>
      <w:divBdr>
        <w:top w:val="none" w:sz="0" w:space="0" w:color="auto"/>
        <w:left w:val="none" w:sz="0" w:space="0" w:color="auto"/>
        <w:bottom w:val="none" w:sz="0" w:space="0" w:color="auto"/>
        <w:right w:val="none" w:sz="0" w:space="0" w:color="auto"/>
      </w:divBdr>
    </w:div>
    <w:div w:id="1059984036">
      <w:bodyDiv w:val="1"/>
      <w:marLeft w:val="0"/>
      <w:marRight w:val="0"/>
      <w:marTop w:val="0"/>
      <w:marBottom w:val="0"/>
      <w:divBdr>
        <w:top w:val="none" w:sz="0" w:space="0" w:color="auto"/>
        <w:left w:val="none" w:sz="0" w:space="0" w:color="auto"/>
        <w:bottom w:val="none" w:sz="0" w:space="0" w:color="auto"/>
        <w:right w:val="none" w:sz="0" w:space="0" w:color="auto"/>
      </w:divBdr>
    </w:div>
    <w:div w:id="1061487951">
      <w:bodyDiv w:val="1"/>
      <w:marLeft w:val="0"/>
      <w:marRight w:val="0"/>
      <w:marTop w:val="0"/>
      <w:marBottom w:val="0"/>
      <w:divBdr>
        <w:top w:val="none" w:sz="0" w:space="0" w:color="auto"/>
        <w:left w:val="none" w:sz="0" w:space="0" w:color="auto"/>
        <w:bottom w:val="none" w:sz="0" w:space="0" w:color="auto"/>
        <w:right w:val="none" w:sz="0" w:space="0" w:color="auto"/>
      </w:divBdr>
    </w:div>
    <w:div w:id="1077098680">
      <w:bodyDiv w:val="1"/>
      <w:marLeft w:val="0"/>
      <w:marRight w:val="0"/>
      <w:marTop w:val="0"/>
      <w:marBottom w:val="0"/>
      <w:divBdr>
        <w:top w:val="none" w:sz="0" w:space="0" w:color="auto"/>
        <w:left w:val="none" w:sz="0" w:space="0" w:color="auto"/>
        <w:bottom w:val="none" w:sz="0" w:space="0" w:color="auto"/>
        <w:right w:val="none" w:sz="0" w:space="0" w:color="auto"/>
      </w:divBdr>
    </w:div>
    <w:div w:id="1096707666">
      <w:bodyDiv w:val="1"/>
      <w:marLeft w:val="0"/>
      <w:marRight w:val="0"/>
      <w:marTop w:val="0"/>
      <w:marBottom w:val="0"/>
      <w:divBdr>
        <w:top w:val="none" w:sz="0" w:space="0" w:color="auto"/>
        <w:left w:val="none" w:sz="0" w:space="0" w:color="auto"/>
        <w:bottom w:val="none" w:sz="0" w:space="0" w:color="auto"/>
        <w:right w:val="none" w:sz="0" w:space="0" w:color="auto"/>
      </w:divBdr>
    </w:div>
    <w:div w:id="1103577152">
      <w:bodyDiv w:val="1"/>
      <w:marLeft w:val="0"/>
      <w:marRight w:val="0"/>
      <w:marTop w:val="0"/>
      <w:marBottom w:val="0"/>
      <w:divBdr>
        <w:top w:val="none" w:sz="0" w:space="0" w:color="auto"/>
        <w:left w:val="none" w:sz="0" w:space="0" w:color="auto"/>
        <w:bottom w:val="none" w:sz="0" w:space="0" w:color="auto"/>
        <w:right w:val="none" w:sz="0" w:space="0" w:color="auto"/>
      </w:divBdr>
    </w:div>
    <w:div w:id="1105539590">
      <w:bodyDiv w:val="1"/>
      <w:marLeft w:val="0"/>
      <w:marRight w:val="0"/>
      <w:marTop w:val="0"/>
      <w:marBottom w:val="0"/>
      <w:divBdr>
        <w:top w:val="none" w:sz="0" w:space="0" w:color="auto"/>
        <w:left w:val="none" w:sz="0" w:space="0" w:color="auto"/>
        <w:bottom w:val="none" w:sz="0" w:space="0" w:color="auto"/>
        <w:right w:val="none" w:sz="0" w:space="0" w:color="auto"/>
      </w:divBdr>
    </w:div>
    <w:div w:id="1132558617">
      <w:bodyDiv w:val="1"/>
      <w:marLeft w:val="0"/>
      <w:marRight w:val="0"/>
      <w:marTop w:val="0"/>
      <w:marBottom w:val="0"/>
      <w:divBdr>
        <w:top w:val="none" w:sz="0" w:space="0" w:color="auto"/>
        <w:left w:val="none" w:sz="0" w:space="0" w:color="auto"/>
        <w:bottom w:val="none" w:sz="0" w:space="0" w:color="auto"/>
        <w:right w:val="none" w:sz="0" w:space="0" w:color="auto"/>
      </w:divBdr>
    </w:div>
    <w:div w:id="1148977334">
      <w:bodyDiv w:val="1"/>
      <w:marLeft w:val="0"/>
      <w:marRight w:val="0"/>
      <w:marTop w:val="0"/>
      <w:marBottom w:val="0"/>
      <w:divBdr>
        <w:top w:val="none" w:sz="0" w:space="0" w:color="auto"/>
        <w:left w:val="none" w:sz="0" w:space="0" w:color="auto"/>
        <w:bottom w:val="none" w:sz="0" w:space="0" w:color="auto"/>
        <w:right w:val="none" w:sz="0" w:space="0" w:color="auto"/>
      </w:divBdr>
    </w:div>
    <w:div w:id="1152671397">
      <w:bodyDiv w:val="1"/>
      <w:marLeft w:val="0"/>
      <w:marRight w:val="0"/>
      <w:marTop w:val="0"/>
      <w:marBottom w:val="0"/>
      <w:divBdr>
        <w:top w:val="none" w:sz="0" w:space="0" w:color="auto"/>
        <w:left w:val="none" w:sz="0" w:space="0" w:color="auto"/>
        <w:bottom w:val="none" w:sz="0" w:space="0" w:color="auto"/>
        <w:right w:val="none" w:sz="0" w:space="0" w:color="auto"/>
      </w:divBdr>
    </w:div>
    <w:div w:id="1152915207">
      <w:bodyDiv w:val="1"/>
      <w:marLeft w:val="0"/>
      <w:marRight w:val="0"/>
      <w:marTop w:val="0"/>
      <w:marBottom w:val="0"/>
      <w:divBdr>
        <w:top w:val="none" w:sz="0" w:space="0" w:color="auto"/>
        <w:left w:val="none" w:sz="0" w:space="0" w:color="auto"/>
        <w:bottom w:val="none" w:sz="0" w:space="0" w:color="auto"/>
        <w:right w:val="none" w:sz="0" w:space="0" w:color="auto"/>
      </w:divBdr>
    </w:div>
    <w:div w:id="1164277275">
      <w:bodyDiv w:val="1"/>
      <w:marLeft w:val="0"/>
      <w:marRight w:val="0"/>
      <w:marTop w:val="0"/>
      <w:marBottom w:val="0"/>
      <w:divBdr>
        <w:top w:val="none" w:sz="0" w:space="0" w:color="auto"/>
        <w:left w:val="none" w:sz="0" w:space="0" w:color="auto"/>
        <w:bottom w:val="none" w:sz="0" w:space="0" w:color="auto"/>
        <w:right w:val="none" w:sz="0" w:space="0" w:color="auto"/>
      </w:divBdr>
    </w:div>
    <w:div w:id="1168056646">
      <w:bodyDiv w:val="1"/>
      <w:marLeft w:val="0"/>
      <w:marRight w:val="0"/>
      <w:marTop w:val="0"/>
      <w:marBottom w:val="0"/>
      <w:divBdr>
        <w:top w:val="none" w:sz="0" w:space="0" w:color="auto"/>
        <w:left w:val="none" w:sz="0" w:space="0" w:color="auto"/>
        <w:bottom w:val="none" w:sz="0" w:space="0" w:color="auto"/>
        <w:right w:val="none" w:sz="0" w:space="0" w:color="auto"/>
      </w:divBdr>
    </w:div>
    <w:div w:id="1168710025">
      <w:bodyDiv w:val="1"/>
      <w:marLeft w:val="0"/>
      <w:marRight w:val="0"/>
      <w:marTop w:val="0"/>
      <w:marBottom w:val="0"/>
      <w:divBdr>
        <w:top w:val="none" w:sz="0" w:space="0" w:color="auto"/>
        <w:left w:val="none" w:sz="0" w:space="0" w:color="auto"/>
        <w:bottom w:val="none" w:sz="0" w:space="0" w:color="auto"/>
        <w:right w:val="none" w:sz="0" w:space="0" w:color="auto"/>
      </w:divBdr>
    </w:div>
    <w:div w:id="1174952313">
      <w:bodyDiv w:val="1"/>
      <w:marLeft w:val="0"/>
      <w:marRight w:val="0"/>
      <w:marTop w:val="0"/>
      <w:marBottom w:val="0"/>
      <w:divBdr>
        <w:top w:val="none" w:sz="0" w:space="0" w:color="auto"/>
        <w:left w:val="none" w:sz="0" w:space="0" w:color="auto"/>
        <w:bottom w:val="none" w:sz="0" w:space="0" w:color="auto"/>
        <w:right w:val="none" w:sz="0" w:space="0" w:color="auto"/>
      </w:divBdr>
    </w:div>
    <w:div w:id="1209952779">
      <w:bodyDiv w:val="1"/>
      <w:marLeft w:val="0"/>
      <w:marRight w:val="0"/>
      <w:marTop w:val="0"/>
      <w:marBottom w:val="0"/>
      <w:divBdr>
        <w:top w:val="none" w:sz="0" w:space="0" w:color="auto"/>
        <w:left w:val="none" w:sz="0" w:space="0" w:color="auto"/>
        <w:bottom w:val="none" w:sz="0" w:space="0" w:color="auto"/>
        <w:right w:val="none" w:sz="0" w:space="0" w:color="auto"/>
      </w:divBdr>
    </w:div>
    <w:div w:id="1214584293">
      <w:bodyDiv w:val="1"/>
      <w:marLeft w:val="0"/>
      <w:marRight w:val="0"/>
      <w:marTop w:val="0"/>
      <w:marBottom w:val="0"/>
      <w:divBdr>
        <w:top w:val="none" w:sz="0" w:space="0" w:color="auto"/>
        <w:left w:val="none" w:sz="0" w:space="0" w:color="auto"/>
        <w:bottom w:val="none" w:sz="0" w:space="0" w:color="auto"/>
        <w:right w:val="none" w:sz="0" w:space="0" w:color="auto"/>
      </w:divBdr>
    </w:div>
    <w:div w:id="1226185396">
      <w:bodyDiv w:val="1"/>
      <w:marLeft w:val="0"/>
      <w:marRight w:val="0"/>
      <w:marTop w:val="0"/>
      <w:marBottom w:val="0"/>
      <w:divBdr>
        <w:top w:val="none" w:sz="0" w:space="0" w:color="auto"/>
        <w:left w:val="none" w:sz="0" w:space="0" w:color="auto"/>
        <w:bottom w:val="none" w:sz="0" w:space="0" w:color="auto"/>
        <w:right w:val="none" w:sz="0" w:space="0" w:color="auto"/>
      </w:divBdr>
    </w:div>
    <w:div w:id="1234004036">
      <w:bodyDiv w:val="1"/>
      <w:marLeft w:val="0"/>
      <w:marRight w:val="0"/>
      <w:marTop w:val="0"/>
      <w:marBottom w:val="0"/>
      <w:divBdr>
        <w:top w:val="none" w:sz="0" w:space="0" w:color="auto"/>
        <w:left w:val="none" w:sz="0" w:space="0" w:color="auto"/>
        <w:bottom w:val="none" w:sz="0" w:space="0" w:color="auto"/>
        <w:right w:val="none" w:sz="0" w:space="0" w:color="auto"/>
      </w:divBdr>
    </w:div>
    <w:div w:id="1260482345">
      <w:bodyDiv w:val="1"/>
      <w:marLeft w:val="0"/>
      <w:marRight w:val="0"/>
      <w:marTop w:val="0"/>
      <w:marBottom w:val="0"/>
      <w:divBdr>
        <w:top w:val="none" w:sz="0" w:space="0" w:color="auto"/>
        <w:left w:val="none" w:sz="0" w:space="0" w:color="auto"/>
        <w:bottom w:val="none" w:sz="0" w:space="0" w:color="auto"/>
        <w:right w:val="none" w:sz="0" w:space="0" w:color="auto"/>
      </w:divBdr>
    </w:div>
    <w:div w:id="1279678300">
      <w:bodyDiv w:val="1"/>
      <w:marLeft w:val="0"/>
      <w:marRight w:val="0"/>
      <w:marTop w:val="0"/>
      <w:marBottom w:val="0"/>
      <w:divBdr>
        <w:top w:val="none" w:sz="0" w:space="0" w:color="auto"/>
        <w:left w:val="none" w:sz="0" w:space="0" w:color="auto"/>
        <w:bottom w:val="none" w:sz="0" w:space="0" w:color="auto"/>
        <w:right w:val="none" w:sz="0" w:space="0" w:color="auto"/>
      </w:divBdr>
    </w:div>
    <w:div w:id="1305625727">
      <w:bodyDiv w:val="1"/>
      <w:marLeft w:val="0"/>
      <w:marRight w:val="0"/>
      <w:marTop w:val="0"/>
      <w:marBottom w:val="0"/>
      <w:divBdr>
        <w:top w:val="none" w:sz="0" w:space="0" w:color="auto"/>
        <w:left w:val="none" w:sz="0" w:space="0" w:color="auto"/>
        <w:bottom w:val="none" w:sz="0" w:space="0" w:color="auto"/>
        <w:right w:val="none" w:sz="0" w:space="0" w:color="auto"/>
      </w:divBdr>
    </w:div>
    <w:div w:id="1316834251">
      <w:bodyDiv w:val="1"/>
      <w:marLeft w:val="0"/>
      <w:marRight w:val="0"/>
      <w:marTop w:val="0"/>
      <w:marBottom w:val="0"/>
      <w:divBdr>
        <w:top w:val="none" w:sz="0" w:space="0" w:color="auto"/>
        <w:left w:val="none" w:sz="0" w:space="0" w:color="auto"/>
        <w:bottom w:val="none" w:sz="0" w:space="0" w:color="auto"/>
        <w:right w:val="none" w:sz="0" w:space="0" w:color="auto"/>
      </w:divBdr>
    </w:div>
    <w:div w:id="1318412623">
      <w:bodyDiv w:val="1"/>
      <w:marLeft w:val="0"/>
      <w:marRight w:val="0"/>
      <w:marTop w:val="0"/>
      <w:marBottom w:val="0"/>
      <w:divBdr>
        <w:top w:val="none" w:sz="0" w:space="0" w:color="auto"/>
        <w:left w:val="none" w:sz="0" w:space="0" w:color="auto"/>
        <w:bottom w:val="none" w:sz="0" w:space="0" w:color="auto"/>
        <w:right w:val="none" w:sz="0" w:space="0" w:color="auto"/>
      </w:divBdr>
    </w:div>
    <w:div w:id="1337032326">
      <w:bodyDiv w:val="1"/>
      <w:marLeft w:val="0"/>
      <w:marRight w:val="0"/>
      <w:marTop w:val="0"/>
      <w:marBottom w:val="0"/>
      <w:divBdr>
        <w:top w:val="none" w:sz="0" w:space="0" w:color="auto"/>
        <w:left w:val="none" w:sz="0" w:space="0" w:color="auto"/>
        <w:bottom w:val="none" w:sz="0" w:space="0" w:color="auto"/>
        <w:right w:val="none" w:sz="0" w:space="0" w:color="auto"/>
      </w:divBdr>
    </w:div>
    <w:div w:id="1361542943">
      <w:bodyDiv w:val="1"/>
      <w:marLeft w:val="0"/>
      <w:marRight w:val="0"/>
      <w:marTop w:val="0"/>
      <w:marBottom w:val="0"/>
      <w:divBdr>
        <w:top w:val="none" w:sz="0" w:space="0" w:color="auto"/>
        <w:left w:val="none" w:sz="0" w:space="0" w:color="auto"/>
        <w:bottom w:val="none" w:sz="0" w:space="0" w:color="auto"/>
        <w:right w:val="none" w:sz="0" w:space="0" w:color="auto"/>
      </w:divBdr>
    </w:div>
    <w:div w:id="1390298719">
      <w:bodyDiv w:val="1"/>
      <w:marLeft w:val="0"/>
      <w:marRight w:val="0"/>
      <w:marTop w:val="0"/>
      <w:marBottom w:val="0"/>
      <w:divBdr>
        <w:top w:val="none" w:sz="0" w:space="0" w:color="auto"/>
        <w:left w:val="none" w:sz="0" w:space="0" w:color="auto"/>
        <w:bottom w:val="none" w:sz="0" w:space="0" w:color="auto"/>
        <w:right w:val="none" w:sz="0" w:space="0" w:color="auto"/>
      </w:divBdr>
    </w:div>
    <w:div w:id="1400786314">
      <w:bodyDiv w:val="1"/>
      <w:marLeft w:val="0"/>
      <w:marRight w:val="0"/>
      <w:marTop w:val="0"/>
      <w:marBottom w:val="0"/>
      <w:divBdr>
        <w:top w:val="none" w:sz="0" w:space="0" w:color="auto"/>
        <w:left w:val="none" w:sz="0" w:space="0" w:color="auto"/>
        <w:bottom w:val="none" w:sz="0" w:space="0" w:color="auto"/>
        <w:right w:val="none" w:sz="0" w:space="0" w:color="auto"/>
      </w:divBdr>
    </w:div>
    <w:div w:id="1404910008">
      <w:bodyDiv w:val="1"/>
      <w:marLeft w:val="0"/>
      <w:marRight w:val="0"/>
      <w:marTop w:val="0"/>
      <w:marBottom w:val="0"/>
      <w:divBdr>
        <w:top w:val="none" w:sz="0" w:space="0" w:color="auto"/>
        <w:left w:val="none" w:sz="0" w:space="0" w:color="auto"/>
        <w:bottom w:val="none" w:sz="0" w:space="0" w:color="auto"/>
        <w:right w:val="none" w:sz="0" w:space="0" w:color="auto"/>
      </w:divBdr>
    </w:div>
    <w:div w:id="1405954160">
      <w:bodyDiv w:val="1"/>
      <w:marLeft w:val="0"/>
      <w:marRight w:val="0"/>
      <w:marTop w:val="0"/>
      <w:marBottom w:val="0"/>
      <w:divBdr>
        <w:top w:val="none" w:sz="0" w:space="0" w:color="auto"/>
        <w:left w:val="none" w:sz="0" w:space="0" w:color="auto"/>
        <w:bottom w:val="none" w:sz="0" w:space="0" w:color="auto"/>
        <w:right w:val="none" w:sz="0" w:space="0" w:color="auto"/>
      </w:divBdr>
    </w:div>
    <w:div w:id="1410426828">
      <w:bodyDiv w:val="1"/>
      <w:marLeft w:val="0"/>
      <w:marRight w:val="0"/>
      <w:marTop w:val="0"/>
      <w:marBottom w:val="0"/>
      <w:divBdr>
        <w:top w:val="none" w:sz="0" w:space="0" w:color="auto"/>
        <w:left w:val="none" w:sz="0" w:space="0" w:color="auto"/>
        <w:bottom w:val="none" w:sz="0" w:space="0" w:color="auto"/>
        <w:right w:val="none" w:sz="0" w:space="0" w:color="auto"/>
      </w:divBdr>
    </w:div>
    <w:div w:id="1444112006">
      <w:bodyDiv w:val="1"/>
      <w:marLeft w:val="0"/>
      <w:marRight w:val="0"/>
      <w:marTop w:val="0"/>
      <w:marBottom w:val="0"/>
      <w:divBdr>
        <w:top w:val="none" w:sz="0" w:space="0" w:color="auto"/>
        <w:left w:val="none" w:sz="0" w:space="0" w:color="auto"/>
        <w:bottom w:val="none" w:sz="0" w:space="0" w:color="auto"/>
        <w:right w:val="none" w:sz="0" w:space="0" w:color="auto"/>
      </w:divBdr>
    </w:div>
    <w:div w:id="1447236824">
      <w:bodyDiv w:val="1"/>
      <w:marLeft w:val="0"/>
      <w:marRight w:val="0"/>
      <w:marTop w:val="0"/>
      <w:marBottom w:val="0"/>
      <w:divBdr>
        <w:top w:val="none" w:sz="0" w:space="0" w:color="auto"/>
        <w:left w:val="none" w:sz="0" w:space="0" w:color="auto"/>
        <w:bottom w:val="none" w:sz="0" w:space="0" w:color="auto"/>
        <w:right w:val="none" w:sz="0" w:space="0" w:color="auto"/>
      </w:divBdr>
    </w:div>
    <w:div w:id="1465543286">
      <w:bodyDiv w:val="1"/>
      <w:marLeft w:val="0"/>
      <w:marRight w:val="0"/>
      <w:marTop w:val="0"/>
      <w:marBottom w:val="0"/>
      <w:divBdr>
        <w:top w:val="none" w:sz="0" w:space="0" w:color="auto"/>
        <w:left w:val="none" w:sz="0" w:space="0" w:color="auto"/>
        <w:bottom w:val="none" w:sz="0" w:space="0" w:color="auto"/>
        <w:right w:val="none" w:sz="0" w:space="0" w:color="auto"/>
      </w:divBdr>
    </w:div>
    <w:div w:id="1475365138">
      <w:bodyDiv w:val="1"/>
      <w:marLeft w:val="0"/>
      <w:marRight w:val="0"/>
      <w:marTop w:val="0"/>
      <w:marBottom w:val="0"/>
      <w:divBdr>
        <w:top w:val="none" w:sz="0" w:space="0" w:color="auto"/>
        <w:left w:val="none" w:sz="0" w:space="0" w:color="auto"/>
        <w:bottom w:val="none" w:sz="0" w:space="0" w:color="auto"/>
        <w:right w:val="none" w:sz="0" w:space="0" w:color="auto"/>
      </w:divBdr>
    </w:div>
    <w:div w:id="1482889814">
      <w:bodyDiv w:val="1"/>
      <w:marLeft w:val="0"/>
      <w:marRight w:val="0"/>
      <w:marTop w:val="0"/>
      <w:marBottom w:val="0"/>
      <w:divBdr>
        <w:top w:val="none" w:sz="0" w:space="0" w:color="auto"/>
        <w:left w:val="none" w:sz="0" w:space="0" w:color="auto"/>
        <w:bottom w:val="none" w:sz="0" w:space="0" w:color="auto"/>
        <w:right w:val="none" w:sz="0" w:space="0" w:color="auto"/>
      </w:divBdr>
    </w:div>
    <w:div w:id="1488791156">
      <w:bodyDiv w:val="1"/>
      <w:marLeft w:val="0"/>
      <w:marRight w:val="0"/>
      <w:marTop w:val="0"/>
      <w:marBottom w:val="0"/>
      <w:divBdr>
        <w:top w:val="none" w:sz="0" w:space="0" w:color="auto"/>
        <w:left w:val="none" w:sz="0" w:space="0" w:color="auto"/>
        <w:bottom w:val="none" w:sz="0" w:space="0" w:color="auto"/>
        <w:right w:val="none" w:sz="0" w:space="0" w:color="auto"/>
      </w:divBdr>
    </w:div>
    <w:div w:id="1496846490">
      <w:bodyDiv w:val="1"/>
      <w:marLeft w:val="0"/>
      <w:marRight w:val="0"/>
      <w:marTop w:val="0"/>
      <w:marBottom w:val="0"/>
      <w:divBdr>
        <w:top w:val="none" w:sz="0" w:space="0" w:color="auto"/>
        <w:left w:val="none" w:sz="0" w:space="0" w:color="auto"/>
        <w:bottom w:val="none" w:sz="0" w:space="0" w:color="auto"/>
        <w:right w:val="none" w:sz="0" w:space="0" w:color="auto"/>
      </w:divBdr>
    </w:div>
    <w:div w:id="1516386915">
      <w:bodyDiv w:val="1"/>
      <w:marLeft w:val="0"/>
      <w:marRight w:val="0"/>
      <w:marTop w:val="0"/>
      <w:marBottom w:val="0"/>
      <w:divBdr>
        <w:top w:val="none" w:sz="0" w:space="0" w:color="auto"/>
        <w:left w:val="none" w:sz="0" w:space="0" w:color="auto"/>
        <w:bottom w:val="none" w:sz="0" w:space="0" w:color="auto"/>
        <w:right w:val="none" w:sz="0" w:space="0" w:color="auto"/>
      </w:divBdr>
    </w:div>
    <w:div w:id="1532301660">
      <w:bodyDiv w:val="1"/>
      <w:marLeft w:val="0"/>
      <w:marRight w:val="0"/>
      <w:marTop w:val="0"/>
      <w:marBottom w:val="0"/>
      <w:divBdr>
        <w:top w:val="none" w:sz="0" w:space="0" w:color="auto"/>
        <w:left w:val="none" w:sz="0" w:space="0" w:color="auto"/>
        <w:bottom w:val="none" w:sz="0" w:space="0" w:color="auto"/>
        <w:right w:val="none" w:sz="0" w:space="0" w:color="auto"/>
      </w:divBdr>
    </w:div>
    <w:div w:id="1565527987">
      <w:bodyDiv w:val="1"/>
      <w:marLeft w:val="0"/>
      <w:marRight w:val="0"/>
      <w:marTop w:val="0"/>
      <w:marBottom w:val="0"/>
      <w:divBdr>
        <w:top w:val="none" w:sz="0" w:space="0" w:color="auto"/>
        <w:left w:val="none" w:sz="0" w:space="0" w:color="auto"/>
        <w:bottom w:val="none" w:sz="0" w:space="0" w:color="auto"/>
        <w:right w:val="none" w:sz="0" w:space="0" w:color="auto"/>
      </w:divBdr>
    </w:div>
    <w:div w:id="1567034655">
      <w:bodyDiv w:val="1"/>
      <w:marLeft w:val="0"/>
      <w:marRight w:val="0"/>
      <w:marTop w:val="0"/>
      <w:marBottom w:val="0"/>
      <w:divBdr>
        <w:top w:val="none" w:sz="0" w:space="0" w:color="auto"/>
        <w:left w:val="none" w:sz="0" w:space="0" w:color="auto"/>
        <w:bottom w:val="none" w:sz="0" w:space="0" w:color="auto"/>
        <w:right w:val="none" w:sz="0" w:space="0" w:color="auto"/>
      </w:divBdr>
    </w:div>
    <w:div w:id="1571381854">
      <w:bodyDiv w:val="1"/>
      <w:marLeft w:val="0"/>
      <w:marRight w:val="0"/>
      <w:marTop w:val="0"/>
      <w:marBottom w:val="0"/>
      <w:divBdr>
        <w:top w:val="none" w:sz="0" w:space="0" w:color="auto"/>
        <w:left w:val="none" w:sz="0" w:space="0" w:color="auto"/>
        <w:bottom w:val="none" w:sz="0" w:space="0" w:color="auto"/>
        <w:right w:val="none" w:sz="0" w:space="0" w:color="auto"/>
      </w:divBdr>
    </w:div>
    <w:div w:id="1579748826">
      <w:bodyDiv w:val="1"/>
      <w:marLeft w:val="0"/>
      <w:marRight w:val="0"/>
      <w:marTop w:val="0"/>
      <w:marBottom w:val="0"/>
      <w:divBdr>
        <w:top w:val="none" w:sz="0" w:space="0" w:color="auto"/>
        <w:left w:val="none" w:sz="0" w:space="0" w:color="auto"/>
        <w:bottom w:val="none" w:sz="0" w:space="0" w:color="auto"/>
        <w:right w:val="none" w:sz="0" w:space="0" w:color="auto"/>
      </w:divBdr>
    </w:div>
    <w:div w:id="1580676572">
      <w:bodyDiv w:val="1"/>
      <w:marLeft w:val="0"/>
      <w:marRight w:val="0"/>
      <w:marTop w:val="0"/>
      <w:marBottom w:val="0"/>
      <w:divBdr>
        <w:top w:val="none" w:sz="0" w:space="0" w:color="auto"/>
        <w:left w:val="none" w:sz="0" w:space="0" w:color="auto"/>
        <w:bottom w:val="none" w:sz="0" w:space="0" w:color="auto"/>
        <w:right w:val="none" w:sz="0" w:space="0" w:color="auto"/>
      </w:divBdr>
    </w:div>
    <w:div w:id="1591623365">
      <w:bodyDiv w:val="1"/>
      <w:marLeft w:val="0"/>
      <w:marRight w:val="0"/>
      <w:marTop w:val="0"/>
      <w:marBottom w:val="0"/>
      <w:divBdr>
        <w:top w:val="none" w:sz="0" w:space="0" w:color="auto"/>
        <w:left w:val="none" w:sz="0" w:space="0" w:color="auto"/>
        <w:bottom w:val="none" w:sz="0" w:space="0" w:color="auto"/>
        <w:right w:val="none" w:sz="0" w:space="0" w:color="auto"/>
      </w:divBdr>
    </w:div>
    <w:div w:id="1593008312">
      <w:bodyDiv w:val="1"/>
      <w:marLeft w:val="0"/>
      <w:marRight w:val="0"/>
      <w:marTop w:val="0"/>
      <w:marBottom w:val="0"/>
      <w:divBdr>
        <w:top w:val="none" w:sz="0" w:space="0" w:color="auto"/>
        <w:left w:val="none" w:sz="0" w:space="0" w:color="auto"/>
        <w:bottom w:val="none" w:sz="0" w:space="0" w:color="auto"/>
        <w:right w:val="none" w:sz="0" w:space="0" w:color="auto"/>
      </w:divBdr>
    </w:div>
    <w:div w:id="1595702452">
      <w:bodyDiv w:val="1"/>
      <w:marLeft w:val="0"/>
      <w:marRight w:val="0"/>
      <w:marTop w:val="0"/>
      <w:marBottom w:val="0"/>
      <w:divBdr>
        <w:top w:val="none" w:sz="0" w:space="0" w:color="auto"/>
        <w:left w:val="none" w:sz="0" w:space="0" w:color="auto"/>
        <w:bottom w:val="none" w:sz="0" w:space="0" w:color="auto"/>
        <w:right w:val="none" w:sz="0" w:space="0" w:color="auto"/>
      </w:divBdr>
    </w:div>
    <w:div w:id="1614944383">
      <w:bodyDiv w:val="1"/>
      <w:marLeft w:val="0"/>
      <w:marRight w:val="0"/>
      <w:marTop w:val="0"/>
      <w:marBottom w:val="0"/>
      <w:divBdr>
        <w:top w:val="none" w:sz="0" w:space="0" w:color="auto"/>
        <w:left w:val="none" w:sz="0" w:space="0" w:color="auto"/>
        <w:bottom w:val="none" w:sz="0" w:space="0" w:color="auto"/>
        <w:right w:val="none" w:sz="0" w:space="0" w:color="auto"/>
      </w:divBdr>
    </w:div>
    <w:div w:id="1629778457">
      <w:bodyDiv w:val="1"/>
      <w:marLeft w:val="0"/>
      <w:marRight w:val="0"/>
      <w:marTop w:val="0"/>
      <w:marBottom w:val="0"/>
      <w:divBdr>
        <w:top w:val="none" w:sz="0" w:space="0" w:color="auto"/>
        <w:left w:val="none" w:sz="0" w:space="0" w:color="auto"/>
        <w:bottom w:val="none" w:sz="0" w:space="0" w:color="auto"/>
        <w:right w:val="none" w:sz="0" w:space="0" w:color="auto"/>
      </w:divBdr>
    </w:div>
    <w:div w:id="1659455850">
      <w:bodyDiv w:val="1"/>
      <w:marLeft w:val="0"/>
      <w:marRight w:val="0"/>
      <w:marTop w:val="0"/>
      <w:marBottom w:val="0"/>
      <w:divBdr>
        <w:top w:val="none" w:sz="0" w:space="0" w:color="auto"/>
        <w:left w:val="none" w:sz="0" w:space="0" w:color="auto"/>
        <w:bottom w:val="none" w:sz="0" w:space="0" w:color="auto"/>
        <w:right w:val="none" w:sz="0" w:space="0" w:color="auto"/>
      </w:divBdr>
    </w:div>
    <w:div w:id="1688755263">
      <w:bodyDiv w:val="1"/>
      <w:marLeft w:val="0"/>
      <w:marRight w:val="0"/>
      <w:marTop w:val="0"/>
      <w:marBottom w:val="0"/>
      <w:divBdr>
        <w:top w:val="none" w:sz="0" w:space="0" w:color="auto"/>
        <w:left w:val="none" w:sz="0" w:space="0" w:color="auto"/>
        <w:bottom w:val="none" w:sz="0" w:space="0" w:color="auto"/>
        <w:right w:val="none" w:sz="0" w:space="0" w:color="auto"/>
      </w:divBdr>
    </w:div>
    <w:div w:id="1689870001">
      <w:bodyDiv w:val="1"/>
      <w:marLeft w:val="0"/>
      <w:marRight w:val="0"/>
      <w:marTop w:val="0"/>
      <w:marBottom w:val="0"/>
      <w:divBdr>
        <w:top w:val="none" w:sz="0" w:space="0" w:color="auto"/>
        <w:left w:val="none" w:sz="0" w:space="0" w:color="auto"/>
        <w:bottom w:val="none" w:sz="0" w:space="0" w:color="auto"/>
        <w:right w:val="none" w:sz="0" w:space="0" w:color="auto"/>
      </w:divBdr>
    </w:div>
    <w:div w:id="1713385678">
      <w:bodyDiv w:val="1"/>
      <w:marLeft w:val="0"/>
      <w:marRight w:val="0"/>
      <w:marTop w:val="0"/>
      <w:marBottom w:val="0"/>
      <w:divBdr>
        <w:top w:val="none" w:sz="0" w:space="0" w:color="auto"/>
        <w:left w:val="none" w:sz="0" w:space="0" w:color="auto"/>
        <w:bottom w:val="none" w:sz="0" w:space="0" w:color="auto"/>
        <w:right w:val="none" w:sz="0" w:space="0" w:color="auto"/>
      </w:divBdr>
    </w:div>
    <w:div w:id="1725251938">
      <w:bodyDiv w:val="1"/>
      <w:marLeft w:val="0"/>
      <w:marRight w:val="0"/>
      <w:marTop w:val="0"/>
      <w:marBottom w:val="0"/>
      <w:divBdr>
        <w:top w:val="none" w:sz="0" w:space="0" w:color="auto"/>
        <w:left w:val="none" w:sz="0" w:space="0" w:color="auto"/>
        <w:bottom w:val="none" w:sz="0" w:space="0" w:color="auto"/>
        <w:right w:val="none" w:sz="0" w:space="0" w:color="auto"/>
      </w:divBdr>
    </w:div>
    <w:div w:id="1729373696">
      <w:bodyDiv w:val="1"/>
      <w:marLeft w:val="0"/>
      <w:marRight w:val="0"/>
      <w:marTop w:val="0"/>
      <w:marBottom w:val="0"/>
      <w:divBdr>
        <w:top w:val="none" w:sz="0" w:space="0" w:color="auto"/>
        <w:left w:val="none" w:sz="0" w:space="0" w:color="auto"/>
        <w:bottom w:val="none" w:sz="0" w:space="0" w:color="auto"/>
        <w:right w:val="none" w:sz="0" w:space="0" w:color="auto"/>
      </w:divBdr>
    </w:div>
    <w:div w:id="1783303193">
      <w:bodyDiv w:val="1"/>
      <w:marLeft w:val="0"/>
      <w:marRight w:val="0"/>
      <w:marTop w:val="0"/>
      <w:marBottom w:val="0"/>
      <w:divBdr>
        <w:top w:val="none" w:sz="0" w:space="0" w:color="auto"/>
        <w:left w:val="none" w:sz="0" w:space="0" w:color="auto"/>
        <w:bottom w:val="none" w:sz="0" w:space="0" w:color="auto"/>
        <w:right w:val="none" w:sz="0" w:space="0" w:color="auto"/>
      </w:divBdr>
    </w:div>
    <w:div w:id="1787192324">
      <w:bodyDiv w:val="1"/>
      <w:marLeft w:val="0"/>
      <w:marRight w:val="0"/>
      <w:marTop w:val="0"/>
      <w:marBottom w:val="0"/>
      <w:divBdr>
        <w:top w:val="none" w:sz="0" w:space="0" w:color="auto"/>
        <w:left w:val="none" w:sz="0" w:space="0" w:color="auto"/>
        <w:bottom w:val="none" w:sz="0" w:space="0" w:color="auto"/>
        <w:right w:val="none" w:sz="0" w:space="0" w:color="auto"/>
      </w:divBdr>
    </w:div>
    <w:div w:id="1795515589">
      <w:bodyDiv w:val="1"/>
      <w:marLeft w:val="0"/>
      <w:marRight w:val="0"/>
      <w:marTop w:val="0"/>
      <w:marBottom w:val="0"/>
      <w:divBdr>
        <w:top w:val="none" w:sz="0" w:space="0" w:color="auto"/>
        <w:left w:val="none" w:sz="0" w:space="0" w:color="auto"/>
        <w:bottom w:val="none" w:sz="0" w:space="0" w:color="auto"/>
        <w:right w:val="none" w:sz="0" w:space="0" w:color="auto"/>
      </w:divBdr>
    </w:div>
    <w:div w:id="1803451999">
      <w:bodyDiv w:val="1"/>
      <w:marLeft w:val="0"/>
      <w:marRight w:val="0"/>
      <w:marTop w:val="0"/>
      <w:marBottom w:val="0"/>
      <w:divBdr>
        <w:top w:val="none" w:sz="0" w:space="0" w:color="auto"/>
        <w:left w:val="none" w:sz="0" w:space="0" w:color="auto"/>
        <w:bottom w:val="none" w:sz="0" w:space="0" w:color="auto"/>
        <w:right w:val="none" w:sz="0" w:space="0" w:color="auto"/>
      </w:divBdr>
    </w:div>
    <w:div w:id="1830247955">
      <w:bodyDiv w:val="1"/>
      <w:marLeft w:val="0"/>
      <w:marRight w:val="0"/>
      <w:marTop w:val="0"/>
      <w:marBottom w:val="0"/>
      <w:divBdr>
        <w:top w:val="none" w:sz="0" w:space="0" w:color="auto"/>
        <w:left w:val="none" w:sz="0" w:space="0" w:color="auto"/>
        <w:bottom w:val="none" w:sz="0" w:space="0" w:color="auto"/>
        <w:right w:val="none" w:sz="0" w:space="0" w:color="auto"/>
      </w:divBdr>
    </w:div>
    <w:div w:id="1851917792">
      <w:bodyDiv w:val="1"/>
      <w:marLeft w:val="0"/>
      <w:marRight w:val="0"/>
      <w:marTop w:val="0"/>
      <w:marBottom w:val="0"/>
      <w:divBdr>
        <w:top w:val="none" w:sz="0" w:space="0" w:color="auto"/>
        <w:left w:val="none" w:sz="0" w:space="0" w:color="auto"/>
        <w:bottom w:val="none" w:sz="0" w:space="0" w:color="auto"/>
        <w:right w:val="none" w:sz="0" w:space="0" w:color="auto"/>
      </w:divBdr>
    </w:div>
    <w:div w:id="1855028138">
      <w:bodyDiv w:val="1"/>
      <w:marLeft w:val="0"/>
      <w:marRight w:val="0"/>
      <w:marTop w:val="0"/>
      <w:marBottom w:val="0"/>
      <w:divBdr>
        <w:top w:val="none" w:sz="0" w:space="0" w:color="auto"/>
        <w:left w:val="none" w:sz="0" w:space="0" w:color="auto"/>
        <w:bottom w:val="none" w:sz="0" w:space="0" w:color="auto"/>
        <w:right w:val="none" w:sz="0" w:space="0" w:color="auto"/>
      </w:divBdr>
    </w:div>
    <w:div w:id="1892422139">
      <w:bodyDiv w:val="1"/>
      <w:marLeft w:val="0"/>
      <w:marRight w:val="0"/>
      <w:marTop w:val="0"/>
      <w:marBottom w:val="0"/>
      <w:divBdr>
        <w:top w:val="none" w:sz="0" w:space="0" w:color="auto"/>
        <w:left w:val="none" w:sz="0" w:space="0" w:color="auto"/>
        <w:bottom w:val="none" w:sz="0" w:space="0" w:color="auto"/>
        <w:right w:val="none" w:sz="0" w:space="0" w:color="auto"/>
      </w:divBdr>
    </w:div>
    <w:div w:id="1894807736">
      <w:bodyDiv w:val="1"/>
      <w:marLeft w:val="0"/>
      <w:marRight w:val="0"/>
      <w:marTop w:val="0"/>
      <w:marBottom w:val="0"/>
      <w:divBdr>
        <w:top w:val="none" w:sz="0" w:space="0" w:color="auto"/>
        <w:left w:val="none" w:sz="0" w:space="0" w:color="auto"/>
        <w:bottom w:val="none" w:sz="0" w:space="0" w:color="auto"/>
        <w:right w:val="none" w:sz="0" w:space="0" w:color="auto"/>
      </w:divBdr>
    </w:div>
    <w:div w:id="1897007197">
      <w:bodyDiv w:val="1"/>
      <w:marLeft w:val="0"/>
      <w:marRight w:val="0"/>
      <w:marTop w:val="0"/>
      <w:marBottom w:val="0"/>
      <w:divBdr>
        <w:top w:val="none" w:sz="0" w:space="0" w:color="auto"/>
        <w:left w:val="none" w:sz="0" w:space="0" w:color="auto"/>
        <w:bottom w:val="none" w:sz="0" w:space="0" w:color="auto"/>
        <w:right w:val="none" w:sz="0" w:space="0" w:color="auto"/>
      </w:divBdr>
    </w:div>
    <w:div w:id="1905294712">
      <w:bodyDiv w:val="1"/>
      <w:marLeft w:val="0"/>
      <w:marRight w:val="0"/>
      <w:marTop w:val="0"/>
      <w:marBottom w:val="0"/>
      <w:divBdr>
        <w:top w:val="none" w:sz="0" w:space="0" w:color="auto"/>
        <w:left w:val="none" w:sz="0" w:space="0" w:color="auto"/>
        <w:bottom w:val="none" w:sz="0" w:space="0" w:color="auto"/>
        <w:right w:val="none" w:sz="0" w:space="0" w:color="auto"/>
      </w:divBdr>
    </w:div>
    <w:div w:id="1909223155">
      <w:bodyDiv w:val="1"/>
      <w:marLeft w:val="0"/>
      <w:marRight w:val="0"/>
      <w:marTop w:val="0"/>
      <w:marBottom w:val="0"/>
      <w:divBdr>
        <w:top w:val="none" w:sz="0" w:space="0" w:color="auto"/>
        <w:left w:val="none" w:sz="0" w:space="0" w:color="auto"/>
        <w:bottom w:val="none" w:sz="0" w:space="0" w:color="auto"/>
        <w:right w:val="none" w:sz="0" w:space="0" w:color="auto"/>
      </w:divBdr>
    </w:div>
    <w:div w:id="1917399692">
      <w:bodyDiv w:val="1"/>
      <w:marLeft w:val="0"/>
      <w:marRight w:val="0"/>
      <w:marTop w:val="0"/>
      <w:marBottom w:val="0"/>
      <w:divBdr>
        <w:top w:val="none" w:sz="0" w:space="0" w:color="auto"/>
        <w:left w:val="none" w:sz="0" w:space="0" w:color="auto"/>
        <w:bottom w:val="none" w:sz="0" w:space="0" w:color="auto"/>
        <w:right w:val="none" w:sz="0" w:space="0" w:color="auto"/>
      </w:divBdr>
    </w:div>
    <w:div w:id="1927837747">
      <w:bodyDiv w:val="1"/>
      <w:marLeft w:val="0"/>
      <w:marRight w:val="0"/>
      <w:marTop w:val="0"/>
      <w:marBottom w:val="0"/>
      <w:divBdr>
        <w:top w:val="none" w:sz="0" w:space="0" w:color="auto"/>
        <w:left w:val="none" w:sz="0" w:space="0" w:color="auto"/>
        <w:bottom w:val="none" w:sz="0" w:space="0" w:color="auto"/>
        <w:right w:val="none" w:sz="0" w:space="0" w:color="auto"/>
      </w:divBdr>
    </w:div>
    <w:div w:id="1927956522">
      <w:bodyDiv w:val="1"/>
      <w:marLeft w:val="0"/>
      <w:marRight w:val="0"/>
      <w:marTop w:val="0"/>
      <w:marBottom w:val="0"/>
      <w:divBdr>
        <w:top w:val="none" w:sz="0" w:space="0" w:color="auto"/>
        <w:left w:val="none" w:sz="0" w:space="0" w:color="auto"/>
        <w:bottom w:val="none" w:sz="0" w:space="0" w:color="auto"/>
        <w:right w:val="none" w:sz="0" w:space="0" w:color="auto"/>
      </w:divBdr>
    </w:div>
    <w:div w:id="1929539009">
      <w:bodyDiv w:val="1"/>
      <w:marLeft w:val="0"/>
      <w:marRight w:val="0"/>
      <w:marTop w:val="0"/>
      <w:marBottom w:val="0"/>
      <w:divBdr>
        <w:top w:val="none" w:sz="0" w:space="0" w:color="auto"/>
        <w:left w:val="none" w:sz="0" w:space="0" w:color="auto"/>
        <w:bottom w:val="none" w:sz="0" w:space="0" w:color="auto"/>
        <w:right w:val="none" w:sz="0" w:space="0" w:color="auto"/>
      </w:divBdr>
    </w:div>
    <w:div w:id="1940406814">
      <w:bodyDiv w:val="1"/>
      <w:marLeft w:val="0"/>
      <w:marRight w:val="0"/>
      <w:marTop w:val="0"/>
      <w:marBottom w:val="0"/>
      <w:divBdr>
        <w:top w:val="none" w:sz="0" w:space="0" w:color="auto"/>
        <w:left w:val="none" w:sz="0" w:space="0" w:color="auto"/>
        <w:bottom w:val="none" w:sz="0" w:space="0" w:color="auto"/>
        <w:right w:val="none" w:sz="0" w:space="0" w:color="auto"/>
      </w:divBdr>
    </w:div>
    <w:div w:id="1959530671">
      <w:bodyDiv w:val="1"/>
      <w:marLeft w:val="0"/>
      <w:marRight w:val="0"/>
      <w:marTop w:val="0"/>
      <w:marBottom w:val="0"/>
      <w:divBdr>
        <w:top w:val="none" w:sz="0" w:space="0" w:color="auto"/>
        <w:left w:val="none" w:sz="0" w:space="0" w:color="auto"/>
        <w:bottom w:val="none" w:sz="0" w:space="0" w:color="auto"/>
        <w:right w:val="none" w:sz="0" w:space="0" w:color="auto"/>
      </w:divBdr>
    </w:div>
    <w:div w:id="1970473253">
      <w:bodyDiv w:val="1"/>
      <w:marLeft w:val="0"/>
      <w:marRight w:val="0"/>
      <w:marTop w:val="0"/>
      <w:marBottom w:val="0"/>
      <w:divBdr>
        <w:top w:val="none" w:sz="0" w:space="0" w:color="auto"/>
        <w:left w:val="none" w:sz="0" w:space="0" w:color="auto"/>
        <w:bottom w:val="none" w:sz="0" w:space="0" w:color="auto"/>
        <w:right w:val="none" w:sz="0" w:space="0" w:color="auto"/>
      </w:divBdr>
    </w:div>
    <w:div w:id="1978760572">
      <w:bodyDiv w:val="1"/>
      <w:marLeft w:val="0"/>
      <w:marRight w:val="0"/>
      <w:marTop w:val="0"/>
      <w:marBottom w:val="0"/>
      <w:divBdr>
        <w:top w:val="none" w:sz="0" w:space="0" w:color="auto"/>
        <w:left w:val="none" w:sz="0" w:space="0" w:color="auto"/>
        <w:bottom w:val="none" w:sz="0" w:space="0" w:color="auto"/>
        <w:right w:val="none" w:sz="0" w:space="0" w:color="auto"/>
      </w:divBdr>
    </w:div>
    <w:div w:id="2001813615">
      <w:bodyDiv w:val="1"/>
      <w:marLeft w:val="0"/>
      <w:marRight w:val="0"/>
      <w:marTop w:val="0"/>
      <w:marBottom w:val="0"/>
      <w:divBdr>
        <w:top w:val="none" w:sz="0" w:space="0" w:color="auto"/>
        <w:left w:val="none" w:sz="0" w:space="0" w:color="auto"/>
        <w:bottom w:val="none" w:sz="0" w:space="0" w:color="auto"/>
        <w:right w:val="none" w:sz="0" w:space="0" w:color="auto"/>
      </w:divBdr>
    </w:div>
    <w:div w:id="2035494879">
      <w:bodyDiv w:val="1"/>
      <w:marLeft w:val="0"/>
      <w:marRight w:val="0"/>
      <w:marTop w:val="0"/>
      <w:marBottom w:val="0"/>
      <w:divBdr>
        <w:top w:val="none" w:sz="0" w:space="0" w:color="auto"/>
        <w:left w:val="none" w:sz="0" w:space="0" w:color="auto"/>
        <w:bottom w:val="none" w:sz="0" w:space="0" w:color="auto"/>
        <w:right w:val="none" w:sz="0" w:space="0" w:color="auto"/>
      </w:divBdr>
    </w:div>
    <w:div w:id="2070692285">
      <w:bodyDiv w:val="1"/>
      <w:marLeft w:val="0"/>
      <w:marRight w:val="0"/>
      <w:marTop w:val="0"/>
      <w:marBottom w:val="0"/>
      <w:divBdr>
        <w:top w:val="none" w:sz="0" w:space="0" w:color="auto"/>
        <w:left w:val="none" w:sz="0" w:space="0" w:color="auto"/>
        <w:bottom w:val="none" w:sz="0" w:space="0" w:color="auto"/>
        <w:right w:val="none" w:sz="0" w:space="0" w:color="auto"/>
      </w:divBdr>
    </w:div>
    <w:div w:id="2115317671">
      <w:bodyDiv w:val="1"/>
      <w:marLeft w:val="0"/>
      <w:marRight w:val="0"/>
      <w:marTop w:val="0"/>
      <w:marBottom w:val="0"/>
      <w:divBdr>
        <w:top w:val="none" w:sz="0" w:space="0" w:color="auto"/>
        <w:left w:val="none" w:sz="0" w:space="0" w:color="auto"/>
        <w:bottom w:val="none" w:sz="0" w:space="0" w:color="auto"/>
        <w:right w:val="none" w:sz="0" w:space="0" w:color="auto"/>
      </w:divBdr>
    </w:div>
    <w:div w:id="2117862867">
      <w:bodyDiv w:val="1"/>
      <w:marLeft w:val="0"/>
      <w:marRight w:val="0"/>
      <w:marTop w:val="0"/>
      <w:marBottom w:val="0"/>
      <w:divBdr>
        <w:top w:val="none" w:sz="0" w:space="0" w:color="auto"/>
        <w:left w:val="none" w:sz="0" w:space="0" w:color="auto"/>
        <w:bottom w:val="none" w:sz="0" w:space="0" w:color="auto"/>
        <w:right w:val="none" w:sz="0" w:space="0" w:color="auto"/>
      </w:divBdr>
    </w:div>
    <w:div w:id="2122725849">
      <w:bodyDiv w:val="1"/>
      <w:marLeft w:val="0"/>
      <w:marRight w:val="0"/>
      <w:marTop w:val="0"/>
      <w:marBottom w:val="0"/>
      <w:divBdr>
        <w:top w:val="none" w:sz="0" w:space="0" w:color="auto"/>
        <w:left w:val="none" w:sz="0" w:space="0" w:color="auto"/>
        <w:bottom w:val="none" w:sz="0" w:space="0" w:color="auto"/>
        <w:right w:val="none" w:sz="0" w:space="0" w:color="auto"/>
      </w:divBdr>
    </w:div>
    <w:div w:id="2130934415">
      <w:bodyDiv w:val="1"/>
      <w:marLeft w:val="0"/>
      <w:marRight w:val="0"/>
      <w:marTop w:val="0"/>
      <w:marBottom w:val="0"/>
      <w:divBdr>
        <w:top w:val="none" w:sz="0" w:space="0" w:color="auto"/>
        <w:left w:val="none" w:sz="0" w:space="0" w:color="auto"/>
        <w:bottom w:val="none" w:sz="0" w:space="0" w:color="auto"/>
        <w:right w:val="none" w:sz="0" w:space="0" w:color="auto"/>
      </w:divBdr>
    </w:div>
    <w:div w:id="2143111024">
      <w:bodyDiv w:val="1"/>
      <w:marLeft w:val="0"/>
      <w:marRight w:val="0"/>
      <w:marTop w:val="0"/>
      <w:marBottom w:val="0"/>
      <w:divBdr>
        <w:top w:val="none" w:sz="0" w:space="0" w:color="auto"/>
        <w:left w:val="none" w:sz="0" w:space="0" w:color="auto"/>
        <w:bottom w:val="none" w:sz="0" w:space="0" w:color="auto"/>
        <w:right w:val="none" w:sz="0" w:space="0" w:color="auto"/>
      </w:divBdr>
    </w:div>
    <w:div w:id="21445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tiagonzalez@uv.mx" TargetMode="External"/><Relationship Id="rId13" Type="http://schemas.openxmlformats.org/officeDocument/2006/relationships/hyperlink" Target="mailto:tushar.janardan@inecol.mx" TargetMode="External"/><Relationship Id="rId18" Type="http://schemas.openxmlformats.org/officeDocument/2006/relationships/hyperlink" Target="https://admetlab3.scbdd.com/server/evaluationCa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abraham.vidal@inecol.mx" TargetMode="External"/><Relationship Id="rId17" Type="http://schemas.openxmlformats.org/officeDocument/2006/relationships/oleObject" Target="embeddings/oleObject2.bin"/><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drigoqfb@gmail.com" TargetMode="Externa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png"/><Relationship Id="rId28" Type="http://schemas.microsoft.com/office/2007/relationships/hdphoto" Target="media/hdphoto2.wdp"/><Relationship Id="rId10" Type="http://schemas.openxmlformats.org/officeDocument/2006/relationships/hyperlink" Target="mailto:ivbravo@uv.mx"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carloslopez02@uv.mx" TargetMode="Externa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54633-24BF-4D45-9EB8-2881624F3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2609</TotalTime>
  <Pages>40</Pages>
  <Words>8575</Words>
  <Characters>50593</Characters>
  <Application>Microsoft Office Word</Application>
  <DocSecurity>0</DocSecurity>
  <Lines>790</Lines>
  <Paragraphs>159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boonslab_labtop</dc:creator>
  <cp:keywords/>
  <dc:description/>
  <cp:lastModifiedBy>AVL</cp:lastModifiedBy>
  <cp:revision>152</cp:revision>
  <dcterms:created xsi:type="dcterms:W3CDTF">2024-12-05T23:09:00Z</dcterms:created>
  <dcterms:modified xsi:type="dcterms:W3CDTF">2025-06-28T02:37:00Z</dcterms:modified>
</cp:coreProperties>
</file>