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2403" w14:textId="0B0660EA" w:rsidR="004C4925" w:rsidRPr="00CC2230" w:rsidRDefault="004C4925" w:rsidP="004C4925">
      <w:pPr>
        <w:pStyle w:val="MDPI13authornames"/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>Samuel Kakraba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1,</w:t>
      </w:r>
      <w:proofErr w:type="gramStart"/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2,</w:t>
      </w:r>
      <w:r w:rsidRPr="00CC2230">
        <w:rPr>
          <w:rFonts w:ascii="Times New Roman" w:hAnsi="Times New Roman"/>
          <w:color w:val="auto"/>
          <w:sz w:val="24"/>
          <w:szCs w:val="24"/>
        </w:rPr>
        <w:t>*</w:t>
      </w:r>
      <w:proofErr w:type="gramEnd"/>
      <w:r w:rsidRPr="00CC2230">
        <w:rPr>
          <w:rFonts w:ascii="Times New Roman" w:hAnsi="Times New Roman"/>
          <w:color w:val="auto"/>
          <w:sz w:val="24"/>
          <w:szCs w:val="24"/>
        </w:rPr>
        <w:t>, Srinivas Ayyadevara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3,4</w:t>
      </w:r>
      <w:r w:rsidRPr="00CC2230">
        <w:rPr>
          <w:rFonts w:ascii="Times New Roman" w:hAnsi="Times New Roman"/>
          <w:color w:val="auto"/>
          <w:sz w:val="24"/>
          <w:szCs w:val="24"/>
        </w:rPr>
        <w:t>, Aayire C. Yadem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5</w:t>
      </w:r>
      <w:r w:rsidRPr="00CC2230">
        <w:rPr>
          <w:rFonts w:ascii="Times New Roman" w:hAnsi="Times New Roman"/>
          <w:color w:val="auto"/>
          <w:sz w:val="24"/>
          <w:szCs w:val="24"/>
        </w:rPr>
        <w:t>, Kuukua E. Abraham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6</w:t>
      </w:r>
      <w:r w:rsidRPr="00CC2230">
        <w:rPr>
          <w:rFonts w:ascii="Times New Roman" w:hAnsi="Times New Roman"/>
          <w:color w:val="auto"/>
          <w:sz w:val="24"/>
          <w:szCs w:val="24"/>
        </w:rPr>
        <w:t>, Cesar M. Compadre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7</w:t>
      </w:r>
      <w:r w:rsidRPr="00CC2230">
        <w:rPr>
          <w:rFonts w:ascii="Times New Roman" w:hAnsi="Times New Roman"/>
          <w:color w:val="auto"/>
          <w:sz w:val="24"/>
          <w:szCs w:val="24"/>
        </w:rPr>
        <w:t>, and Robert J. Shmookler Reis</w:t>
      </w: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3,4, *</w:t>
      </w:r>
      <w:r w:rsidRPr="00CC223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B4B73AA" w14:textId="49D391A3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Ref180715052"/>
      <w:r w:rsidRPr="00CC2230">
        <w:rPr>
          <w:rFonts w:ascii="Times New Roman" w:hAnsi="Times New Roman"/>
          <w:color w:val="auto"/>
          <w:sz w:val="24"/>
          <w:szCs w:val="24"/>
        </w:rPr>
        <w:t xml:space="preserve">Department of Biostatistics and Data Science, Tulane Celia Scott Weatherhead School of Public Health and Tropical Medicine, Tulane University, New Orleans, LA 70112, USA; </w:t>
      </w:r>
      <w:hyperlink r:id="rId5" w:history="1">
        <w:r w:rsidR="00A25380" w:rsidRPr="00264948">
          <w:rPr>
            <w:rStyle w:val="Hyperlink"/>
            <w:rFonts w:ascii="Times New Roman" w:hAnsi="Times New Roman"/>
            <w:sz w:val="24"/>
            <w:szCs w:val="24"/>
          </w:rPr>
          <w:t>skakraba@tulane.edu</w:t>
        </w:r>
      </w:hyperlink>
      <w:r w:rsidR="00A2538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C2230">
        <w:rPr>
          <w:rFonts w:ascii="Times New Roman" w:hAnsi="Times New Roman"/>
          <w:color w:val="auto"/>
          <w:sz w:val="24"/>
          <w:szCs w:val="24"/>
        </w:rPr>
        <w:t>(SK)</w:t>
      </w:r>
    </w:p>
    <w:p w14:paraId="38A0FBCD" w14:textId="77777777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>Tulane Center for Aging, School of Medicine, Tulane University, New Orleans, LA 70112, USA</w:t>
      </w:r>
      <w:bookmarkEnd w:id="0"/>
    </w:p>
    <w:p w14:paraId="12E8C669" w14:textId="2E331211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Ref180715049"/>
      <w:r w:rsidRPr="00CC2230">
        <w:rPr>
          <w:rFonts w:ascii="Times New Roman" w:hAnsi="Times New Roman"/>
          <w:color w:val="auto"/>
          <w:sz w:val="24"/>
          <w:szCs w:val="24"/>
        </w:rPr>
        <w:t>Department of Geriatrics, University of Arkansas for Medical Sciences, Little Rock, AR 72205, USA; AyyadevaraSrinivas@uams.edu (SA); ReisRobertJS@uams.edu (RJSR)</w:t>
      </w:r>
    </w:p>
    <w:p w14:paraId="071062F2" w14:textId="77777777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>Central Arkansas Veterans Healthcare Service, Little Rock, AR 72205, USA</w:t>
      </w:r>
    </w:p>
    <w:bookmarkEnd w:id="1"/>
    <w:p w14:paraId="1AB08541" w14:textId="77777777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 xml:space="preserve">CytoAstra LLC, Little Rock, AR 72211, USA </w:t>
      </w:r>
    </w:p>
    <w:p w14:paraId="00F4CFF4" w14:textId="2B1F9B59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 xml:space="preserve">Department of Mathematics, Woodale High School, 5151 Scottdale Ave., Memphis, TN 38118, </w:t>
      </w:r>
      <w:r w:rsidR="00A25380" w:rsidRPr="00CC2230">
        <w:rPr>
          <w:rFonts w:ascii="Times New Roman" w:hAnsi="Times New Roman"/>
          <w:color w:val="auto"/>
          <w:sz w:val="24"/>
          <w:szCs w:val="24"/>
        </w:rPr>
        <w:t>USA; abrahamk1@scsk12.org</w:t>
      </w:r>
      <w:r w:rsidRPr="00CC2230">
        <w:rPr>
          <w:rFonts w:ascii="Times New Roman" w:hAnsi="Times New Roman"/>
          <w:color w:val="auto"/>
          <w:sz w:val="24"/>
          <w:szCs w:val="24"/>
        </w:rPr>
        <w:t xml:space="preserve"> (KEA)</w:t>
      </w:r>
    </w:p>
    <w:p w14:paraId="4ADA861A" w14:textId="7848EFF0" w:rsidR="004C4925" w:rsidRPr="00CC2230" w:rsidRDefault="004C4925" w:rsidP="004C4925">
      <w:pPr>
        <w:pStyle w:val="MDPI16affiliation"/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</w:rPr>
        <w:t>Department of Pharmaceutical Sciences, University of Arkansas for Medical Sciences, Little Rock, AR 72205, USA;</w:t>
      </w:r>
      <w:r w:rsidRPr="00CC2230">
        <w:rPr>
          <w:color w:val="auto"/>
        </w:rPr>
        <w:t xml:space="preserve"> </w:t>
      </w:r>
      <w:r w:rsidRPr="00CC2230">
        <w:rPr>
          <w:rFonts w:ascii="Times New Roman" w:hAnsi="Times New Roman"/>
          <w:color w:val="auto"/>
          <w:sz w:val="24"/>
          <w:szCs w:val="24"/>
        </w:rPr>
        <w:t>CMCompadre@uams.edu (CMC)</w:t>
      </w:r>
    </w:p>
    <w:p w14:paraId="3C5771B5" w14:textId="77777777" w:rsidR="004C4925" w:rsidRPr="00CC2230" w:rsidRDefault="004C4925" w:rsidP="004C4925">
      <w:pPr>
        <w:pStyle w:val="MDPI16affiliation"/>
        <w:ind w:left="2608" w:firstLine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1B1FF08" w14:textId="48D08211" w:rsidR="004C4925" w:rsidRPr="00CC2230" w:rsidRDefault="004C4925" w:rsidP="004C4925">
      <w:pPr>
        <w:pStyle w:val="MDPI16affiliation"/>
        <w:ind w:left="198"/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b/>
          <w:color w:val="auto"/>
          <w:sz w:val="24"/>
          <w:szCs w:val="24"/>
          <w:vertAlign w:val="superscript"/>
        </w:rPr>
        <w:t>*</w:t>
      </w:r>
      <w:r w:rsidRPr="00CC2230">
        <w:rPr>
          <w:rFonts w:ascii="Times New Roman" w:hAnsi="Times New Roman"/>
          <w:color w:val="auto"/>
          <w:sz w:val="24"/>
          <w:szCs w:val="24"/>
        </w:rPr>
        <w:t>Correspondence: SK, skakraba@tulane.edu,</w:t>
      </w:r>
      <w:r w:rsidRPr="00CC2230">
        <w:rPr>
          <w:rFonts w:ascii="Times New Roman" w:eastAsia="SimSun" w:hAnsi="Times New Roman"/>
          <w:noProof/>
          <w:color w:val="auto"/>
          <w:sz w:val="24"/>
          <w:szCs w:val="24"/>
          <w:lang w:eastAsia="zh-CN" w:bidi="ar-SA"/>
        </w:rPr>
        <w:t xml:space="preserve"> Tel.:+1-</w:t>
      </w:r>
      <w:r w:rsidR="00054B7E" w:rsidRPr="00054B7E">
        <w:rPr>
          <w:rFonts w:ascii="Georgia" w:eastAsiaTheme="minorHAnsi" w:hAnsiTheme="minorHAnsi" w:cstheme="minorBidi"/>
          <w:color w:val="auto"/>
          <w:sz w:val="21"/>
          <w:szCs w:val="22"/>
          <w:lang w:val="hu-HU" w:eastAsia="en-US" w:bidi="ar-SA"/>
        </w:rPr>
        <w:t xml:space="preserve"> </w:t>
      </w:r>
      <w:r w:rsidR="00054B7E" w:rsidRPr="00054B7E">
        <w:rPr>
          <w:rFonts w:ascii="Times New Roman" w:hAnsi="Times New Roman"/>
          <w:color w:val="auto"/>
          <w:sz w:val="24"/>
          <w:szCs w:val="24"/>
          <w:lang w:val="hu-HU"/>
        </w:rPr>
        <w:t>504-988-2475</w:t>
      </w:r>
    </w:p>
    <w:p w14:paraId="249173F4" w14:textId="77777777" w:rsidR="004C4925" w:rsidRPr="00CC2230" w:rsidRDefault="004C4925" w:rsidP="004C4925">
      <w:pPr>
        <w:pStyle w:val="MDPI16affiliation"/>
        <w:ind w:left="198"/>
        <w:jc w:val="both"/>
        <w:rPr>
          <w:rFonts w:ascii="Times New Roman" w:hAnsi="Times New Roman"/>
          <w:color w:val="auto"/>
          <w:sz w:val="24"/>
          <w:szCs w:val="24"/>
        </w:rPr>
      </w:pPr>
      <w:r w:rsidRPr="00CC2230">
        <w:rPr>
          <w:rFonts w:ascii="Times New Roman" w:hAnsi="Times New Roman"/>
          <w:color w:val="auto"/>
          <w:sz w:val="24"/>
          <w:szCs w:val="24"/>
          <w:vertAlign w:val="superscript"/>
        </w:rPr>
        <w:t>*</w:t>
      </w:r>
      <w:r w:rsidRPr="00CC2230">
        <w:rPr>
          <w:rFonts w:ascii="Times New Roman" w:hAnsi="Times New Roman"/>
          <w:color w:val="auto"/>
          <w:sz w:val="24"/>
          <w:szCs w:val="24"/>
        </w:rPr>
        <w:t>RJSR, rjsr@uams.edu, Tel.: +1-501-257-5560</w:t>
      </w:r>
    </w:p>
    <w:p w14:paraId="53397C26" w14:textId="77777777" w:rsidR="000260CE" w:rsidRPr="004C4925" w:rsidRDefault="000260CE">
      <w:pPr>
        <w:spacing w:after="210" w:line="360" w:lineRule="auto"/>
        <w:rPr>
          <w:rFonts w:ascii="inter" w:eastAsia="inter" w:hAnsi="inter" w:cs="inter"/>
          <w:b/>
          <w:color w:val="000000"/>
          <w:lang w:val="en-US"/>
        </w:rPr>
      </w:pPr>
    </w:p>
    <w:p w14:paraId="36E7F5ED" w14:textId="07F16843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Supplementary Material S1: Molecular Database Construction and Integration</w:t>
      </w:r>
    </w:p>
    <w:p w14:paraId="7BD25D49" w14:textId="77777777" w:rsidR="00B96FE6" w:rsidRDefault="00112F6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7ECC999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051B1B4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Molecular Database Generation</w:t>
      </w:r>
    </w:p>
    <w:p w14:paraId="691B2DB7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1.1 Compound Curation</w:t>
      </w:r>
      <w:r>
        <w:rPr>
          <w:rFonts w:ascii="inter" w:eastAsia="inter" w:hAnsi="inter" w:cs="inter"/>
          <w:color w:val="000000"/>
        </w:rPr>
        <w:br/>
        <w:t>The dataset comprised 85 indole thio-barbituric acid (ITBA) analogs with experimentally validated human DNA polymerase η (hpol η) inhibition activity, quantified as mean percentage activity reduction. Six compounds (e.g., PNR-7-02) were excluded due to unreported hpol η activity. Three outliers (PNR-5-88, PNR-3-50, PNR-3-64) were identified via scatter plots and interquartile range (IQR) analysis and removed to ensure dataset integrity.</w:t>
      </w:r>
    </w:p>
    <w:p w14:paraId="52B5B1D3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1.2 Structural Preparation</w:t>
      </w:r>
    </w:p>
    <w:p w14:paraId="1F73DE85" w14:textId="77777777" w:rsidR="00B96FE6" w:rsidRDefault="000260CE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Chemical Structure Drafting</w:t>
      </w:r>
      <w:r>
        <w:rPr>
          <w:rFonts w:ascii="inter" w:eastAsia="inter" w:hAnsi="inter" w:cs="inter"/>
          <w:color w:val="000000"/>
        </w:rPr>
        <w:t>: Initial structures were designed in ChemDraw, converted to SMILES format, and then to SYBYL Mol2 files using Schrödinger MAESTRO for 3D visualization.</w:t>
      </w:r>
    </w:p>
    <w:p w14:paraId="3B2C5940" w14:textId="77777777" w:rsidR="00B96FE6" w:rsidRDefault="000260CE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Energy Minimization</w:t>
      </w:r>
      <w:r>
        <w:rPr>
          <w:rFonts w:ascii="inter" w:eastAsia="inter" w:hAnsi="inter" w:cs="inter"/>
          <w:color w:val="000000"/>
        </w:rPr>
        <w:t>: Optimized molecular geometries using the OPLS4 force field to ensure stable conformers.</w:t>
      </w:r>
    </w:p>
    <w:p w14:paraId="2F68CA49" w14:textId="77777777" w:rsidR="00B96FE6" w:rsidRDefault="000260CE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Alignment</w:t>
      </w:r>
      <w:r>
        <w:rPr>
          <w:rFonts w:ascii="inter" w:eastAsia="inter" w:hAnsi="inter" w:cs="inter"/>
          <w:color w:val="000000"/>
        </w:rPr>
        <w:t>: Conserved ITBA cores were structurally aligned to standardize side-chain modifications, ensuring consistent descriptor computation.</w:t>
      </w:r>
    </w:p>
    <w:p w14:paraId="62252AC9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1.3 Molecular Descriptor Computation</w:t>
      </w:r>
      <w:r>
        <w:rPr>
          <w:rFonts w:ascii="inter" w:eastAsia="inter" w:hAnsi="inter" w:cs="inter"/>
          <w:color w:val="000000"/>
        </w:rPr>
        <w:br/>
        <w:t>Using Schrödinger MAESTRO, 300+ molecular descriptors spanning four dimensions were calculated:</w:t>
      </w:r>
    </w:p>
    <w:p w14:paraId="46E739CF" w14:textId="77777777" w:rsidR="00B96FE6" w:rsidRDefault="000260CE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1D</w:t>
      </w:r>
      <w:r>
        <w:rPr>
          <w:rFonts w:ascii="inter" w:eastAsia="inter" w:hAnsi="inter" w:cs="inter"/>
          <w:color w:val="000000"/>
        </w:rPr>
        <w:t>: Atom count, molecular weight, logP.</w:t>
      </w:r>
    </w:p>
    <w:p w14:paraId="2FA19D68" w14:textId="77777777" w:rsidR="00B96FE6" w:rsidRDefault="000260CE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2D</w:t>
      </w:r>
      <w:r>
        <w:rPr>
          <w:rFonts w:ascii="inter" w:eastAsia="inter" w:hAnsi="inter" w:cs="inter"/>
          <w:color w:val="000000"/>
        </w:rPr>
        <w:t>: Topological indices (e.g., Balaban distance connectivity index), functional groups.</w:t>
      </w:r>
    </w:p>
    <w:p w14:paraId="66206523" w14:textId="77777777" w:rsidR="00B96FE6" w:rsidRDefault="000260CE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3D</w:t>
      </w:r>
      <w:r>
        <w:rPr>
          <w:rFonts w:ascii="inter" w:eastAsia="inter" w:hAnsi="inter" w:cs="inter"/>
          <w:color w:val="000000"/>
        </w:rPr>
        <w:t>: Dipole moment, spatial volume, HOMO-LUMO energies.</w:t>
      </w:r>
    </w:p>
    <w:p w14:paraId="03D4DF10" w14:textId="77777777" w:rsidR="00B96FE6" w:rsidRDefault="000260CE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4D</w:t>
      </w:r>
      <w:r>
        <w:rPr>
          <w:rFonts w:ascii="inter" w:eastAsia="inter" w:hAnsi="inter" w:cs="inter"/>
          <w:color w:val="000000"/>
        </w:rPr>
        <w:t>: Solvation connectivity indices, polar surface area (PSA), and electronegativity-weighted charge indices.</w:t>
      </w:r>
    </w:p>
    <w:p w14:paraId="187E1925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color w:val="000000"/>
        </w:rPr>
        <w:t>Quantum chemical descriptors (e.g., HOMO energy, polarizability) were derived to capture electronic behavior during polymerase interactions.</w:t>
      </w:r>
    </w:p>
    <w:p w14:paraId="389759FD" w14:textId="77777777" w:rsidR="00B96FE6" w:rsidRDefault="00112F6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41AFDC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1640592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Data Preprocessing</w:t>
      </w:r>
    </w:p>
    <w:p w14:paraId="15367088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2.1 Activity Normalization</w:t>
      </w:r>
      <w:r>
        <w:rPr>
          <w:rFonts w:ascii="inter" w:eastAsia="inter" w:hAnsi="inter" w:cs="inter"/>
          <w:color w:val="000000"/>
        </w:rPr>
        <w:br/>
        <w:t>Inhibition activity values were standardized to a 0–100% scale, with lower values indicating stronger inhibition.</w:t>
      </w:r>
    </w:p>
    <w:p w14:paraId="6487D79D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2.2 Feature Engineering</w:t>
      </w:r>
    </w:p>
    <w:p w14:paraId="4A678371" w14:textId="77777777" w:rsidR="00B96FE6" w:rsidRDefault="000260CE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Missing Data</w:t>
      </w:r>
      <w:r>
        <w:rPr>
          <w:rFonts w:ascii="inter" w:eastAsia="inter" w:hAnsi="inter" w:cs="inter"/>
          <w:color w:val="000000"/>
        </w:rPr>
        <w:t>: Compounds with incomplete descriptor profiles were excluded.</w:t>
      </w:r>
    </w:p>
    <w:p w14:paraId="002A64FD" w14:textId="77777777" w:rsidR="00B96FE6" w:rsidRDefault="000260CE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Normalization</w:t>
      </w:r>
      <w:r>
        <w:rPr>
          <w:rFonts w:ascii="inter" w:eastAsia="inter" w:hAnsi="inter" w:cs="inter"/>
          <w:color w:val="000000"/>
        </w:rPr>
        <w:t xml:space="preserve">: Features were scaled using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StandardScaler</w:t>
      </w:r>
      <w:r>
        <w:rPr>
          <w:rFonts w:ascii="inter" w:eastAsia="inter" w:hAnsi="inter" w:cs="inter"/>
          <w:color w:val="000000"/>
        </w:rPr>
        <w:t xml:space="preserve"> (mean = 0, variance = 1) to ensure equal weighting during machine learning (ML) model training.</w:t>
      </w:r>
    </w:p>
    <w:p w14:paraId="09B54B76" w14:textId="137992E6" w:rsidR="00B96FE6" w:rsidRDefault="000260CE" w:rsidP="000260CE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Split</w:t>
      </w:r>
      <w:r>
        <w:rPr>
          <w:rFonts w:ascii="inter" w:eastAsia="inter" w:hAnsi="inter" w:cs="inter"/>
          <w:color w:val="000000"/>
        </w:rPr>
        <w:t>: The dataset was divided into 80% training (68 compounds) and 20% testing (17 compounds) sets using stratified sampling to preserve activity distribution.</w:t>
      </w:r>
    </w:p>
    <w:p w14:paraId="0B1C974E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Database Structure</w:t>
      </w:r>
      <w:r>
        <w:rPr>
          <w:rFonts w:ascii="inter" w:eastAsia="inter" w:hAnsi="inter" w:cs="inter"/>
          <w:color w:val="000000"/>
        </w:rPr>
        <w:br/>
        <w:t xml:space="preserve">The final molecular database (provided as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Dna-polymerase_activity_outliers_3_deleted.csv</w:t>
      </w:r>
      <w:r>
        <w:rPr>
          <w:rFonts w:ascii="inter" w:eastAsia="inter" w:hAnsi="inter" w:cs="inter"/>
          <w:color w:val="000000"/>
        </w:rPr>
        <w:t>) includes:</w:t>
      </w:r>
    </w:p>
    <w:p w14:paraId="62E54FF8" w14:textId="77777777" w:rsidR="00B96FE6" w:rsidRDefault="000260CE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Rows</w:t>
      </w:r>
      <w:r>
        <w:rPr>
          <w:rFonts w:ascii="inter" w:eastAsia="inter" w:hAnsi="inter" w:cs="inter"/>
          <w:color w:val="000000"/>
        </w:rPr>
        <w:t>: 82 compounds (after outlier removal).</w:t>
      </w:r>
    </w:p>
    <w:p w14:paraId="1239C59F" w14:textId="77777777" w:rsidR="00B96FE6" w:rsidRDefault="000260CE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Columns</w:t>
      </w:r>
      <w:r>
        <w:rPr>
          <w:rFonts w:ascii="inter" w:eastAsia="inter" w:hAnsi="inter" w:cs="inter"/>
          <w:color w:val="000000"/>
        </w:rPr>
        <w:t>:</w:t>
      </w:r>
    </w:p>
    <w:p w14:paraId="4D5F2726" w14:textId="77777777" w:rsidR="00B96FE6" w:rsidRDefault="000260CE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Identifier</w:t>
      </w:r>
      <w:r>
        <w:rPr>
          <w:rFonts w:ascii="inter" w:eastAsia="inter" w:hAnsi="inter" w:cs="inter"/>
          <w:color w:val="000000"/>
        </w:rPr>
        <w:t>: Compound IDs (e.g., PNR-6-89).</w:t>
      </w:r>
    </w:p>
    <w:p w14:paraId="566DB418" w14:textId="77777777" w:rsidR="00B96FE6" w:rsidRDefault="000260CE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Activity</w:t>
      </w:r>
      <w:r>
        <w:rPr>
          <w:rFonts w:ascii="inter" w:eastAsia="inter" w:hAnsi="inter" w:cs="inter"/>
          <w:color w:val="000000"/>
        </w:rPr>
        <w:t>: Mean percentage hpol η inhibition.</w:t>
      </w:r>
    </w:p>
    <w:p w14:paraId="49A2EE03" w14:textId="77777777" w:rsidR="00B96FE6" w:rsidRDefault="000260CE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Descriptors</w:t>
      </w:r>
      <w:r>
        <w:rPr>
          <w:rFonts w:ascii="inter" w:eastAsia="inter" w:hAnsi="inter" w:cs="inter"/>
          <w:color w:val="000000"/>
        </w:rPr>
        <w:t xml:space="preserve">: 300+ molecular features (e.g.,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r_desc_PEOE6</w:t>
      </w:r>
      <w:r>
        <w:rPr>
          <w:rFonts w:ascii="inter" w:eastAsia="inter" w:hAnsi="inter" w:cs="inter"/>
          <w:color w:val="000000"/>
        </w:rPr>
        <w:t xml:space="preserve">,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r_qp_QPlogPC16</w:t>
      </w:r>
      <w:r>
        <w:rPr>
          <w:rFonts w:ascii="inter" w:eastAsia="inter" w:hAnsi="inter" w:cs="inter"/>
          <w:color w:val="000000"/>
        </w:rPr>
        <w:t>).</w:t>
      </w:r>
    </w:p>
    <w:p w14:paraId="0A91B525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Key descriptors identified via SHAP analysis as critical for inhibition include:</w:t>
      </w:r>
    </w:p>
    <w:p w14:paraId="12DF0DEF" w14:textId="77777777" w:rsidR="00B96FE6" w:rsidRDefault="000260CE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Electronic properties</w:t>
      </w:r>
      <w:r>
        <w:rPr>
          <w:rFonts w:ascii="inter" w:eastAsia="inter" w:hAnsi="inter" w:cs="inter"/>
          <w:color w:val="000000"/>
        </w:rPr>
        <w:t xml:space="preserve">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r_desc_PEOE6</w:t>
      </w:r>
      <w:r>
        <w:rPr>
          <w:rFonts w:ascii="inter" w:eastAsia="inter" w:hAnsi="inter" w:cs="inter"/>
          <w:color w:val="000000"/>
        </w:rPr>
        <w:t xml:space="preserve"> (partial charge distribution).</w:t>
      </w:r>
    </w:p>
    <w:p w14:paraId="122633DD" w14:textId="77777777" w:rsidR="00B96FE6" w:rsidRDefault="000260CE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Lipophilicity</w:t>
      </w:r>
      <w:r>
        <w:rPr>
          <w:rFonts w:ascii="inter" w:eastAsia="inter" w:hAnsi="inter" w:cs="inter"/>
          <w:color w:val="000000"/>
        </w:rPr>
        <w:t xml:space="preserve">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r_qp_QPlogPC16</w:t>
      </w:r>
      <w:r>
        <w:rPr>
          <w:rFonts w:ascii="inter" w:eastAsia="inter" w:hAnsi="inter" w:cs="inter"/>
          <w:color w:val="000000"/>
        </w:rPr>
        <w:t xml:space="preserve"> (partition coefficient).</w:t>
      </w:r>
    </w:p>
    <w:p w14:paraId="5EA054F0" w14:textId="77777777" w:rsidR="00B96FE6" w:rsidRDefault="000260CE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Topological distances</w:t>
      </w:r>
      <w:r>
        <w:rPr>
          <w:rFonts w:ascii="inter" w:eastAsia="inter" w:hAnsi="inter" w:cs="inter"/>
          <w:color w:val="000000"/>
        </w:rPr>
        <w:t xml:space="preserve">: 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  <w:shd w:val="clear" w:color="auto" w:fill="F8F8FA"/>
        </w:rPr>
        <w:t>i_desc_Sum_of_topological_distances_between_O.Cl</w:t>
      </w:r>
      <w:r>
        <w:rPr>
          <w:rFonts w:ascii="inter" w:eastAsia="inter" w:hAnsi="inter" w:cs="inter"/>
          <w:color w:val="000000"/>
        </w:rPr>
        <w:t>.</w:t>
      </w:r>
    </w:p>
    <w:p w14:paraId="47E7691B" w14:textId="77777777" w:rsidR="00B96FE6" w:rsidRDefault="00112F6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C55E292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3B81C8F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Database Integration</w:t>
      </w:r>
    </w:p>
    <w:p w14:paraId="192C5512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4.1 Accessibility</w:t>
      </w:r>
      <w:r>
        <w:rPr>
          <w:rFonts w:ascii="inter" w:eastAsia="inter" w:hAnsi="inter" w:cs="inter"/>
          <w:color w:val="000000"/>
        </w:rPr>
        <w:br/>
        <w:t>The database is hosted on [repository name/link] in two formats:</w:t>
      </w:r>
    </w:p>
    <w:p w14:paraId="54C85314" w14:textId="77777777" w:rsidR="00B96FE6" w:rsidRDefault="000260CE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CSV</w:t>
      </w:r>
      <w:r>
        <w:rPr>
          <w:rFonts w:ascii="inter" w:eastAsia="inter" w:hAnsi="inter" w:cs="inter"/>
          <w:color w:val="000000"/>
        </w:rPr>
        <w:t>: For compatibility with Python/R workflows.</w:t>
      </w:r>
    </w:p>
    <w:p w14:paraId="2428014E" w14:textId="77777777" w:rsidR="00B96FE6" w:rsidRDefault="000260CE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.Rda</w:t>
      </w:r>
      <w:r>
        <w:rPr>
          <w:rFonts w:ascii="inter" w:eastAsia="inter" w:hAnsi="inter" w:cs="inter"/>
          <w:color w:val="000000"/>
        </w:rPr>
        <w:t>: For seamless integration with R-based QSAR pipelines.</w:t>
      </w:r>
    </w:p>
    <w:p w14:paraId="2DC6DB6A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4.2 Usage Notes</w:t>
      </w:r>
    </w:p>
    <w:p w14:paraId="40DC2F53" w14:textId="77777777" w:rsidR="00B96FE6" w:rsidRDefault="000260CE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File Loading</w:t>
      </w:r>
      <w:r>
        <w:rPr>
          <w:rFonts w:ascii="inter" w:eastAsia="inter" w:hAnsi="inter" w:cs="inter"/>
          <w:color w:val="000000"/>
        </w:rPr>
        <w:t>:</w:t>
      </w:r>
    </w:p>
    <w:p w14:paraId="5A10575F" w14:textId="77777777" w:rsidR="00B96FE6" w:rsidRDefault="000260CE">
      <w:pPr>
        <w:shd w:val="clear" w:color="auto" w:fill="F8F8FA"/>
        <w:spacing w:line="336" w:lineRule="auto"/>
        <w:ind w:left="540"/>
      </w:pP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import pandas as pd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df = pd.read_csv("Dna-polymerase_activity_outliers_3_deleted.csv")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</w:p>
    <w:p w14:paraId="3FF4B7A5" w14:textId="77777777" w:rsidR="00B96FE6" w:rsidRDefault="000260CE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Descriptor Selection</w:t>
      </w:r>
      <w:r>
        <w:rPr>
          <w:rFonts w:ascii="inter" w:eastAsia="inter" w:hAnsi="inter" w:cs="inter"/>
          <w:color w:val="000000"/>
        </w:rPr>
        <w:t>: Prioritize SHAP-validated features (see Section 3) for model interpretability.</w:t>
      </w:r>
    </w:p>
    <w:p w14:paraId="7723FD5A" w14:textId="34609D32" w:rsidR="00B96FE6" w:rsidRDefault="000260CE" w:rsidP="000260CE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Updates</w:t>
      </w:r>
      <w:r>
        <w:rPr>
          <w:rFonts w:ascii="inter" w:eastAsia="inter" w:hAnsi="inter" w:cs="inter"/>
          <w:color w:val="000000"/>
        </w:rPr>
        <w:t>: Future versions will include dynamic 4D descriptors (e.g., molecular dynamics trajectories).</w:t>
      </w:r>
    </w:p>
    <w:p w14:paraId="3ABB5364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Validation</w:t>
      </w:r>
      <w:r>
        <w:rPr>
          <w:rFonts w:ascii="inter" w:eastAsia="inter" w:hAnsi="inter" w:cs="inter"/>
          <w:color w:val="000000"/>
        </w:rPr>
        <w:br/>
        <w:t>The database’s robustness was confirmed through:</w:t>
      </w:r>
    </w:p>
    <w:p w14:paraId="3F7AFA2C" w14:textId="77777777" w:rsidR="00B96FE6" w:rsidRDefault="000260CE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ML Performance</w:t>
      </w:r>
      <w:r>
        <w:rPr>
          <w:rFonts w:ascii="inter" w:eastAsia="inter" w:hAnsi="inter" w:cs="inter"/>
          <w:color w:val="000000"/>
        </w:rPr>
        <w:t>: Random Forest achieved testing MSE = 0.0003, R² = 0.9998.</w:t>
      </w:r>
    </w:p>
    <w:p w14:paraId="6BDC3177" w14:textId="77777777" w:rsidR="00B96FE6" w:rsidRDefault="000260CE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SHAP Consistency</w:t>
      </w:r>
      <w:r>
        <w:rPr>
          <w:rFonts w:ascii="inter" w:eastAsia="inter" w:hAnsi="inter" w:cs="inter"/>
          <w:color w:val="000000"/>
        </w:rPr>
        <w:t>: Top descriptors aligned with known biochemical principles (e.g., electronic properties govern binding affinity).</w:t>
      </w:r>
    </w:p>
    <w:p w14:paraId="79628701" w14:textId="77777777" w:rsidR="00B96FE6" w:rsidRDefault="000260CE">
      <w:pPr>
        <w:spacing w:after="210" w:line="360" w:lineRule="auto"/>
      </w:pPr>
      <w:r>
        <w:rPr>
          <w:rFonts w:ascii="inter" w:eastAsia="inter" w:hAnsi="inter" w:cs="inter"/>
          <w:color w:val="000000"/>
        </w:rPr>
        <w:t>This database provides a foundation for AI-driven inhibitor discovery and reproducibility in chemoresistance research.</w:t>
      </w:r>
    </w:p>
    <w:p w14:paraId="53E23D67" w14:textId="5B91917A" w:rsidR="00B96FE6" w:rsidRDefault="00B96FE6">
      <w:pPr>
        <w:spacing w:before="210" w:after="0" w:line="360" w:lineRule="auto"/>
      </w:pPr>
    </w:p>
    <w:p w14:paraId="6F001974" w14:textId="77777777" w:rsidR="00620B2F" w:rsidRDefault="000260CE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References:</w:t>
      </w:r>
    </w:p>
    <w:p w14:paraId="5826FD7E" w14:textId="77777777" w:rsidR="00620B2F" w:rsidRDefault="000260CE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 xml:space="preserve"> Kakraba, S., Drugs That Protect Against Protein Aggregation in Neurodegenerative Diseases. 2021.</w:t>
      </w:r>
    </w:p>
    <w:p w14:paraId="6CC4B8DC" w14:textId="77777777" w:rsidR="00620B2F" w:rsidRDefault="000260CE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lastRenderedPageBreak/>
        <w:t xml:space="preserve"> Zafar, M.K., et al., A Small-Molecule Inhibitor of Human DNA Polymerase η. </w:t>
      </w:r>
      <w:r>
        <w:rPr>
          <w:rFonts w:ascii="inter" w:eastAsia="inter" w:hAnsi="inter" w:cs="inter"/>
          <w:i/>
          <w:color w:val="000000"/>
        </w:rPr>
        <w:t>Biochemistry</w:t>
      </w:r>
      <w:r>
        <w:rPr>
          <w:rFonts w:ascii="inter" w:eastAsia="inter" w:hAnsi="inter" w:cs="inter"/>
          <w:color w:val="000000"/>
        </w:rPr>
        <w:t>, 2018.</w:t>
      </w:r>
    </w:p>
    <w:p w14:paraId="295A84FE" w14:textId="6AD79D91" w:rsidR="00B96FE6" w:rsidRDefault="000260C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 Sankar, K., et al., A Descriptor Set for QSPR Prediction in Biologics. </w:t>
      </w:r>
      <w:r>
        <w:rPr>
          <w:rFonts w:ascii="inter" w:eastAsia="inter" w:hAnsi="inter" w:cs="inter"/>
          <w:i/>
          <w:color w:val="000000"/>
        </w:rPr>
        <w:t>Molecular Informatics</w:t>
      </w:r>
      <w:r>
        <w:rPr>
          <w:rFonts w:ascii="inter" w:eastAsia="inter" w:hAnsi="inter" w:cs="inter"/>
          <w:color w:val="000000"/>
        </w:rPr>
        <w:t xml:space="preserve">, 2022. Sivakumar, M., et al., Trade-off Between Training and Testing Ratios in ML. </w:t>
      </w:r>
      <w:r>
        <w:rPr>
          <w:rFonts w:ascii="inter" w:eastAsia="inter" w:hAnsi="inter" w:cs="inter"/>
          <w:i/>
          <w:color w:val="000000"/>
        </w:rPr>
        <w:t>PeerJ Comput Sci</w:t>
      </w:r>
      <w:r>
        <w:rPr>
          <w:rFonts w:ascii="inter" w:eastAsia="inter" w:hAnsi="inter" w:cs="inter"/>
          <w:color w:val="000000"/>
        </w:rPr>
        <w:t>, 2024.</w:t>
      </w:r>
    </w:p>
    <w:p w14:paraId="10ACBF52" w14:textId="2150235C" w:rsidR="00B96FE6" w:rsidRDefault="00B96FE6">
      <w:pPr>
        <w:spacing w:line="360" w:lineRule="auto"/>
      </w:pPr>
    </w:p>
    <w:sectPr w:rsidR="00B96FE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IBM Plex Mono">
    <w:charset w:val="00"/>
    <w:family w:val="modern"/>
    <w:pitch w:val="fixed"/>
    <w:sig w:usb0="A000026F" w:usb1="5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072"/>
    <w:multiLevelType w:val="hybridMultilevel"/>
    <w:tmpl w:val="1040C168"/>
    <w:lvl w:ilvl="0" w:tplc="A5BCB1F2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2922239"/>
    <w:multiLevelType w:val="hybridMultilevel"/>
    <w:tmpl w:val="313A00FC"/>
    <w:lvl w:ilvl="0" w:tplc="29BA1AE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726F5A">
      <w:numFmt w:val="decimal"/>
      <w:lvlText w:val=""/>
      <w:lvlJc w:val="left"/>
    </w:lvl>
    <w:lvl w:ilvl="2" w:tplc="6AD86650">
      <w:numFmt w:val="decimal"/>
      <w:lvlText w:val=""/>
      <w:lvlJc w:val="left"/>
    </w:lvl>
    <w:lvl w:ilvl="3" w:tplc="962EC628">
      <w:numFmt w:val="decimal"/>
      <w:lvlText w:val=""/>
      <w:lvlJc w:val="left"/>
    </w:lvl>
    <w:lvl w:ilvl="4" w:tplc="9A704666">
      <w:numFmt w:val="decimal"/>
      <w:lvlText w:val=""/>
      <w:lvlJc w:val="left"/>
    </w:lvl>
    <w:lvl w:ilvl="5" w:tplc="1742B50E">
      <w:numFmt w:val="decimal"/>
      <w:lvlText w:val=""/>
      <w:lvlJc w:val="left"/>
    </w:lvl>
    <w:lvl w:ilvl="6" w:tplc="85EE8AD2">
      <w:numFmt w:val="decimal"/>
      <w:lvlText w:val=""/>
      <w:lvlJc w:val="left"/>
    </w:lvl>
    <w:lvl w:ilvl="7" w:tplc="00B0A1EA">
      <w:numFmt w:val="decimal"/>
      <w:lvlText w:val=""/>
      <w:lvlJc w:val="left"/>
    </w:lvl>
    <w:lvl w:ilvl="8" w:tplc="369EA01C">
      <w:numFmt w:val="decimal"/>
      <w:lvlText w:val=""/>
      <w:lvlJc w:val="left"/>
    </w:lvl>
  </w:abstractNum>
  <w:abstractNum w:abstractNumId="2" w15:restartNumberingAfterBreak="0">
    <w:nsid w:val="1D4E750C"/>
    <w:multiLevelType w:val="hybridMultilevel"/>
    <w:tmpl w:val="582AC7B6"/>
    <w:lvl w:ilvl="0" w:tplc="072099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6A2342">
      <w:numFmt w:val="decimal"/>
      <w:lvlText w:val=""/>
      <w:lvlJc w:val="left"/>
    </w:lvl>
    <w:lvl w:ilvl="2" w:tplc="1C0689E8">
      <w:numFmt w:val="decimal"/>
      <w:lvlText w:val=""/>
      <w:lvlJc w:val="left"/>
    </w:lvl>
    <w:lvl w:ilvl="3" w:tplc="FBDE0152">
      <w:numFmt w:val="decimal"/>
      <w:lvlText w:val=""/>
      <w:lvlJc w:val="left"/>
    </w:lvl>
    <w:lvl w:ilvl="4" w:tplc="1F08CE0C">
      <w:numFmt w:val="decimal"/>
      <w:lvlText w:val=""/>
      <w:lvlJc w:val="left"/>
    </w:lvl>
    <w:lvl w:ilvl="5" w:tplc="2A9AC75E">
      <w:numFmt w:val="decimal"/>
      <w:lvlText w:val=""/>
      <w:lvlJc w:val="left"/>
    </w:lvl>
    <w:lvl w:ilvl="6" w:tplc="1BAE40B0">
      <w:numFmt w:val="decimal"/>
      <w:lvlText w:val=""/>
      <w:lvlJc w:val="left"/>
    </w:lvl>
    <w:lvl w:ilvl="7" w:tplc="17DCA110">
      <w:numFmt w:val="decimal"/>
      <w:lvlText w:val=""/>
      <w:lvlJc w:val="left"/>
    </w:lvl>
    <w:lvl w:ilvl="8" w:tplc="572A7868">
      <w:numFmt w:val="decimal"/>
      <w:lvlText w:val=""/>
      <w:lvlJc w:val="left"/>
    </w:lvl>
  </w:abstractNum>
  <w:abstractNum w:abstractNumId="3" w15:restartNumberingAfterBreak="0">
    <w:nsid w:val="1F4D16F8"/>
    <w:multiLevelType w:val="hybridMultilevel"/>
    <w:tmpl w:val="D5A8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636F"/>
    <w:multiLevelType w:val="hybridMultilevel"/>
    <w:tmpl w:val="ABFA0808"/>
    <w:lvl w:ilvl="0" w:tplc="5672EDD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5D05B4E">
      <w:numFmt w:val="decimal"/>
      <w:lvlText w:val=""/>
      <w:lvlJc w:val="left"/>
    </w:lvl>
    <w:lvl w:ilvl="2" w:tplc="1B84D6EA">
      <w:numFmt w:val="decimal"/>
      <w:lvlText w:val=""/>
      <w:lvlJc w:val="left"/>
    </w:lvl>
    <w:lvl w:ilvl="3" w:tplc="80361B64">
      <w:numFmt w:val="decimal"/>
      <w:lvlText w:val=""/>
      <w:lvlJc w:val="left"/>
    </w:lvl>
    <w:lvl w:ilvl="4" w:tplc="433A5436">
      <w:numFmt w:val="decimal"/>
      <w:lvlText w:val=""/>
      <w:lvlJc w:val="left"/>
    </w:lvl>
    <w:lvl w:ilvl="5" w:tplc="F1200B46">
      <w:numFmt w:val="decimal"/>
      <w:lvlText w:val=""/>
      <w:lvlJc w:val="left"/>
    </w:lvl>
    <w:lvl w:ilvl="6" w:tplc="E7122918">
      <w:numFmt w:val="decimal"/>
      <w:lvlText w:val=""/>
      <w:lvlJc w:val="left"/>
    </w:lvl>
    <w:lvl w:ilvl="7" w:tplc="D05AC220">
      <w:numFmt w:val="decimal"/>
      <w:lvlText w:val=""/>
      <w:lvlJc w:val="left"/>
    </w:lvl>
    <w:lvl w:ilvl="8" w:tplc="C1D0C2E6">
      <w:numFmt w:val="decimal"/>
      <w:lvlText w:val=""/>
      <w:lvlJc w:val="left"/>
    </w:lvl>
  </w:abstractNum>
  <w:abstractNum w:abstractNumId="5" w15:restartNumberingAfterBreak="0">
    <w:nsid w:val="35D14DA9"/>
    <w:multiLevelType w:val="hybridMultilevel"/>
    <w:tmpl w:val="15188B7A"/>
    <w:lvl w:ilvl="0" w:tplc="593A94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D56BA32">
      <w:numFmt w:val="decimal"/>
      <w:lvlText w:val=""/>
      <w:lvlJc w:val="left"/>
    </w:lvl>
    <w:lvl w:ilvl="2" w:tplc="8EB64DC2">
      <w:numFmt w:val="decimal"/>
      <w:lvlText w:val=""/>
      <w:lvlJc w:val="left"/>
    </w:lvl>
    <w:lvl w:ilvl="3" w:tplc="976819B4">
      <w:numFmt w:val="decimal"/>
      <w:lvlText w:val=""/>
      <w:lvlJc w:val="left"/>
    </w:lvl>
    <w:lvl w:ilvl="4" w:tplc="90D8499C">
      <w:numFmt w:val="decimal"/>
      <w:lvlText w:val=""/>
      <w:lvlJc w:val="left"/>
    </w:lvl>
    <w:lvl w:ilvl="5" w:tplc="5086BAF6">
      <w:numFmt w:val="decimal"/>
      <w:lvlText w:val=""/>
      <w:lvlJc w:val="left"/>
    </w:lvl>
    <w:lvl w:ilvl="6" w:tplc="E1367750">
      <w:numFmt w:val="decimal"/>
      <w:lvlText w:val=""/>
      <w:lvlJc w:val="left"/>
    </w:lvl>
    <w:lvl w:ilvl="7" w:tplc="93466C84">
      <w:numFmt w:val="decimal"/>
      <w:lvlText w:val=""/>
      <w:lvlJc w:val="left"/>
    </w:lvl>
    <w:lvl w:ilvl="8" w:tplc="76B8E2A6">
      <w:numFmt w:val="decimal"/>
      <w:lvlText w:val=""/>
      <w:lvlJc w:val="left"/>
    </w:lvl>
  </w:abstractNum>
  <w:abstractNum w:abstractNumId="6" w15:restartNumberingAfterBreak="0">
    <w:nsid w:val="52891412"/>
    <w:multiLevelType w:val="hybridMultilevel"/>
    <w:tmpl w:val="696EFC00"/>
    <w:lvl w:ilvl="0" w:tplc="35B6E4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80A78C">
      <w:numFmt w:val="decimal"/>
      <w:lvlText w:val=""/>
      <w:lvlJc w:val="left"/>
    </w:lvl>
    <w:lvl w:ilvl="2" w:tplc="4B789880">
      <w:numFmt w:val="decimal"/>
      <w:lvlText w:val=""/>
      <w:lvlJc w:val="left"/>
    </w:lvl>
    <w:lvl w:ilvl="3" w:tplc="F984D8D0">
      <w:numFmt w:val="decimal"/>
      <w:lvlText w:val=""/>
      <w:lvlJc w:val="left"/>
    </w:lvl>
    <w:lvl w:ilvl="4" w:tplc="47DC22DA">
      <w:numFmt w:val="decimal"/>
      <w:lvlText w:val=""/>
      <w:lvlJc w:val="left"/>
    </w:lvl>
    <w:lvl w:ilvl="5" w:tplc="6248FAAC">
      <w:numFmt w:val="decimal"/>
      <w:lvlText w:val=""/>
      <w:lvlJc w:val="left"/>
    </w:lvl>
    <w:lvl w:ilvl="6" w:tplc="5CAE0E2A">
      <w:numFmt w:val="decimal"/>
      <w:lvlText w:val=""/>
      <w:lvlJc w:val="left"/>
    </w:lvl>
    <w:lvl w:ilvl="7" w:tplc="9DFAED18">
      <w:numFmt w:val="decimal"/>
      <w:lvlText w:val=""/>
      <w:lvlJc w:val="left"/>
    </w:lvl>
    <w:lvl w:ilvl="8" w:tplc="3A925138">
      <w:numFmt w:val="decimal"/>
      <w:lvlText w:val=""/>
      <w:lvlJc w:val="left"/>
    </w:lvl>
  </w:abstractNum>
  <w:abstractNum w:abstractNumId="7" w15:restartNumberingAfterBreak="0">
    <w:nsid w:val="55EB54EC"/>
    <w:multiLevelType w:val="hybridMultilevel"/>
    <w:tmpl w:val="73AAB87A"/>
    <w:lvl w:ilvl="0" w:tplc="CBF049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EF6D6">
      <w:numFmt w:val="decimal"/>
      <w:lvlText w:val=""/>
      <w:lvlJc w:val="left"/>
    </w:lvl>
    <w:lvl w:ilvl="2" w:tplc="106C3D9C">
      <w:numFmt w:val="decimal"/>
      <w:lvlText w:val=""/>
      <w:lvlJc w:val="left"/>
    </w:lvl>
    <w:lvl w:ilvl="3" w:tplc="04BCE83A">
      <w:numFmt w:val="decimal"/>
      <w:lvlText w:val=""/>
      <w:lvlJc w:val="left"/>
    </w:lvl>
    <w:lvl w:ilvl="4" w:tplc="A0683FD4">
      <w:numFmt w:val="decimal"/>
      <w:lvlText w:val=""/>
      <w:lvlJc w:val="left"/>
    </w:lvl>
    <w:lvl w:ilvl="5" w:tplc="0D2E0C28">
      <w:numFmt w:val="decimal"/>
      <w:lvlText w:val=""/>
      <w:lvlJc w:val="left"/>
    </w:lvl>
    <w:lvl w:ilvl="6" w:tplc="BCB4EE0A">
      <w:numFmt w:val="decimal"/>
      <w:lvlText w:val=""/>
      <w:lvlJc w:val="left"/>
    </w:lvl>
    <w:lvl w:ilvl="7" w:tplc="7DEE80D4">
      <w:numFmt w:val="decimal"/>
      <w:lvlText w:val=""/>
      <w:lvlJc w:val="left"/>
    </w:lvl>
    <w:lvl w:ilvl="8" w:tplc="DEB8EFEC">
      <w:numFmt w:val="decimal"/>
      <w:lvlText w:val=""/>
      <w:lvlJc w:val="left"/>
    </w:lvl>
  </w:abstractNum>
  <w:abstractNum w:abstractNumId="8" w15:restartNumberingAfterBreak="0">
    <w:nsid w:val="62BA3C70"/>
    <w:multiLevelType w:val="hybridMultilevel"/>
    <w:tmpl w:val="8F5436FC"/>
    <w:lvl w:ilvl="0" w:tplc="BAA605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642AC9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F665BA8">
      <w:numFmt w:val="decimal"/>
      <w:lvlText w:val=""/>
      <w:lvlJc w:val="left"/>
    </w:lvl>
    <w:lvl w:ilvl="3" w:tplc="9E64DAC6">
      <w:numFmt w:val="decimal"/>
      <w:lvlText w:val=""/>
      <w:lvlJc w:val="left"/>
    </w:lvl>
    <w:lvl w:ilvl="4" w:tplc="728867E6">
      <w:numFmt w:val="decimal"/>
      <w:lvlText w:val=""/>
      <w:lvlJc w:val="left"/>
    </w:lvl>
    <w:lvl w:ilvl="5" w:tplc="7C0EA688">
      <w:numFmt w:val="decimal"/>
      <w:lvlText w:val=""/>
      <w:lvlJc w:val="left"/>
    </w:lvl>
    <w:lvl w:ilvl="6" w:tplc="41EAF9FC">
      <w:numFmt w:val="decimal"/>
      <w:lvlText w:val=""/>
      <w:lvlJc w:val="left"/>
    </w:lvl>
    <w:lvl w:ilvl="7" w:tplc="022EFBB6">
      <w:numFmt w:val="decimal"/>
      <w:lvlText w:val=""/>
      <w:lvlJc w:val="left"/>
    </w:lvl>
    <w:lvl w:ilvl="8" w:tplc="2B2A4706">
      <w:numFmt w:val="decimal"/>
      <w:lvlText w:val=""/>
      <w:lvlJc w:val="left"/>
    </w:lvl>
  </w:abstractNum>
  <w:abstractNum w:abstractNumId="9" w15:restartNumberingAfterBreak="0">
    <w:nsid w:val="6D4C3C22"/>
    <w:multiLevelType w:val="hybridMultilevel"/>
    <w:tmpl w:val="545EF25E"/>
    <w:lvl w:ilvl="0" w:tplc="95BA904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48C186">
      <w:numFmt w:val="decimal"/>
      <w:lvlText w:val=""/>
      <w:lvlJc w:val="left"/>
    </w:lvl>
    <w:lvl w:ilvl="2" w:tplc="B804F232">
      <w:numFmt w:val="decimal"/>
      <w:lvlText w:val=""/>
      <w:lvlJc w:val="left"/>
    </w:lvl>
    <w:lvl w:ilvl="3" w:tplc="F1A29632">
      <w:numFmt w:val="decimal"/>
      <w:lvlText w:val=""/>
      <w:lvlJc w:val="left"/>
    </w:lvl>
    <w:lvl w:ilvl="4" w:tplc="912838D2">
      <w:numFmt w:val="decimal"/>
      <w:lvlText w:val=""/>
      <w:lvlJc w:val="left"/>
    </w:lvl>
    <w:lvl w:ilvl="5" w:tplc="63669F6A">
      <w:numFmt w:val="decimal"/>
      <w:lvlText w:val=""/>
      <w:lvlJc w:val="left"/>
    </w:lvl>
    <w:lvl w:ilvl="6" w:tplc="254AFF1E">
      <w:numFmt w:val="decimal"/>
      <w:lvlText w:val=""/>
      <w:lvlJc w:val="left"/>
    </w:lvl>
    <w:lvl w:ilvl="7" w:tplc="BAA27A0C">
      <w:numFmt w:val="decimal"/>
      <w:lvlText w:val=""/>
      <w:lvlJc w:val="left"/>
    </w:lvl>
    <w:lvl w:ilvl="8" w:tplc="B55CF93A">
      <w:numFmt w:val="decimal"/>
      <w:lvlText w:val=""/>
      <w:lvlJc w:val="left"/>
    </w:lvl>
  </w:abstractNum>
  <w:num w:numId="1" w16cid:durableId="972367694">
    <w:abstractNumId w:val="7"/>
  </w:num>
  <w:num w:numId="2" w16cid:durableId="1454786820">
    <w:abstractNumId w:val="5"/>
  </w:num>
  <w:num w:numId="3" w16cid:durableId="654794723">
    <w:abstractNumId w:val="6"/>
  </w:num>
  <w:num w:numId="4" w16cid:durableId="703822278">
    <w:abstractNumId w:val="8"/>
  </w:num>
  <w:num w:numId="5" w16cid:durableId="943804776">
    <w:abstractNumId w:val="4"/>
  </w:num>
  <w:num w:numId="6" w16cid:durableId="1465077438">
    <w:abstractNumId w:val="9"/>
  </w:num>
  <w:num w:numId="7" w16cid:durableId="1651329286">
    <w:abstractNumId w:val="2"/>
  </w:num>
  <w:num w:numId="8" w16cid:durableId="688142013">
    <w:abstractNumId w:val="1"/>
  </w:num>
  <w:num w:numId="9" w16cid:durableId="1271663017">
    <w:abstractNumId w:val="0"/>
  </w:num>
  <w:num w:numId="10" w16cid:durableId="48617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E6"/>
    <w:rsid w:val="000260CE"/>
    <w:rsid w:val="00054B7E"/>
    <w:rsid w:val="004C4925"/>
    <w:rsid w:val="004F12B1"/>
    <w:rsid w:val="00620B2F"/>
    <w:rsid w:val="006E02E8"/>
    <w:rsid w:val="0090639C"/>
    <w:rsid w:val="00995D4E"/>
    <w:rsid w:val="00A25380"/>
    <w:rsid w:val="00B01995"/>
    <w:rsid w:val="00B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8E3830"/>
  <w15:docId w15:val="{0688C2CE-1704-49CD-9E73-549EC179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customStyle="1" w:styleId="MDPI13authornames">
    <w:name w:val="MDPI_1.3_authornames"/>
    <w:next w:val="Normal"/>
    <w:qFormat/>
    <w:rsid w:val="000260C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0260C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A25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kraba@tula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Kakraba, Samuel</cp:lastModifiedBy>
  <cp:revision>2</cp:revision>
  <dcterms:created xsi:type="dcterms:W3CDTF">2025-05-08T15:47:00Z</dcterms:created>
  <dcterms:modified xsi:type="dcterms:W3CDTF">2025-05-08T15:47:00Z</dcterms:modified>
</cp:coreProperties>
</file>