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CB22" w14:textId="77777777" w:rsidR="00FB1BD7" w:rsidRPr="003C19B2" w:rsidRDefault="00FB1BD7" w:rsidP="00FB1BD7">
      <w:pPr>
        <w:pStyle w:val="MDPI12title"/>
        <w:rPr>
          <w:sz w:val="30"/>
          <w:szCs w:val="30"/>
        </w:rPr>
      </w:pPr>
      <w:r w:rsidRPr="003C19B2">
        <w:rPr>
          <w:sz w:val="30"/>
          <w:szCs w:val="30"/>
        </w:rPr>
        <w:t>Evaluating the impact of PROTs on water security: A Study of Basins in Chile</w:t>
      </w:r>
    </w:p>
    <w:p w14:paraId="7C0C24B2" w14:textId="77777777" w:rsidR="009453F6" w:rsidRPr="003C19B2" w:rsidRDefault="009453F6" w:rsidP="009453F6">
      <w:pPr>
        <w:pStyle w:val="MDPI13authornames"/>
        <w:rPr>
          <w:lang w:val="es-CL"/>
        </w:rPr>
      </w:pPr>
      <w:r w:rsidRPr="003C19B2">
        <w:rPr>
          <w:lang w:val="es-CL"/>
        </w:rPr>
        <w:t xml:space="preserve">Katherinne Silva-Urrutia </w:t>
      </w:r>
      <w:r w:rsidRPr="003C19B2">
        <w:rPr>
          <w:vertAlign w:val="superscript"/>
          <w:lang w:val="es-CL"/>
        </w:rPr>
        <w:t>1,2</w:t>
      </w:r>
      <w:r w:rsidRPr="003C19B2">
        <w:rPr>
          <w:lang w:val="es-CL"/>
        </w:rPr>
        <w:t xml:space="preserve">, Rodrigo Báez-Grez </w:t>
      </w:r>
      <w:r w:rsidRPr="003C19B2">
        <w:rPr>
          <w:vertAlign w:val="superscript"/>
          <w:lang w:val="es-CL"/>
        </w:rPr>
        <w:t>3</w:t>
      </w:r>
      <w:r w:rsidRPr="003C19B2">
        <w:rPr>
          <w:lang w:val="es-CL"/>
        </w:rPr>
        <w:t xml:space="preserve">, Alexis Vásquez </w:t>
      </w:r>
      <w:r w:rsidRPr="003C19B2">
        <w:rPr>
          <w:vertAlign w:val="superscript"/>
          <w:lang w:val="es-CL"/>
        </w:rPr>
        <w:t>4</w:t>
      </w:r>
      <w:r w:rsidRPr="003C19B2">
        <w:rPr>
          <w:lang w:val="es-CL"/>
        </w:rPr>
        <w:t xml:space="preserve"> and Rodrigo Fuster </w:t>
      </w:r>
      <w:proofErr w:type="gramStart"/>
      <w:r w:rsidRPr="003C19B2">
        <w:rPr>
          <w:vertAlign w:val="superscript"/>
          <w:lang w:val="es-CL"/>
        </w:rPr>
        <w:t>2,</w:t>
      </w:r>
      <w:r w:rsidRPr="003C19B2">
        <w:rPr>
          <w:lang w:val="es-CL"/>
        </w:rPr>
        <w:t>*</w:t>
      </w:r>
      <w:proofErr w:type="gramEnd"/>
    </w:p>
    <w:p w14:paraId="3224F86A" w14:textId="6782C3D3" w:rsidR="009453F6" w:rsidRPr="003C19B2" w:rsidRDefault="009453F6" w:rsidP="009453F6">
      <w:pPr>
        <w:pStyle w:val="MDPI16affiliation"/>
        <w:rPr>
          <w:lang w:val="es-CL"/>
        </w:rPr>
      </w:pPr>
      <w:r w:rsidRPr="003C19B2">
        <w:rPr>
          <w:vertAlign w:val="superscript"/>
          <w:lang w:val="es-CL"/>
        </w:rPr>
        <w:t>1</w:t>
      </w:r>
      <w:r w:rsidRPr="003C19B2">
        <w:rPr>
          <w:lang w:val="es-CL"/>
        </w:rPr>
        <w:tab/>
      </w:r>
      <w:proofErr w:type="gramStart"/>
      <w:r w:rsidRPr="003C19B2">
        <w:rPr>
          <w:lang w:val="es-CL"/>
        </w:rPr>
        <w:t>Doctorado</w:t>
      </w:r>
      <w:proofErr w:type="gramEnd"/>
      <w:r w:rsidRPr="003C19B2">
        <w:rPr>
          <w:lang w:val="es-CL"/>
        </w:rPr>
        <w:t xml:space="preserve"> en Territorio, Espacio y Sociedad, Escuela de Postgrado, Facultad de Arquitectura y Urbanismo, Universidad de Chile</w:t>
      </w:r>
      <w:r w:rsidR="00155A06" w:rsidRPr="003C19B2">
        <w:rPr>
          <w:lang w:val="es-CL"/>
        </w:rPr>
        <w:t>, Santiago, Chile.</w:t>
      </w:r>
    </w:p>
    <w:p w14:paraId="4F5ABC12" w14:textId="77777777" w:rsidR="009453F6" w:rsidRPr="003C19B2" w:rsidRDefault="009453F6" w:rsidP="009453F6">
      <w:pPr>
        <w:pStyle w:val="MDPI16affiliation"/>
      </w:pPr>
      <w:r w:rsidRPr="003C19B2">
        <w:rPr>
          <w:vertAlign w:val="superscript"/>
        </w:rPr>
        <w:t>2</w:t>
      </w:r>
      <w:r w:rsidRPr="003C19B2">
        <w:tab/>
        <w:t xml:space="preserve">Laboratory of Territorial Analysis, Department of Environmental Sciences and Renewable Natural Resources, University of Chile, Av. Santa Rosa 11315, La </w:t>
      </w:r>
      <w:proofErr w:type="spellStart"/>
      <w:r w:rsidRPr="003C19B2">
        <w:t>Pintana</w:t>
      </w:r>
      <w:proofErr w:type="spellEnd"/>
      <w:r w:rsidRPr="003C19B2">
        <w:t>, Santiago 8820808, Chile; ksilva@uchile.cl</w:t>
      </w:r>
    </w:p>
    <w:p w14:paraId="66EDD5E7" w14:textId="77777777" w:rsidR="009453F6" w:rsidRPr="003C19B2" w:rsidRDefault="009453F6" w:rsidP="009453F6">
      <w:pPr>
        <w:pStyle w:val="MDPI16affiliation"/>
      </w:pPr>
      <w:r w:rsidRPr="003C19B2">
        <w:rPr>
          <w:vertAlign w:val="superscript"/>
        </w:rPr>
        <w:t>3</w:t>
      </w:r>
      <w:r w:rsidRPr="003C19B2">
        <w:tab/>
        <w:t>Faculty of Science, University Arturo Prat, Casilla 121, Iquique 1100000, Chile.</w:t>
      </w:r>
    </w:p>
    <w:p w14:paraId="4D33F72D" w14:textId="77777777" w:rsidR="009453F6" w:rsidRPr="003C19B2" w:rsidRDefault="009453F6" w:rsidP="009453F6">
      <w:pPr>
        <w:pStyle w:val="MDPI16affiliation"/>
      </w:pPr>
      <w:r w:rsidRPr="003C19B2">
        <w:rPr>
          <w:vertAlign w:val="superscript"/>
        </w:rPr>
        <w:t>4</w:t>
      </w:r>
      <w:r w:rsidRPr="003C19B2">
        <w:tab/>
        <w:t>Department of Geography, University of Chile, Portugal 84, Santiago, Chile.</w:t>
      </w:r>
    </w:p>
    <w:p w14:paraId="5D9E67A4" w14:textId="77777777" w:rsidR="009453F6" w:rsidRPr="003C19B2" w:rsidRDefault="009453F6" w:rsidP="009453F6">
      <w:pPr>
        <w:pStyle w:val="MDPI16affiliation"/>
        <w:rPr>
          <w:lang w:val="es-CL"/>
        </w:rPr>
      </w:pPr>
      <w:r w:rsidRPr="003C19B2">
        <w:rPr>
          <w:b/>
          <w:lang w:val="es-CL"/>
        </w:rPr>
        <w:t>*</w:t>
      </w:r>
      <w:r w:rsidRPr="003C19B2">
        <w:rPr>
          <w:lang w:val="es-CL"/>
        </w:rPr>
        <w:tab/>
      </w:r>
      <w:proofErr w:type="spellStart"/>
      <w:r w:rsidRPr="003C19B2">
        <w:rPr>
          <w:lang w:val="es-CL"/>
        </w:rPr>
        <w:t>Correspondence</w:t>
      </w:r>
      <w:proofErr w:type="spellEnd"/>
      <w:r w:rsidRPr="003C19B2">
        <w:rPr>
          <w:lang w:val="es-CL"/>
        </w:rPr>
        <w:t>: Rodrigo Fuster, rfuster@uchile.cl</w:t>
      </w:r>
    </w:p>
    <w:p w14:paraId="0AEC49F7" w14:textId="77777777" w:rsidR="00D51175" w:rsidRPr="003C19B2" w:rsidRDefault="00D51175" w:rsidP="00EC0E3E">
      <w:pPr>
        <w:pStyle w:val="Textonotapie"/>
        <w:rPr>
          <w:rFonts w:ascii="Palatino Linotype" w:hAnsi="Palatino Linotype" w:cs="Times New Roman"/>
          <w:noProof/>
          <w:szCs w:val="22"/>
          <w:lang w:eastAsia="en-GB"/>
        </w:rPr>
      </w:pPr>
    </w:p>
    <w:p w14:paraId="74932718" w14:textId="4684CEDB" w:rsidR="003B7D8A" w:rsidRPr="003C19B2" w:rsidRDefault="003B7D8A" w:rsidP="003B7D8A">
      <w:pPr>
        <w:jc w:val="center"/>
        <w:rPr>
          <w:rFonts w:ascii="Palatino Linotype" w:eastAsia="Times New Roman" w:hAnsi="Palatino Linotype" w:cs="Times New Roman"/>
          <w:b/>
          <w:color w:val="000000"/>
          <w:sz w:val="24"/>
          <w:szCs w:val="28"/>
          <w:lang w:eastAsia="de-DE" w:bidi="en-US"/>
        </w:rPr>
      </w:pPr>
      <w:r w:rsidRPr="003C19B2">
        <w:rPr>
          <w:rFonts w:ascii="Palatino Linotype" w:eastAsia="Times New Roman" w:hAnsi="Palatino Linotype" w:cs="Times New Roman"/>
          <w:b/>
          <w:color w:val="000000"/>
          <w:sz w:val="24"/>
          <w:szCs w:val="28"/>
          <w:lang w:eastAsia="de-DE" w:bidi="en-US"/>
        </w:rPr>
        <w:t>SUP</w:t>
      </w:r>
      <w:r w:rsidR="00DB10D1" w:rsidRPr="003C19B2">
        <w:rPr>
          <w:rFonts w:ascii="Palatino Linotype" w:eastAsia="Times New Roman" w:hAnsi="Palatino Linotype" w:cs="Times New Roman"/>
          <w:b/>
          <w:color w:val="000000"/>
          <w:sz w:val="24"/>
          <w:szCs w:val="28"/>
          <w:lang w:eastAsia="de-DE" w:bidi="en-US"/>
        </w:rPr>
        <w:t>P</w:t>
      </w:r>
      <w:r w:rsidRPr="003C19B2">
        <w:rPr>
          <w:rFonts w:ascii="Palatino Linotype" w:eastAsia="Times New Roman" w:hAnsi="Palatino Linotype" w:cs="Times New Roman"/>
          <w:b/>
          <w:color w:val="000000"/>
          <w:sz w:val="24"/>
          <w:szCs w:val="28"/>
          <w:lang w:eastAsia="de-DE" w:bidi="en-US"/>
        </w:rPr>
        <w:t>ORTING INFORMATION</w:t>
      </w:r>
    </w:p>
    <w:p w14:paraId="7615320E" w14:textId="5B43B33F" w:rsidR="00EC0E3E" w:rsidRPr="003C19B2" w:rsidRDefault="00EC0E3E" w:rsidP="00FC487B">
      <w:pPr>
        <w:spacing w:after="0"/>
        <w:rPr>
          <w:rFonts w:ascii="Palatino Linotype" w:eastAsia="Times New Roman" w:hAnsi="Palatino Linotype" w:cs="Times New Roman"/>
          <w:b/>
          <w:color w:val="000000"/>
          <w:sz w:val="20"/>
          <w:lang w:eastAsia="de-DE" w:bidi="en-US"/>
        </w:rPr>
      </w:pPr>
      <w:r w:rsidRPr="003C19B2">
        <w:rPr>
          <w:rFonts w:ascii="Palatino Linotype" w:eastAsia="Times New Roman" w:hAnsi="Palatino Linotype" w:cs="Times New Roman"/>
          <w:b/>
          <w:color w:val="000000"/>
          <w:sz w:val="20"/>
          <w:lang w:eastAsia="de-DE" w:bidi="en-US"/>
        </w:rPr>
        <w:t>Methodology</w:t>
      </w:r>
    </w:p>
    <w:p w14:paraId="262E3A26" w14:textId="16BDD14C" w:rsidR="00EC0E3E" w:rsidRPr="003C19B2" w:rsidRDefault="005728A8" w:rsidP="003C19B2">
      <w:pPr>
        <w:spacing w:after="0"/>
        <w:rPr>
          <w:rFonts w:ascii="Palatino Linotype" w:eastAsia="Times New Roman" w:hAnsi="Palatino Linotype" w:cs="Times New Roman"/>
          <w:b/>
          <w:color w:val="000000"/>
          <w:sz w:val="20"/>
          <w:lang w:eastAsia="de-DE" w:bidi="en-US"/>
        </w:rPr>
      </w:pPr>
      <w:r w:rsidRPr="003C19B2">
        <w:rPr>
          <w:rFonts w:ascii="Palatino Linotype" w:eastAsia="Times New Roman" w:hAnsi="Palatino Linotype" w:cs="Times New Roman"/>
          <w:b/>
          <w:color w:val="000000"/>
          <w:sz w:val="20"/>
          <w:lang w:eastAsia="de-DE" w:bidi="en-US"/>
        </w:rPr>
        <w:t>Water demand</w:t>
      </w:r>
    </w:p>
    <w:p w14:paraId="2EDF9DE6" w14:textId="5313AC2A" w:rsidR="005433EA" w:rsidRPr="003C19B2" w:rsidRDefault="005728A8" w:rsidP="005728A8">
      <w:pPr>
        <w:numPr>
          <w:ilvl w:val="0"/>
          <w:numId w:val="12"/>
        </w:numPr>
        <w:spacing w:after="240"/>
        <w:ind w:left="426"/>
        <w:rPr>
          <w:rFonts w:ascii="Palatino Linotype" w:eastAsia="Times New Roman" w:hAnsi="Palatino Linotype" w:cs="Times New Roman"/>
          <w:b/>
          <w:color w:val="000000"/>
          <w:sz w:val="20"/>
          <w:lang w:eastAsia="de-DE" w:bidi="en-US"/>
        </w:rPr>
      </w:pPr>
      <w:proofErr w:type="spellStart"/>
      <w:r w:rsidRPr="003C19B2">
        <w:rPr>
          <w:rFonts w:ascii="Palatino Linotype" w:eastAsia="Times New Roman" w:hAnsi="Palatino Linotype" w:cs="Times New Roman"/>
          <w:b/>
          <w:color w:val="000000"/>
          <w:sz w:val="20"/>
          <w:lang w:eastAsia="de-DE" w:bidi="en-US"/>
        </w:rPr>
        <w:t>Agriculture</w:t>
      </w:r>
      <w:proofErr w:type="spellEnd"/>
      <w:r w:rsidRPr="003C19B2">
        <w:rPr>
          <w:rFonts w:ascii="Palatino Linotype" w:eastAsia="Times New Roman" w:hAnsi="Palatino Linotype" w:cs="Times New Roman"/>
          <w:b/>
          <w:color w:val="000000"/>
          <w:sz w:val="20"/>
          <w:lang w:eastAsia="de-DE" w:bidi="en-US"/>
        </w:rPr>
        <w:t>.</w:t>
      </w:r>
    </w:p>
    <w:p w14:paraId="6B78AA9C" w14:textId="4FB2010A" w:rsidR="00862D94" w:rsidRPr="003C19B2" w:rsidRDefault="00AA21CD" w:rsidP="00006F7C">
      <w:pPr>
        <w:spacing w:after="240"/>
        <w:jc w:val="both"/>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The areas of fruit, vegetable, cereal and grape (wine production) crops in the regions of the study area were obtained from references 39 and 40 of the publication. These areas were used to get a percentage of the type of crop in the region and subsequently used to define the area allocated to each crop type in the current use scenario and PROT scenario for the basin.</w:t>
      </w:r>
    </w:p>
    <w:p w14:paraId="6A58E25D" w14:textId="2BF78C0D" w:rsidR="00072300" w:rsidRPr="003C19B2" w:rsidRDefault="00AA21CD" w:rsidP="00006F7C">
      <w:pPr>
        <w:spacing w:after="240"/>
        <w:jc w:val="both"/>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 xml:space="preserve">In the Aysén Region, the spatial information was arranged in cartographic analysis units corresponding to 20-hectare hexagons. In the case of current use, these units did not have a </w:t>
      </w:r>
      <w:proofErr w:type="gramStart"/>
      <w:r w:rsidRPr="003C19B2">
        <w:rPr>
          <w:rFonts w:ascii="Palatino Linotype" w:eastAsia="Times New Roman" w:hAnsi="Palatino Linotype" w:cs="Times New Roman"/>
          <w:bCs/>
          <w:color w:val="000000"/>
          <w:sz w:val="20"/>
          <w:lang w:eastAsia="de-DE" w:bidi="en-US"/>
        </w:rPr>
        <w:t>single</w:t>
      </w:r>
      <w:proofErr w:type="gramEnd"/>
      <w:r w:rsidRPr="003C19B2">
        <w:rPr>
          <w:rFonts w:ascii="Palatino Linotype" w:eastAsia="Times New Roman" w:hAnsi="Palatino Linotype" w:cs="Times New Roman"/>
          <w:bCs/>
          <w:color w:val="000000"/>
          <w:sz w:val="20"/>
          <w:lang w:eastAsia="de-DE" w:bidi="en-US"/>
        </w:rPr>
        <w:t xml:space="preserve"> land use, which is why it was decided to select the use with the highest water demand per hexagon. For example, agriculture prevailed over livestock (animal drinking). We obtained 5594 hexagons for agriculture, 5813 for livestock, 1 for industry and 759 for mining.</w:t>
      </w:r>
    </w:p>
    <w:p w14:paraId="06CEE5BE" w14:textId="77777777" w:rsidR="00AA21CD" w:rsidRPr="003C19B2" w:rsidRDefault="00AA21CD" w:rsidP="00006F7C">
      <w:pPr>
        <w:spacing w:after="240"/>
        <w:jc w:val="both"/>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In addition, in cases where the cartographic coverage was not accessible, a digitisation process had to be carried out based on the maps contained in the reports, using reference cartography.</w:t>
      </w:r>
    </w:p>
    <w:p w14:paraId="4D511E97" w14:textId="4EEEC542" w:rsidR="005433EA" w:rsidRPr="003C19B2" w:rsidRDefault="003654C3" w:rsidP="003C19B2">
      <w:pPr>
        <w:numPr>
          <w:ilvl w:val="0"/>
          <w:numId w:val="12"/>
        </w:numPr>
        <w:spacing w:after="0"/>
        <w:ind w:left="426"/>
        <w:rPr>
          <w:rFonts w:ascii="Palatino Linotype" w:eastAsia="Times New Roman" w:hAnsi="Palatino Linotype" w:cs="Times New Roman"/>
          <w:b/>
          <w:color w:val="000000"/>
          <w:sz w:val="20"/>
          <w:lang w:eastAsia="de-DE" w:bidi="en-US"/>
        </w:rPr>
      </w:pPr>
      <w:proofErr w:type="spellStart"/>
      <w:r w:rsidRPr="003C19B2">
        <w:rPr>
          <w:rFonts w:ascii="Palatino Linotype" w:eastAsia="Times New Roman" w:hAnsi="Palatino Linotype" w:cs="Times New Roman"/>
          <w:b/>
          <w:color w:val="000000"/>
          <w:sz w:val="20"/>
          <w:lang w:eastAsia="de-DE" w:bidi="en-US"/>
        </w:rPr>
        <w:t>Min</w:t>
      </w:r>
      <w:r w:rsidR="005728A8" w:rsidRPr="003C19B2">
        <w:rPr>
          <w:rFonts w:ascii="Palatino Linotype" w:eastAsia="Times New Roman" w:hAnsi="Palatino Linotype" w:cs="Times New Roman"/>
          <w:b/>
          <w:color w:val="000000"/>
          <w:sz w:val="20"/>
          <w:lang w:eastAsia="de-DE" w:bidi="en-US"/>
        </w:rPr>
        <w:t>ing</w:t>
      </w:r>
      <w:proofErr w:type="spellEnd"/>
    </w:p>
    <w:p w14:paraId="74E3672D" w14:textId="6B738741" w:rsidR="003654C3" w:rsidRPr="003C19B2" w:rsidRDefault="00DA24EA" w:rsidP="000C22AC">
      <w:pPr>
        <w:pStyle w:val="Descripcin"/>
        <w:spacing w:after="240"/>
        <w:rPr>
          <w:rFonts w:ascii="Palatino Linotype" w:eastAsia="Times New Roman" w:hAnsi="Palatino Linotype" w:cs="Times New Roman"/>
          <w:bCs/>
          <w:iCs w:val="0"/>
          <w:color w:val="000000"/>
          <w:sz w:val="20"/>
          <w:szCs w:val="22"/>
          <w:lang w:eastAsia="de-DE" w:bidi="en-US"/>
        </w:rPr>
      </w:pPr>
      <w:r w:rsidRPr="003C19B2">
        <w:rPr>
          <w:rFonts w:ascii="Palatino Linotype" w:eastAsia="Times New Roman" w:hAnsi="Palatino Linotype" w:cs="Times New Roman"/>
          <w:b/>
          <w:iCs w:val="0"/>
          <w:color w:val="000000"/>
          <w:sz w:val="20"/>
          <w:szCs w:val="22"/>
          <w:lang w:eastAsia="de-DE" w:bidi="en-US"/>
        </w:rPr>
        <w:t>Table</w:t>
      </w:r>
      <w:r w:rsidR="003654C3" w:rsidRPr="003C19B2">
        <w:rPr>
          <w:rFonts w:ascii="Palatino Linotype" w:eastAsia="Times New Roman" w:hAnsi="Palatino Linotype" w:cs="Times New Roman"/>
          <w:b/>
          <w:iCs w:val="0"/>
          <w:color w:val="000000"/>
          <w:sz w:val="20"/>
          <w:szCs w:val="22"/>
          <w:lang w:eastAsia="de-DE" w:bidi="en-US"/>
        </w:rPr>
        <w:t xml:space="preserve"> </w:t>
      </w:r>
      <w:r w:rsidR="000C22AC" w:rsidRPr="003C19B2">
        <w:rPr>
          <w:rFonts w:ascii="Palatino Linotype" w:eastAsia="Times New Roman" w:hAnsi="Palatino Linotype" w:cs="Times New Roman"/>
          <w:b/>
          <w:iCs w:val="0"/>
          <w:color w:val="000000"/>
          <w:sz w:val="20"/>
          <w:szCs w:val="22"/>
          <w:lang w:eastAsia="de-DE" w:bidi="en-US"/>
        </w:rPr>
        <w:t>S</w:t>
      </w:r>
      <w:r w:rsidRPr="003C19B2">
        <w:rPr>
          <w:rFonts w:ascii="Palatino Linotype" w:eastAsia="Times New Roman" w:hAnsi="Palatino Linotype" w:cs="Times New Roman"/>
          <w:b/>
          <w:iCs w:val="0"/>
          <w:color w:val="000000"/>
          <w:sz w:val="20"/>
          <w:szCs w:val="22"/>
          <w:lang w:eastAsia="de-DE" w:bidi="en-US"/>
        </w:rPr>
        <w:t>1</w:t>
      </w:r>
      <w:r w:rsidR="003654C3" w:rsidRPr="003C19B2">
        <w:rPr>
          <w:rFonts w:ascii="Palatino Linotype" w:eastAsia="Times New Roman" w:hAnsi="Palatino Linotype" w:cs="Times New Roman"/>
          <w:b/>
          <w:iCs w:val="0"/>
          <w:color w:val="000000"/>
          <w:sz w:val="20"/>
          <w:szCs w:val="22"/>
          <w:lang w:eastAsia="de-DE" w:bidi="en-US"/>
        </w:rPr>
        <w:t xml:space="preserve">. </w:t>
      </w:r>
      <w:r w:rsidR="000C22AC" w:rsidRPr="003C19B2">
        <w:rPr>
          <w:rFonts w:ascii="Palatino Linotype" w:eastAsia="Times New Roman" w:hAnsi="Palatino Linotype" w:cs="Times New Roman"/>
          <w:bCs/>
          <w:iCs w:val="0"/>
          <w:color w:val="000000"/>
          <w:sz w:val="20"/>
          <w:szCs w:val="22"/>
          <w:lang w:eastAsia="de-DE" w:bidi="en-US"/>
        </w:rPr>
        <w:t xml:space="preserve">Information </w:t>
      </w:r>
      <w:r w:rsidR="00AA21CD" w:rsidRPr="003C19B2">
        <w:rPr>
          <w:rFonts w:ascii="Palatino Linotype" w:eastAsia="Times New Roman" w:hAnsi="Palatino Linotype" w:cs="Times New Roman"/>
          <w:bCs/>
          <w:iCs w:val="0"/>
          <w:color w:val="000000"/>
          <w:sz w:val="20"/>
          <w:szCs w:val="22"/>
          <w:lang w:eastAsia="de-DE" w:bidi="en-US"/>
        </w:rPr>
        <w:t xml:space="preserve">is </w:t>
      </w:r>
      <w:r w:rsidR="000C22AC" w:rsidRPr="003C19B2">
        <w:rPr>
          <w:rFonts w:ascii="Palatino Linotype" w:eastAsia="Times New Roman" w:hAnsi="Palatino Linotype" w:cs="Times New Roman"/>
          <w:bCs/>
          <w:iCs w:val="0"/>
          <w:color w:val="000000"/>
          <w:sz w:val="20"/>
          <w:szCs w:val="22"/>
          <w:lang w:eastAsia="de-DE" w:bidi="en-US"/>
        </w:rPr>
        <w:t xml:space="preserve">used </w:t>
      </w:r>
      <w:r w:rsidR="00AA21CD" w:rsidRPr="003C19B2">
        <w:rPr>
          <w:rFonts w:ascii="Palatino Linotype" w:eastAsia="Times New Roman" w:hAnsi="Palatino Linotype" w:cs="Times New Roman"/>
          <w:bCs/>
          <w:iCs w:val="0"/>
          <w:color w:val="000000"/>
          <w:sz w:val="20"/>
          <w:szCs w:val="22"/>
          <w:lang w:eastAsia="de-DE" w:bidi="en-US"/>
        </w:rPr>
        <w:t xml:space="preserve">to estimate the </w:t>
      </w:r>
      <w:r w:rsidR="000C22AC" w:rsidRPr="003C19B2">
        <w:rPr>
          <w:rFonts w:ascii="Palatino Linotype" w:eastAsia="Times New Roman" w:hAnsi="Palatino Linotype" w:cs="Times New Roman"/>
          <w:bCs/>
          <w:iCs w:val="0"/>
          <w:color w:val="000000"/>
          <w:sz w:val="20"/>
          <w:szCs w:val="22"/>
          <w:lang w:eastAsia="de-DE" w:bidi="en-US"/>
        </w:rPr>
        <w:t>mining water demand by region.</w:t>
      </w:r>
    </w:p>
    <w:tbl>
      <w:tblPr>
        <w:tblStyle w:val="Tablaconcuadrcula"/>
        <w:tblW w:w="9279" w:type="dxa"/>
        <w:jc w:val="center"/>
        <w:tblLook w:val="04A0" w:firstRow="1" w:lastRow="0" w:firstColumn="1" w:lastColumn="0" w:noHBand="0" w:noVBand="1"/>
      </w:tblPr>
      <w:tblGrid>
        <w:gridCol w:w="1482"/>
        <w:gridCol w:w="2675"/>
        <w:gridCol w:w="2411"/>
        <w:gridCol w:w="2711"/>
      </w:tblGrid>
      <w:tr w:rsidR="000C22AC" w:rsidRPr="003C19B2" w14:paraId="33F4300E" w14:textId="77777777" w:rsidTr="00122892">
        <w:trPr>
          <w:trHeight w:val="219"/>
          <w:jc w:val="center"/>
        </w:trPr>
        <w:tc>
          <w:tcPr>
            <w:tcW w:w="1482" w:type="dxa"/>
            <w:vAlign w:val="center"/>
          </w:tcPr>
          <w:p w14:paraId="52FA22BB" w14:textId="547C1A20"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Regi</w:t>
            </w:r>
            <w:r w:rsidR="000C22AC" w:rsidRPr="003C19B2">
              <w:rPr>
                <w:rFonts w:ascii="Palatino Linotype" w:eastAsia="Times New Roman" w:hAnsi="Palatino Linotype" w:cs="Times New Roman"/>
                <w:bCs/>
                <w:color w:val="000000"/>
                <w:sz w:val="20"/>
                <w:lang w:eastAsia="de-DE" w:bidi="en-US"/>
              </w:rPr>
              <w:t>o</w:t>
            </w:r>
            <w:r w:rsidRPr="003C19B2">
              <w:rPr>
                <w:rFonts w:ascii="Palatino Linotype" w:eastAsia="Times New Roman" w:hAnsi="Palatino Linotype" w:cs="Times New Roman"/>
                <w:bCs/>
                <w:color w:val="000000"/>
                <w:sz w:val="20"/>
                <w:lang w:eastAsia="de-DE" w:bidi="en-US"/>
              </w:rPr>
              <w:t>n</w:t>
            </w:r>
          </w:p>
        </w:tc>
        <w:tc>
          <w:tcPr>
            <w:tcW w:w="2675" w:type="dxa"/>
            <w:vAlign w:val="center"/>
          </w:tcPr>
          <w:p w14:paraId="611343A9" w14:textId="47CC4C57" w:rsidR="003654C3" w:rsidRPr="003C19B2" w:rsidRDefault="000C22AC"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Ore/process</w:t>
            </w:r>
          </w:p>
        </w:tc>
        <w:tc>
          <w:tcPr>
            <w:tcW w:w="2411" w:type="dxa"/>
            <w:vAlign w:val="center"/>
          </w:tcPr>
          <w:p w14:paraId="2EC6A8C5" w14:textId="77777777" w:rsidR="000C22AC" w:rsidRPr="003C19B2" w:rsidRDefault="000C22AC" w:rsidP="000C22AC">
            <w:pPr>
              <w:jc w:val="center"/>
              <w:rPr>
                <w:rFonts w:ascii="Palatino Linotype" w:eastAsia="Times New Roman" w:hAnsi="Palatino Linotype" w:cs="Times New Roman"/>
                <w:bCs/>
                <w:color w:val="000000"/>
                <w:sz w:val="20"/>
                <w:lang w:val="en-US" w:eastAsia="de-DE" w:bidi="en-US"/>
              </w:rPr>
            </w:pPr>
            <w:r w:rsidRPr="003C19B2">
              <w:rPr>
                <w:rFonts w:ascii="Palatino Linotype" w:eastAsia="Times New Roman" w:hAnsi="Palatino Linotype" w:cs="Times New Roman"/>
                <w:bCs/>
                <w:color w:val="000000"/>
                <w:sz w:val="20"/>
                <w:lang w:val="en-US" w:eastAsia="de-DE" w:bidi="en-US"/>
              </w:rPr>
              <w:t>Unit rate</w:t>
            </w:r>
          </w:p>
          <w:p w14:paraId="149CB0E8" w14:textId="3F65CF16" w:rsidR="003654C3" w:rsidRPr="003C19B2" w:rsidRDefault="003654C3" w:rsidP="000C22AC">
            <w:pPr>
              <w:jc w:val="center"/>
              <w:rPr>
                <w:rFonts w:ascii="Palatino Linotype" w:eastAsia="Times New Roman" w:hAnsi="Palatino Linotype" w:cs="Times New Roman"/>
                <w:bCs/>
                <w:color w:val="000000"/>
                <w:sz w:val="20"/>
                <w:lang w:val="en-US" w:eastAsia="de-DE" w:bidi="en-US"/>
              </w:rPr>
            </w:pPr>
            <w:r w:rsidRPr="003C19B2">
              <w:rPr>
                <w:rFonts w:ascii="Palatino Linotype" w:eastAsia="Times New Roman" w:hAnsi="Palatino Linotype" w:cs="Times New Roman"/>
                <w:bCs/>
                <w:color w:val="000000"/>
                <w:sz w:val="20"/>
                <w:lang w:val="en-US" w:eastAsia="de-DE" w:bidi="en-US"/>
              </w:rPr>
              <w:t>(m</w:t>
            </w:r>
            <w:r w:rsidRPr="003C19B2">
              <w:rPr>
                <w:rFonts w:ascii="Palatino Linotype" w:eastAsia="Times New Roman" w:hAnsi="Palatino Linotype" w:cs="Times New Roman"/>
                <w:bCs/>
                <w:color w:val="000000"/>
                <w:sz w:val="20"/>
                <w:vertAlign w:val="superscript"/>
                <w:lang w:val="en-US" w:eastAsia="de-DE" w:bidi="en-US"/>
              </w:rPr>
              <w:t>3</w:t>
            </w:r>
            <w:r w:rsidRPr="003C19B2">
              <w:rPr>
                <w:rFonts w:ascii="Palatino Linotype" w:eastAsia="Times New Roman" w:hAnsi="Palatino Linotype" w:cs="Times New Roman"/>
                <w:bCs/>
                <w:color w:val="000000"/>
                <w:sz w:val="20"/>
                <w:lang w:val="en-US" w:eastAsia="de-DE" w:bidi="en-US"/>
              </w:rPr>
              <w:t>/ton</w:t>
            </w:r>
            <w:r w:rsidR="00DA24EA" w:rsidRPr="003C19B2">
              <w:rPr>
                <w:rFonts w:ascii="Palatino Linotype" w:eastAsia="Times New Roman" w:hAnsi="Palatino Linotype" w:cs="Times New Roman"/>
                <w:bCs/>
                <w:color w:val="000000"/>
                <w:sz w:val="20"/>
                <w:lang w:val="en-US" w:eastAsia="de-DE" w:bidi="en-US"/>
              </w:rPr>
              <w:t xml:space="preserve"> </w:t>
            </w:r>
            <w:r w:rsidR="000C22AC" w:rsidRPr="003C19B2">
              <w:rPr>
                <w:rFonts w:ascii="Palatino Linotype" w:eastAsia="Times New Roman" w:hAnsi="Palatino Linotype" w:cs="Times New Roman"/>
                <w:bCs/>
                <w:color w:val="000000"/>
                <w:sz w:val="20"/>
                <w:lang w:val="en-US" w:eastAsia="de-DE" w:bidi="en-US"/>
              </w:rPr>
              <w:t>ore processed</w:t>
            </w:r>
            <w:r w:rsidRPr="003C19B2">
              <w:rPr>
                <w:rFonts w:ascii="Palatino Linotype" w:eastAsia="Times New Roman" w:hAnsi="Palatino Linotype" w:cs="Times New Roman"/>
                <w:bCs/>
                <w:color w:val="000000"/>
                <w:sz w:val="20"/>
                <w:lang w:val="en-US" w:eastAsia="de-DE" w:bidi="en-US"/>
              </w:rPr>
              <w:t>)</w:t>
            </w:r>
          </w:p>
        </w:tc>
        <w:tc>
          <w:tcPr>
            <w:tcW w:w="2711" w:type="dxa"/>
            <w:vAlign w:val="center"/>
          </w:tcPr>
          <w:p w14:paraId="5A3B673B" w14:textId="22A70976" w:rsidR="003654C3" w:rsidRPr="003C19B2" w:rsidRDefault="000C22AC"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Ore grade</w:t>
            </w:r>
          </w:p>
        </w:tc>
      </w:tr>
      <w:tr w:rsidR="000C22AC" w:rsidRPr="003C19B2" w14:paraId="32DA6CD9" w14:textId="77777777" w:rsidTr="00122892">
        <w:trPr>
          <w:trHeight w:val="140"/>
          <w:jc w:val="center"/>
        </w:trPr>
        <w:tc>
          <w:tcPr>
            <w:tcW w:w="1482" w:type="dxa"/>
            <w:vMerge w:val="restart"/>
            <w:vAlign w:val="center"/>
          </w:tcPr>
          <w:p w14:paraId="39E458F6" w14:textId="5E42D31A"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Atacama</w:t>
            </w:r>
          </w:p>
        </w:tc>
        <w:tc>
          <w:tcPr>
            <w:tcW w:w="2675" w:type="dxa"/>
            <w:vAlign w:val="center"/>
          </w:tcPr>
          <w:p w14:paraId="0835A0F9" w14:textId="453EF370" w:rsidR="003654C3" w:rsidRPr="003C19B2" w:rsidRDefault="000C22AC" w:rsidP="00DA24EA">
            <w:pPr>
              <w:jc w:val="center"/>
              <w:rPr>
                <w:rFonts w:ascii="Palatino Linotype" w:eastAsia="Times New Roman" w:hAnsi="Palatino Linotype" w:cs="Times New Roman"/>
                <w:bCs/>
                <w:color w:val="000000"/>
                <w:sz w:val="20"/>
                <w:lang w:eastAsia="de-DE" w:bidi="en-US"/>
              </w:rPr>
            </w:pPr>
            <w:proofErr w:type="spellStart"/>
            <w:r w:rsidRPr="003C19B2">
              <w:rPr>
                <w:rFonts w:ascii="Palatino Linotype" w:eastAsia="Times New Roman" w:hAnsi="Palatino Linotype" w:cs="Times New Roman"/>
                <w:bCs/>
                <w:color w:val="000000"/>
                <w:sz w:val="20"/>
                <w:lang w:eastAsia="de-DE" w:bidi="en-US"/>
              </w:rPr>
              <w:t>Copper</w:t>
            </w:r>
            <w:proofErr w:type="spellEnd"/>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proofErr w:type="spellStart"/>
            <w:r w:rsidRPr="003C19B2">
              <w:rPr>
                <w:rFonts w:ascii="Palatino Linotype" w:eastAsia="Times New Roman" w:hAnsi="Palatino Linotype" w:cs="Times New Roman"/>
                <w:bCs/>
                <w:color w:val="000000"/>
                <w:sz w:val="20"/>
                <w:lang w:eastAsia="de-DE" w:bidi="en-US"/>
              </w:rPr>
              <w:t>Hydrometallurgy</w:t>
            </w:r>
            <w:proofErr w:type="spellEnd"/>
          </w:p>
        </w:tc>
        <w:tc>
          <w:tcPr>
            <w:tcW w:w="2411" w:type="dxa"/>
            <w:vAlign w:val="center"/>
          </w:tcPr>
          <w:p w14:paraId="539DA743" w14:textId="00BEC678"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13 (2013)</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04 (2018)</w:t>
            </w:r>
          </w:p>
        </w:tc>
        <w:tc>
          <w:tcPr>
            <w:tcW w:w="2711" w:type="dxa"/>
            <w:vAlign w:val="center"/>
          </w:tcPr>
          <w:p w14:paraId="7B66D3DB" w14:textId="291884E1"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0066 (2013)</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0067 (2019)</w:t>
            </w:r>
          </w:p>
        </w:tc>
      </w:tr>
      <w:tr w:rsidR="000C22AC" w:rsidRPr="003C19B2" w14:paraId="6E186B0E" w14:textId="77777777" w:rsidTr="00122892">
        <w:trPr>
          <w:trHeight w:val="205"/>
          <w:jc w:val="center"/>
        </w:trPr>
        <w:tc>
          <w:tcPr>
            <w:tcW w:w="1482" w:type="dxa"/>
            <w:vMerge/>
            <w:vAlign w:val="center"/>
          </w:tcPr>
          <w:p w14:paraId="008E9714"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p>
        </w:tc>
        <w:tc>
          <w:tcPr>
            <w:tcW w:w="2675" w:type="dxa"/>
            <w:vAlign w:val="center"/>
          </w:tcPr>
          <w:p w14:paraId="7946905C" w14:textId="7EDC39A4" w:rsidR="003654C3" w:rsidRPr="003C19B2" w:rsidRDefault="000C22AC" w:rsidP="00DA24EA">
            <w:pPr>
              <w:jc w:val="center"/>
              <w:rPr>
                <w:rFonts w:ascii="Palatino Linotype" w:eastAsia="Times New Roman" w:hAnsi="Palatino Linotype" w:cs="Times New Roman"/>
                <w:bCs/>
                <w:color w:val="000000"/>
                <w:sz w:val="20"/>
                <w:lang w:eastAsia="de-DE" w:bidi="en-US"/>
              </w:rPr>
            </w:pPr>
            <w:proofErr w:type="spellStart"/>
            <w:r w:rsidRPr="003C19B2">
              <w:rPr>
                <w:rFonts w:ascii="Palatino Linotype" w:eastAsia="Times New Roman" w:hAnsi="Palatino Linotype" w:cs="Times New Roman"/>
                <w:bCs/>
                <w:color w:val="000000"/>
                <w:sz w:val="20"/>
                <w:lang w:eastAsia="de-DE" w:bidi="en-US"/>
              </w:rPr>
              <w:t>Copper</w:t>
            </w:r>
            <w:proofErr w:type="spellEnd"/>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proofErr w:type="spellStart"/>
            <w:r w:rsidRPr="003C19B2">
              <w:rPr>
                <w:rFonts w:ascii="Palatino Linotype" w:eastAsia="Times New Roman" w:hAnsi="Palatino Linotype" w:cs="Times New Roman"/>
                <w:bCs/>
                <w:color w:val="000000"/>
                <w:sz w:val="20"/>
                <w:lang w:eastAsia="de-DE" w:bidi="en-US"/>
              </w:rPr>
              <w:t>Concentration</w:t>
            </w:r>
            <w:proofErr w:type="spellEnd"/>
          </w:p>
        </w:tc>
        <w:tc>
          <w:tcPr>
            <w:tcW w:w="2411" w:type="dxa"/>
            <w:vAlign w:val="center"/>
          </w:tcPr>
          <w:p w14:paraId="2F41A2D8" w14:textId="7C3AD9E0"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85 (2013)</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35 (2018)</w:t>
            </w:r>
          </w:p>
        </w:tc>
        <w:tc>
          <w:tcPr>
            <w:tcW w:w="2711" w:type="dxa"/>
            <w:vAlign w:val="center"/>
          </w:tcPr>
          <w:p w14:paraId="195507C9" w14:textId="3DF843FF"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0089 (2013)</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0078 (2019)</w:t>
            </w:r>
          </w:p>
        </w:tc>
      </w:tr>
      <w:tr w:rsidR="000C22AC" w:rsidRPr="003C19B2" w14:paraId="2D852597" w14:textId="77777777" w:rsidTr="00122892">
        <w:trPr>
          <w:trHeight w:val="141"/>
          <w:jc w:val="center"/>
        </w:trPr>
        <w:tc>
          <w:tcPr>
            <w:tcW w:w="1482" w:type="dxa"/>
            <w:vMerge/>
            <w:vAlign w:val="center"/>
          </w:tcPr>
          <w:p w14:paraId="39CFEB67"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p>
        </w:tc>
        <w:tc>
          <w:tcPr>
            <w:tcW w:w="2675" w:type="dxa"/>
            <w:vAlign w:val="center"/>
          </w:tcPr>
          <w:p w14:paraId="788696DF" w14:textId="2DE3DAC8" w:rsidR="003654C3" w:rsidRPr="003C19B2" w:rsidRDefault="000C22AC"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Iron</w:t>
            </w:r>
          </w:p>
        </w:tc>
        <w:tc>
          <w:tcPr>
            <w:tcW w:w="2411" w:type="dxa"/>
            <w:vAlign w:val="center"/>
          </w:tcPr>
          <w:p w14:paraId="5E56DBA7" w14:textId="32A94456"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2</w:t>
            </w:r>
          </w:p>
        </w:tc>
        <w:tc>
          <w:tcPr>
            <w:tcW w:w="2711" w:type="dxa"/>
            <w:vAlign w:val="center"/>
          </w:tcPr>
          <w:p w14:paraId="45356C36" w14:textId="5969ED1C"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482</w:t>
            </w:r>
          </w:p>
        </w:tc>
      </w:tr>
      <w:tr w:rsidR="000C22AC" w:rsidRPr="003C19B2" w14:paraId="379D8525" w14:textId="77777777" w:rsidTr="00122892">
        <w:trPr>
          <w:trHeight w:val="172"/>
          <w:jc w:val="center"/>
        </w:trPr>
        <w:tc>
          <w:tcPr>
            <w:tcW w:w="1482" w:type="dxa"/>
            <w:vMerge/>
            <w:vAlign w:val="center"/>
          </w:tcPr>
          <w:p w14:paraId="67FFE0C1"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p>
        </w:tc>
        <w:tc>
          <w:tcPr>
            <w:tcW w:w="2675" w:type="dxa"/>
            <w:vAlign w:val="center"/>
          </w:tcPr>
          <w:p w14:paraId="5E5E3037" w14:textId="08594D1A" w:rsidR="003654C3" w:rsidRPr="003C19B2" w:rsidRDefault="000C22AC"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Gold</w:t>
            </w:r>
          </w:p>
        </w:tc>
        <w:tc>
          <w:tcPr>
            <w:tcW w:w="2411" w:type="dxa"/>
            <w:vAlign w:val="center"/>
          </w:tcPr>
          <w:p w14:paraId="5E6CA198" w14:textId="40585B61"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5</w:t>
            </w:r>
          </w:p>
        </w:tc>
        <w:tc>
          <w:tcPr>
            <w:tcW w:w="2711" w:type="dxa"/>
            <w:vAlign w:val="center"/>
          </w:tcPr>
          <w:p w14:paraId="0880287A" w14:textId="27B02E84"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00000051</w:t>
            </w:r>
          </w:p>
        </w:tc>
      </w:tr>
      <w:tr w:rsidR="000C22AC" w:rsidRPr="003C19B2" w14:paraId="5EA219D4" w14:textId="77777777" w:rsidTr="00122892">
        <w:trPr>
          <w:trHeight w:val="417"/>
          <w:jc w:val="center"/>
        </w:trPr>
        <w:tc>
          <w:tcPr>
            <w:tcW w:w="1482" w:type="dxa"/>
            <w:vMerge w:val="restart"/>
            <w:vAlign w:val="center"/>
          </w:tcPr>
          <w:p w14:paraId="3109B874" w14:textId="44A98514"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Metropolitana</w:t>
            </w:r>
          </w:p>
        </w:tc>
        <w:tc>
          <w:tcPr>
            <w:tcW w:w="2675" w:type="dxa"/>
            <w:vAlign w:val="center"/>
          </w:tcPr>
          <w:p w14:paraId="5CF61614" w14:textId="42144440" w:rsidR="003654C3" w:rsidRPr="003C19B2" w:rsidRDefault="000C22AC" w:rsidP="00DA24EA">
            <w:pPr>
              <w:jc w:val="center"/>
              <w:rPr>
                <w:rFonts w:ascii="Palatino Linotype" w:eastAsia="Times New Roman" w:hAnsi="Palatino Linotype" w:cs="Times New Roman"/>
                <w:bCs/>
                <w:color w:val="000000"/>
                <w:sz w:val="20"/>
                <w:lang w:eastAsia="de-DE" w:bidi="en-US"/>
              </w:rPr>
            </w:pPr>
            <w:proofErr w:type="spellStart"/>
            <w:r w:rsidRPr="003C19B2">
              <w:rPr>
                <w:rFonts w:ascii="Palatino Linotype" w:eastAsia="Times New Roman" w:hAnsi="Palatino Linotype" w:cs="Times New Roman"/>
                <w:bCs/>
                <w:color w:val="000000"/>
                <w:sz w:val="20"/>
                <w:lang w:eastAsia="de-DE" w:bidi="en-US"/>
              </w:rPr>
              <w:t>Copper</w:t>
            </w:r>
            <w:proofErr w:type="spellEnd"/>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proofErr w:type="spellStart"/>
            <w:r w:rsidRPr="003C19B2">
              <w:rPr>
                <w:rFonts w:ascii="Palatino Linotype" w:eastAsia="Times New Roman" w:hAnsi="Palatino Linotype" w:cs="Times New Roman"/>
                <w:bCs/>
                <w:color w:val="000000"/>
                <w:sz w:val="20"/>
                <w:lang w:eastAsia="de-DE" w:bidi="en-US"/>
              </w:rPr>
              <w:t>Hydrometallurgy</w:t>
            </w:r>
            <w:proofErr w:type="spellEnd"/>
          </w:p>
        </w:tc>
        <w:tc>
          <w:tcPr>
            <w:tcW w:w="2411" w:type="dxa"/>
            <w:vAlign w:val="center"/>
          </w:tcPr>
          <w:p w14:paraId="5EC320E3" w14:textId="06D96695"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06 (2012)</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010 (2015)</w:t>
            </w:r>
          </w:p>
        </w:tc>
        <w:tc>
          <w:tcPr>
            <w:tcW w:w="2711" w:type="dxa"/>
            <w:vAlign w:val="center"/>
          </w:tcPr>
          <w:p w14:paraId="45BC29F3" w14:textId="251D4A86"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0066 (2012)</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0067 (2019)</w:t>
            </w:r>
          </w:p>
        </w:tc>
      </w:tr>
      <w:tr w:rsidR="000C22AC" w:rsidRPr="003C19B2" w14:paraId="347002A1" w14:textId="77777777" w:rsidTr="00122892">
        <w:trPr>
          <w:trHeight w:val="274"/>
          <w:jc w:val="center"/>
        </w:trPr>
        <w:tc>
          <w:tcPr>
            <w:tcW w:w="1482" w:type="dxa"/>
            <w:vMerge/>
            <w:vAlign w:val="center"/>
          </w:tcPr>
          <w:p w14:paraId="0BC5CFF5"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p>
        </w:tc>
        <w:tc>
          <w:tcPr>
            <w:tcW w:w="2675" w:type="dxa"/>
            <w:vAlign w:val="center"/>
          </w:tcPr>
          <w:p w14:paraId="3EC799BC" w14:textId="5B12156A" w:rsidR="003654C3" w:rsidRPr="003C19B2" w:rsidRDefault="000C22AC" w:rsidP="00DA24EA">
            <w:pPr>
              <w:jc w:val="center"/>
              <w:rPr>
                <w:rFonts w:ascii="Palatino Linotype" w:eastAsia="Times New Roman" w:hAnsi="Palatino Linotype" w:cs="Times New Roman"/>
                <w:bCs/>
                <w:color w:val="000000"/>
                <w:sz w:val="20"/>
                <w:lang w:eastAsia="de-DE" w:bidi="en-US"/>
              </w:rPr>
            </w:pPr>
            <w:proofErr w:type="spellStart"/>
            <w:r w:rsidRPr="003C19B2">
              <w:rPr>
                <w:rFonts w:ascii="Palatino Linotype" w:eastAsia="Times New Roman" w:hAnsi="Palatino Linotype" w:cs="Times New Roman"/>
                <w:bCs/>
                <w:color w:val="000000"/>
                <w:sz w:val="20"/>
                <w:lang w:eastAsia="de-DE" w:bidi="en-US"/>
              </w:rPr>
              <w:t>Copper</w:t>
            </w:r>
            <w:proofErr w:type="spellEnd"/>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proofErr w:type="spellStart"/>
            <w:r w:rsidRPr="003C19B2">
              <w:rPr>
                <w:rFonts w:ascii="Palatino Linotype" w:eastAsia="Times New Roman" w:hAnsi="Palatino Linotype" w:cs="Times New Roman"/>
                <w:bCs/>
                <w:color w:val="000000"/>
                <w:sz w:val="20"/>
                <w:lang w:eastAsia="de-DE" w:bidi="en-US"/>
              </w:rPr>
              <w:t>Concentration</w:t>
            </w:r>
            <w:proofErr w:type="spellEnd"/>
          </w:p>
        </w:tc>
        <w:tc>
          <w:tcPr>
            <w:tcW w:w="2411" w:type="dxa"/>
            <w:vAlign w:val="center"/>
          </w:tcPr>
          <w:p w14:paraId="5BD752EA" w14:textId="3FEEFC71"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41 (2012)</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41 (2015)</w:t>
            </w:r>
          </w:p>
        </w:tc>
        <w:tc>
          <w:tcPr>
            <w:tcW w:w="2711" w:type="dxa"/>
            <w:vAlign w:val="center"/>
          </w:tcPr>
          <w:p w14:paraId="5B1E4CAA" w14:textId="52BEB37B" w:rsidR="003654C3" w:rsidRPr="003C19B2" w:rsidRDefault="003654C3" w:rsidP="003C19B2">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0085 (2012)</w:t>
            </w:r>
            <w:r w:rsidR="00122892">
              <w:rPr>
                <w:rFonts w:ascii="Palatino Linotype" w:eastAsia="Times New Roman" w:hAnsi="Palatino Linotype" w:cs="Times New Roman"/>
                <w:bCs/>
                <w:color w:val="000000"/>
                <w:sz w:val="20"/>
                <w:lang w:eastAsia="de-DE" w:bidi="en-US"/>
              </w:rPr>
              <w:t xml:space="preserve"> </w:t>
            </w:r>
            <w:r w:rsidR="003C19B2">
              <w:rPr>
                <w:rFonts w:ascii="Palatino Linotype" w:eastAsia="Times New Roman" w:hAnsi="Palatino Linotype" w:cs="Times New Roman"/>
                <w:bCs/>
                <w:color w:val="000000"/>
                <w:sz w:val="20"/>
                <w:lang w:eastAsia="de-DE" w:bidi="en-US"/>
              </w:rPr>
              <w:t>//</w:t>
            </w:r>
            <w:r w:rsidR="00122892">
              <w:rPr>
                <w:rFonts w:ascii="Palatino Linotype" w:eastAsia="Times New Roman" w:hAnsi="Palatino Linotype" w:cs="Times New Roman"/>
                <w:bCs/>
                <w:color w:val="000000"/>
                <w:sz w:val="20"/>
                <w:lang w:eastAsia="de-DE" w:bidi="en-US"/>
              </w:rPr>
              <w:t xml:space="preserve"> </w:t>
            </w:r>
            <w:r w:rsidRPr="003C19B2">
              <w:rPr>
                <w:rFonts w:ascii="Palatino Linotype" w:eastAsia="Times New Roman" w:hAnsi="Palatino Linotype" w:cs="Times New Roman"/>
                <w:bCs/>
                <w:color w:val="000000"/>
                <w:sz w:val="20"/>
                <w:lang w:eastAsia="de-DE" w:bidi="en-US"/>
              </w:rPr>
              <w:t>0</w:t>
            </w:r>
            <w:r w:rsidR="000C22AC" w:rsidRPr="003C19B2">
              <w:rPr>
                <w:rFonts w:ascii="Palatino Linotype" w:eastAsia="Times New Roman" w:hAnsi="Palatino Linotype" w:cs="Times New Roman"/>
                <w:bCs/>
                <w:color w:val="000000"/>
                <w:sz w:val="20"/>
                <w:lang w:eastAsia="de-DE" w:bidi="en-US"/>
              </w:rPr>
              <w:t>.</w:t>
            </w:r>
            <w:r w:rsidRPr="003C19B2">
              <w:rPr>
                <w:rFonts w:ascii="Palatino Linotype" w:eastAsia="Times New Roman" w:hAnsi="Palatino Linotype" w:cs="Times New Roman"/>
                <w:bCs/>
                <w:color w:val="000000"/>
                <w:sz w:val="20"/>
                <w:lang w:eastAsia="de-DE" w:bidi="en-US"/>
              </w:rPr>
              <w:t>0078 (2019)</w:t>
            </w:r>
          </w:p>
        </w:tc>
      </w:tr>
      <w:tr w:rsidR="000C22AC" w:rsidRPr="003C19B2" w14:paraId="256583E3" w14:textId="77777777" w:rsidTr="00122892">
        <w:trPr>
          <w:trHeight w:val="232"/>
          <w:jc w:val="center"/>
        </w:trPr>
        <w:tc>
          <w:tcPr>
            <w:tcW w:w="1482" w:type="dxa"/>
            <w:vAlign w:val="center"/>
          </w:tcPr>
          <w:p w14:paraId="4821B168" w14:textId="1A43D932"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Aysén</w:t>
            </w:r>
          </w:p>
        </w:tc>
        <w:tc>
          <w:tcPr>
            <w:tcW w:w="2675" w:type="dxa"/>
            <w:vAlign w:val="center"/>
          </w:tcPr>
          <w:p w14:paraId="4F9FB13B"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Zinc</w:t>
            </w:r>
          </w:p>
        </w:tc>
        <w:tc>
          <w:tcPr>
            <w:tcW w:w="2411" w:type="dxa"/>
            <w:vAlign w:val="center"/>
          </w:tcPr>
          <w:p w14:paraId="3C5F0517"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2</w:t>
            </w:r>
          </w:p>
        </w:tc>
        <w:tc>
          <w:tcPr>
            <w:tcW w:w="2711" w:type="dxa"/>
            <w:vAlign w:val="center"/>
          </w:tcPr>
          <w:p w14:paraId="24532956" w14:textId="77777777" w:rsidR="003654C3" w:rsidRPr="003C19B2" w:rsidRDefault="003654C3" w:rsidP="00DA24EA">
            <w:pPr>
              <w:jc w:val="center"/>
              <w:rPr>
                <w:rFonts w:ascii="Palatino Linotype" w:eastAsia="Times New Roman" w:hAnsi="Palatino Linotype" w:cs="Times New Roman"/>
                <w:bCs/>
                <w:color w:val="000000"/>
                <w:sz w:val="20"/>
                <w:lang w:eastAsia="de-DE" w:bidi="en-US"/>
              </w:rPr>
            </w:pPr>
            <w:r w:rsidRPr="003C19B2">
              <w:rPr>
                <w:rFonts w:ascii="Palatino Linotype" w:eastAsia="Times New Roman" w:hAnsi="Palatino Linotype" w:cs="Times New Roman"/>
                <w:bCs/>
                <w:color w:val="000000"/>
                <w:sz w:val="20"/>
                <w:lang w:eastAsia="de-DE" w:bidi="en-US"/>
              </w:rPr>
              <w:t>0,05</w:t>
            </w:r>
          </w:p>
        </w:tc>
      </w:tr>
    </w:tbl>
    <w:p w14:paraId="218F327A" w14:textId="6019CD86" w:rsidR="003E3539" w:rsidRPr="003C19B2" w:rsidRDefault="003E3539" w:rsidP="003C19B2">
      <w:pPr>
        <w:jc w:val="both"/>
        <w:rPr>
          <w:rFonts w:ascii="Palatino Linotype" w:eastAsia="Times New Roman" w:hAnsi="Palatino Linotype" w:cs="Times New Roman"/>
          <w:b/>
          <w:color w:val="000000"/>
          <w:sz w:val="20"/>
          <w:lang w:eastAsia="de-DE" w:bidi="en-US"/>
        </w:rPr>
      </w:pPr>
    </w:p>
    <w:sectPr w:rsidR="003E3539" w:rsidRPr="003C19B2" w:rsidSect="00D51175">
      <w:pgSz w:w="12240" w:h="15840"/>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9C05" w14:textId="77777777" w:rsidR="00162F07" w:rsidRDefault="00162F07" w:rsidP="0042292E">
      <w:pPr>
        <w:spacing w:after="0" w:line="240" w:lineRule="auto"/>
      </w:pPr>
      <w:r>
        <w:separator/>
      </w:r>
    </w:p>
  </w:endnote>
  <w:endnote w:type="continuationSeparator" w:id="0">
    <w:p w14:paraId="4DE1ED8F" w14:textId="77777777" w:rsidR="00162F07" w:rsidRDefault="00162F07" w:rsidP="0042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99EF" w14:textId="77777777" w:rsidR="00162F07" w:rsidRDefault="00162F07" w:rsidP="0042292E">
      <w:pPr>
        <w:spacing w:after="0" w:line="240" w:lineRule="auto"/>
      </w:pPr>
      <w:r>
        <w:separator/>
      </w:r>
    </w:p>
  </w:footnote>
  <w:footnote w:type="continuationSeparator" w:id="0">
    <w:p w14:paraId="2273CD02" w14:textId="77777777" w:rsidR="00162F07" w:rsidRDefault="00162F07" w:rsidP="00422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3"/>
    <w:multiLevelType w:val="hybridMultilevel"/>
    <w:tmpl w:val="6AA83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7F48CE"/>
    <w:multiLevelType w:val="hybridMultilevel"/>
    <w:tmpl w:val="17069EBA"/>
    <w:lvl w:ilvl="0" w:tplc="AABC91FC">
      <w:start w:val="1"/>
      <w:numFmt w:val="lowerRoman"/>
      <w:lvlText w:val="%1."/>
      <w:lvlJc w:val="center"/>
      <w:pPr>
        <w:ind w:left="720" w:hanging="360"/>
      </w:pPr>
      <w:rPr>
        <w:rFonts w:ascii="Calibri" w:hAnsi="Calibri" w:hint="default"/>
        <w:b w:val="0"/>
        <w:i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821786"/>
    <w:multiLevelType w:val="multilevel"/>
    <w:tmpl w:val="86003C2E"/>
    <w:lvl w:ilvl="0">
      <w:start w:val="1"/>
      <w:numFmt w:val="upperRoman"/>
      <w:lvlText w:val="%1."/>
      <w:lvlJc w:val="left"/>
      <w:pPr>
        <w:ind w:left="360" w:hanging="360"/>
      </w:pPr>
      <w:rPr>
        <w:rFonts w:hint="default"/>
      </w:rPr>
    </w:lvl>
    <w:lvl w:ilvl="1">
      <w:start w:val="1"/>
      <w:numFmt w:val="none"/>
      <w:pStyle w:val="Ttulo2"/>
      <w:lvlText w:val=""/>
      <w:lvlJc w:val="left"/>
      <w:pPr>
        <w:ind w:left="720" w:hanging="360"/>
      </w:pPr>
      <w:rPr>
        <w:rFonts w:hint="default"/>
      </w:rPr>
    </w:lvl>
    <w:lvl w:ilvl="2">
      <w:start w:val="1"/>
      <w:numFmt w:val="none"/>
      <w:pStyle w:val="Ttulo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6274F"/>
    <w:multiLevelType w:val="hybridMultilevel"/>
    <w:tmpl w:val="2E9C664E"/>
    <w:lvl w:ilvl="0" w:tplc="38DA747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D66D95"/>
    <w:multiLevelType w:val="hybridMultilevel"/>
    <w:tmpl w:val="010A3E4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99035DD"/>
    <w:multiLevelType w:val="hybridMultilevel"/>
    <w:tmpl w:val="304E7352"/>
    <w:lvl w:ilvl="0" w:tplc="61987822">
      <w:numFmt w:val="bullet"/>
      <w:lvlText w:val="-"/>
      <w:lvlJc w:val="left"/>
      <w:pPr>
        <w:ind w:left="720" w:hanging="360"/>
      </w:pPr>
      <w:rPr>
        <w:rFonts w:ascii="Times New Roman" w:eastAsiaTheme="minorHAnsi" w:hAnsi="Times New Roman" w:cs="Times New Roman"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03B1090"/>
    <w:multiLevelType w:val="hybridMultilevel"/>
    <w:tmpl w:val="682CC596"/>
    <w:lvl w:ilvl="0" w:tplc="527E280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3CF437F"/>
    <w:multiLevelType w:val="hybridMultilevel"/>
    <w:tmpl w:val="B956AB8C"/>
    <w:lvl w:ilvl="0" w:tplc="43080C06">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8" w15:restartNumberingAfterBreak="0">
    <w:nsid w:val="4B316BD0"/>
    <w:multiLevelType w:val="hybridMultilevel"/>
    <w:tmpl w:val="E2EAE25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15:restartNumberingAfterBreak="0">
    <w:nsid w:val="5D3E5C4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632937"/>
    <w:multiLevelType w:val="hybridMultilevel"/>
    <w:tmpl w:val="999A498C"/>
    <w:lvl w:ilvl="0" w:tplc="AABC91FC">
      <w:start w:val="1"/>
      <w:numFmt w:val="lowerRoman"/>
      <w:lvlText w:val="%1."/>
      <w:lvlJc w:val="center"/>
      <w:pPr>
        <w:ind w:left="720" w:hanging="360"/>
      </w:pPr>
      <w:rPr>
        <w:rFonts w:ascii="Calibri" w:hAnsi="Calibri" w:hint="default"/>
        <w:b w:val="0"/>
        <w:i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A4E593B"/>
    <w:multiLevelType w:val="hybridMultilevel"/>
    <w:tmpl w:val="1932F08A"/>
    <w:lvl w:ilvl="0" w:tplc="8598A616">
      <w:start w:val="1"/>
      <w:numFmt w:val="low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14818864">
    <w:abstractNumId w:val="7"/>
  </w:num>
  <w:num w:numId="2" w16cid:durableId="1608655657">
    <w:abstractNumId w:val="2"/>
  </w:num>
  <w:num w:numId="3" w16cid:durableId="758402768">
    <w:abstractNumId w:val="9"/>
  </w:num>
  <w:num w:numId="4" w16cid:durableId="838076987">
    <w:abstractNumId w:val="5"/>
  </w:num>
  <w:num w:numId="5" w16cid:durableId="1224369134">
    <w:abstractNumId w:val="8"/>
  </w:num>
  <w:num w:numId="6" w16cid:durableId="475185">
    <w:abstractNumId w:val="0"/>
  </w:num>
  <w:num w:numId="7" w16cid:durableId="1091701679">
    <w:abstractNumId w:val="6"/>
  </w:num>
  <w:num w:numId="8" w16cid:durableId="699210690">
    <w:abstractNumId w:val="3"/>
  </w:num>
  <w:num w:numId="9" w16cid:durableId="1853762177">
    <w:abstractNumId w:val="4"/>
  </w:num>
  <w:num w:numId="10" w16cid:durableId="748771122">
    <w:abstractNumId w:val="1"/>
  </w:num>
  <w:num w:numId="11" w16cid:durableId="1377270217">
    <w:abstractNumId w:val="11"/>
  </w:num>
  <w:num w:numId="12" w16cid:durableId="1486386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A0"/>
    <w:rsid w:val="00006F7C"/>
    <w:rsid w:val="00031427"/>
    <w:rsid w:val="0004117F"/>
    <w:rsid w:val="000543D1"/>
    <w:rsid w:val="00056864"/>
    <w:rsid w:val="00063ABE"/>
    <w:rsid w:val="000657A6"/>
    <w:rsid w:val="00072300"/>
    <w:rsid w:val="00073CF8"/>
    <w:rsid w:val="0007639F"/>
    <w:rsid w:val="000B509F"/>
    <w:rsid w:val="000C22AC"/>
    <w:rsid w:val="000F0493"/>
    <w:rsid w:val="000F0591"/>
    <w:rsid w:val="000F07DD"/>
    <w:rsid w:val="00107849"/>
    <w:rsid w:val="001216B9"/>
    <w:rsid w:val="00122892"/>
    <w:rsid w:val="00130FD8"/>
    <w:rsid w:val="00140083"/>
    <w:rsid w:val="00154011"/>
    <w:rsid w:val="00155A06"/>
    <w:rsid w:val="00160614"/>
    <w:rsid w:val="00162F07"/>
    <w:rsid w:val="00181E4E"/>
    <w:rsid w:val="00185752"/>
    <w:rsid w:val="001A1E33"/>
    <w:rsid w:val="001A4805"/>
    <w:rsid w:val="001D1D02"/>
    <w:rsid w:val="001D55AE"/>
    <w:rsid w:val="001E1A94"/>
    <w:rsid w:val="001F430B"/>
    <w:rsid w:val="00204519"/>
    <w:rsid w:val="002165F1"/>
    <w:rsid w:val="00224736"/>
    <w:rsid w:val="00241FBC"/>
    <w:rsid w:val="002526FC"/>
    <w:rsid w:val="0028704F"/>
    <w:rsid w:val="00287F2E"/>
    <w:rsid w:val="00293261"/>
    <w:rsid w:val="002A553F"/>
    <w:rsid w:val="002B385A"/>
    <w:rsid w:val="002C630C"/>
    <w:rsid w:val="002E134E"/>
    <w:rsid w:val="002F38B4"/>
    <w:rsid w:val="002F5A4E"/>
    <w:rsid w:val="003050AE"/>
    <w:rsid w:val="00333791"/>
    <w:rsid w:val="00336075"/>
    <w:rsid w:val="00336BCE"/>
    <w:rsid w:val="00340212"/>
    <w:rsid w:val="003654C3"/>
    <w:rsid w:val="003A0E11"/>
    <w:rsid w:val="003A1509"/>
    <w:rsid w:val="003B7D8A"/>
    <w:rsid w:val="003C19B2"/>
    <w:rsid w:val="003D0740"/>
    <w:rsid w:val="003D4CB0"/>
    <w:rsid w:val="003E1D41"/>
    <w:rsid w:val="003E3539"/>
    <w:rsid w:val="003E4B81"/>
    <w:rsid w:val="003F0A1F"/>
    <w:rsid w:val="004012DE"/>
    <w:rsid w:val="0042292E"/>
    <w:rsid w:val="00426CD9"/>
    <w:rsid w:val="00465F07"/>
    <w:rsid w:val="00484042"/>
    <w:rsid w:val="00486091"/>
    <w:rsid w:val="00492B04"/>
    <w:rsid w:val="004C27C0"/>
    <w:rsid w:val="004E4B08"/>
    <w:rsid w:val="004E4B58"/>
    <w:rsid w:val="00500E49"/>
    <w:rsid w:val="005070E0"/>
    <w:rsid w:val="00516DFC"/>
    <w:rsid w:val="005433EA"/>
    <w:rsid w:val="005603C5"/>
    <w:rsid w:val="005624FA"/>
    <w:rsid w:val="005728A8"/>
    <w:rsid w:val="00582985"/>
    <w:rsid w:val="0058512A"/>
    <w:rsid w:val="005944A1"/>
    <w:rsid w:val="005A37A5"/>
    <w:rsid w:val="005C205B"/>
    <w:rsid w:val="005C5008"/>
    <w:rsid w:val="005D58C4"/>
    <w:rsid w:val="005E19FD"/>
    <w:rsid w:val="005F03B9"/>
    <w:rsid w:val="005F4984"/>
    <w:rsid w:val="006225C0"/>
    <w:rsid w:val="00622EB1"/>
    <w:rsid w:val="0062716F"/>
    <w:rsid w:val="00647829"/>
    <w:rsid w:val="00654C56"/>
    <w:rsid w:val="0068287D"/>
    <w:rsid w:val="006876F0"/>
    <w:rsid w:val="006A6783"/>
    <w:rsid w:val="006E11B6"/>
    <w:rsid w:val="007219C4"/>
    <w:rsid w:val="00736B0D"/>
    <w:rsid w:val="0074386E"/>
    <w:rsid w:val="00745591"/>
    <w:rsid w:val="00750DB8"/>
    <w:rsid w:val="007839B6"/>
    <w:rsid w:val="00797C7C"/>
    <w:rsid w:val="007B1F06"/>
    <w:rsid w:val="007F3913"/>
    <w:rsid w:val="007F43BA"/>
    <w:rsid w:val="00826E7C"/>
    <w:rsid w:val="00826ED7"/>
    <w:rsid w:val="00830C28"/>
    <w:rsid w:val="00834DB6"/>
    <w:rsid w:val="008525B7"/>
    <w:rsid w:val="00853B19"/>
    <w:rsid w:val="00854D26"/>
    <w:rsid w:val="00856051"/>
    <w:rsid w:val="00862D94"/>
    <w:rsid w:val="008832BF"/>
    <w:rsid w:val="00892EA7"/>
    <w:rsid w:val="008F1B55"/>
    <w:rsid w:val="008F29E4"/>
    <w:rsid w:val="008F67A0"/>
    <w:rsid w:val="00903AF8"/>
    <w:rsid w:val="009309E3"/>
    <w:rsid w:val="009453F6"/>
    <w:rsid w:val="00965D05"/>
    <w:rsid w:val="00965E64"/>
    <w:rsid w:val="00972E3E"/>
    <w:rsid w:val="00980922"/>
    <w:rsid w:val="009A6FC0"/>
    <w:rsid w:val="009B4C27"/>
    <w:rsid w:val="009D19E6"/>
    <w:rsid w:val="009D29AA"/>
    <w:rsid w:val="009E367A"/>
    <w:rsid w:val="009E6574"/>
    <w:rsid w:val="009F6E64"/>
    <w:rsid w:val="00A04D5E"/>
    <w:rsid w:val="00A06AED"/>
    <w:rsid w:val="00A23795"/>
    <w:rsid w:val="00A37EE6"/>
    <w:rsid w:val="00A40759"/>
    <w:rsid w:val="00A72859"/>
    <w:rsid w:val="00A85BFB"/>
    <w:rsid w:val="00AA21CD"/>
    <w:rsid w:val="00AA631C"/>
    <w:rsid w:val="00AA766A"/>
    <w:rsid w:val="00AB493D"/>
    <w:rsid w:val="00AD1CB2"/>
    <w:rsid w:val="00B11B2A"/>
    <w:rsid w:val="00B11ED6"/>
    <w:rsid w:val="00B127E0"/>
    <w:rsid w:val="00B3648F"/>
    <w:rsid w:val="00B50AC4"/>
    <w:rsid w:val="00B73B56"/>
    <w:rsid w:val="00B74AE6"/>
    <w:rsid w:val="00B939E4"/>
    <w:rsid w:val="00B95E30"/>
    <w:rsid w:val="00BD0736"/>
    <w:rsid w:val="00BF24C2"/>
    <w:rsid w:val="00BF6F41"/>
    <w:rsid w:val="00C03EF3"/>
    <w:rsid w:val="00C226A1"/>
    <w:rsid w:val="00C30FF0"/>
    <w:rsid w:val="00C52570"/>
    <w:rsid w:val="00C83367"/>
    <w:rsid w:val="00C90018"/>
    <w:rsid w:val="00CA3F40"/>
    <w:rsid w:val="00CB1FD8"/>
    <w:rsid w:val="00CB4ECA"/>
    <w:rsid w:val="00CF0767"/>
    <w:rsid w:val="00D04815"/>
    <w:rsid w:val="00D07B21"/>
    <w:rsid w:val="00D27F02"/>
    <w:rsid w:val="00D51175"/>
    <w:rsid w:val="00D56A9D"/>
    <w:rsid w:val="00D64766"/>
    <w:rsid w:val="00D6602F"/>
    <w:rsid w:val="00D86E9F"/>
    <w:rsid w:val="00DA24EA"/>
    <w:rsid w:val="00DB10D1"/>
    <w:rsid w:val="00DD5325"/>
    <w:rsid w:val="00E0319F"/>
    <w:rsid w:val="00E105CF"/>
    <w:rsid w:val="00E21CEC"/>
    <w:rsid w:val="00E355C8"/>
    <w:rsid w:val="00E372C7"/>
    <w:rsid w:val="00E46CDC"/>
    <w:rsid w:val="00E62D42"/>
    <w:rsid w:val="00E777B5"/>
    <w:rsid w:val="00E86680"/>
    <w:rsid w:val="00EC0E3E"/>
    <w:rsid w:val="00EF1852"/>
    <w:rsid w:val="00EF5318"/>
    <w:rsid w:val="00F0609C"/>
    <w:rsid w:val="00F1017F"/>
    <w:rsid w:val="00F13160"/>
    <w:rsid w:val="00F15990"/>
    <w:rsid w:val="00F20CE4"/>
    <w:rsid w:val="00F228FF"/>
    <w:rsid w:val="00F25E28"/>
    <w:rsid w:val="00F27F4C"/>
    <w:rsid w:val="00F463D1"/>
    <w:rsid w:val="00F72B7A"/>
    <w:rsid w:val="00F7650A"/>
    <w:rsid w:val="00FB1BD7"/>
    <w:rsid w:val="00FB4C79"/>
    <w:rsid w:val="00FB74DA"/>
    <w:rsid w:val="00FB7B80"/>
    <w:rsid w:val="00FC487B"/>
    <w:rsid w:val="00FD5870"/>
    <w:rsid w:val="00FE256A"/>
    <w:rsid w:val="00FF2A17"/>
    <w:rsid w:val="00FF7A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FAD8C"/>
  <w15:docId w15:val="{67E5812F-A8AA-4242-809A-2D6B9E67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0083"/>
    <w:pPr>
      <w:outlineLvl w:val="0"/>
    </w:pPr>
    <w:rPr>
      <w:b/>
      <w:bCs/>
    </w:rPr>
  </w:style>
  <w:style w:type="paragraph" w:styleId="Ttulo2">
    <w:name w:val="heading 2"/>
    <w:basedOn w:val="Normal"/>
    <w:next w:val="Normal"/>
    <w:link w:val="Ttulo2Car"/>
    <w:uiPriority w:val="9"/>
    <w:unhideWhenUsed/>
    <w:qFormat/>
    <w:rsid w:val="0042292E"/>
    <w:pPr>
      <w:keepNext/>
      <w:keepLines/>
      <w:numPr>
        <w:ilvl w:val="1"/>
        <w:numId w:val="2"/>
      </w:numPr>
      <w:spacing w:before="240" w:after="0" w:line="240" w:lineRule="auto"/>
      <w:jc w:val="center"/>
      <w:outlineLvl w:val="1"/>
    </w:pPr>
    <w:rPr>
      <w:rFonts w:ascii="Times New Roman" w:eastAsiaTheme="majorEastAsia" w:hAnsi="Times New Roman" w:cstheme="majorBidi"/>
      <w:b/>
      <w:bCs/>
      <w:color w:val="000000" w:themeColor="text1"/>
      <w:sz w:val="24"/>
      <w:szCs w:val="26"/>
    </w:rPr>
  </w:style>
  <w:style w:type="paragraph" w:styleId="Ttulo3">
    <w:name w:val="heading 3"/>
    <w:basedOn w:val="Normal"/>
    <w:next w:val="Normal"/>
    <w:link w:val="Ttulo3Car"/>
    <w:uiPriority w:val="9"/>
    <w:unhideWhenUsed/>
    <w:qFormat/>
    <w:rsid w:val="0042292E"/>
    <w:pPr>
      <w:keepNext/>
      <w:keepLines/>
      <w:numPr>
        <w:ilvl w:val="2"/>
        <w:numId w:val="2"/>
      </w:numPr>
      <w:spacing w:before="40" w:after="0" w:line="240" w:lineRule="auto"/>
      <w:ind w:left="0" w:firstLine="0"/>
      <w:jc w:val="both"/>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2292E"/>
    <w:rPr>
      <w:rFonts w:ascii="Times New Roman" w:eastAsiaTheme="majorEastAsia" w:hAnsi="Times New Roman" w:cstheme="majorBidi"/>
      <w:b/>
      <w:bCs/>
      <w:color w:val="000000" w:themeColor="text1"/>
      <w:sz w:val="24"/>
      <w:szCs w:val="26"/>
    </w:rPr>
  </w:style>
  <w:style w:type="character" w:customStyle="1" w:styleId="Ttulo3Car">
    <w:name w:val="Título 3 Car"/>
    <w:basedOn w:val="Fuentedeprrafopredeter"/>
    <w:link w:val="Ttulo3"/>
    <w:uiPriority w:val="9"/>
    <w:rsid w:val="0042292E"/>
    <w:rPr>
      <w:rFonts w:ascii="Times New Roman" w:eastAsiaTheme="majorEastAsia" w:hAnsi="Times New Roman" w:cstheme="majorBidi"/>
      <w:b/>
      <w:sz w:val="24"/>
      <w:szCs w:val="24"/>
    </w:rPr>
  </w:style>
  <w:style w:type="paragraph" w:styleId="Textonotapie">
    <w:name w:val="footnote text"/>
    <w:basedOn w:val="Normal"/>
    <w:link w:val="TextonotapieCar"/>
    <w:uiPriority w:val="99"/>
    <w:unhideWhenUsed/>
    <w:rsid w:val="0042292E"/>
    <w:pPr>
      <w:spacing w:after="0" w:line="240" w:lineRule="auto"/>
      <w:jc w:val="both"/>
    </w:pPr>
    <w:rPr>
      <w:rFonts w:ascii="Times New Roman" w:hAnsi="Times New Roman"/>
      <w:sz w:val="20"/>
      <w:szCs w:val="20"/>
    </w:rPr>
  </w:style>
  <w:style w:type="character" w:customStyle="1" w:styleId="TextonotapieCar">
    <w:name w:val="Texto nota pie Car"/>
    <w:basedOn w:val="Fuentedeprrafopredeter"/>
    <w:link w:val="Textonotapie"/>
    <w:uiPriority w:val="99"/>
    <w:rsid w:val="0042292E"/>
    <w:rPr>
      <w:rFonts w:ascii="Times New Roman" w:hAnsi="Times New Roman"/>
      <w:sz w:val="20"/>
      <w:szCs w:val="20"/>
    </w:rPr>
  </w:style>
  <w:style w:type="character" w:styleId="Refdenotaalpie">
    <w:name w:val="footnote reference"/>
    <w:basedOn w:val="Fuentedeprrafopredeter"/>
    <w:uiPriority w:val="99"/>
    <w:semiHidden/>
    <w:unhideWhenUsed/>
    <w:rsid w:val="0042292E"/>
    <w:rPr>
      <w:vertAlign w:val="superscript"/>
    </w:rPr>
  </w:style>
  <w:style w:type="paragraph" w:styleId="Prrafodelista">
    <w:name w:val="List Paragraph"/>
    <w:basedOn w:val="Normal"/>
    <w:uiPriority w:val="34"/>
    <w:qFormat/>
    <w:rsid w:val="0042292E"/>
    <w:pPr>
      <w:spacing w:after="0" w:line="240" w:lineRule="auto"/>
      <w:ind w:left="720"/>
      <w:contextualSpacing/>
      <w:jc w:val="both"/>
    </w:pPr>
    <w:rPr>
      <w:rFonts w:ascii="Times New Roman" w:hAnsi="Times New Roman"/>
      <w:sz w:val="24"/>
    </w:rPr>
  </w:style>
  <w:style w:type="table" w:styleId="Tablaconcuadrcula">
    <w:name w:val="Table Grid"/>
    <w:basedOn w:val="Tablanormal"/>
    <w:rsid w:val="0042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2292E"/>
    <w:pPr>
      <w:spacing w:after="0" w:line="240" w:lineRule="auto"/>
      <w:jc w:val="both"/>
    </w:pPr>
    <w:rPr>
      <w:rFonts w:ascii="Times New Roman" w:hAnsi="Times New Roman"/>
      <w:iCs/>
      <w:sz w:val="24"/>
      <w:szCs w:val="18"/>
    </w:rPr>
  </w:style>
  <w:style w:type="paragraph" w:customStyle="1" w:styleId="ParrafoNormal">
    <w:name w:val="Parrafo Normal"/>
    <w:basedOn w:val="Normal"/>
    <w:link w:val="ParrafoNormalCar"/>
    <w:qFormat/>
    <w:rsid w:val="0042292E"/>
    <w:pPr>
      <w:spacing w:before="120" w:after="120" w:line="276" w:lineRule="auto"/>
      <w:ind w:firstLine="284"/>
      <w:jc w:val="both"/>
    </w:pPr>
    <w:rPr>
      <w:rFonts w:ascii="Times New Roman" w:eastAsia="Cambria" w:hAnsi="Times New Roman" w:cs="Times New Roman"/>
      <w:spacing w:val="1"/>
      <w:sz w:val="24"/>
    </w:rPr>
  </w:style>
  <w:style w:type="character" w:customStyle="1" w:styleId="ParrafoNormalCar">
    <w:name w:val="Parrafo Normal Car"/>
    <w:basedOn w:val="Fuentedeprrafopredeter"/>
    <w:link w:val="ParrafoNormal"/>
    <w:qFormat/>
    <w:locked/>
    <w:rsid w:val="0042292E"/>
    <w:rPr>
      <w:rFonts w:ascii="Times New Roman" w:eastAsia="Cambria" w:hAnsi="Times New Roman" w:cs="Times New Roman"/>
      <w:spacing w:val="1"/>
      <w:sz w:val="24"/>
    </w:rPr>
  </w:style>
  <w:style w:type="character" w:customStyle="1" w:styleId="Ttulo1Car">
    <w:name w:val="Título 1 Car"/>
    <w:basedOn w:val="Fuentedeprrafopredeter"/>
    <w:link w:val="Ttulo1"/>
    <w:uiPriority w:val="9"/>
    <w:rsid w:val="00140083"/>
    <w:rPr>
      <w:b/>
      <w:bCs/>
    </w:rPr>
  </w:style>
  <w:style w:type="character" w:styleId="Refdecomentario">
    <w:name w:val="annotation reference"/>
    <w:basedOn w:val="Fuentedeprrafopredeter"/>
    <w:uiPriority w:val="99"/>
    <w:semiHidden/>
    <w:unhideWhenUsed/>
    <w:rsid w:val="005624FA"/>
    <w:rPr>
      <w:sz w:val="16"/>
      <w:szCs w:val="16"/>
    </w:rPr>
  </w:style>
  <w:style w:type="paragraph" w:styleId="Textocomentario">
    <w:name w:val="annotation text"/>
    <w:basedOn w:val="Normal"/>
    <w:link w:val="TextocomentarioCar"/>
    <w:uiPriority w:val="99"/>
    <w:unhideWhenUsed/>
    <w:rsid w:val="005624FA"/>
    <w:pPr>
      <w:spacing w:line="240" w:lineRule="auto"/>
    </w:pPr>
    <w:rPr>
      <w:sz w:val="20"/>
      <w:szCs w:val="20"/>
    </w:rPr>
  </w:style>
  <w:style w:type="character" w:customStyle="1" w:styleId="TextocomentarioCar">
    <w:name w:val="Texto comentario Car"/>
    <w:basedOn w:val="Fuentedeprrafopredeter"/>
    <w:link w:val="Textocomentario"/>
    <w:uiPriority w:val="99"/>
    <w:rsid w:val="005624FA"/>
    <w:rPr>
      <w:sz w:val="20"/>
      <w:szCs w:val="20"/>
    </w:rPr>
  </w:style>
  <w:style w:type="paragraph" w:styleId="Asuntodelcomentario">
    <w:name w:val="annotation subject"/>
    <w:basedOn w:val="Textocomentario"/>
    <w:next w:val="Textocomentario"/>
    <w:link w:val="AsuntodelcomentarioCar"/>
    <w:uiPriority w:val="99"/>
    <w:semiHidden/>
    <w:unhideWhenUsed/>
    <w:rsid w:val="005624FA"/>
    <w:rPr>
      <w:b/>
      <w:bCs/>
    </w:rPr>
  </w:style>
  <w:style w:type="character" w:customStyle="1" w:styleId="AsuntodelcomentarioCar">
    <w:name w:val="Asunto del comentario Car"/>
    <w:basedOn w:val="TextocomentarioCar"/>
    <w:link w:val="Asuntodelcomentario"/>
    <w:uiPriority w:val="99"/>
    <w:semiHidden/>
    <w:rsid w:val="005624FA"/>
    <w:rPr>
      <w:b/>
      <w:bCs/>
      <w:sz w:val="20"/>
      <w:szCs w:val="20"/>
    </w:rPr>
  </w:style>
  <w:style w:type="character" w:styleId="Hipervnculo">
    <w:name w:val="Hyperlink"/>
    <w:basedOn w:val="Fuentedeprrafopredeter"/>
    <w:uiPriority w:val="99"/>
    <w:unhideWhenUsed/>
    <w:rsid w:val="000F0591"/>
    <w:rPr>
      <w:color w:val="0563C1" w:themeColor="hyperlink"/>
      <w:u w:val="single"/>
    </w:rPr>
  </w:style>
  <w:style w:type="character" w:styleId="Mencinsinresolver">
    <w:name w:val="Unresolved Mention"/>
    <w:basedOn w:val="Fuentedeprrafopredeter"/>
    <w:uiPriority w:val="99"/>
    <w:semiHidden/>
    <w:unhideWhenUsed/>
    <w:rsid w:val="000F0591"/>
    <w:rPr>
      <w:color w:val="605E5C"/>
      <w:shd w:val="clear" w:color="auto" w:fill="E1DFDD"/>
    </w:rPr>
  </w:style>
  <w:style w:type="paragraph" w:styleId="Revisin">
    <w:name w:val="Revision"/>
    <w:hidden/>
    <w:uiPriority w:val="99"/>
    <w:semiHidden/>
    <w:rsid w:val="000F0591"/>
    <w:pPr>
      <w:spacing w:after="0" w:line="240" w:lineRule="auto"/>
    </w:pPr>
  </w:style>
  <w:style w:type="paragraph" w:styleId="Encabezado">
    <w:name w:val="header"/>
    <w:basedOn w:val="Normal"/>
    <w:link w:val="EncabezadoCar"/>
    <w:uiPriority w:val="99"/>
    <w:unhideWhenUsed/>
    <w:rsid w:val="00D51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175"/>
  </w:style>
  <w:style w:type="paragraph" w:styleId="Piedepgina">
    <w:name w:val="footer"/>
    <w:basedOn w:val="Normal"/>
    <w:link w:val="PiedepginaCar"/>
    <w:uiPriority w:val="99"/>
    <w:unhideWhenUsed/>
    <w:rsid w:val="00D511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175"/>
  </w:style>
  <w:style w:type="paragraph" w:customStyle="1" w:styleId="RSCF02FootnotestoTitleAuthors">
    <w:name w:val="RSC F02 Footnotes to Title/Authors"/>
    <w:basedOn w:val="Normal"/>
    <w:link w:val="RSCF02FootnotestoTitleAuthorsChar"/>
    <w:qFormat/>
    <w:rsid w:val="00516DFC"/>
    <w:pPr>
      <w:tabs>
        <w:tab w:val="left" w:pos="284"/>
      </w:tabs>
      <w:spacing w:after="0" w:line="240" w:lineRule="auto"/>
      <w:suppressOverlap/>
      <w:jc w:val="both"/>
    </w:pPr>
    <w:rPr>
      <w:rFonts w:cs="Times New Roman"/>
      <w:w w:val="105"/>
      <w:sz w:val="14"/>
      <w:szCs w:val="14"/>
      <w:lang w:val="en-GB"/>
    </w:rPr>
  </w:style>
  <w:style w:type="character" w:customStyle="1" w:styleId="RSCF02FootnotestoTitleAuthorsChar">
    <w:name w:val="RSC F02 Footnotes to Title/Authors Char"/>
    <w:basedOn w:val="Fuentedeprrafopredeter"/>
    <w:link w:val="RSCF02FootnotestoTitleAuthors"/>
    <w:rsid w:val="00516DFC"/>
    <w:rPr>
      <w:rFonts w:cs="Times New Roman"/>
      <w:w w:val="105"/>
      <w:sz w:val="14"/>
      <w:szCs w:val="14"/>
      <w:lang w:val="en-GB"/>
    </w:rPr>
  </w:style>
  <w:style w:type="paragraph" w:customStyle="1" w:styleId="MDPI12title">
    <w:name w:val="MDPI_1.2_title"/>
    <w:next w:val="Normal"/>
    <w:qFormat/>
    <w:rsid w:val="00FB1BD7"/>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FB1BD7"/>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FB1BD7"/>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FB1BD7"/>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FB1BD7"/>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15academiceditor">
    <w:name w:val="MDPI_1.5_academic_editor"/>
    <w:qFormat/>
    <w:rsid w:val="00FB1BD7"/>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72copyright">
    <w:name w:val="MDPI_7.2_copyright"/>
    <w:qFormat/>
    <w:rsid w:val="00FB1BD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50D9-02BE-4220-8206-8B799FDA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356</Words>
  <Characters>2023</Characters>
  <Application>Microsoft Office Word</Application>
  <DocSecurity>0</DocSecurity>
  <Lines>72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Katherinne Giselle Silva Urrutia (ksilva)</dc:creator>
  <cp:keywords/>
  <dc:description/>
  <cp:lastModifiedBy>Katherinne Giselle Silva Urrutia (ksilva)</cp:lastModifiedBy>
  <cp:revision>23</cp:revision>
  <dcterms:created xsi:type="dcterms:W3CDTF">2024-10-17T14:57:00Z</dcterms:created>
  <dcterms:modified xsi:type="dcterms:W3CDTF">2025-07-10T01:20:00Z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cd2d9de4a67e7e9d5ca4973b40ede628c8240f5c5c52ca86f4f859b04015eb54</vt:lpwstr>
  </property>
</Properties>
</file>