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F79C" w14:textId="77777777" w:rsidR="006B544D" w:rsidRPr="006B544D" w:rsidRDefault="006B544D" w:rsidP="006B544D">
      <w:pPr>
        <w:pStyle w:val="MDPI31text"/>
        <w:rPr>
          <w:b/>
          <w:bCs/>
          <w:sz w:val="28"/>
          <w:szCs w:val="28"/>
        </w:rPr>
      </w:pPr>
      <w:r w:rsidRPr="006B544D">
        <w:rPr>
          <w:b/>
          <w:bCs/>
          <w:sz w:val="28"/>
          <w:szCs w:val="28"/>
        </w:rPr>
        <w:t xml:space="preserve">Summaries of each study are provided </w:t>
      </w:r>
      <w:r w:rsidRPr="006B544D">
        <w:rPr>
          <w:b/>
          <w:bCs/>
          <w:sz w:val="28"/>
          <w:szCs w:val="28"/>
          <w:highlight w:val="yellow"/>
        </w:rPr>
        <w:t xml:space="preserve">as </w:t>
      </w:r>
      <w:r w:rsidRPr="006B544D">
        <w:rPr>
          <w:b/>
          <w:bCs/>
          <w:i/>
          <w:iCs/>
          <w:sz w:val="28"/>
          <w:szCs w:val="28"/>
          <w:highlight w:val="yellow"/>
        </w:rPr>
        <w:t>Electronic Supplement</w:t>
      </w:r>
      <w:r w:rsidRPr="006B544D">
        <w:rPr>
          <w:b/>
          <w:bCs/>
          <w:sz w:val="28"/>
          <w:szCs w:val="28"/>
          <w:highlight w:val="yellow"/>
        </w:rPr>
        <w:t xml:space="preserve"> (</w:t>
      </w:r>
      <w:proofErr w:type="spellStart"/>
      <w:r w:rsidRPr="006B544D">
        <w:rPr>
          <w:b/>
          <w:bCs/>
          <w:i/>
          <w:iCs/>
          <w:sz w:val="28"/>
          <w:szCs w:val="28"/>
          <w:highlight w:val="yellow"/>
        </w:rPr>
        <w:t>eTextBlock</w:t>
      </w:r>
      <w:proofErr w:type="spellEnd"/>
      <w:r w:rsidRPr="006B544D">
        <w:rPr>
          <w:b/>
          <w:bCs/>
          <w:i/>
          <w:iCs/>
          <w:sz w:val="28"/>
          <w:szCs w:val="28"/>
          <w:highlight w:val="yellow"/>
        </w:rPr>
        <w:t xml:space="preserve"> 1</w:t>
      </w:r>
      <w:r w:rsidRPr="006B544D">
        <w:rPr>
          <w:b/>
          <w:bCs/>
          <w:sz w:val="28"/>
          <w:szCs w:val="28"/>
          <w:highlight w:val="yellow"/>
        </w:rPr>
        <w:t>; Line 184 – 220 = yellow highlighted text).</w:t>
      </w:r>
    </w:p>
    <w:p w14:paraId="143A1FB3" w14:textId="77777777" w:rsidR="006B544D" w:rsidRPr="00E66FA6" w:rsidRDefault="006B544D" w:rsidP="006B544D">
      <w:pPr>
        <w:pStyle w:val="MDPI31text"/>
        <w:rPr>
          <w:rFonts w:eastAsiaTheme="minorHAnsi" w:cs="Helvetica"/>
          <w:highlight w:val="yellow"/>
        </w:rPr>
      </w:pPr>
      <w:r w:rsidRPr="00E66FA6">
        <w:rPr>
          <w:rFonts w:eastAsiaTheme="minorHAnsi"/>
          <w:highlight w:val="yellow"/>
        </w:rPr>
        <w:t>None of these six studies adopts all the assessment parameters disseminated in the respective literature. Therefore some parameters –- are not displayed in Table 1. The spanning width of EABs as well as the total OR time is not specified in any study. Concomitant ORIF therapy was performed in 2 studies: Hassan et al (2018)</w:t>
      </w:r>
      <w:r w:rsidRPr="00E66FA6">
        <w:rPr>
          <w:rFonts w:eastAsiaTheme="minorHAnsi"/>
          <w:noProof/>
          <w:highlight w:val="yellow"/>
          <w:vertAlign w:val="superscript"/>
        </w:rPr>
        <w:t xml:space="preserve">9 </w:t>
      </w:r>
      <w:r w:rsidRPr="00E66FA6">
        <w:rPr>
          <w:rFonts w:eastAsiaTheme="minorHAnsi"/>
          <w:highlight w:val="yellow"/>
        </w:rPr>
        <w:t xml:space="preserve">did not detail on the type of osteosynthesis, while </w:t>
      </w:r>
      <w:proofErr w:type="spellStart"/>
      <w:r w:rsidRPr="00E66FA6">
        <w:rPr>
          <w:rFonts w:eastAsiaTheme="minorHAnsi"/>
          <w:highlight w:val="yellow"/>
        </w:rPr>
        <w:t>Venugopalan</w:t>
      </w:r>
      <w:proofErr w:type="spellEnd"/>
      <w:r w:rsidRPr="00E66FA6">
        <w:rPr>
          <w:rFonts w:eastAsiaTheme="minorHAnsi"/>
          <w:highlight w:val="yellow"/>
        </w:rPr>
        <w:t xml:space="preserve"> et al (2020)</w:t>
      </w:r>
      <w:r w:rsidRPr="00E66FA6">
        <w:rPr>
          <w:rFonts w:eastAsiaTheme="minorHAnsi"/>
          <w:noProof/>
          <w:highlight w:val="yellow"/>
          <w:vertAlign w:val="superscript"/>
        </w:rPr>
        <w:t>10</w:t>
      </w:r>
      <w:r w:rsidRPr="00E66FA6">
        <w:rPr>
          <w:rFonts w:eastAsiaTheme="minorHAnsi"/>
          <w:highlight w:val="yellow"/>
        </w:rPr>
        <w:t xml:space="preserve"> utilized miniplates </w:t>
      </w:r>
      <w:r w:rsidRPr="00E66FA6">
        <w:rPr>
          <w:rFonts w:eastAsiaTheme="minorHAnsi" w:cs="Helvetica"/>
          <w:highlight w:val="yellow"/>
        </w:rPr>
        <w:t>across both comparative groups – Hybrid versus EAB.</w:t>
      </w:r>
    </w:p>
    <w:p w14:paraId="14DECB9B" w14:textId="77777777" w:rsidR="006B544D" w:rsidRPr="00E66FA6" w:rsidRDefault="006B544D" w:rsidP="006B544D">
      <w:pPr>
        <w:pStyle w:val="MDPI31text"/>
        <w:rPr>
          <w:rFonts w:eastAsiaTheme="minorHAnsi"/>
          <w:highlight w:val="yellow"/>
        </w:rPr>
      </w:pPr>
      <w:r w:rsidRPr="00E66FA6">
        <w:rPr>
          <w:rFonts w:eastAsiaTheme="minorHAnsi"/>
          <w:highlight w:val="yellow"/>
        </w:rPr>
        <w:t xml:space="preserve">Only two studies used tooth vitality to detect iatrogenic tooth root damage instead of imaging, </w:t>
      </w:r>
      <w:proofErr w:type="spellStart"/>
      <w:r w:rsidRPr="00E66FA6">
        <w:rPr>
          <w:rFonts w:eastAsiaTheme="minorHAnsi"/>
          <w:highlight w:val="yellow"/>
        </w:rPr>
        <w:t>Venugopalan</w:t>
      </w:r>
      <w:proofErr w:type="spellEnd"/>
      <w:r w:rsidRPr="00E66FA6">
        <w:rPr>
          <w:rFonts w:eastAsiaTheme="minorHAnsi"/>
          <w:highlight w:val="yellow"/>
        </w:rPr>
        <w:t xml:space="preserve"> et al (2020)</w:t>
      </w:r>
      <w:r w:rsidRPr="00E66FA6">
        <w:rPr>
          <w:rFonts w:eastAsiaTheme="minorHAnsi"/>
          <w:noProof/>
          <w:highlight w:val="yellow"/>
          <w:vertAlign w:val="superscript"/>
        </w:rPr>
        <w:t>10</w:t>
      </w:r>
      <w:r w:rsidRPr="00E66FA6">
        <w:rPr>
          <w:rFonts w:eastAsiaTheme="minorHAnsi"/>
          <w:highlight w:val="yellow"/>
        </w:rPr>
        <w:t xml:space="preserve"> and </w:t>
      </w:r>
      <w:proofErr w:type="spellStart"/>
      <w:r w:rsidRPr="00E66FA6">
        <w:rPr>
          <w:highlight w:val="yellow"/>
        </w:rPr>
        <w:t>Elhadidi</w:t>
      </w:r>
      <w:proofErr w:type="spellEnd"/>
      <w:r w:rsidRPr="00E66FA6">
        <w:rPr>
          <w:highlight w:val="yellow"/>
        </w:rPr>
        <w:t xml:space="preserve"> et al (2023)</w:t>
      </w:r>
      <w:r w:rsidRPr="00E66FA6">
        <w:rPr>
          <w:noProof/>
          <w:highlight w:val="yellow"/>
          <w:vertAlign w:val="superscript"/>
        </w:rPr>
        <w:t>11</w:t>
      </w:r>
      <w:r w:rsidRPr="00E66FA6">
        <w:rPr>
          <w:highlight w:val="yellow"/>
        </w:rPr>
        <w:t xml:space="preserve"> used electronic </w:t>
      </w:r>
      <w:r w:rsidRPr="00E66FA6">
        <w:rPr>
          <w:rFonts w:eastAsiaTheme="minorHAnsi"/>
          <w:highlight w:val="yellow"/>
        </w:rPr>
        <w:t xml:space="preserve">pulp testing. Surprisingly, </w:t>
      </w:r>
      <w:proofErr w:type="spellStart"/>
      <w:r w:rsidRPr="00E66FA6">
        <w:rPr>
          <w:rFonts w:eastAsiaTheme="minorHAnsi"/>
          <w:highlight w:val="yellow"/>
        </w:rPr>
        <w:t>Venugopalan</w:t>
      </w:r>
      <w:proofErr w:type="spellEnd"/>
      <w:r w:rsidRPr="00E66FA6">
        <w:rPr>
          <w:rFonts w:eastAsiaTheme="minorHAnsi"/>
          <w:highlight w:val="yellow"/>
        </w:rPr>
        <w:t xml:space="preserve"> et al (2020)</w:t>
      </w:r>
      <w:r w:rsidRPr="00E66FA6">
        <w:rPr>
          <w:rFonts w:eastAsiaTheme="minorHAnsi"/>
          <w:noProof/>
          <w:highlight w:val="yellow"/>
          <w:vertAlign w:val="superscript"/>
        </w:rPr>
        <w:t>10</w:t>
      </w:r>
      <w:r w:rsidRPr="00E66FA6">
        <w:rPr>
          <w:rFonts w:eastAsiaTheme="minorHAnsi"/>
          <w:highlight w:val="yellow"/>
        </w:rPr>
        <w:t xml:space="preserve"> observed significantly increased non-vital tooth responses in the EAB compared to the Hybrid patient group. </w:t>
      </w:r>
    </w:p>
    <w:p w14:paraId="4235A7EA" w14:textId="77777777" w:rsidR="006B544D" w:rsidRPr="00E66FA6" w:rsidRDefault="006B544D" w:rsidP="006B544D">
      <w:pPr>
        <w:pStyle w:val="MDPI31text"/>
        <w:rPr>
          <w:rFonts w:eastAsiaTheme="minorHAnsi"/>
          <w:highlight w:val="yellow"/>
        </w:rPr>
      </w:pPr>
      <w:proofErr w:type="spellStart"/>
      <w:r w:rsidRPr="00E66FA6">
        <w:rPr>
          <w:rFonts w:eastAsiaTheme="minorHAnsi"/>
          <w:highlight w:val="yellow"/>
        </w:rPr>
        <w:t>Elhadidi</w:t>
      </w:r>
      <w:proofErr w:type="spellEnd"/>
      <w:r w:rsidRPr="00E66FA6">
        <w:rPr>
          <w:rFonts w:eastAsiaTheme="minorHAnsi"/>
          <w:highlight w:val="yellow"/>
        </w:rPr>
        <w:t xml:space="preserve"> et al (2023)</w:t>
      </w:r>
      <w:r w:rsidRPr="00E66FA6">
        <w:rPr>
          <w:rFonts w:eastAsiaTheme="minorHAnsi"/>
          <w:noProof/>
          <w:highlight w:val="yellow"/>
          <w:vertAlign w:val="superscript"/>
        </w:rPr>
        <w:t>11</w:t>
      </w:r>
      <w:r w:rsidRPr="00E66FA6">
        <w:rPr>
          <w:rFonts w:eastAsiaTheme="minorHAnsi"/>
          <w:highlight w:val="yellow"/>
        </w:rPr>
        <w:t xml:space="preserve"> – probably not expecting tooth injuries in tooth-borne EABs – performed vitality tests preoperatively and at removal in the Hybrid group only. Eight teeth (central and lateral incisors, second premolars and first molars) in close proximity to screws were tested with no difference at the two testing times.</w:t>
      </w:r>
    </w:p>
    <w:p w14:paraId="1F77951A" w14:textId="77777777" w:rsidR="006B544D" w:rsidRPr="00E66FA6" w:rsidRDefault="006B544D" w:rsidP="006B544D">
      <w:pPr>
        <w:pStyle w:val="MDPI31text"/>
        <w:rPr>
          <w:rFonts w:eastAsiaTheme="minorHAnsi"/>
          <w:highlight w:val="yellow"/>
        </w:rPr>
      </w:pPr>
      <w:r w:rsidRPr="00E66FA6">
        <w:rPr>
          <w:rFonts w:eastAsiaTheme="minorHAnsi"/>
          <w:highlight w:val="yellow"/>
        </w:rPr>
        <w:t xml:space="preserve">The study of </w:t>
      </w:r>
      <w:proofErr w:type="spellStart"/>
      <w:r w:rsidRPr="00E66FA6">
        <w:rPr>
          <w:rFonts w:eastAsiaTheme="minorHAnsi"/>
          <w:highlight w:val="yellow"/>
        </w:rPr>
        <w:t>Venugopalan</w:t>
      </w:r>
      <w:proofErr w:type="spellEnd"/>
      <w:r w:rsidRPr="00E66FA6">
        <w:rPr>
          <w:rFonts w:eastAsiaTheme="minorHAnsi"/>
          <w:highlight w:val="yellow"/>
        </w:rPr>
        <w:t xml:space="preserve"> et al (2020)</w:t>
      </w:r>
      <w:r w:rsidRPr="00E66FA6">
        <w:rPr>
          <w:rFonts w:eastAsiaTheme="minorHAnsi"/>
          <w:noProof/>
          <w:highlight w:val="yellow"/>
          <w:vertAlign w:val="superscript"/>
        </w:rPr>
        <w:t>10</w:t>
      </w:r>
      <w:r w:rsidRPr="00E66FA6">
        <w:rPr>
          <w:rFonts w:eastAsiaTheme="minorHAnsi"/>
          <w:highlight w:val="yellow"/>
        </w:rPr>
        <w:t xml:space="preserve"> is also the only one to report on periodontal trauma / mucosal tears, which was found in 4 patients of the EAB group. </w:t>
      </w:r>
    </w:p>
    <w:p w14:paraId="499FB8CC" w14:textId="77777777" w:rsidR="006B544D" w:rsidRPr="00E66FA6" w:rsidRDefault="006B544D" w:rsidP="006B544D">
      <w:pPr>
        <w:pStyle w:val="MDPI31text"/>
        <w:rPr>
          <w:rFonts w:eastAsiaTheme="minorHAnsi"/>
          <w:highlight w:val="yellow"/>
        </w:rPr>
      </w:pPr>
      <w:r w:rsidRPr="00E66FA6">
        <w:rPr>
          <w:rFonts w:eastAsiaTheme="minorHAnsi"/>
          <w:highlight w:val="yellow"/>
        </w:rPr>
        <w:t>The two studies by Rothe et al (2018)</w:t>
      </w:r>
      <w:r w:rsidRPr="00E66FA6">
        <w:rPr>
          <w:rFonts w:eastAsiaTheme="minorHAnsi"/>
          <w:noProof/>
          <w:highlight w:val="yellow"/>
          <w:vertAlign w:val="superscript"/>
        </w:rPr>
        <w:t>6</w:t>
      </w:r>
      <w:r w:rsidRPr="00E66FA6">
        <w:rPr>
          <w:rFonts w:eastAsiaTheme="minorHAnsi"/>
          <w:highlight w:val="yellow"/>
        </w:rPr>
        <w:t xml:space="preserve"> and (2019)</w:t>
      </w:r>
      <w:r w:rsidRPr="00E66FA6">
        <w:rPr>
          <w:rFonts w:eastAsiaTheme="minorHAnsi"/>
          <w:noProof/>
          <w:highlight w:val="yellow"/>
          <w:vertAlign w:val="superscript"/>
        </w:rPr>
        <w:t>7</w:t>
      </w:r>
      <w:r w:rsidRPr="00E66FA6">
        <w:rPr>
          <w:rFonts w:eastAsiaTheme="minorHAnsi"/>
          <w:highlight w:val="yellow"/>
        </w:rPr>
        <w:t xml:space="preserve"> are identical down to the results and wording. The only difference is that the later study adds data for conventional EABs.</w:t>
      </w:r>
    </w:p>
    <w:p w14:paraId="0F814659" w14:textId="77777777" w:rsidR="006B544D" w:rsidRPr="00E66FA6" w:rsidRDefault="006B544D" w:rsidP="006B544D">
      <w:pPr>
        <w:pStyle w:val="MDPI31text"/>
        <w:rPr>
          <w:rFonts w:eastAsiaTheme="minorHAnsi"/>
          <w:highlight w:val="yellow"/>
        </w:rPr>
      </w:pPr>
      <w:r w:rsidRPr="00E66FA6">
        <w:rPr>
          <w:rFonts w:eastAsiaTheme="minorHAnsi"/>
          <w:highlight w:val="yellow"/>
        </w:rPr>
        <w:t>Of particular note are photographs showcasing hybrid arch bars with ill-advised placement in the mobile mucosa inducing inflammatory screw overgrowth in some studies.</w:t>
      </w:r>
    </w:p>
    <w:p w14:paraId="6D748ECF" w14:textId="77777777" w:rsidR="006B544D" w:rsidRPr="00E66FA6" w:rsidRDefault="006B544D" w:rsidP="006B544D">
      <w:pPr>
        <w:pStyle w:val="MDPI31text"/>
        <w:rPr>
          <w:rFonts w:eastAsiaTheme="minorHAnsi" w:cs="Arial Narrow"/>
          <w:highlight w:val="yellow"/>
        </w:rPr>
      </w:pPr>
      <w:r w:rsidRPr="00E66FA6">
        <w:rPr>
          <w:rFonts w:eastAsiaTheme="minorHAnsi"/>
          <w:highlight w:val="yellow"/>
        </w:rPr>
        <w:t>In part, the results of the six studies are inconsistent and even contradictory (e.g. Hassan et al 2018</w:t>
      </w:r>
      <w:r w:rsidRPr="00E66FA6">
        <w:rPr>
          <w:rFonts w:eastAsiaTheme="minorHAnsi"/>
          <w:noProof/>
          <w:highlight w:val="yellow"/>
          <w:vertAlign w:val="superscript"/>
        </w:rPr>
        <w:t>9</w:t>
      </w:r>
      <w:r w:rsidRPr="00E66FA6">
        <w:rPr>
          <w:rFonts w:eastAsiaTheme="minorHAnsi"/>
          <w:highlight w:val="yellow"/>
        </w:rPr>
        <w:t xml:space="preserve"> versus Rothe et al 2019</w:t>
      </w:r>
      <w:r w:rsidRPr="00E66FA6">
        <w:rPr>
          <w:rFonts w:eastAsiaTheme="minorHAnsi"/>
          <w:noProof/>
          <w:highlight w:val="yellow"/>
          <w:vertAlign w:val="superscript"/>
        </w:rPr>
        <w:t>7</w:t>
      </w:r>
      <w:r w:rsidRPr="00E66FA6">
        <w:rPr>
          <w:rFonts w:eastAsiaTheme="minorHAnsi"/>
          <w:highlight w:val="yellow"/>
        </w:rPr>
        <w:t xml:space="preserve">). One potential explanation for this are small patient sample sizes. </w:t>
      </w:r>
    </w:p>
    <w:p w14:paraId="2B978A2B" w14:textId="77777777" w:rsidR="006B544D" w:rsidRPr="00E66FA6" w:rsidRDefault="006B544D" w:rsidP="006B544D">
      <w:pPr>
        <w:pStyle w:val="MDPI31text"/>
        <w:rPr>
          <w:rFonts w:eastAsiaTheme="minorHAnsi"/>
          <w:highlight w:val="yellow"/>
        </w:rPr>
      </w:pPr>
      <w:r w:rsidRPr="00E66FA6">
        <w:rPr>
          <w:rFonts w:eastAsiaTheme="minorHAnsi"/>
          <w:highlight w:val="yellow"/>
        </w:rPr>
        <w:t>Quality of Life (QoL) issues in treatment with self-made hybrid arch bars were exclusively addressed by Pathak et al (2019)</w:t>
      </w:r>
      <w:r w:rsidRPr="00E66FA6">
        <w:rPr>
          <w:rFonts w:eastAsiaTheme="minorHAnsi"/>
          <w:noProof/>
          <w:highlight w:val="yellow"/>
          <w:vertAlign w:val="superscript"/>
        </w:rPr>
        <w:t>8</w:t>
      </w:r>
      <w:r w:rsidRPr="00E66FA6">
        <w:rPr>
          <w:rFonts w:eastAsiaTheme="minorHAnsi"/>
          <w:highlight w:val="yellow"/>
        </w:rPr>
        <w:t xml:space="preserve"> with QoL better in Hybrid than EAB patients. </w:t>
      </w:r>
    </w:p>
    <w:p w14:paraId="6F9C6DE8" w14:textId="77777777" w:rsidR="006B544D" w:rsidRPr="002D0052" w:rsidRDefault="006B544D" w:rsidP="006B544D">
      <w:pPr>
        <w:pStyle w:val="MDPI31text"/>
      </w:pPr>
      <w:r w:rsidRPr="00E66FA6">
        <w:rPr>
          <w:rFonts w:eastAsiaTheme="minorHAnsi"/>
          <w:highlight w:val="yellow"/>
        </w:rPr>
        <w:t>All studies considered hybrid/modified arch bars as an impactful innovative MMF solution, despite their differences in the comparative outcomes to EABs and MMF screws. Relative advantages of the modified EABs are a low risk of wire-punctures, speed of application, prevention of screw loosening, application in edentulous regions, increased long-term fixation stability. All of which must be weighed against the potential disadvantages of bone-anchored MMF devices which include irreversible tooth root damage and pulp necrosis. To reduce such injury the use of</w:t>
      </w:r>
      <w:r w:rsidRPr="00E66FA6">
        <w:rPr>
          <w:rFonts w:eastAsiaTheme="minorHAnsi"/>
          <w:color w:val="141413"/>
          <w:highlight w:val="yellow"/>
        </w:rPr>
        <w:t xml:space="preserve"> models and appropriate imaging techniques to analyze the interradicular spaces preoperatively is recommended.</w:t>
      </w:r>
    </w:p>
    <w:p w14:paraId="01DEADE6" w14:textId="77777777" w:rsidR="00C4103D" w:rsidRDefault="00C4103D">
      <w:pPr>
        <w:rPr>
          <w:lang w:val="en-US"/>
        </w:rPr>
      </w:pPr>
    </w:p>
    <w:p w14:paraId="4473F916" w14:textId="77777777" w:rsidR="000D7460" w:rsidRDefault="000D7460">
      <w:pPr>
        <w:rPr>
          <w:lang w:val="en-US"/>
        </w:rPr>
      </w:pPr>
    </w:p>
    <w:p w14:paraId="0298E875" w14:textId="77777777" w:rsidR="000D7460" w:rsidRPr="000D7460" w:rsidRDefault="000D7460" w:rsidP="000D7460">
      <w:pPr>
        <w:pStyle w:val="MDPI31text"/>
        <w:rPr>
          <w:rFonts w:eastAsiaTheme="minorHAnsi" w:cs="Helvetica Neue"/>
          <w:b/>
          <w:bCs/>
          <w:sz w:val="28"/>
          <w:szCs w:val="28"/>
          <w:highlight w:val="yellow"/>
          <w:lang w:eastAsia="en-US"/>
        </w:rPr>
      </w:pPr>
      <w:r w:rsidRPr="000D7460">
        <w:rPr>
          <w:b/>
          <w:bCs/>
          <w:sz w:val="28"/>
          <w:szCs w:val="28"/>
          <w:highlight w:val="yellow"/>
        </w:rPr>
        <w:t xml:space="preserve">Summaries of each study are provided as </w:t>
      </w:r>
      <w:r w:rsidRPr="000D7460">
        <w:rPr>
          <w:b/>
          <w:bCs/>
          <w:i/>
          <w:iCs/>
          <w:sz w:val="28"/>
          <w:szCs w:val="28"/>
          <w:highlight w:val="yellow"/>
        </w:rPr>
        <w:t>Electronic Supplement</w:t>
      </w:r>
      <w:r w:rsidRPr="000D7460">
        <w:rPr>
          <w:b/>
          <w:bCs/>
          <w:sz w:val="28"/>
          <w:szCs w:val="28"/>
          <w:highlight w:val="yellow"/>
        </w:rPr>
        <w:t xml:space="preserve"> (</w:t>
      </w:r>
      <w:proofErr w:type="spellStart"/>
      <w:r w:rsidRPr="000D7460">
        <w:rPr>
          <w:b/>
          <w:bCs/>
          <w:i/>
          <w:iCs/>
          <w:sz w:val="28"/>
          <w:szCs w:val="28"/>
          <w:highlight w:val="yellow"/>
        </w:rPr>
        <w:t>eTextBlock</w:t>
      </w:r>
      <w:proofErr w:type="spellEnd"/>
      <w:r w:rsidRPr="000D7460">
        <w:rPr>
          <w:b/>
          <w:bCs/>
          <w:i/>
          <w:iCs/>
          <w:sz w:val="28"/>
          <w:szCs w:val="28"/>
          <w:highlight w:val="yellow"/>
        </w:rPr>
        <w:t xml:space="preserve"> 2</w:t>
      </w:r>
      <w:r w:rsidRPr="000D7460">
        <w:rPr>
          <w:b/>
          <w:bCs/>
          <w:sz w:val="28"/>
          <w:szCs w:val="28"/>
          <w:highlight w:val="yellow"/>
        </w:rPr>
        <w:t>; Line 319 – 879 = yellow highlighted text)</w:t>
      </w:r>
    </w:p>
    <w:p w14:paraId="3F1A7119" w14:textId="77777777" w:rsidR="000D7460" w:rsidRPr="00E66FA6" w:rsidRDefault="000D7460" w:rsidP="000D7460">
      <w:pPr>
        <w:pStyle w:val="MDPI31text"/>
        <w:rPr>
          <w:highlight w:val="yellow"/>
        </w:rPr>
      </w:pPr>
      <w:r w:rsidRPr="00E66FA6">
        <w:rPr>
          <w:highlight w:val="yellow"/>
        </w:rPr>
        <w:t xml:space="preserve">The clinical </w:t>
      </w:r>
      <w:proofErr w:type="spellStart"/>
      <w:r w:rsidRPr="00E66FA6">
        <w:rPr>
          <w:highlight w:val="yellow"/>
        </w:rPr>
        <w:t>SMARTLock</w:t>
      </w:r>
      <w:proofErr w:type="spellEnd"/>
      <w:r w:rsidRPr="00E66FA6">
        <w:rPr>
          <w:highlight w:val="yellow"/>
        </w:rPr>
        <w:t xml:space="preserve"> studies recorded the patient demographics, the indication and numerous assessment parameters. These included medical comorbidities, spanning width of the arch bars, number of </w:t>
      </w:r>
      <w:r w:rsidRPr="00E66FA6">
        <w:rPr>
          <w:highlight w:val="yellow"/>
        </w:rPr>
        <w:lastRenderedPageBreak/>
        <w:t xml:space="preserve">retaining screws, screw insertion sites and vertical topographic arch bar placement, MMF device application time, device specific intraoperative complications (dental root damage, total operating room time, duration of intermaxillary fixation, oral hygiene, length of device retention, postoperative complications (screw / hardware loosening, mucosal overgrowth of screws, impairment of wound and/or bone healing), removal time, anesthetic method used during removal and overall estimation. </w:t>
      </w:r>
    </w:p>
    <w:p w14:paraId="7471A672" w14:textId="77777777" w:rsidR="000D7460" w:rsidRPr="00E66FA6" w:rsidRDefault="000D7460" w:rsidP="000D7460">
      <w:pPr>
        <w:pStyle w:val="MDPI31text"/>
        <w:rPr>
          <w:highlight w:val="yellow"/>
        </w:rPr>
      </w:pPr>
      <w:r w:rsidRPr="00E66FA6">
        <w:rPr>
          <w:highlight w:val="yellow"/>
        </w:rPr>
        <w:t>However these parameters did not have uniform definitions or grading scales nor were they consistently used, what poses serious limitations in comparing the studies.</w:t>
      </w:r>
    </w:p>
    <w:p w14:paraId="470B5681"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data of a 10 patient retrospective chart review from undergoing a variety of OMFS procedures using the </w:t>
      </w:r>
      <w:proofErr w:type="spellStart"/>
      <w:r w:rsidRPr="00E66FA6">
        <w:rPr>
          <w:rFonts w:eastAsiaTheme="minorHAnsi"/>
          <w:highlight w:val="yellow"/>
        </w:rPr>
        <w:t>SMARTLock</w:t>
      </w:r>
      <w:proofErr w:type="spellEnd"/>
      <w:r w:rsidRPr="00E66FA6">
        <w:rPr>
          <w:rFonts w:eastAsiaTheme="minorHAnsi"/>
          <w:highlight w:val="yellow"/>
        </w:rPr>
        <w:t xml:space="preserve"> Hybrid MMF</w:t>
      </w:r>
      <w:r w:rsidRPr="00E66FA6">
        <w:rPr>
          <w:rFonts w:eastAsiaTheme="minorHAnsi"/>
          <w:highlight w:val="yellow"/>
          <w:vertAlign w:val="superscript"/>
        </w:rPr>
        <w:t>TM</w:t>
      </w:r>
      <w:r w:rsidRPr="00E66FA6">
        <w:rPr>
          <w:rFonts w:eastAsiaTheme="minorHAnsi"/>
          <w:highlight w:val="yellow"/>
        </w:rPr>
        <w:t xml:space="preserve"> System was presented in a pilot study on the system (Nizam and </w:t>
      </w:r>
      <w:proofErr w:type="spellStart"/>
      <w:r w:rsidRPr="00E66FA6">
        <w:rPr>
          <w:rFonts w:eastAsiaTheme="minorHAnsi"/>
          <w:highlight w:val="yellow"/>
        </w:rPr>
        <w:t>Ziccardi</w:t>
      </w:r>
      <w:proofErr w:type="spellEnd"/>
      <w:r w:rsidRPr="00E66FA6">
        <w:rPr>
          <w:rFonts w:eastAsiaTheme="minorHAnsi"/>
          <w:highlight w:val="yellow"/>
        </w:rPr>
        <w:t xml:space="preserve"> 2014)</w:t>
      </w:r>
      <w:r w:rsidRPr="00E66FA6">
        <w:rPr>
          <w:rFonts w:eastAsiaTheme="minorHAnsi"/>
          <w:noProof/>
          <w:highlight w:val="yellow"/>
          <w:vertAlign w:val="superscript"/>
        </w:rPr>
        <w:t>15</w:t>
      </w:r>
      <w:r w:rsidRPr="00E66FA6">
        <w:rPr>
          <w:rFonts w:eastAsiaTheme="minorHAnsi"/>
          <w:highlight w:val="yellow"/>
        </w:rPr>
        <w:t>.</w:t>
      </w:r>
    </w:p>
    <w:p w14:paraId="19026CB4" w14:textId="77777777" w:rsidR="000D7460" w:rsidRPr="00E66FA6" w:rsidRDefault="000D7460" w:rsidP="000D7460">
      <w:pPr>
        <w:pStyle w:val="MDPI31text"/>
        <w:rPr>
          <w:rFonts w:eastAsiaTheme="minorHAnsi"/>
          <w:highlight w:val="yellow"/>
        </w:rPr>
      </w:pPr>
      <w:r w:rsidRPr="00E66FA6">
        <w:rPr>
          <w:rFonts w:eastAsiaTheme="minorHAnsi"/>
          <w:highlight w:val="yellow"/>
        </w:rPr>
        <w:t>The indications included protection of extended mandibular bony defects against pathologic fractures, mandibular fractures and safeguarding after reconstruction of mandibular continuity defects.</w:t>
      </w:r>
    </w:p>
    <w:p w14:paraId="0D110711" w14:textId="77777777" w:rsidR="000D7460" w:rsidRPr="00E66FA6" w:rsidRDefault="000D7460" w:rsidP="000D7460">
      <w:pPr>
        <w:pStyle w:val="MDPI31text"/>
        <w:rPr>
          <w:rFonts w:eastAsiaTheme="minorHAnsi"/>
          <w:highlight w:val="yellow"/>
        </w:rPr>
      </w:pPr>
      <w:r w:rsidRPr="00E66FA6">
        <w:rPr>
          <w:rFonts w:eastAsiaTheme="minorHAnsi"/>
          <w:highlight w:val="yellow"/>
        </w:rPr>
        <w:t>The intent was to measure key parameters such as application time, dental root damage, stability of screw fixation, intra- and postoperative complications unique to the device and to implement assessment parameters for future clinical evaluations. Hence the paper attempted to formulate consistent and reproducible criteria for dental root perforations or screw loosening. Root perforations by the authors criteria were defined, if pre- and postoperative imaging (Panoramic x-rays, CT scans) showed a greater than 50 % perforation of a screw into a root. Screw loosening was defined as a screw requiring early removal, if it was still locked in the arch bar but no longer in the alveolar bone.</w:t>
      </w:r>
    </w:p>
    <w:p w14:paraId="6148CA33" w14:textId="77777777" w:rsidR="000D7460" w:rsidRPr="00E66FA6" w:rsidRDefault="000D7460" w:rsidP="000D7460">
      <w:pPr>
        <w:pStyle w:val="MDPI31text"/>
        <w:rPr>
          <w:rFonts w:eastAsiaTheme="minorHAnsi"/>
          <w:highlight w:val="yellow"/>
        </w:rPr>
      </w:pPr>
      <w:r w:rsidRPr="00E66FA6">
        <w:rPr>
          <w:rFonts w:eastAsiaTheme="minorHAnsi"/>
          <w:highlight w:val="yellow"/>
        </w:rPr>
        <w:t>The length of the devices (spanning width) in the mandible and maxilla was commonly adjusted to the full anterolateral dental arch from the rear of the first molars.</w:t>
      </w:r>
    </w:p>
    <w:p w14:paraId="4081FB1E" w14:textId="77777777" w:rsidR="000D7460" w:rsidRPr="00E66FA6" w:rsidRDefault="000D7460" w:rsidP="000D7460">
      <w:pPr>
        <w:pStyle w:val="MDPI31text"/>
        <w:rPr>
          <w:rFonts w:eastAsiaTheme="minorHAnsi"/>
          <w:highlight w:val="yellow"/>
        </w:rPr>
      </w:pPr>
      <w:r w:rsidRPr="00E66FA6">
        <w:rPr>
          <w:rFonts w:eastAsiaTheme="minorHAnsi"/>
          <w:highlight w:val="yellow"/>
        </w:rPr>
        <w:t>Patient follow up was a minimum of 3 weeks, extending for differing time periods depending on diagnosis and patient compliance.</w:t>
      </w:r>
    </w:p>
    <w:p w14:paraId="558B79A6"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12 ± 2.3 per patient screws were placed making a total of 120 in the whole series The average application time for the devices was 21.4 ± 6.4 minutes. Intermaxillary fixation was maintained for a mean of 3.4 ± 1.6 weeks. Removal of the devices occurred at 7.8 ± 3.6 weeks postoperatively under local anesthesia. </w:t>
      </w:r>
    </w:p>
    <w:p w14:paraId="62C6C7A5" w14:textId="77777777" w:rsidR="000D7460" w:rsidRPr="00E66FA6" w:rsidRDefault="000D7460" w:rsidP="000D7460">
      <w:pPr>
        <w:pStyle w:val="MDPI31text"/>
        <w:rPr>
          <w:rFonts w:eastAsiaTheme="minorHAnsi"/>
          <w:highlight w:val="yellow"/>
        </w:rPr>
      </w:pPr>
      <w:r w:rsidRPr="00E66FA6">
        <w:rPr>
          <w:rFonts w:eastAsiaTheme="minorHAnsi"/>
          <w:highlight w:val="yellow"/>
        </w:rPr>
        <w:t>No wire-stick glove perforations or injuries to the operators were noted.</w:t>
      </w:r>
    </w:p>
    <w:p w14:paraId="7EE5E5D2" w14:textId="77777777" w:rsidR="000D7460" w:rsidRPr="00E66FA6" w:rsidRDefault="000D7460" w:rsidP="000D7460">
      <w:pPr>
        <w:pStyle w:val="MDPI31text"/>
        <w:rPr>
          <w:rFonts w:eastAsiaTheme="minorHAnsi"/>
          <w:highlight w:val="yellow"/>
        </w:rPr>
      </w:pPr>
      <w:r w:rsidRPr="00E66FA6">
        <w:rPr>
          <w:rFonts w:eastAsiaTheme="minorHAnsi"/>
          <w:highlight w:val="yellow"/>
        </w:rPr>
        <w:t>Radiographically proven tooth root perforations were documented in 3 of 120 screws (2.5 %). Screw loosening was ascertained in 1 of 120 screws (0.8 %).</w:t>
      </w:r>
    </w:p>
    <w:p w14:paraId="54AEA42C" w14:textId="77777777" w:rsidR="000D7460" w:rsidRPr="00E66FA6" w:rsidRDefault="000D7460" w:rsidP="000D7460">
      <w:pPr>
        <w:pStyle w:val="MDPI31text"/>
        <w:rPr>
          <w:rFonts w:eastAsiaTheme="minorHAnsi"/>
          <w:highlight w:val="yellow"/>
        </w:rPr>
      </w:pPr>
      <w:r w:rsidRPr="00E66FA6">
        <w:rPr>
          <w:rFonts w:eastAsiaTheme="minorHAnsi"/>
          <w:highlight w:val="yellow"/>
        </w:rPr>
        <w:t>Gingival hyperplasia, granulation tissue due to a foreign body reaction, and mucosal overgrowth was confined to screws in the mandible. It was the most frequent postoperative complication and occurred in 6 of 10 patients.</w:t>
      </w:r>
    </w:p>
    <w:p w14:paraId="4ADD01A1" w14:textId="77777777" w:rsidR="000D7460" w:rsidRPr="00E66FA6" w:rsidRDefault="000D7460" w:rsidP="000D7460">
      <w:pPr>
        <w:pStyle w:val="MDPI31text"/>
        <w:rPr>
          <w:highlight w:val="yellow"/>
        </w:rPr>
      </w:pPr>
      <w:r w:rsidRPr="00E66FA6">
        <w:rPr>
          <w:highlight w:val="yellow"/>
        </w:rPr>
        <w:t>In an early independent report by Kendrick et al (2016 A)</w:t>
      </w:r>
      <w:r w:rsidRPr="00E66FA6">
        <w:rPr>
          <w:noProof/>
          <w:highlight w:val="yellow"/>
          <w:vertAlign w:val="superscript"/>
        </w:rPr>
        <w:t>17</w:t>
      </w:r>
      <w:r w:rsidRPr="00E66FA6">
        <w:rPr>
          <w:highlight w:val="yellow"/>
        </w:rPr>
        <w:t xml:space="preserve"> 7 screws per arch were used to fasten the </w:t>
      </w:r>
      <w:proofErr w:type="spellStart"/>
      <w:r w:rsidRPr="00E66FA6">
        <w:rPr>
          <w:highlight w:val="yellow"/>
        </w:rPr>
        <w:t>SMARTLock</w:t>
      </w:r>
      <w:proofErr w:type="spellEnd"/>
      <w:r w:rsidRPr="00E66FA6">
        <w:rPr>
          <w:highlight w:val="yellow"/>
        </w:rPr>
        <w:t xml:space="preserve"> System, although the authors assumed that the number could be reduced to 5 screws and still ensure sufficient stability of the fixation.</w:t>
      </w:r>
    </w:p>
    <w:p w14:paraId="1B944892" w14:textId="77777777" w:rsidR="000D7460" w:rsidRPr="00E66FA6" w:rsidRDefault="000D7460" w:rsidP="000D7460">
      <w:pPr>
        <w:pStyle w:val="MDPI31text"/>
        <w:rPr>
          <w:highlight w:val="yellow"/>
        </w:rPr>
      </w:pPr>
      <w:r w:rsidRPr="00E66FA6">
        <w:rPr>
          <w:highlight w:val="yellow"/>
        </w:rPr>
        <w:t xml:space="preserve">The indications for treatment in the these 21 patients were predominantly single or less frequently multiple fractures in the mandible and a few Le Fort fractures. Before placing the </w:t>
      </w:r>
      <w:proofErr w:type="spellStart"/>
      <w:r w:rsidRPr="00E66FA6">
        <w:rPr>
          <w:highlight w:val="yellow"/>
        </w:rPr>
        <w:t>SMARTLock</w:t>
      </w:r>
      <w:proofErr w:type="spellEnd"/>
      <w:r w:rsidRPr="00E66FA6">
        <w:rPr>
          <w:highlight w:val="yellow"/>
        </w:rPr>
        <w:t xml:space="preserve"> devices, the fractures were manually reduced, if necessary. After establishing the </w:t>
      </w:r>
      <w:r w:rsidRPr="00E66FA6">
        <w:rPr>
          <w:highlight w:val="yellow"/>
        </w:rPr>
        <w:lastRenderedPageBreak/>
        <w:t xml:space="preserve">preinjury occlusion and attaching intermaxillary wire cerclages to the connectors closed or open surgical techniques were used based on fracture classification and management plan. </w:t>
      </w:r>
    </w:p>
    <w:p w14:paraId="22B0BCAB" w14:textId="77777777" w:rsidR="000D7460" w:rsidRPr="00E66FA6" w:rsidRDefault="000D7460" w:rsidP="000D7460">
      <w:pPr>
        <w:pStyle w:val="MDPI31text"/>
        <w:rPr>
          <w:rFonts w:eastAsiaTheme="minorHAnsi"/>
          <w:highlight w:val="yellow"/>
        </w:rPr>
      </w:pPr>
      <w:r w:rsidRPr="00E66FA6">
        <w:rPr>
          <w:rFonts w:eastAsiaTheme="minorHAnsi"/>
          <w:highlight w:val="yellow"/>
        </w:rPr>
        <w:t>The time required to set up the entire MMF assembly averaged to 14.4 minutes (range 9 – 24.7 minutes).No instances of wire-stick injuries were noted.</w:t>
      </w:r>
    </w:p>
    <w:p w14:paraId="7142A55D" w14:textId="77777777" w:rsidR="000D7460" w:rsidRPr="00E66FA6" w:rsidRDefault="000D7460" w:rsidP="000D7460">
      <w:pPr>
        <w:pStyle w:val="MDPI31text"/>
        <w:rPr>
          <w:highlight w:val="yellow"/>
        </w:rPr>
      </w:pPr>
      <w:r w:rsidRPr="00E66FA6">
        <w:rPr>
          <w:highlight w:val="yellow"/>
        </w:rPr>
        <w:t>The intermaxillary wire fixation or heavy elastics were maintained for 12 to 50 days. The typical complications of surgical fracture repair included intraoral wound dehiscence, malocclusion, a loose osteosynthesis plate, a fatigue fracture of a superior border miniplate at a mandibular angle fracture and a bony nonunion.</w:t>
      </w:r>
    </w:p>
    <w:p w14:paraId="24CED84C" w14:textId="77777777" w:rsidR="000D7460" w:rsidRPr="00E66FA6" w:rsidRDefault="000D7460" w:rsidP="000D7460">
      <w:pPr>
        <w:pStyle w:val="MDPI31text"/>
        <w:rPr>
          <w:highlight w:val="yellow"/>
        </w:rPr>
      </w:pPr>
      <w:r w:rsidRPr="00E66FA6">
        <w:rPr>
          <w:highlight w:val="yellow"/>
        </w:rPr>
        <w:t xml:space="preserve">Specific complications attributable to the </w:t>
      </w:r>
      <w:proofErr w:type="spellStart"/>
      <w:r w:rsidRPr="00E66FA6">
        <w:rPr>
          <w:highlight w:val="yellow"/>
        </w:rPr>
        <w:t>SMARTLock</w:t>
      </w:r>
      <w:proofErr w:type="spellEnd"/>
      <w:r w:rsidRPr="00E66FA6">
        <w:rPr>
          <w:highlight w:val="yellow"/>
        </w:rPr>
        <w:t xml:space="preserve"> MMF System involved one patient with non-compliance for intermaxillary fixation, mucosal overgrowth of screws in nine cases (38 %), a lost screw, some loosened screws on removal, as well as mechanical irritation of the oral mucosa and lips. </w:t>
      </w:r>
    </w:p>
    <w:p w14:paraId="2E4CAAA9" w14:textId="77777777" w:rsidR="000D7460" w:rsidRPr="00E66FA6" w:rsidRDefault="000D7460" w:rsidP="000D7460">
      <w:pPr>
        <w:pStyle w:val="MDPI31text"/>
        <w:rPr>
          <w:rFonts w:eastAsiaTheme="minorHAnsi" w:cs="Helvetica"/>
          <w:color w:val="1A1718"/>
          <w:highlight w:val="yellow"/>
          <w:lang w:eastAsia="en-US"/>
        </w:rPr>
      </w:pPr>
      <w:r w:rsidRPr="00E66FA6">
        <w:rPr>
          <w:highlight w:val="yellow"/>
        </w:rPr>
        <w:t xml:space="preserve">The grade of tooth injuries caused by the application of a total of 319 bone screws was scrutinized postoperatively by 3-dimensional cone beam computer tomography (CBCT) imaging and revealed damaged dental root structures in 24 teeth. Dentin involvement occurred by far the most frequently (21 teeth). Perforations into the pulp chamber (1 tooth) or root fractures (2 teeth) were relatively rare events. </w:t>
      </w:r>
      <w:r w:rsidRPr="00E66FA6">
        <w:rPr>
          <w:rFonts w:eastAsiaTheme="minorHAnsi" w:cs="Helvetica"/>
          <w:color w:val="1A1718"/>
          <w:highlight w:val="yellow"/>
          <w:lang w:eastAsia="en-US"/>
        </w:rPr>
        <w:t xml:space="preserve">The percentage of tooth root injuries per patient was not indicated, though. The time for removal of the hybrid MMF system was </w:t>
      </w:r>
      <w:r w:rsidRPr="00E66FA6">
        <w:rPr>
          <w:rFonts w:eastAsiaTheme="minorHAnsi" w:cs="Times-Roman"/>
          <w:color w:val="141413"/>
          <w:highlight w:val="yellow"/>
          <w:lang w:eastAsia="en-US"/>
        </w:rPr>
        <w:t>10.5 minutes (range, 4.6 -17 minutes).</w:t>
      </w:r>
    </w:p>
    <w:p w14:paraId="4E3BE112" w14:textId="77777777" w:rsidR="000D7460" w:rsidRPr="00E66FA6" w:rsidRDefault="000D7460" w:rsidP="000D7460">
      <w:pPr>
        <w:pStyle w:val="MDPI31text"/>
        <w:rPr>
          <w:rFonts w:eastAsiaTheme="minorHAnsi"/>
          <w:highlight w:val="yellow"/>
        </w:rPr>
      </w:pPr>
      <w:r w:rsidRPr="00E66FA6">
        <w:rPr>
          <w:highlight w:val="yellow"/>
        </w:rPr>
        <w:t xml:space="preserve">All the aforementioned findings paralleled the results of a previous retrospective cohort study, comparing </w:t>
      </w:r>
      <w:r w:rsidRPr="00E66FA6">
        <w:rPr>
          <w:rFonts w:eastAsiaTheme="minorHAnsi"/>
          <w:highlight w:val="yellow"/>
        </w:rPr>
        <w:t xml:space="preserve">the </w:t>
      </w:r>
      <w:proofErr w:type="spellStart"/>
      <w:r w:rsidRPr="00E66FA6">
        <w:rPr>
          <w:rFonts w:eastAsiaTheme="minorHAnsi"/>
          <w:highlight w:val="yellow"/>
        </w:rPr>
        <w:t>SMARTLock</w:t>
      </w:r>
      <w:proofErr w:type="spellEnd"/>
      <w:r w:rsidRPr="00E66FA6">
        <w:rPr>
          <w:rFonts w:eastAsiaTheme="minorHAnsi"/>
          <w:highlight w:val="yellow"/>
        </w:rPr>
        <w:t xml:space="preserve"> System to conventional EABs for treatment (closed or ORIF) of mandibular fractures in two groups. Each group consisted of 25 consecutive patients (Chao and </w:t>
      </w:r>
      <w:proofErr w:type="spellStart"/>
      <w:r w:rsidRPr="00E66FA6">
        <w:rPr>
          <w:rFonts w:eastAsiaTheme="minorHAnsi"/>
          <w:highlight w:val="yellow"/>
        </w:rPr>
        <w:t>Hulsen</w:t>
      </w:r>
      <w:proofErr w:type="spellEnd"/>
      <w:r w:rsidRPr="00E66FA6">
        <w:rPr>
          <w:rFonts w:eastAsiaTheme="minorHAnsi"/>
          <w:highlight w:val="yellow"/>
        </w:rPr>
        <w:t xml:space="preserve"> 2015)</w:t>
      </w:r>
      <w:r w:rsidRPr="00E66FA6">
        <w:rPr>
          <w:rFonts w:eastAsiaTheme="minorHAnsi"/>
          <w:noProof/>
          <w:highlight w:val="yellow"/>
          <w:vertAlign w:val="superscript"/>
        </w:rPr>
        <w:t>16</w:t>
      </w:r>
      <w:r w:rsidRPr="00E66FA6">
        <w:rPr>
          <w:rFonts w:eastAsiaTheme="minorHAnsi"/>
          <w:highlight w:val="yellow"/>
        </w:rPr>
        <w:t xml:space="preserve">. The installation time for the bone-borne device was considerably shorter than for the tooth-borne appliance (42 versus 62 minutes -with ranges or standard deviations not reported). This was almost three times longer (42 versus 14.4 minutes) than noted by Kendrick et al. (2016 A). </w:t>
      </w:r>
    </w:p>
    <w:p w14:paraId="6A365AE9" w14:textId="77777777" w:rsidR="000D7460" w:rsidRPr="00E66FA6" w:rsidRDefault="000D7460" w:rsidP="000D7460">
      <w:pPr>
        <w:pStyle w:val="MDPI31text"/>
        <w:rPr>
          <w:rFonts w:eastAsiaTheme="minorHAnsi"/>
          <w:highlight w:val="yellow"/>
        </w:rPr>
      </w:pPr>
      <w:r w:rsidRPr="00E66FA6">
        <w:rPr>
          <w:rFonts w:eastAsiaTheme="minorHAnsi"/>
          <w:highlight w:val="yellow"/>
        </w:rPr>
        <w:t>No glove perforations or wire-stick injuries were observed in the groups. Specific complications associated with bone-borne arch bars (screw complications and dental and mucosal injuries) were not recorded. The delayed wound healing of gingivobuccal incisions in the bone-borne group was attributed to the direct contact of the lugs and screws overlying the surgical access site. The postoperative complication rates were similar in both groups, those in the tooth-borne arch bar group due to occlusal discrepancies and prolonged pain rather than from wound dehiscence.</w:t>
      </w:r>
    </w:p>
    <w:p w14:paraId="424A81A6"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In succession of Chao and </w:t>
      </w:r>
      <w:proofErr w:type="spellStart"/>
      <w:r w:rsidRPr="00E66FA6">
        <w:rPr>
          <w:rFonts w:eastAsiaTheme="minorHAnsi"/>
          <w:highlight w:val="yellow"/>
        </w:rPr>
        <w:t>Hulsen</w:t>
      </w:r>
      <w:proofErr w:type="spellEnd"/>
      <w:r w:rsidRPr="00E66FA6">
        <w:rPr>
          <w:rFonts w:eastAsiaTheme="minorHAnsi"/>
          <w:highlight w:val="yellow"/>
        </w:rPr>
        <w:t xml:space="preserve"> (2015)</w:t>
      </w:r>
      <w:r w:rsidRPr="00E66FA6">
        <w:rPr>
          <w:rFonts w:eastAsiaTheme="minorHAnsi"/>
          <w:noProof/>
          <w:highlight w:val="yellow"/>
          <w:vertAlign w:val="superscript"/>
        </w:rPr>
        <w:t>16</w:t>
      </w:r>
      <w:r w:rsidRPr="00E66FA6">
        <w:rPr>
          <w:rFonts w:eastAsiaTheme="minorHAnsi"/>
          <w:highlight w:val="yellow"/>
        </w:rPr>
        <w:t xml:space="preserve"> a prospective cohort study comparing bone supported arch bars to EABs secured with </w:t>
      </w:r>
      <w:proofErr w:type="spellStart"/>
      <w:r w:rsidRPr="00E66FA6">
        <w:rPr>
          <w:rFonts w:eastAsiaTheme="minorHAnsi"/>
          <w:highlight w:val="yellow"/>
        </w:rPr>
        <w:t>circumdental</w:t>
      </w:r>
      <w:proofErr w:type="spellEnd"/>
      <w:r w:rsidRPr="00E66FA6">
        <w:rPr>
          <w:rFonts w:eastAsiaTheme="minorHAnsi"/>
          <w:highlight w:val="yellow"/>
        </w:rPr>
        <w:t xml:space="preserve"> wires was published by Rani et al (2018)</w:t>
      </w:r>
      <w:r w:rsidRPr="00E66FA6">
        <w:rPr>
          <w:rFonts w:eastAsiaTheme="minorHAnsi"/>
          <w:noProof/>
          <w:highlight w:val="yellow"/>
          <w:vertAlign w:val="superscript"/>
        </w:rPr>
        <w:t>19</w:t>
      </w:r>
      <w:r w:rsidRPr="00E66FA6">
        <w:rPr>
          <w:rFonts w:eastAsiaTheme="minorHAnsi"/>
          <w:highlight w:val="yellow"/>
        </w:rPr>
        <w:t xml:space="preserve">. Either of these MMF modalities was used for closed reduction of minimally displaced maxillofacial fractures. The study comprised 40 patients divided equally. The bone supported arch bars were made of stainless steel and looked identical to the embodiment of the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(facsimile/replica). These arch bars were fastened with 2.0 screws, five 6 mm long screws in the mandible and five 8 mm in the upper jaw. Screws were placed after predrilling. The devices were applied under local anesthesia from first molar to first molar in adult dentate patients at the mucogingival junction. The intermaxillary fixation was maintained for approximately 4 weeks, continued by elastics and ending with device removal at 6 weeks. The comparisons included the application time (34. 9 </w:t>
      </w:r>
      <w:r w:rsidRPr="00E66FA6">
        <w:rPr>
          <w:rFonts w:eastAsiaTheme="minorHAnsi"/>
          <w:highlight w:val="yellow"/>
        </w:rPr>
        <w:lastRenderedPageBreak/>
        <w:t>± 10.1 minutes in the hybrid bar group versus 53.1 ± 5.7 minutes in the EAB group), the occurrence of wire-stick injuries (8 in EAB group only), and iatrogenic tooth root damage (5 in hybrid group only). These findings – are in keeping with the nature of the two procedures. Postoperative complications in the form of loosening of the arch bars and mucosal overgrowth were confined to the hybrid group with 5 and 7 cases respectively. Oral hygiene was more often compromised in the conventional arch bar group.</w:t>
      </w:r>
    </w:p>
    <w:p w14:paraId="3F5C9173" w14:textId="77777777" w:rsidR="000D7460" w:rsidRPr="00E66FA6" w:rsidRDefault="000D7460" w:rsidP="000D7460">
      <w:pPr>
        <w:pStyle w:val="MDPI31text"/>
        <w:rPr>
          <w:rFonts w:eastAsiaTheme="minorHAnsi" w:cs="Times-Roman"/>
          <w:color w:val="141413"/>
          <w:highlight w:val="yellow"/>
        </w:rPr>
      </w:pPr>
      <w:r w:rsidRPr="00E66FA6">
        <w:rPr>
          <w:rFonts w:eastAsiaTheme="minorHAnsi" w:cs="Helvetica Neue"/>
          <w:highlight w:val="yellow"/>
        </w:rPr>
        <w:t xml:space="preserve">A further </w:t>
      </w:r>
      <w:r w:rsidRPr="00E66FA6">
        <w:rPr>
          <w:rFonts w:eastAsiaTheme="minorHAnsi"/>
          <w:highlight w:val="yellow"/>
        </w:rPr>
        <w:t xml:space="preserve">RCT compared the length of surgery between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(regular size) and conventional EABs (</w:t>
      </w:r>
      <w:proofErr w:type="spellStart"/>
      <w:r w:rsidRPr="00E66FA6">
        <w:rPr>
          <w:rFonts w:eastAsiaTheme="minorHAnsi"/>
          <w:highlight w:val="yellow"/>
        </w:rPr>
        <w:t>Bouloux</w:t>
      </w:r>
      <w:proofErr w:type="spellEnd"/>
      <w:r w:rsidRPr="00E66FA6">
        <w:rPr>
          <w:rFonts w:eastAsiaTheme="minorHAnsi"/>
          <w:highlight w:val="yellow"/>
        </w:rPr>
        <w:t xml:space="preserve"> 2018)</w:t>
      </w:r>
      <w:r w:rsidRPr="00E66FA6">
        <w:rPr>
          <w:rFonts w:eastAsiaTheme="minorHAnsi"/>
          <w:noProof/>
          <w:highlight w:val="yellow"/>
          <w:vertAlign w:val="superscript"/>
        </w:rPr>
        <w:t>20</w:t>
      </w:r>
      <w:r w:rsidRPr="00E66FA6">
        <w:rPr>
          <w:rFonts w:eastAsiaTheme="minorHAnsi" w:cs="Helvetica Neue"/>
          <w:highlight w:val="yellow"/>
        </w:rPr>
        <w:t xml:space="preserve">. </w:t>
      </w:r>
      <w:r w:rsidRPr="00E66FA6">
        <w:rPr>
          <w:rFonts w:eastAsiaTheme="minorHAnsi" w:cs="Helvetica"/>
          <w:highlight w:val="yellow"/>
        </w:rPr>
        <w:t xml:space="preserve">The mean time for installing the devices in the 26 hybrid patients of 14 ± 8.4 minutes was statistically different to 37 ± 15.1 minutes in the 24 EAB patients. The mean time to complete the closed reduction or ORIF surgery did not differ significantly after adjusting for time-sensitive covariates such as number of fractures, fracture location and surgical method </w:t>
      </w:r>
      <w:r w:rsidRPr="00E66FA6">
        <w:rPr>
          <w:rFonts w:eastAsiaTheme="minorHAnsi" w:cs="Times-Roman"/>
          <w:color w:val="141413"/>
          <w:highlight w:val="yellow"/>
        </w:rPr>
        <w:t>(108 ± 107,8 minutes in hybrid group versus 117 ± 57.1 minutes EAB group).</w:t>
      </w:r>
    </w:p>
    <w:p w14:paraId="5D44C1F1"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5 tooth root injuries due to screw insertion in the hybrid bar patients were the only complications seen in the study. </w:t>
      </w:r>
    </w:p>
    <w:p w14:paraId="31D11A3C"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Two reasons were posited for the absence of a significant difference in the overall length of surgery between the groups. First, controlling and reducing the fragments by </w:t>
      </w:r>
      <w:proofErr w:type="spellStart"/>
      <w:r w:rsidRPr="00E66FA6">
        <w:rPr>
          <w:rFonts w:eastAsiaTheme="minorHAnsi"/>
          <w:highlight w:val="yellow"/>
        </w:rPr>
        <w:t>circumdental</w:t>
      </w:r>
      <w:proofErr w:type="spellEnd"/>
      <w:r w:rsidRPr="00E66FA6">
        <w:rPr>
          <w:rFonts w:eastAsiaTheme="minorHAnsi"/>
          <w:highlight w:val="yellow"/>
        </w:rPr>
        <w:t xml:space="preserve"> wires in a familiar and effective component of EAB application and might have been responsible for time savings in contrast to working with the less flexible embodiment of the hybrid devices. Second, the presence of support legs (lugs) and screws may have required altering the placement of intraoral soft tissue incisions from the mucogingival junction farther into the vestibule which would compromise visualization and ease of access requiring more time. </w:t>
      </w:r>
    </w:p>
    <w:p w14:paraId="3DE847EA"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These results concurred with Chao and </w:t>
      </w:r>
      <w:proofErr w:type="spellStart"/>
      <w:r w:rsidRPr="00E66FA6">
        <w:rPr>
          <w:rFonts w:eastAsiaTheme="minorHAnsi"/>
          <w:highlight w:val="yellow"/>
        </w:rPr>
        <w:t>Hulsen</w:t>
      </w:r>
      <w:proofErr w:type="spellEnd"/>
      <w:r w:rsidRPr="00E66FA6">
        <w:rPr>
          <w:rFonts w:eastAsiaTheme="minorHAnsi"/>
          <w:highlight w:val="yellow"/>
        </w:rPr>
        <w:t xml:space="preserve"> (2015)</w:t>
      </w:r>
      <w:r w:rsidRPr="00E66FA6">
        <w:rPr>
          <w:rFonts w:eastAsiaTheme="minorHAnsi"/>
          <w:noProof/>
          <w:highlight w:val="yellow"/>
          <w:vertAlign w:val="superscript"/>
        </w:rPr>
        <w:t>16</w:t>
      </w:r>
      <w:r w:rsidRPr="00E66FA6">
        <w:rPr>
          <w:rFonts w:eastAsiaTheme="minorHAnsi"/>
          <w:highlight w:val="yellow"/>
        </w:rPr>
        <w:t>, that hybrid arch bars can be timesavers during application but otherwise behave quite similar to conventional EABs.</w:t>
      </w:r>
    </w:p>
    <w:p w14:paraId="131BA6DD"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Shortly thereafter, another RCT followed that examined the time for </w:t>
      </w:r>
      <w:r w:rsidRPr="00E66FA6">
        <w:rPr>
          <w:rFonts w:eastAsiaTheme="minorHAnsi" w:cs="Helvetica Neue"/>
          <w:highlight w:val="yellow"/>
        </w:rPr>
        <w:t xml:space="preserve">installation and removal, </w:t>
      </w:r>
      <w:r w:rsidRPr="00E66FA6">
        <w:rPr>
          <w:rFonts w:eastAsiaTheme="minorHAnsi"/>
          <w:highlight w:val="yellow"/>
        </w:rPr>
        <w:t xml:space="preserve">the effects on the gingiva, and the operator safety of the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compared to conventional Erich arch bars in dentate adult patients with one or more mandibular fractures (King and Christensen 2019)</w:t>
      </w:r>
      <w:r w:rsidRPr="00E66FA6">
        <w:rPr>
          <w:rFonts w:eastAsiaTheme="minorHAnsi"/>
          <w:noProof/>
          <w:highlight w:val="yellow"/>
          <w:vertAlign w:val="superscript"/>
        </w:rPr>
        <w:t>21</w:t>
      </w:r>
      <w:r w:rsidRPr="00E66FA6">
        <w:rPr>
          <w:rFonts w:eastAsiaTheme="minorHAnsi"/>
          <w:highlight w:val="yellow"/>
        </w:rPr>
        <w:t>. 90 patients were included in a parallel-group design: 47 in the hybrid arch bar group and 43 patients in the EAB group. For the hybrid group 5 self-drilling screws were inserted in each bar using a battery powered screw driver for a total of 10 screws.</w:t>
      </w:r>
    </w:p>
    <w:p w14:paraId="26DD315F"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Additional screws were placed if needed. The EABs were typically secured with 20 </w:t>
      </w:r>
      <w:proofErr w:type="spellStart"/>
      <w:r w:rsidRPr="00E66FA6">
        <w:rPr>
          <w:rFonts w:eastAsiaTheme="minorHAnsi"/>
          <w:highlight w:val="yellow"/>
        </w:rPr>
        <w:t>circumdental</w:t>
      </w:r>
      <w:proofErr w:type="spellEnd"/>
      <w:r w:rsidRPr="00E66FA6">
        <w:rPr>
          <w:rFonts w:eastAsiaTheme="minorHAnsi"/>
          <w:highlight w:val="yellow"/>
        </w:rPr>
        <w:t xml:space="preserve"> wires in total. Both devices were placed under general anesthesia and removed 6 weeks postoperatively under local anesthesia. </w:t>
      </w:r>
    </w:p>
    <w:p w14:paraId="0EBBCF20" w14:textId="77777777" w:rsidR="000D7460" w:rsidRPr="00E66FA6" w:rsidRDefault="000D7460" w:rsidP="000D7460">
      <w:pPr>
        <w:pStyle w:val="MDPI31text"/>
        <w:rPr>
          <w:rFonts w:eastAsiaTheme="minorHAnsi"/>
          <w:highlight w:val="yellow"/>
        </w:rPr>
      </w:pPr>
      <w:r w:rsidRPr="00E66FA6">
        <w:rPr>
          <w:rFonts w:eastAsiaTheme="minorHAnsi"/>
          <w:highlight w:val="yellow"/>
        </w:rPr>
        <w:t>21 patients were lost to follow-up including 16 in the hybrid group and 5 in the EAB group.</w:t>
      </w:r>
    </w:p>
    <w:p w14:paraId="5605A849" w14:textId="77777777" w:rsidR="000D7460" w:rsidRPr="00E66FA6" w:rsidRDefault="000D7460" w:rsidP="000D7460">
      <w:pPr>
        <w:pStyle w:val="MDPI31text"/>
        <w:rPr>
          <w:rFonts w:eastAsiaTheme="minorHAnsi"/>
          <w:highlight w:val="yellow"/>
        </w:rPr>
      </w:pPr>
      <w:r w:rsidRPr="00E66FA6">
        <w:rPr>
          <w:rFonts w:eastAsiaTheme="minorHAnsi"/>
          <w:highlight w:val="yellow"/>
        </w:rPr>
        <w:t>The application time was significantly reduced in the hybrid arch bar group compared to the EAB group – (mean 6.9 ± 3.1 minutes versus 31.3 ± 9.3 minutes = time saving value: 24.4 minutes). The rate of glove perforations and/or tears per application as assessed by verbal questioning the operators was 0.6 ± 0.9 in the EAB group which exceeded the hybrid group (0.1 ± 0.3).</w:t>
      </w:r>
    </w:p>
    <w:p w14:paraId="3215D20F"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No adverse events solely attributable to hybrid arch bars, such as damaged teeth, occurred. </w:t>
      </w:r>
    </w:p>
    <w:p w14:paraId="0A28659D"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Grading for gingival appearance at removal of the devices did not differ. There was a slight difference in the percentages of loose hardware </w:t>
      </w:r>
      <w:r w:rsidRPr="00E66FA6">
        <w:rPr>
          <w:rFonts w:eastAsiaTheme="minorHAnsi"/>
          <w:highlight w:val="yellow"/>
        </w:rPr>
        <w:lastRenderedPageBreak/>
        <w:t>(number of loose screws or wires / total number), 9.4 ± 17.7 % for hybrid arch bars and 7.5 ± 10.6 % for EABs.</w:t>
      </w:r>
    </w:p>
    <w:p w14:paraId="4ACEFB8C"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Removal time was significantly less with hybrid arch bars, 10.5 ± 5.1 minutes than for EABs ( 17.9 ± 10.7 minutes). </w:t>
      </w:r>
    </w:p>
    <w:p w14:paraId="0194F697" w14:textId="77777777" w:rsidR="000D7460" w:rsidRPr="00E66FA6" w:rsidRDefault="000D7460" w:rsidP="000D7460">
      <w:pPr>
        <w:pStyle w:val="MDPI31text"/>
        <w:rPr>
          <w:rFonts w:eastAsiaTheme="minorHAnsi"/>
          <w:szCs w:val="20"/>
          <w:highlight w:val="yellow"/>
        </w:rPr>
      </w:pPr>
      <w:r w:rsidRPr="00E66FA6">
        <w:rPr>
          <w:rFonts w:eastAsiaTheme="minorHAnsi"/>
          <w:highlight w:val="yellow"/>
        </w:rPr>
        <w:t>Glove perforations and/or tears for removal was higher with EAB (0.6 ± 0.9) than with the hybrid group (0.1 ± 0.3).</w:t>
      </w:r>
    </w:p>
    <w:p w14:paraId="4AC4B255"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It is important to note that this comparative study is unique from all others in the accurate reporting of the number of screws and </w:t>
      </w:r>
      <w:proofErr w:type="spellStart"/>
      <w:r w:rsidRPr="00E66FA6">
        <w:rPr>
          <w:rFonts w:eastAsiaTheme="minorHAnsi"/>
          <w:highlight w:val="yellow"/>
        </w:rPr>
        <w:t>circumdental</w:t>
      </w:r>
      <w:proofErr w:type="spellEnd"/>
      <w:r w:rsidRPr="00E66FA6">
        <w:rPr>
          <w:rFonts w:eastAsiaTheme="minorHAnsi"/>
          <w:highlight w:val="yellow"/>
        </w:rPr>
        <w:t xml:space="preserve"> wires, thus making comparison of application times more meaningful.</w:t>
      </w:r>
    </w:p>
    <w:p w14:paraId="76FA388D"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 two-center retrospective study reporting an in-depth cost analysis of the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compared to EABs was presented by </w:t>
      </w:r>
      <w:proofErr w:type="spellStart"/>
      <w:r w:rsidRPr="00E66FA6">
        <w:rPr>
          <w:rFonts w:eastAsiaTheme="minorHAnsi"/>
          <w:highlight w:val="yellow"/>
        </w:rPr>
        <w:t>Khelemsky</w:t>
      </w:r>
      <w:proofErr w:type="spellEnd"/>
      <w:r w:rsidRPr="00E66FA6">
        <w:rPr>
          <w:rFonts w:eastAsiaTheme="minorHAnsi"/>
          <w:highlight w:val="yellow"/>
        </w:rPr>
        <w:t xml:space="preserve"> (</w:t>
      </w:r>
      <w:proofErr w:type="spellStart"/>
      <w:r w:rsidRPr="00E66FA6">
        <w:rPr>
          <w:rFonts w:eastAsiaTheme="minorHAnsi"/>
          <w:highlight w:val="yellow"/>
        </w:rPr>
        <w:t>Khelemsky</w:t>
      </w:r>
      <w:proofErr w:type="spellEnd"/>
      <w:r w:rsidRPr="00E66FA6">
        <w:rPr>
          <w:rFonts w:eastAsiaTheme="minorHAnsi"/>
          <w:highlight w:val="yellow"/>
        </w:rPr>
        <w:t xml:space="preserve"> et al 2019)</w:t>
      </w:r>
      <w:r w:rsidRPr="00E66FA6">
        <w:rPr>
          <w:rFonts w:eastAsiaTheme="minorHAnsi"/>
          <w:noProof/>
          <w:highlight w:val="yellow"/>
          <w:vertAlign w:val="superscript"/>
        </w:rPr>
        <w:t>22</w:t>
      </w:r>
      <w:r w:rsidRPr="00E66FA6">
        <w:rPr>
          <w:rFonts w:eastAsiaTheme="minorHAnsi"/>
          <w:highlight w:val="yellow"/>
        </w:rPr>
        <w:t>. Both MMF forms were used in conjunction with transoral ORIF of unilateral or bilateral mandibular fractures. Closed treatment of concomitant condylar process fractures was also included.</w:t>
      </w:r>
    </w:p>
    <w:p w14:paraId="78585E13"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102 adult patients (n = 59 for the hybrid sample and n = 43 for EAB controls) were included in the study. </w:t>
      </w:r>
    </w:p>
    <w:p w14:paraId="711DEB9F" w14:textId="77777777" w:rsidR="000D7460" w:rsidRPr="00E66FA6" w:rsidRDefault="000D7460" w:rsidP="000D7460">
      <w:pPr>
        <w:pStyle w:val="MDPI31text"/>
        <w:rPr>
          <w:rFonts w:eastAsiaTheme="minorHAnsi"/>
          <w:highlight w:val="yellow"/>
        </w:rPr>
      </w:pPr>
      <w:r w:rsidRPr="00E66FA6">
        <w:rPr>
          <w:rFonts w:eastAsiaTheme="minorHAnsi"/>
          <w:highlight w:val="yellow"/>
        </w:rPr>
        <w:t>Apart from the anatomic location of mandible fractures and the operative time no further clinical data were reported.</w:t>
      </w:r>
    </w:p>
    <w:p w14:paraId="23E5222F"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authors used </w:t>
      </w:r>
      <w:r w:rsidRPr="00E66FA6">
        <w:rPr>
          <w:rFonts w:eastAsiaTheme="minorHAnsi" w:cs="Helvetica"/>
          <w:highlight w:val="yellow"/>
        </w:rPr>
        <w:t>fi</w:t>
      </w:r>
      <w:r w:rsidRPr="00E66FA6">
        <w:rPr>
          <w:rFonts w:eastAsiaTheme="minorHAnsi"/>
          <w:highlight w:val="yellow"/>
        </w:rPr>
        <w:t>ve MMF screws per arch, rather than seven in the study by Kendrick et al (2016 A)</w:t>
      </w:r>
      <w:r w:rsidRPr="00E66FA6">
        <w:rPr>
          <w:rFonts w:eastAsiaTheme="minorHAnsi"/>
          <w:noProof/>
          <w:highlight w:val="yellow"/>
          <w:vertAlign w:val="superscript"/>
        </w:rPr>
        <w:t>17</w:t>
      </w:r>
      <w:r w:rsidRPr="00E66FA6">
        <w:rPr>
          <w:rFonts w:eastAsiaTheme="minorHAnsi"/>
          <w:highlight w:val="yellow"/>
        </w:rPr>
        <w:t xml:space="preserve"> and maintained adequate rigidity reflecting the clinical practice at the two centers. The cost calculations were based on 10 bar retaining screws per case whereas the corresponding average number of </w:t>
      </w:r>
      <w:proofErr w:type="spellStart"/>
      <w:r w:rsidRPr="00E66FA6">
        <w:rPr>
          <w:rFonts w:eastAsiaTheme="minorHAnsi"/>
          <w:highlight w:val="yellow"/>
        </w:rPr>
        <w:t>circumdental</w:t>
      </w:r>
      <w:proofErr w:type="spellEnd"/>
      <w:r w:rsidRPr="00E66FA6">
        <w:rPr>
          <w:rFonts w:eastAsiaTheme="minorHAnsi"/>
          <w:highlight w:val="yellow"/>
        </w:rPr>
        <w:t xml:space="preserve"> wires for EABS was not specified.</w:t>
      </w:r>
    </w:p>
    <w:p w14:paraId="285D1C73" w14:textId="77777777" w:rsidR="000D7460" w:rsidRPr="00E66FA6" w:rsidRDefault="000D7460" w:rsidP="000D7460">
      <w:pPr>
        <w:pStyle w:val="MDPI31text"/>
        <w:rPr>
          <w:rFonts w:eastAsiaTheme="minorHAnsi"/>
          <w:highlight w:val="yellow"/>
        </w:rPr>
      </w:pPr>
      <w:r w:rsidRPr="00E66FA6">
        <w:rPr>
          <w:rFonts w:eastAsiaTheme="minorHAnsi"/>
          <w:highlight w:val="yellow"/>
        </w:rPr>
        <w:t>The hybrid devices were more often used in unilateral fracture cases (n = 33 or 55.9 %) than bilaterally (n = 26 or 44.1 %), opposite to EABs where bilateral (n = 23 or 53.5 %) exceeded unilateral cases (n = 20 or 46.5 %). The total operative time (from incision to completion of closure), were compared by groups along with mean time savings in for the hybrid devices versus EABs for unilateral and bilateral fractures.</w:t>
      </w:r>
    </w:p>
    <w:p w14:paraId="1719242C" w14:textId="77777777" w:rsidR="000D7460" w:rsidRPr="00E66FA6" w:rsidRDefault="000D7460" w:rsidP="000D7460">
      <w:pPr>
        <w:pStyle w:val="MDPI31text"/>
        <w:rPr>
          <w:rFonts w:eastAsiaTheme="minorHAnsi"/>
          <w:highlight w:val="yellow"/>
        </w:rPr>
      </w:pPr>
      <w:r w:rsidRPr="00E66FA6">
        <w:rPr>
          <w:rFonts w:eastAsiaTheme="minorHAnsi"/>
          <w:highlight w:val="yellow"/>
        </w:rPr>
        <w:t>The average operative time was significantly shorter for the hybrid devices(136 ±2.7 minutes) than for the EAB (186.7 ± 70.7).</w:t>
      </w:r>
    </w:p>
    <w:p w14:paraId="3A8D6EE5" w14:textId="77777777" w:rsidR="000D7460" w:rsidRPr="00E66FA6" w:rsidRDefault="000D7460" w:rsidP="000D7460">
      <w:pPr>
        <w:pStyle w:val="MDPI31text"/>
        <w:rPr>
          <w:rFonts w:eastAsiaTheme="minorHAnsi"/>
          <w:highlight w:val="yellow"/>
        </w:rPr>
      </w:pPr>
      <w:r w:rsidRPr="00E66FA6">
        <w:rPr>
          <w:rFonts w:eastAsiaTheme="minorHAnsi"/>
          <w:highlight w:val="yellow"/>
        </w:rPr>
        <w:t>The operative times for bilateral fractures were longer</w:t>
      </w:r>
      <w:r w:rsidRPr="00E66FA6">
        <w:rPr>
          <w:rFonts w:eastAsiaTheme="minorHAnsi" w:cs="Times-Roman"/>
          <w:highlight w:val="yellow"/>
        </w:rPr>
        <w:t xml:space="preserve"> (183.6 ± 71.1 minutes) </w:t>
      </w:r>
      <w:r w:rsidRPr="00E66FA6">
        <w:rPr>
          <w:rFonts w:eastAsiaTheme="minorHAnsi"/>
          <w:highlight w:val="yellow"/>
        </w:rPr>
        <w:t xml:space="preserve">than for unilateral fractures (133.2 minutes ± 49.57 minutes). </w:t>
      </w:r>
    </w:p>
    <w:p w14:paraId="5EE428E5"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In the analyses within the unilateral and bilateral fracture groups the anatomic fracture location was not a significant variable. Operative times for </w:t>
      </w:r>
      <w:proofErr w:type="spellStart"/>
      <w:r w:rsidRPr="00E66FA6">
        <w:rPr>
          <w:rFonts w:eastAsiaTheme="minorHAnsi"/>
          <w:highlight w:val="yellow"/>
        </w:rPr>
        <w:t>uni</w:t>
      </w:r>
      <w:proofErr w:type="spellEnd"/>
      <w:r w:rsidRPr="00E66FA6">
        <w:rPr>
          <w:rFonts w:eastAsiaTheme="minorHAnsi"/>
          <w:highlight w:val="yellow"/>
        </w:rPr>
        <w:t xml:space="preserve">- and bilateral fracture patterns resulted in significant time savings for the </w:t>
      </w:r>
      <w:proofErr w:type="spellStart"/>
      <w:r w:rsidRPr="00E66FA6">
        <w:rPr>
          <w:rFonts w:eastAsiaTheme="minorHAnsi"/>
          <w:highlight w:val="yellow"/>
        </w:rPr>
        <w:t>SMARTLock</w:t>
      </w:r>
      <w:proofErr w:type="spellEnd"/>
      <w:r w:rsidRPr="00E66FA6">
        <w:rPr>
          <w:rFonts w:eastAsiaTheme="minorHAnsi"/>
          <w:highlight w:val="yellow"/>
        </w:rPr>
        <w:t xml:space="preserve"> System - 37.2 ± 13.2minutes for unilateral fracture types and of 55.8±18.9 minutes for the bilateral. No explanation was put forth to explain greater time savings with the hybrid </w:t>
      </w:r>
      <w:proofErr w:type="spellStart"/>
      <w:r w:rsidRPr="00E66FA6">
        <w:rPr>
          <w:rFonts w:eastAsiaTheme="minorHAnsi"/>
          <w:highlight w:val="yellow"/>
        </w:rPr>
        <w:t>devicesin</w:t>
      </w:r>
      <w:proofErr w:type="spellEnd"/>
      <w:r w:rsidRPr="00E66FA6">
        <w:rPr>
          <w:rFonts w:eastAsiaTheme="minorHAnsi"/>
          <w:highlight w:val="yellow"/>
        </w:rPr>
        <w:t xml:space="preserve"> bilateral compared to unilateral fractures. </w:t>
      </w:r>
    </w:p>
    <w:p w14:paraId="7201D3FF"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When </w:t>
      </w:r>
      <w:proofErr w:type="spellStart"/>
      <w:r w:rsidRPr="00E66FA6">
        <w:rPr>
          <w:rFonts w:eastAsiaTheme="minorHAnsi"/>
          <w:highlight w:val="yellow"/>
        </w:rPr>
        <w:t>uni</w:t>
      </w:r>
      <w:proofErr w:type="spellEnd"/>
      <w:r w:rsidRPr="00E66FA6">
        <w:rPr>
          <w:rFonts w:eastAsiaTheme="minorHAnsi"/>
          <w:highlight w:val="yellow"/>
        </w:rPr>
        <w:t xml:space="preserve">- and bi- laterality of the fractures were included the time-saving effect of the hybrid arch bars still accounted for 50.8 ± 12.8 minutes. </w:t>
      </w:r>
    </w:p>
    <w:p w14:paraId="4B2ED2AD"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authors argued their findings, particularly in respect to bilateral fractures would have been missed, if the study had evaluated device application times alone. They speculated of some interdependencies of ORIF techniques and the hybrid MMF </w:t>
      </w:r>
      <w:proofErr w:type="spellStart"/>
      <w:r w:rsidRPr="00E66FA6">
        <w:rPr>
          <w:rFonts w:eastAsiaTheme="minorHAnsi"/>
          <w:highlight w:val="yellow"/>
        </w:rPr>
        <w:t>modality.The</w:t>
      </w:r>
      <w:proofErr w:type="spellEnd"/>
      <w:r w:rsidRPr="00E66FA6">
        <w:rPr>
          <w:rFonts w:eastAsiaTheme="minorHAnsi"/>
          <w:highlight w:val="yellow"/>
        </w:rPr>
        <w:t xml:space="preserve"> cost benefit analysis of the MMF system was based on three incremental fees for operating room utilization per minute (see paragraph on -Economics/Cost analysis).</w:t>
      </w:r>
    </w:p>
    <w:p w14:paraId="5E550632" w14:textId="77777777" w:rsidR="000D7460" w:rsidRPr="00E66FA6" w:rsidRDefault="000D7460" w:rsidP="000D7460">
      <w:pPr>
        <w:pStyle w:val="MDPI31text"/>
        <w:rPr>
          <w:rFonts w:eastAsiaTheme="minorHAnsi"/>
          <w:highlight w:val="yellow"/>
        </w:rPr>
      </w:pPr>
      <w:r w:rsidRPr="00E66FA6">
        <w:rPr>
          <w:rFonts w:eastAsiaTheme="minorHAnsi"/>
          <w:highlight w:val="yellow"/>
        </w:rPr>
        <w:t>Another randomized study (Hamid and Bede 2021)</w:t>
      </w:r>
      <w:r w:rsidRPr="00E66FA6">
        <w:rPr>
          <w:rFonts w:eastAsiaTheme="minorHAnsi"/>
          <w:noProof/>
          <w:highlight w:val="yellow"/>
          <w:vertAlign w:val="superscript"/>
        </w:rPr>
        <w:t>33</w:t>
      </w:r>
      <w:r w:rsidRPr="00E66FA6">
        <w:rPr>
          <w:rFonts w:eastAsiaTheme="minorHAnsi"/>
          <w:highlight w:val="yellow"/>
        </w:rPr>
        <w:t xml:space="preserve"> compared the clinical outcomes between screw retained hybrid arch bars (</w:t>
      </w:r>
      <w:proofErr w:type="spellStart"/>
      <w:r w:rsidRPr="00E66FA6">
        <w:rPr>
          <w:rFonts w:eastAsiaTheme="minorHAnsi"/>
          <w:highlight w:val="yellow"/>
        </w:rPr>
        <w:t>SMARTLock</w:t>
      </w:r>
      <w:proofErr w:type="spellEnd"/>
      <w:r w:rsidRPr="00E66FA6">
        <w:rPr>
          <w:rFonts w:eastAsiaTheme="minorHAnsi"/>
          <w:highlight w:val="yellow"/>
        </w:rPr>
        <w:t xml:space="preserve"> Hybrid MMF) and conventional EABs for closed treatment of mandibular fractures. </w:t>
      </w:r>
    </w:p>
    <w:p w14:paraId="7EDB93B6"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18 patients were divided into controls (n=10) receiving EABs and an 8 patient study group where </w:t>
      </w:r>
      <w:proofErr w:type="spellStart"/>
      <w:r w:rsidRPr="00E66FA6">
        <w:rPr>
          <w:rFonts w:eastAsiaTheme="minorHAnsi"/>
          <w:highlight w:val="yellow"/>
        </w:rPr>
        <w:t>SMARTLock</w:t>
      </w:r>
      <w:proofErr w:type="spellEnd"/>
      <w:r w:rsidRPr="00E66FA6">
        <w:rPr>
          <w:rFonts w:eastAsiaTheme="minorHAnsi"/>
          <w:highlight w:val="yellow"/>
        </w:rPr>
        <w:t xml:space="preserve"> devices were used. The mean </w:t>
      </w:r>
      <w:r w:rsidRPr="00E66FA6">
        <w:rPr>
          <w:rFonts w:eastAsiaTheme="minorHAnsi"/>
          <w:highlight w:val="yellow"/>
        </w:rPr>
        <w:lastRenderedPageBreak/>
        <w:t xml:space="preserve">application time differed significantly in favor of the hybrid devices: </w:t>
      </w:r>
      <w:r w:rsidRPr="00E66FA6">
        <w:rPr>
          <w:rFonts w:eastAsiaTheme="minorHAnsi"/>
          <w:color w:val="141413"/>
          <w:highlight w:val="yellow"/>
        </w:rPr>
        <w:t xml:space="preserve">41.6 ± 6 minutes versus 61.6 ± 11.4 minutes for EABs. The mean time for removal was also shorter 11.1 ± 2 minutes for the hybrid MMF devices versus 14.2 ± 3 minutes for EABs. By nature screw loosening and mucosal overgrowth occurred only in the hybrid devices with percentages of 12.5% and 31.2% respectively. Glove tears were seen exclusively in EABs occurring in 70 % of cases. In the overall assessment the </w:t>
      </w:r>
      <w:proofErr w:type="spellStart"/>
      <w:r w:rsidRPr="00E66FA6">
        <w:rPr>
          <w:rFonts w:eastAsiaTheme="minorHAnsi"/>
          <w:color w:val="141413"/>
          <w:highlight w:val="yellow"/>
        </w:rPr>
        <w:t>SMARTLock</w:t>
      </w:r>
      <w:proofErr w:type="spellEnd"/>
      <w:r w:rsidRPr="00E66FA6">
        <w:rPr>
          <w:rFonts w:eastAsiaTheme="minorHAnsi"/>
          <w:color w:val="141413"/>
          <w:highlight w:val="yellow"/>
        </w:rPr>
        <w:t xml:space="preserve"> MMF System was acknowledged as a suitable alternative to EABs due to time savings in application and improved safety for surgeons.</w:t>
      </w:r>
    </w:p>
    <w:p w14:paraId="48BEAE5E"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most recent clinical RCT comparing hybrid arch bars and EABs aimed to unveil differences in efficacy and safety in treating mandibular fractures (Sankar et al 2023). 44 patients (age 18 – 45 years) after closed reduction and immobilization of single site minimally displaced fractures in the symphysis, body or angle were followed over a minimum of 4 weeks. Condylar process fractures were excluded. The patients had been randomized to a hybrid group (stainless steel, </w:t>
      </w:r>
      <w:proofErr w:type="spellStart"/>
      <w:r w:rsidRPr="00E66FA6">
        <w:rPr>
          <w:rFonts w:eastAsiaTheme="minorHAnsi"/>
          <w:highlight w:val="yellow"/>
        </w:rPr>
        <w:t>SMARTLock</w:t>
      </w:r>
      <w:proofErr w:type="spellEnd"/>
      <w:r w:rsidRPr="00E66FA6">
        <w:rPr>
          <w:rFonts w:eastAsiaTheme="minorHAnsi"/>
          <w:highlight w:val="yellow"/>
        </w:rPr>
        <w:t xml:space="preserve"> facsimile embodiment n = 21 and a conventional EAB group (n = 23).</w:t>
      </w:r>
    </w:p>
    <w:p w14:paraId="563432B9"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Clinical outcomes assessed parameters were as usual: application time and stability of the arch bars, glove punctures, operator skin pricks, tooth root injuries, screw soft tissue coverage and oral hygiene. </w:t>
      </w:r>
    </w:p>
    <w:p w14:paraId="2B8AD699"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hybrid bars were fixed with a minimum of six 2.0 screws (lengths 6, 8 or 10 mm) per arch after an OPG (Orthopantomogram)/CBCT examination of the tooth root topography. EABs were secured with </w:t>
      </w:r>
      <w:proofErr w:type="spellStart"/>
      <w:r w:rsidRPr="00E66FA6">
        <w:rPr>
          <w:rFonts w:eastAsiaTheme="minorHAnsi"/>
          <w:highlight w:val="yellow"/>
        </w:rPr>
        <w:t>circumdental</w:t>
      </w:r>
      <w:proofErr w:type="spellEnd"/>
      <w:r w:rsidRPr="00E66FA6">
        <w:rPr>
          <w:rFonts w:eastAsiaTheme="minorHAnsi"/>
          <w:highlight w:val="yellow"/>
        </w:rPr>
        <w:t xml:space="preserve"> 26 G stainless steel wires and not detailed further.</w:t>
      </w:r>
    </w:p>
    <w:p w14:paraId="08577AEF" w14:textId="77777777" w:rsidR="000D7460" w:rsidRPr="00E66FA6" w:rsidRDefault="000D7460" w:rsidP="000D7460">
      <w:pPr>
        <w:pStyle w:val="MDPI31text"/>
        <w:rPr>
          <w:rFonts w:eastAsiaTheme="minorHAnsi"/>
          <w:highlight w:val="yellow"/>
        </w:rPr>
      </w:pPr>
      <w:r w:rsidRPr="00E66FA6">
        <w:rPr>
          <w:rFonts w:eastAsiaTheme="minorHAnsi"/>
          <w:highlight w:val="yellow"/>
        </w:rPr>
        <w:t>Arch bar stability was assessed weekly and graded from no mobility over mild/</w:t>
      </w:r>
      <w:proofErr w:type="spellStart"/>
      <w:r w:rsidRPr="00E66FA6">
        <w:rPr>
          <w:rFonts w:eastAsiaTheme="minorHAnsi"/>
          <w:highlight w:val="yellow"/>
        </w:rPr>
        <w:t>reattachable</w:t>
      </w:r>
      <w:proofErr w:type="spellEnd"/>
      <w:r w:rsidRPr="00E66FA6">
        <w:rPr>
          <w:rFonts w:eastAsiaTheme="minorHAnsi"/>
          <w:highlight w:val="yellow"/>
        </w:rPr>
        <w:t xml:space="preserve"> through to perceptible requiring removal.</w:t>
      </w:r>
    </w:p>
    <w:p w14:paraId="1F13E404" w14:textId="77777777" w:rsidR="000D7460" w:rsidRPr="00E66FA6" w:rsidRDefault="000D7460" w:rsidP="000D7460">
      <w:pPr>
        <w:pStyle w:val="MDPI31text"/>
        <w:rPr>
          <w:rFonts w:eastAsiaTheme="minorHAnsi"/>
          <w:highlight w:val="yellow"/>
        </w:rPr>
      </w:pPr>
      <w:r w:rsidRPr="00E66FA6">
        <w:rPr>
          <w:rFonts w:eastAsiaTheme="minorHAnsi"/>
          <w:highlight w:val="yellow"/>
        </w:rPr>
        <w:t>The efficacy of a double glove protection while applying the arch bars was checked by water-filling and compression to identify puncture holes as described by Pieper et al (1995)</w:t>
      </w:r>
      <w:r w:rsidRPr="00E66FA6">
        <w:rPr>
          <w:rFonts w:eastAsiaTheme="minorHAnsi"/>
          <w:noProof/>
          <w:highlight w:val="yellow"/>
          <w:vertAlign w:val="superscript"/>
        </w:rPr>
        <w:t>35</w:t>
      </w:r>
      <w:r w:rsidRPr="00E66FA6">
        <w:rPr>
          <w:rFonts w:eastAsiaTheme="minorHAnsi"/>
          <w:highlight w:val="yellow"/>
        </w:rPr>
        <w:t>.</w:t>
      </w:r>
    </w:p>
    <w:p w14:paraId="591F21FA" w14:textId="77777777" w:rsidR="000D7460" w:rsidRPr="00E66FA6" w:rsidRDefault="000D7460" w:rsidP="000D7460">
      <w:pPr>
        <w:pStyle w:val="MDPI31text"/>
        <w:rPr>
          <w:rFonts w:eastAsiaTheme="minorHAnsi"/>
          <w:highlight w:val="yellow"/>
        </w:rPr>
      </w:pPr>
      <w:r w:rsidRPr="00E66FA6">
        <w:rPr>
          <w:rFonts w:eastAsiaTheme="minorHAnsi"/>
          <w:highlight w:val="yellow"/>
        </w:rPr>
        <w:t>Potential tooth root injuries were screened weekly by percussion testing of the teeth. In cases of tenderness the spatial relationship between screw and root was examined by CBCT.</w:t>
      </w:r>
    </w:p>
    <w:p w14:paraId="1A675A53" w14:textId="77777777" w:rsidR="000D7460" w:rsidRPr="00E66FA6" w:rsidRDefault="000D7460" w:rsidP="000D7460">
      <w:pPr>
        <w:pStyle w:val="MDPI31text"/>
        <w:rPr>
          <w:rFonts w:eastAsiaTheme="minorHAnsi"/>
          <w:highlight w:val="yellow"/>
        </w:rPr>
      </w:pPr>
      <w:r w:rsidRPr="00E66FA6">
        <w:rPr>
          <w:rFonts w:eastAsiaTheme="minorHAnsi"/>
          <w:highlight w:val="yellow"/>
        </w:rPr>
        <w:t>Tissue growth over the screw heads was indexed progressively from 0, to half (1), to more than half (2) and to complete (3) coverage for each screw. A total score was calculated using the sum of indices divided by the number or screws.</w:t>
      </w:r>
    </w:p>
    <w:p w14:paraId="0A00E837" w14:textId="77777777" w:rsidR="000D7460" w:rsidRPr="00E66FA6" w:rsidRDefault="000D7460" w:rsidP="000D7460">
      <w:pPr>
        <w:pStyle w:val="MDPI31text"/>
        <w:rPr>
          <w:rFonts w:eastAsiaTheme="minorHAnsi" w:cs="Times-Roman"/>
          <w:highlight w:val="yellow"/>
        </w:rPr>
      </w:pPr>
      <w:r w:rsidRPr="00E66FA6">
        <w:rPr>
          <w:rFonts w:eastAsiaTheme="minorHAnsi"/>
          <w:highlight w:val="yellow"/>
        </w:rPr>
        <w:t>The oral hygiene status was evaluated with the Oral Hygiene Index-Simplified (OHI-S) (Greene and Vermillion 1964)</w:t>
      </w:r>
      <w:r w:rsidRPr="00E66FA6">
        <w:rPr>
          <w:rFonts w:eastAsiaTheme="minorHAnsi"/>
          <w:noProof/>
          <w:highlight w:val="yellow"/>
          <w:vertAlign w:val="superscript"/>
        </w:rPr>
        <w:t>36</w:t>
      </w:r>
      <w:r w:rsidRPr="00E66FA6">
        <w:rPr>
          <w:rFonts w:eastAsiaTheme="minorHAnsi"/>
          <w:highlight w:val="yellow"/>
        </w:rPr>
        <w:t>, which tallies 3</w:t>
      </w:r>
      <w:r w:rsidRPr="00E66FA6">
        <w:rPr>
          <w:rFonts w:eastAsiaTheme="minorHAnsi"/>
          <w:sz w:val="28"/>
          <w:szCs w:val="28"/>
          <w:highlight w:val="yellow"/>
        </w:rPr>
        <w:t xml:space="preserve"> </w:t>
      </w:r>
      <w:r w:rsidRPr="00E66FA6">
        <w:rPr>
          <w:rFonts w:eastAsiaTheme="minorHAnsi"/>
          <w:highlight w:val="yellow"/>
        </w:rPr>
        <w:t xml:space="preserve">components - </w:t>
      </w:r>
      <w:r w:rsidRPr="00E66FA6">
        <w:rPr>
          <w:rFonts w:eastAsiaTheme="minorHAnsi" w:cs="Times-Roman"/>
          <w:highlight w:val="yellow"/>
        </w:rPr>
        <w:t>debris, bleeding and gingival enlargement (compare Hassan et al 2018)</w:t>
      </w:r>
      <w:r w:rsidRPr="00E66FA6">
        <w:rPr>
          <w:rFonts w:eastAsiaTheme="minorHAnsi" w:cs="Times-Roman"/>
          <w:noProof/>
          <w:highlight w:val="yellow"/>
          <w:vertAlign w:val="superscript"/>
        </w:rPr>
        <w:t>9</w:t>
      </w:r>
      <w:r w:rsidRPr="00E66FA6">
        <w:rPr>
          <w:rFonts w:eastAsiaTheme="minorHAnsi" w:cs="Times-Roman"/>
          <w:highlight w:val="yellow"/>
        </w:rPr>
        <w:t>.</w:t>
      </w:r>
    </w:p>
    <w:p w14:paraId="5FD93316" w14:textId="77777777" w:rsidR="000D7460" w:rsidRPr="00E66FA6" w:rsidRDefault="000D7460" w:rsidP="000D7460">
      <w:pPr>
        <w:pStyle w:val="MDPI31text"/>
        <w:rPr>
          <w:rFonts w:eastAsiaTheme="minorHAnsi" w:cs="Helvetica"/>
          <w:highlight w:val="yellow"/>
        </w:rPr>
      </w:pPr>
      <w:r w:rsidRPr="00E66FA6">
        <w:rPr>
          <w:rFonts w:eastAsiaTheme="minorHAnsi"/>
          <w:highlight w:val="yellow"/>
        </w:rPr>
        <w:t xml:space="preserve">As expected the application time for the hybrid arch bars was significantly shorter than in the EAB group </w:t>
      </w:r>
      <w:r w:rsidRPr="00E66FA6">
        <w:rPr>
          <w:rFonts w:eastAsiaTheme="minorHAnsi" w:cs="Helvetica"/>
          <w:highlight w:val="yellow"/>
        </w:rPr>
        <w:t>(55.7 ± 17.9 minutes versus 82.0 ± 12. 2 minutes).</w:t>
      </w:r>
    </w:p>
    <w:p w14:paraId="2A89BA2C" w14:textId="77777777" w:rsidR="000D7460" w:rsidRPr="00E66FA6" w:rsidRDefault="000D7460" w:rsidP="000D7460">
      <w:pPr>
        <w:pStyle w:val="MDPI31text"/>
        <w:rPr>
          <w:rFonts w:eastAsiaTheme="minorHAnsi"/>
          <w:highlight w:val="yellow"/>
        </w:rPr>
      </w:pPr>
      <w:r w:rsidRPr="00E66FA6">
        <w:rPr>
          <w:rFonts w:eastAsiaTheme="minorHAnsi"/>
          <w:highlight w:val="yellow"/>
        </w:rPr>
        <w:t>The arch bars stability scores in both jaws were comparable at a good level and did not decrease over the follow-up period.</w:t>
      </w:r>
    </w:p>
    <w:p w14:paraId="00B7E209" w14:textId="77777777" w:rsidR="000D7460" w:rsidRPr="00E66FA6" w:rsidRDefault="000D7460" w:rsidP="000D7460">
      <w:pPr>
        <w:pStyle w:val="MDPI31text"/>
        <w:rPr>
          <w:rFonts w:eastAsiaTheme="minorHAnsi"/>
          <w:highlight w:val="yellow"/>
        </w:rPr>
      </w:pPr>
      <w:r w:rsidRPr="00E66FA6">
        <w:rPr>
          <w:rFonts w:eastAsiaTheme="minorHAnsi"/>
          <w:highlight w:val="yellow"/>
        </w:rPr>
        <w:t>Outer glove and inner glove punctures were detected in 39.1% of EAB (associated with 1 operator pick) and 8.7 % in the hybrid system, respectively.</w:t>
      </w:r>
    </w:p>
    <w:p w14:paraId="296721A7" w14:textId="77777777" w:rsidR="000D7460" w:rsidRPr="00E66FA6" w:rsidRDefault="000D7460" w:rsidP="000D7460">
      <w:pPr>
        <w:pStyle w:val="MDPI31text"/>
        <w:rPr>
          <w:rFonts w:eastAsiaTheme="minorHAnsi"/>
          <w:highlight w:val="yellow"/>
        </w:rPr>
      </w:pPr>
      <w:r w:rsidRPr="00E66FA6">
        <w:rPr>
          <w:rFonts w:eastAsiaTheme="minorHAnsi"/>
          <w:highlight w:val="yellow"/>
        </w:rPr>
        <w:t>Of 252 screws used in the hybrid group, 2 screws (0.9%) in the mandibular incisor region displayed tooth root damage confirmed with CBCT imaging.</w:t>
      </w:r>
    </w:p>
    <w:p w14:paraId="7482C7DA" w14:textId="77777777" w:rsidR="000D7460" w:rsidRPr="00E66FA6" w:rsidRDefault="000D7460" w:rsidP="000D7460">
      <w:pPr>
        <w:pStyle w:val="MDPI31text"/>
        <w:rPr>
          <w:rFonts w:eastAsiaTheme="minorHAnsi"/>
          <w:highlight w:val="yellow"/>
        </w:rPr>
      </w:pPr>
      <w:r w:rsidRPr="00E66FA6">
        <w:rPr>
          <w:rFonts w:eastAsiaTheme="minorHAnsi"/>
          <w:highlight w:val="yellow"/>
        </w:rPr>
        <w:t>Mucosal overgrowth progressed from the 1</w:t>
      </w:r>
      <w:r w:rsidRPr="00E66FA6">
        <w:rPr>
          <w:rFonts w:eastAsiaTheme="minorHAnsi"/>
          <w:highlight w:val="yellow"/>
          <w:vertAlign w:val="superscript"/>
        </w:rPr>
        <w:t>st</w:t>
      </w:r>
      <w:r w:rsidRPr="00E66FA6">
        <w:rPr>
          <w:rFonts w:eastAsiaTheme="minorHAnsi"/>
          <w:highlight w:val="yellow"/>
        </w:rPr>
        <w:t xml:space="preserve"> to the 4</w:t>
      </w:r>
      <w:r w:rsidRPr="00E66FA6">
        <w:rPr>
          <w:rFonts w:eastAsiaTheme="minorHAnsi"/>
          <w:highlight w:val="yellow"/>
          <w:vertAlign w:val="superscript"/>
        </w:rPr>
        <w:t>th</w:t>
      </w:r>
      <w:r w:rsidRPr="00E66FA6">
        <w:rPr>
          <w:rFonts w:eastAsiaTheme="minorHAnsi"/>
          <w:highlight w:val="yellow"/>
        </w:rPr>
        <w:t xml:space="preserve"> post OP week with 137 (54,4 %) screws eventually completely buried. </w:t>
      </w:r>
    </w:p>
    <w:p w14:paraId="5839E6C6" w14:textId="77777777" w:rsidR="000D7460" w:rsidRPr="00E66FA6" w:rsidRDefault="000D7460" w:rsidP="000D7460">
      <w:pPr>
        <w:pStyle w:val="MDPI31text"/>
        <w:rPr>
          <w:rFonts w:eastAsiaTheme="minorHAnsi"/>
          <w:highlight w:val="yellow"/>
        </w:rPr>
      </w:pPr>
      <w:r w:rsidRPr="00E66FA6">
        <w:rPr>
          <w:rFonts w:eastAsiaTheme="minorHAnsi"/>
          <w:highlight w:val="yellow"/>
        </w:rPr>
        <w:lastRenderedPageBreak/>
        <w:t>Initially the OHI-S indices were comparable between the two groups, thereafter the oral hygiene status declined continuously in the EAB group, but maintained its level in the hybrid group.</w:t>
      </w:r>
    </w:p>
    <w:p w14:paraId="405723CE"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latest (prospective) study of hybrid devices – identical in construction with the </w:t>
      </w:r>
      <w:proofErr w:type="spellStart"/>
      <w:r w:rsidRPr="00E66FA6">
        <w:rPr>
          <w:rFonts w:eastAsiaTheme="minorHAnsi"/>
          <w:highlight w:val="yellow"/>
        </w:rPr>
        <w:t>SMARTLock</w:t>
      </w:r>
      <w:proofErr w:type="spellEnd"/>
      <w:r w:rsidRPr="00E66FA6">
        <w:rPr>
          <w:rFonts w:eastAsiaTheme="minorHAnsi"/>
          <w:highlight w:val="yellow"/>
        </w:rPr>
        <w:t xml:space="preserve"> MMF System – compared to conventional EABs (Burman et al 2023)</w:t>
      </w:r>
      <w:r w:rsidRPr="00E66FA6">
        <w:rPr>
          <w:rFonts w:eastAsiaTheme="minorHAnsi"/>
          <w:noProof/>
          <w:highlight w:val="yellow"/>
          <w:vertAlign w:val="superscript"/>
        </w:rPr>
        <w:t xml:space="preserve">24 </w:t>
      </w:r>
      <w:r w:rsidRPr="00E66FA6">
        <w:rPr>
          <w:rFonts w:eastAsiaTheme="minorHAnsi"/>
          <w:highlight w:val="yellow"/>
        </w:rPr>
        <w:t>matched 20 and 21 patients, respectively to the treatment arms.</w:t>
      </w:r>
    </w:p>
    <w:p w14:paraId="6A05628F" w14:textId="77777777" w:rsidR="000D7460" w:rsidRPr="00E66FA6" w:rsidRDefault="000D7460" w:rsidP="000D7460">
      <w:pPr>
        <w:pStyle w:val="MDPI31text"/>
        <w:rPr>
          <w:rFonts w:eastAsiaTheme="minorHAnsi"/>
          <w:highlight w:val="yellow"/>
        </w:rPr>
      </w:pPr>
      <w:r w:rsidRPr="00E66FA6">
        <w:rPr>
          <w:rFonts w:eastAsiaTheme="minorHAnsi"/>
          <w:highlight w:val="yellow"/>
        </w:rPr>
        <w:t>The treatment indications0 for hybrid devices were mandibular trauma in 75 % of patients and midface fractures in 25 %. EABs were equally distributed on patients with mandibular and midface fractures. The installation of the hybrid system required general anesthesia in 95 % of the patients. The therapy was closed reduction. The hybrid devices as well as the EABs were left for 4 weeks postoperatively.</w:t>
      </w:r>
    </w:p>
    <w:p w14:paraId="6BA30826" w14:textId="77777777" w:rsidR="000D7460" w:rsidRPr="00E66FA6" w:rsidRDefault="000D7460" w:rsidP="000D7460">
      <w:pPr>
        <w:pStyle w:val="MDPI31text"/>
        <w:rPr>
          <w:rFonts w:eastAsiaTheme="minorHAnsi"/>
          <w:color w:val="141413"/>
          <w:highlight w:val="yellow"/>
        </w:rPr>
      </w:pPr>
      <w:r w:rsidRPr="00E66FA6">
        <w:rPr>
          <w:rFonts w:eastAsiaTheme="minorHAnsi"/>
          <w:highlight w:val="yellow"/>
        </w:rPr>
        <w:t xml:space="preserve">The intraoperative application time for the hybrid devices was significantly less than for EABs (mean 23.3 ± 8.1 minutes versus 86.4 ± 26.5 minutes). </w:t>
      </w:r>
      <w:r w:rsidRPr="00E66FA6">
        <w:rPr>
          <w:rFonts w:eastAsiaTheme="minorHAnsi"/>
          <w:color w:val="141413"/>
          <w:highlight w:val="yellow"/>
        </w:rPr>
        <w:t>Up to a maximum of 18 screws (nine per arch) were used to anchor the hybrid devices.</w:t>
      </w:r>
    </w:p>
    <w:p w14:paraId="687C91D6" w14:textId="77777777" w:rsidR="000D7460" w:rsidRPr="00E66FA6" w:rsidRDefault="000D7460" w:rsidP="000D7460">
      <w:pPr>
        <w:pStyle w:val="MDPI31text"/>
        <w:rPr>
          <w:rFonts w:eastAsiaTheme="minorHAnsi"/>
          <w:highlight w:val="yellow"/>
        </w:rPr>
      </w:pPr>
      <w:r w:rsidRPr="00E66FA6">
        <w:rPr>
          <w:rFonts w:eastAsiaTheme="minorHAnsi"/>
          <w:highlight w:val="yellow"/>
        </w:rPr>
        <w:t>No tooth damage was seen in patients with bone-anchored devices as assessed by vitality testing and postoperative panoramic x-rays.</w:t>
      </w:r>
    </w:p>
    <w:p w14:paraId="0DF3BEA6"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Optimal restoration of preinjury occlusion was achieved in 90 % of the hybrid device patients compared to 81 % of the EAB patients. </w:t>
      </w:r>
    </w:p>
    <w:p w14:paraId="5AE59C1A" w14:textId="77777777" w:rsidR="000D7460" w:rsidRPr="00E66FA6" w:rsidRDefault="000D7460" w:rsidP="000D7460">
      <w:pPr>
        <w:pStyle w:val="MDPI31text"/>
        <w:rPr>
          <w:rFonts w:eastAsiaTheme="minorHAnsi"/>
          <w:highlight w:val="yellow"/>
        </w:rPr>
      </w:pPr>
      <w:r w:rsidRPr="00E66FA6">
        <w:rPr>
          <w:rFonts w:eastAsiaTheme="minorHAnsi"/>
          <w:highlight w:val="yellow"/>
        </w:rPr>
        <w:t>Stability at 1 and 2 weeks postoperatively by use of a numerical score indicated that the hybrid devices had maintained its initial strength in most patients (n = 17 with the maximum score 3) whereas the EABs lost rigidity in the majority of patients (n=16 with score 2 categorized as unstable). The risk for instability was increased 3-fold in EABs.</w:t>
      </w:r>
    </w:p>
    <w:p w14:paraId="35A27B52"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Screw loosening or yielding of the </w:t>
      </w:r>
      <w:proofErr w:type="spellStart"/>
      <w:r w:rsidRPr="00E66FA6">
        <w:rPr>
          <w:rFonts w:eastAsiaTheme="minorHAnsi"/>
          <w:highlight w:val="yellow"/>
        </w:rPr>
        <w:t>circumdental</w:t>
      </w:r>
      <w:proofErr w:type="spellEnd"/>
      <w:r w:rsidRPr="00E66FA6">
        <w:rPr>
          <w:rFonts w:eastAsiaTheme="minorHAnsi"/>
          <w:highlight w:val="yellow"/>
        </w:rPr>
        <w:t xml:space="preserve"> wires, respectively occurred in six patients (30%) with hybrid devices and in 11 patients (52 %) with EABs.</w:t>
      </w:r>
    </w:p>
    <w:p w14:paraId="3561C584" w14:textId="77777777" w:rsidR="000D7460" w:rsidRPr="00E66FA6" w:rsidRDefault="000D7460" w:rsidP="000D7460">
      <w:pPr>
        <w:pStyle w:val="MDPI31text"/>
        <w:rPr>
          <w:rFonts w:eastAsiaTheme="minorHAnsi"/>
          <w:highlight w:val="yellow"/>
        </w:rPr>
      </w:pPr>
      <w:r w:rsidRPr="00E66FA6">
        <w:rPr>
          <w:rFonts w:eastAsiaTheme="minorHAnsi"/>
          <w:highlight w:val="yellow"/>
        </w:rPr>
        <w:t>Mucosal overgrowth, defined as coverage &gt; ¾ of the screw head in the bendable flanges (‘lugs’) of the stainless steel hybrid devices, was found in n = 15/20 patients (75 %). By contrast Kendrick et al (2016 A)</w:t>
      </w:r>
      <w:r w:rsidRPr="00E66FA6">
        <w:rPr>
          <w:rFonts w:eastAsiaTheme="minorHAnsi"/>
          <w:noProof/>
          <w:highlight w:val="yellow"/>
          <w:vertAlign w:val="superscript"/>
        </w:rPr>
        <w:t>17</w:t>
      </w:r>
      <w:r w:rsidRPr="00E66FA6">
        <w:rPr>
          <w:rFonts w:eastAsiaTheme="minorHAnsi"/>
          <w:highlight w:val="yellow"/>
        </w:rPr>
        <w:t xml:space="preserve"> had observed mucosal overgrowth in 38 % of their patients.</w:t>
      </w:r>
      <w:r w:rsidRPr="00E66FA6">
        <w:rPr>
          <w:rFonts w:eastAsiaTheme="minorHAnsi"/>
          <w:szCs w:val="20"/>
          <w:highlight w:val="yellow"/>
        </w:rPr>
        <w:t xml:space="preserve"> </w:t>
      </w:r>
      <w:r w:rsidRPr="00E66FA6">
        <w:rPr>
          <w:rFonts w:eastAsiaTheme="minorHAnsi"/>
          <w:highlight w:val="yellow"/>
        </w:rPr>
        <w:t>The subsequent discussion notes that conventional rather than locking screws had been used for bony fixation and led to impingement into the mucosa. Moreover, the high rate of mucosal migration over the tips and screw heads of the lugs most likely was a result of the unfavorable placement into the mobile vestibular mucosa – which was displayed in photographs from the article.</w:t>
      </w:r>
    </w:p>
    <w:p w14:paraId="02E332CC" w14:textId="77777777" w:rsidR="000D7460" w:rsidRPr="00E66FA6" w:rsidRDefault="000D7460" w:rsidP="000D7460">
      <w:pPr>
        <w:pStyle w:val="MDPI31text"/>
        <w:rPr>
          <w:rFonts w:eastAsiaTheme="minorHAnsi"/>
          <w:highlight w:val="yellow"/>
        </w:rPr>
      </w:pPr>
      <w:r w:rsidRPr="00E66FA6">
        <w:rPr>
          <w:rFonts w:eastAsiaTheme="minorHAnsi"/>
          <w:highlight w:val="yellow"/>
        </w:rPr>
        <w:t>Obviously because of mucosal overgrowth and the need for local anesthesia, the mean time to remove the hybrid devices (30 minutes) exceeded the time needed for the EABs (19 minutes).</w:t>
      </w:r>
    </w:p>
    <w:p w14:paraId="6120676B" w14:textId="77777777" w:rsidR="000D7460" w:rsidRPr="00E66FA6" w:rsidRDefault="000D7460" w:rsidP="000D7460">
      <w:pPr>
        <w:pStyle w:val="MDPI31text"/>
        <w:rPr>
          <w:rFonts w:eastAsiaTheme="minorHAnsi"/>
          <w:szCs w:val="20"/>
          <w:highlight w:val="yellow"/>
        </w:rPr>
      </w:pPr>
      <w:r w:rsidRPr="00E66FA6">
        <w:rPr>
          <w:rFonts w:eastAsiaTheme="minorHAnsi"/>
          <w:highlight w:val="yellow"/>
        </w:rPr>
        <w:t>The authors stressed the superiority of the hybrid MMF devices in terms of clinical efficiency, reduced installation time and safety outweighing the disadvantage of mucosal overgrowth.</w:t>
      </w:r>
    </w:p>
    <w:p w14:paraId="332C4D44"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 small retrospective series compared the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and IMF (MMF) screws in the closed treatment of condylar and </w:t>
      </w:r>
      <w:proofErr w:type="spellStart"/>
      <w:r w:rsidRPr="00E66FA6">
        <w:rPr>
          <w:rFonts w:eastAsiaTheme="minorHAnsi"/>
          <w:highlight w:val="yellow"/>
        </w:rPr>
        <w:t>subcondylar</w:t>
      </w:r>
      <w:proofErr w:type="spellEnd"/>
      <w:r w:rsidRPr="00E66FA6">
        <w:rPr>
          <w:rFonts w:eastAsiaTheme="minorHAnsi"/>
          <w:highlight w:val="yellow"/>
        </w:rPr>
        <w:t xml:space="preserve"> fractures (Roeder et al 2018)</w:t>
      </w:r>
      <w:r w:rsidRPr="00E66FA6">
        <w:rPr>
          <w:rFonts w:eastAsiaTheme="minorHAnsi"/>
          <w:noProof/>
          <w:highlight w:val="yellow"/>
          <w:vertAlign w:val="superscript"/>
        </w:rPr>
        <w:t>25</w:t>
      </w:r>
      <w:r w:rsidRPr="00E66FA6">
        <w:rPr>
          <w:rFonts w:eastAsiaTheme="minorHAnsi"/>
          <w:highlight w:val="yellow"/>
        </w:rPr>
        <w:t>. The analyzed parameters were application time, occlusal restoration, interincisal opening, TMJ dysfunction, mucosal overgrowth and overall costs.</w:t>
      </w:r>
    </w:p>
    <w:p w14:paraId="459CE891"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series included 7 patients with the hybrid modality and 5 patients with IMF screws (Synthes USA Products LLC, West Chester, Pa). The series included one patient with an isolated condylar head fracture with the remainder patients with different types of condylar process fractures plus additional fractures of the mandible. The treatment for </w:t>
      </w:r>
      <w:r w:rsidRPr="00E66FA6">
        <w:rPr>
          <w:rFonts w:eastAsiaTheme="minorHAnsi"/>
          <w:highlight w:val="yellow"/>
        </w:rPr>
        <w:lastRenderedPageBreak/>
        <w:t>condylar process fractures was closed reduction along with ORIF for the associated non-condylar mandibular fractures in both groups. Postoperative intermaxillary fixation ranged between 3 to 5 weeks with a period of 4 weeks occurring in 80 % of cases.</w:t>
      </w:r>
    </w:p>
    <w:p w14:paraId="2F92EBBA" w14:textId="77777777" w:rsidR="000D7460" w:rsidRPr="00E66FA6" w:rsidRDefault="000D7460" w:rsidP="000D7460">
      <w:pPr>
        <w:pStyle w:val="MDPI31text"/>
        <w:rPr>
          <w:rFonts w:eastAsiaTheme="minorHAnsi" w:cs="Helvetica"/>
          <w:highlight w:val="yellow"/>
        </w:rPr>
      </w:pPr>
      <w:r w:rsidRPr="00E66FA6">
        <w:rPr>
          <w:rFonts w:eastAsiaTheme="minorHAnsi"/>
          <w:highlight w:val="yellow"/>
        </w:rPr>
        <w:t xml:space="preserve">The outcome in terms of occlusion, interincisal distances and TMJ complaints showed conformity within the two groups. The application time for the MMF devices was not separately recorded from the total operative time. The operative room time for patients by use of hybrid MMF only averaged to 39.6 minutes and for patients with IMF screws 43 minutes. In hybrid plus ORIF of associated fractures the mean OR time was 81.3 minutes. IMF screws plus ORIF of another fracture had a mean of 78.2 minutes. </w:t>
      </w:r>
      <w:r w:rsidRPr="00E66FA6">
        <w:rPr>
          <w:rFonts w:eastAsiaTheme="minorHAnsi" w:cs="Helvetica"/>
          <w:highlight w:val="yellow"/>
        </w:rPr>
        <w:t xml:space="preserve">The differences in the operating room times (3 -5 minutes) were considered negligible by the authors. </w:t>
      </w:r>
    </w:p>
    <w:p w14:paraId="326A0B5F"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In the hybrid retaining screws, mucosal overgrowth was more prevalent than in MMF screws, presumably because the </w:t>
      </w:r>
      <w:proofErr w:type="spellStart"/>
      <w:r w:rsidRPr="00E66FA6">
        <w:rPr>
          <w:rFonts w:eastAsiaTheme="minorHAnsi"/>
          <w:highlight w:val="yellow"/>
        </w:rPr>
        <w:t>SMARTLock</w:t>
      </w:r>
      <w:proofErr w:type="spellEnd"/>
      <w:r w:rsidRPr="00E66FA6">
        <w:rPr>
          <w:rFonts w:eastAsiaTheme="minorHAnsi"/>
          <w:highlight w:val="yellow"/>
        </w:rPr>
        <w:t xml:space="preserve"> Hybrids have low profile screw heads.</w:t>
      </w:r>
    </w:p>
    <w:p w14:paraId="29431C52" w14:textId="77777777" w:rsidR="000D7460" w:rsidRPr="00E66FA6" w:rsidRDefault="000D7460" w:rsidP="000D7460">
      <w:pPr>
        <w:pStyle w:val="MDPI31text"/>
        <w:rPr>
          <w:rFonts w:eastAsiaTheme="minorHAnsi"/>
          <w:highlight w:val="yellow"/>
        </w:rPr>
      </w:pPr>
      <w:r w:rsidRPr="00E66FA6">
        <w:rPr>
          <w:rFonts w:eastAsiaTheme="minorHAnsi"/>
          <w:highlight w:val="yellow"/>
        </w:rPr>
        <w:t>The authors report that as a result from shifting the intraoral incision sites towards the gingivobuccal sulcus, intraoral wound healing problems could not be recorded in hybrid plus ORIF procedures. Tooth root injuries were not mentioned in the report.</w:t>
      </w:r>
    </w:p>
    <w:p w14:paraId="0EA24358" w14:textId="77777777" w:rsidR="000D7460" w:rsidRPr="00E66FA6" w:rsidRDefault="000D7460" w:rsidP="000D7460">
      <w:pPr>
        <w:pStyle w:val="MDPI31text"/>
        <w:rPr>
          <w:rFonts w:eastAsiaTheme="minorHAnsi"/>
          <w:highlight w:val="yellow"/>
        </w:rPr>
      </w:pPr>
      <w:r w:rsidRPr="00E66FA6">
        <w:rPr>
          <w:rFonts w:eastAsiaTheme="minorHAnsi"/>
          <w:highlight w:val="yellow"/>
        </w:rPr>
        <w:t>In general, the hybrid arch bars were felt to be advantageous in providing a ‘tension band’ function and to allowing for more flexibility in the vectors of elastic loops during treatment. This was regarded relevant in the postoperative phase for complex fractures. Criticism was directed at the higher frequency of mechanical lip irritation by the hybrid system as formerly seen in conventional arch bars and for the increased costs. The authors (Roeder et al 2018)</w:t>
      </w:r>
      <w:r w:rsidRPr="00E66FA6">
        <w:rPr>
          <w:rFonts w:eastAsiaTheme="minorHAnsi"/>
          <w:noProof/>
          <w:highlight w:val="yellow"/>
          <w:vertAlign w:val="superscript"/>
        </w:rPr>
        <w:t>25</w:t>
      </w:r>
      <w:r w:rsidRPr="00E66FA6">
        <w:rPr>
          <w:rFonts w:eastAsiaTheme="minorHAnsi"/>
          <w:highlight w:val="yellow"/>
        </w:rPr>
        <w:t xml:space="preserve"> called for a prospective trial to discern the pros and cons of hybrid systems compared to IMF screws.</w:t>
      </w:r>
    </w:p>
    <w:p w14:paraId="01FE3A60"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Two years later a randomized prospective comparison on the regular sized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versus traditional IMF screws was authored (Aslam-Pervez et al 2020)</w:t>
      </w:r>
      <w:r w:rsidRPr="00E66FA6">
        <w:rPr>
          <w:rFonts w:eastAsiaTheme="minorHAnsi"/>
          <w:noProof/>
          <w:highlight w:val="yellow"/>
          <w:vertAlign w:val="superscript"/>
        </w:rPr>
        <w:t>26</w:t>
      </w:r>
      <w:r w:rsidRPr="00E66FA6">
        <w:rPr>
          <w:rFonts w:eastAsiaTheme="minorHAnsi"/>
          <w:highlight w:val="yellow"/>
        </w:rPr>
        <w:t>. 32 Patients with singular or multiple mandibular fractures requiring intra- and postoperative intermaxillary fixation were allotted to according treatment arms: 19 patients receiving hybrid MMF and 13 patients receiving MMF screws.</w:t>
      </w:r>
    </w:p>
    <w:p w14:paraId="11121938"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Patients with foreseeable damage to unerupted permanent teeth </w:t>
      </w:r>
      <w:proofErr w:type="spellStart"/>
      <w:r w:rsidRPr="00E66FA6">
        <w:rPr>
          <w:rFonts w:eastAsiaTheme="minorHAnsi"/>
          <w:highlight w:val="yellow"/>
        </w:rPr>
        <w:t>excluded.The</w:t>
      </w:r>
      <w:proofErr w:type="spellEnd"/>
      <w:r w:rsidRPr="00E66FA6">
        <w:rPr>
          <w:rFonts w:eastAsiaTheme="minorHAnsi"/>
          <w:highlight w:val="yellow"/>
        </w:rPr>
        <w:t xml:space="preserve"> usual parameters were investigated: time to device application and removal, glove perforations and needle stick injuries, rate of tooth root damage, hardware failure (screw loss and loosening) and soft tissue granulation/mucosal overgrowth on screw heads. A percentage of 75 % patients underwent intermaxillary fixation only with closed reduction, 25 % had additional open reduction and internal fixation.</w:t>
      </w:r>
    </w:p>
    <w:p w14:paraId="7E5E307D" w14:textId="77777777" w:rsidR="000D7460" w:rsidRPr="00E66FA6" w:rsidRDefault="000D7460" w:rsidP="000D7460">
      <w:pPr>
        <w:pStyle w:val="MDPI31text"/>
        <w:rPr>
          <w:rFonts w:eastAsiaTheme="minorHAnsi" w:cs="Helvetica Neue"/>
          <w:highlight w:val="yellow"/>
        </w:rPr>
      </w:pPr>
      <w:r w:rsidRPr="00E66FA6">
        <w:rPr>
          <w:rFonts w:eastAsiaTheme="minorHAnsi"/>
          <w:highlight w:val="yellow"/>
        </w:rPr>
        <w:t>Self-drilling 2.0 screws (lengths 6 or 8 mm) were used in both MMF modalities.</w:t>
      </w:r>
    </w:p>
    <w:p w14:paraId="7E7736A0" w14:textId="77777777" w:rsidR="000D7460" w:rsidRPr="00E66FA6" w:rsidRDefault="000D7460" w:rsidP="000D7460">
      <w:pPr>
        <w:pStyle w:val="MDPI31text"/>
        <w:rPr>
          <w:rFonts w:eastAsiaTheme="minorHAnsi" w:cs="Helvetica"/>
          <w:highlight w:val="yellow"/>
        </w:rPr>
      </w:pPr>
      <w:r w:rsidRPr="00E66FA6">
        <w:rPr>
          <w:rFonts w:eastAsiaTheme="minorHAnsi"/>
          <w:highlight w:val="yellow"/>
        </w:rPr>
        <w:t xml:space="preserve">The average retaining screw number for the </w:t>
      </w:r>
      <w:proofErr w:type="spellStart"/>
      <w:r w:rsidRPr="00E66FA6">
        <w:rPr>
          <w:rFonts w:eastAsiaTheme="minorHAnsi"/>
          <w:highlight w:val="yellow"/>
        </w:rPr>
        <w:t>SMARTLock</w:t>
      </w:r>
      <w:proofErr w:type="spellEnd"/>
      <w:r w:rsidRPr="00E66FA6">
        <w:rPr>
          <w:rFonts w:eastAsiaTheme="minorHAnsi"/>
          <w:highlight w:val="yellow"/>
        </w:rPr>
        <w:t xml:space="preserve"> devices amounted to 9.9 (11) contrasting with 5.7 (6) MMF screws. The application time was 25.9 minutes in the hybrid group compared to 18.3 minutes with MMF screws. Glove perforations or needlestick injuries resulting from wiring in the intermaxillary cerclages were not seen in either group. Tooth root damage not needing therapy was found in one patient of each treatment arm.</w:t>
      </w:r>
      <w:r w:rsidRPr="00E66FA6">
        <w:rPr>
          <w:rFonts w:eastAsiaTheme="minorHAnsi" w:cs="Helvetica"/>
          <w:szCs w:val="20"/>
          <w:highlight w:val="yellow"/>
        </w:rPr>
        <w:t xml:space="preserve"> </w:t>
      </w:r>
      <w:r w:rsidRPr="00E66FA6">
        <w:rPr>
          <w:rFonts w:eastAsiaTheme="minorHAnsi" w:cs="Helvetica"/>
          <w:highlight w:val="yellow"/>
        </w:rPr>
        <w:t>Screw loosening occurred in a total of 3 cases (2 MMF cases versus 1 hybrid case). The hybrid system more often had gingival edema, erythema and soft tissue overgrowth compared to MMF screws: 8 (42 %) versus 2 (15.4%) cases, 9 (69.2 %) versus 1 (7.7 %) case and 7 (36%) against 1 (7.7 %) case, respectively. The 39% (9/23) mucosal overgrowth rate in the Hybrid devices was similar to that reported by Kendrick et al (2016 A)</w:t>
      </w:r>
      <w:r w:rsidRPr="00E66FA6">
        <w:rPr>
          <w:rFonts w:eastAsiaTheme="minorHAnsi" w:cs="Helvetica"/>
          <w:noProof/>
          <w:highlight w:val="yellow"/>
          <w:vertAlign w:val="superscript"/>
        </w:rPr>
        <w:t>17</w:t>
      </w:r>
      <w:r w:rsidRPr="00E66FA6">
        <w:rPr>
          <w:rFonts w:eastAsiaTheme="minorHAnsi" w:cs="Helvetica"/>
          <w:highlight w:val="yellow"/>
        </w:rPr>
        <w:t xml:space="preserve"> </w:t>
      </w:r>
      <w:r w:rsidRPr="00E66FA6">
        <w:rPr>
          <w:rFonts w:eastAsiaTheme="minorHAnsi" w:cs="Helvetica"/>
          <w:highlight w:val="yellow"/>
        </w:rPr>
        <w:lastRenderedPageBreak/>
        <w:t xml:space="preserve">but was well below the 60 % incidence disclosed by Nizam and </w:t>
      </w:r>
      <w:proofErr w:type="spellStart"/>
      <w:r w:rsidRPr="00E66FA6">
        <w:rPr>
          <w:rFonts w:eastAsiaTheme="minorHAnsi" w:cs="Helvetica"/>
          <w:highlight w:val="yellow"/>
        </w:rPr>
        <w:t>Ziccardi</w:t>
      </w:r>
      <w:proofErr w:type="spellEnd"/>
      <w:r w:rsidRPr="00E66FA6">
        <w:rPr>
          <w:rFonts w:eastAsiaTheme="minorHAnsi" w:cs="Helvetica"/>
          <w:highlight w:val="yellow"/>
        </w:rPr>
        <w:t xml:space="preserve"> (2013)</w:t>
      </w:r>
      <w:r w:rsidRPr="00E66FA6">
        <w:rPr>
          <w:rFonts w:eastAsiaTheme="minorHAnsi" w:cs="Helvetica"/>
          <w:noProof/>
          <w:highlight w:val="yellow"/>
          <w:vertAlign w:val="superscript"/>
        </w:rPr>
        <w:t>15</w:t>
      </w:r>
      <w:r w:rsidRPr="00E66FA6">
        <w:rPr>
          <w:rFonts w:eastAsiaTheme="minorHAnsi" w:cs="Helvetica"/>
          <w:highlight w:val="yellow"/>
        </w:rPr>
        <w:t xml:space="preserve">. The importance of positioning the screws in the attached gingiva next to the mucogingival junction and minimizing tissue contact and compression of the oral mucosa by employing the locking mechanism to maintain the arch bar in a “standoff” position was emphasized. </w:t>
      </w:r>
    </w:p>
    <w:p w14:paraId="3E7784D9" w14:textId="77777777" w:rsidR="000D7460" w:rsidRPr="00E66FA6" w:rsidRDefault="000D7460" w:rsidP="000D7460">
      <w:pPr>
        <w:pStyle w:val="MDPI31text"/>
        <w:rPr>
          <w:rFonts w:eastAsiaTheme="minorHAnsi"/>
          <w:highlight w:val="yellow"/>
        </w:rPr>
      </w:pPr>
      <w:r w:rsidRPr="00E66FA6">
        <w:rPr>
          <w:rFonts w:eastAsiaTheme="minorHAnsi"/>
          <w:highlight w:val="yellow"/>
        </w:rPr>
        <w:t>A systematic three-way comparison between the MMF techniques, Erich arch bars, MMF 4-point fixation via MMF screws and bone-supported arch bars (</w:t>
      </w:r>
      <w:proofErr w:type="spellStart"/>
      <w:r w:rsidRPr="00E66FA6">
        <w:rPr>
          <w:rFonts w:eastAsiaTheme="minorHAnsi"/>
          <w:highlight w:val="yellow"/>
        </w:rPr>
        <w:t>SMARTLock</w:t>
      </w:r>
      <w:proofErr w:type="spellEnd"/>
      <w:r w:rsidRPr="00E66FA6">
        <w:rPr>
          <w:rFonts w:eastAsiaTheme="minorHAnsi"/>
          <w:highlight w:val="yellow"/>
        </w:rPr>
        <w:t xml:space="preserve"> Hybrid MMF System) was made in a retrospective study with the aim to identify the best option to both limit the complications and reduce costs (Edmunds et al 2019). The cohort included 93 adult patients with unilateral or bilateral mandibular fractures, 27 with a conventional EAB, 51 with 4-point MMF screw fixation and 15 with bone-supported arch bars. The use of concomitant ORIF was an exclusion criterion.</w:t>
      </w:r>
    </w:p>
    <w:p w14:paraId="0A3041E4" w14:textId="77777777" w:rsidR="000D7460" w:rsidRPr="00E66FA6" w:rsidRDefault="000D7460" w:rsidP="000D7460">
      <w:pPr>
        <w:pStyle w:val="MDPI31text"/>
        <w:rPr>
          <w:rFonts w:eastAsiaTheme="minorHAnsi"/>
          <w:highlight w:val="yellow"/>
        </w:rPr>
      </w:pPr>
      <w:r w:rsidRPr="00E66FA6">
        <w:rPr>
          <w:rFonts w:eastAsiaTheme="minorHAnsi" w:cs="Helvetica"/>
          <w:highlight w:val="yellow"/>
        </w:rPr>
        <w:t xml:space="preserve">Clinical assessment parameters were mean times for MMF application, rates of </w:t>
      </w:r>
      <w:r w:rsidRPr="00E66FA6">
        <w:rPr>
          <w:rFonts w:eastAsiaTheme="minorHAnsi"/>
          <w:highlight w:val="yellow"/>
        </w:rPr>
        <w:t>malocclusion, malunion, nonunion, wound dehiscence, tooth damage, injury to tooth roots, infection, bar/plate fracture, screw fracture, screw loosening, and loss of screw at follow-up. Suspected tooth damages by vitality testing were clarified by orthopantomography.</w:t>
      </w:r>
    </w:p>
    <w:p w14:paraId="785C7F1F" w14:textId="77777777" w:rsidR="000D7460" w:rsidRPr="00E66FA6" w:rsidRDefault="000D7460" w:rsidP="000D7460">
      <w:pPr>
        <w:pStyle w:val="MDPI31text"/>
        <w:rPr>
          <w:rFonts w:eastAsiaTheme="minorHAnsi"/>
          <w:highlight w:val="yellow"/>
        </w:rPr>
      </w:pPr>
      <w:r w:rsidRPr="00E66FA6">
        <w:rPr>
          <w:rFonts w:eastAsiaTheme="minorHAnsi"/>
          <w:highlight w:val="yellow"/>
        </w:rPr>
        <w:t>The mean application times were 98.7 ± 29.6 minutes for EAB, 56.1± 15.4 minutes for hybrid arch bars and 48.8 ± 23.9 minutes for 4-point MMF screw fixation. So the operative time for 4-point fixation was 7.3 minutes shorter than for bone-supported arch bars and 49.8 minutes less than in EABs.</w:t>
      </w:r>
    </w:p>
    <w:p w14:paraId="0F85CA6A"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There was no difference in the complications such as occlusal discrepancies or screw associated problems between the three groups – hybrid arch bars 13 % (n= 2/15 ), 4-point fixation 10 % (n=5/51 ) and EABs 11% (n=3/27). </w:t>
      </w:r>
    </w:p>
    <w:p w14:paraId="1AB30B9E" w14:textId="77777777" w:rsidR="000D7460" w:rsidRPr="00E66FA6" w:rsidRDefault="000D7460" w:rsidP="000D7460">
      <w:pPr>
        <w:pStyle w:val="MDPI31text"/>
        <w:rPr>
          <w:rFonts w:eastAsiaTheme="minorHAnsi"/>
          <w:highlight w:val="yellow"/>
        </w:rPr>
      </w:pPr>
      <w:r w:rsidRPr="00E66FA6">
        <w:rPr>
          <w:rFonts w:eastAsiaTheme="minorHAnsi"/>
          <w:highlight w:val="yellow"/>
        </w:rPr>
        <w:t>With respect to screw attributable complications 1 patient from the hybrid and one from the 4-point screw fixation group encountered a premature screw loosening while 1 patient with 4-point screw fixation had early screw loss. No instances of screw or bar/plate fractures were recorded. There were no patients with tooth root damage.</w:t>
      </w:r>
    </w:p>
    <w:p w14:paraId="61D16E55"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More patients treated with 4-point fixation (73 %; n = 37 /51) or EAB (63 %; n= 17/27) needed to return to the OR for hardware removal in stark contrast to 7% (1/15) in the hybrid group. This was considered to be a relevant additive factor in comparison of costs (see paragraph on - Economics/Cost analysis). </w:t>
      </w:r>
    </w:p>
    <w:p w14:paraId="3A82AD16"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 recent RCT again compared conventional EABs (n = 31 patients), MMF screws (n = 33 patients) and the </w:t>
      </w:r>
      <w:proofErr w:type="spellStart"/>
      <w:r w:rsidRPr="00E66FA6">
        <w:rPr>
          <w:rFonts w:eastAsiaTheme="minorHAnsi"/>
          <w:highlight w:val="yellow"/>
        </w:rPr>
        <w:t>SMARTLock</w:t>
      </w:r>
      <w:proofErr w:type="spellEnd"/>
      <w:r w:rsidRPr="00E66FA6">
        <w:rPr>
          <w:rFonts w:eastAsiaTheme="minorHAnsi"/>
          <w:highlight w:val="yellow"/>
        </w:rPr>
        <w:t xml:space="preserve"> Hybrid System (n = 29 patients), this time in </w:t>
      </w:r>
      <w:proofErr w:type="spellStart"/>
      <w:r w:rsidRPr="00E66FA6">
        <w:rPr>
          <w:rFonts w:eastAsiaTheme="minorHAnsi"/>
          <w:highlight w:val="yellow"/>
        </w:rPr>
        <w:t>noncondylar</w:t>
      </w:r>
      <w:proofErr w:type="spellEnd"/>
      <w:r w:rsidRPr="00E66FA6">
        <w:rPr>
          <w:rFonts w:eastAsiaTheme="minorHAnsi"/>
          <w:highlight w:val="yellow"/>
        </w:rPr>
        <w:t xml:space="preserve"> mandible fractures treated with ORIF/miniplate osteosynthesis (</w:t>
      </w:r>
      <w:proofErr w:type="spellStart"/>
      <w:r w:rsidRPr="00E66FA6">
        <w:rPr>
          <w:rFonts w:eastAsiaTheme="minorHAnsi"/>
          <w:highlight w:val="yellow"/>
        </w:rPr>
        <w:t>Salavadi</w:t>
      </w:r>
      <w:proofErr w:type="spellEnd"/>
      <w:r w:rsidRPr="00E66FA6">
        <w:rPr>
          <w:rFonts w:eastAsiaTheme="minorHAnsi"/>
          <w:highlight w:val="yellow"/>
        </w:rPr>
        <w:t xml:space="preserve"> et al 2025)</w:t>
      </w:r>
      <w:r w:rsidRPr="00E66FA6">
        <w:rPr>
          <w:rFonts w:eastAsiaTheme="minorHAnsi"/>
          <w:noProof/>
          <w:highlight w:val="yellow"/>
          <w:vertAlign w:val="superscript"/>
        </w:rPr>
        <w:t>28</w:t>
      </w:r>
      <w:r w:rsidRPr="00E66FA6">
        <w:rPr>
          <w:rFonts w:eastAsiaTheme="minorHAnsi"/>
          <w:highlight w:val="yellow"/>
        </w:rPr>
        <w:t xml:space="preserve">. The overall tendency of the results corresponds to the preceding outcome study (Edmunds et al 2029). The times for application the MMF devices were considerably shorter, however – EABs 78.0 ±10.7 minutes, </w:t>
      </w:r>
      <w:proofErr w:type="spellStart"/>
      <w:r w:rsidRPr="00E66FA6">
        <w:rPr>
          <w:rFonts w:eastAsiaTheme="minorHAnsi"/>
          <w:highlight w:val="yellow"/>
        </w:rPr>
        <w:t>SMARTLock</w:t>
      </w:r>
      <w:proofErr w:type="spellEnd"/>
      <w:r w:rsidRPr="00E66FA6">
        <w:rPr>
          <w:rFonts w:eastAsiaTheme="minorHAnsi"/>
          <w:highlight w:val="yellow"/>
        </w:rPr>
        <w:t xml:space="preserve"> Hybrids 19.0 ±1.1 minutes, MMF screws 15.1 ±1.1 minutes – but declining in the same order. Initially occurring occlusal discrepancies at 1 week postoperatively (EAB n= 3 patients; Hybrid n =1patient, MMF screws n =7 patients), were treated with intermaxillary fixation (heavy elastics or wire ligatures) and had vanished at 4 weeks follow up. Vitality testing revealed tooth root injuries in 4 patients treated with MMF screws and 2 patients in the </w:t>
      </w:r>
      <w:proofErr w:type="spellStart"/>
      <w:r w:rsidRPr="00E66FA6">
        <w:rPr>
          <w:rFonts w:eastAsiaTheme="minorHAnsi"/>
          <w:highlight w:val="yellow"/>
        </w:rPr>
        <w:t>SMARTLock</w:t>
      </w:r>
      <w:proofErr w:type="spellEnd"/>
      <w:r w:rsidRPr="00E66FA6">
        <w:rPr>
          <w:rFonts w:eastAsiaTheme="minorHAnsi"/>
          <w:highlight w:val="yellow"/>
        </w:rPr>
        <w:t xml:space="preserve"> Hybrid group, none in EABs. </w:t>
      </w:r>
    </w:p>
    <w:p w14:paraId="423708A6" w14:textId="77777777" w:rsidR="000D7460" w:rsidRPr="00E66FA6" w:rsidRDefault="000D7460" w:rsidP="000D7460">
      <w:pPr>
        <w:pStyle w:val="MDPI31text"/>
        <w:rPr>
          <w:rFonts w:eastAsiaTheme="minorHAnsi" w:cs="Helvetica"/>
          <w:highlight w:val="yellow"/>
        </w:rPr>
      </w:pPr>
      <w:r w:rsidRPr="00E66FA6">
        <w:rPr>
          <w:rFonts w:eastAsiaTheme="minorHAnsi"/>
          <w:highlight w:val="yellow"/>
        </w:rPr>
        <w:t>In contrast to MMF screws appropriate oral hygiene levels (</w:t>
      </w:r>
      <w:proofErr w:type="spellStart"/>
      <w:r w:rsidRPr="00E66FA6">
        <w:rPr>
          <w:rFonts w:eastAsiaTheme="minorHAnsi"/>
          <w:highlight w:val="yellow"/>
        </w:rPr>
        <w:t>Turesky</w:t>
      </w:r>
      <w:proofErr w:type="spellEnd"/>
      <w:r w:rsidRPr="00E66FA6">
        <w:rPr>
          <w:rFonts w:eastAsiaTheme="minorHAnsi"/>
          <w:highlight w:val="yellow"/>
        </w:rPr>
        <w:t>-Gillmore-Gilman plaque index)</w:t>
      </w:r>
      <w:r w:rsidRPr="00E66FA6">
        <w:rPr>
          <w:rFonts w:eastAsiaTheme="minorHAnsi"/>
          <w:noProof/>
          <w:highlight w:val="yellow"/>
          <w:vertAlign w:val="superscript"/>
        </w:rPr>
        <w:t>37</w:t>
      </w:r>
      <w:r w:rsidRPr="00E66FA6">
        <w:rPr>
          <w:rFonts w:eastAsiaTheme="minorHAnsi"/>
          <w:highlight w:val="yellow"/>
        </w:rPr>
        <w:t xml:space="preserve"> turned out difficult to maintain in EABs </w:t>
      </w:r>
      <w:r w:rsidRPr="00E66FA6">
        <w:rPr>
          <w:rFonts w:eastAsiaTheme="minorHAnsi"/>
          <w:highlight w:val="yellow"/>
        </w:rPr>
        <w:lastRenderedPageBreak/>
        <w:t xml:space="preserve">and Hybrids. </w:t>
      </w:r>
      <w:r w:rsidRPr="00E66FA6">
        <w:rPr>
          <w:rFonts w:eastAsiaTheme="minorHAnsi" w:cs="Helvetica"/>
          <w:highlight w:val="yellow"/>
        </w:rPr>
        <w:t xml:space="preserve">IMF screws had an increased </w:t>
      </w:r>
      <w:r w:rsidRPr="00E66FA6">
        <w:rPr>
          <w:rFonts w:eastAsiaTheme="minorHAnsi" w:cs="Helvetica"/>
          <w:sz w:val="24"/>
          <w:szCs w:val="24"/>
          <w:highlight w:val="yellow"/>
        </w:rPr>
        <w:t xml:space="preserve">incidence of mucosal overgrowth </w:t>
      </w:r>
      <w:r w:rsidRPr="00E66FA6">
        <w:rPr>
          <w:rFonts w:eastAsiaTheme="minorHAnsi" w:cs="Helvetica"/>
          <w:highlight w:val="yellow"/>
        </w:rPr>
        <w:t xml:space="preserve">4 weeks postoperatively </w:t>
      </w:r>
      <w:r w:rsidRPr="00E66FA6">
        <w:rPr>
          <w:rFonts w:eastAsiaTheme="minorHAnsi" w:cs="Helvetica"/>
          <w:sz w:val="24"/>
          <w:szCs w:val="24"/>
          <w:highlight w:val="yellow"/>
        </w:rPr>
        <w:t xml:space="preserve">in </w:t>
      </w:r>
      <w:r w:rsidRPr="00E66FA6">
        <w:rPr>
          <w:rFonts w:eastAsiaTheme="minorHAnsi" w:cs="Helvetica"/>
          <w:highlight w:val="yellow"/>
        </w:rPr>
        <w:t>M</w:t>
      </w:r>
      <w:r w:rsidRPr="00E66FA6">
        <w:rPr>
          <w:rFonts w:eastAsiaTheme="minorHAnsi" w:cs="Helvetica"/>
          <w:sz w:val="24"/>
          <w:szCs w:val="24"/>
          <w:highlight w:val="yellow"/>
        </w:rPr>
        <w:t>MF screw</w:t>
      </w:r>
      <w:r w:rsidRPr="00E66FA6">
        <w:rPr>
          <w:rFonts w:eastAsiaTheme="minorHAnsi" w:cs="Helvetica"/>
          <w:highlight w:val="yellow"/>
        </w:rPr>
        <w:t>s</w:t>
      </w:r>
      <w:r w:rsidRPr="00E66FA6">
        <w:rPr>
          <w:rFonts w:eastAsiaTheme="minorHAnsi" w:cs="Helvetica"/>
          <w:sz w:val="24"/>
          <w:szCs w:val="24"/>
          <w:highlight w:val="yellow"/>
        </w:rPr>
        <w:t xml:space="preserve"> (</w:t>
      </w:r>
      <w:r w:rsidRPr="00E66FA6">
        <w:rPr>
          <w:rFonts w:eastAsiaTheme="minorHAnsi" w:cs="Helvetica"/>
          <w:highlight w:val="yellow"/>
        </w:rPr>
        <w:t xml:space="preserve"> n = 14 /33 or </w:t>
      </w:r>
      <w:r w:rsidRPr="00E66FA6">
        <w:rPr>
          <w:rFonts w:eastAsiaTheme="minorHAnsi" w:cs="Helvetica"/>
          <w:sz w:val="24"/>
          <w:szCs w:val="24"/>
          <w:highlight w:val="yellow"/>
        </w:rPr>
        <w:t xml:space="preserve">42 %) and </w:t>
      </w:r>
      <w:r w:rsidRPr="00E66FA6">
        <w:rPr>
          <w:rFonts w:eastAsiaTheme="minorHAnsi" w:cs="Helvetica"/>
          <w:highlight w:val="yellow"/>
        </w:rPr>
        <w:t xml:space="preserve">Hybrids </w:t>
      </w:r>
      <w:r w:rsidRPr="00E66FA6">
        <w:rPr>
          <w:rFonts w:eastAsiaTheme="minorHAnsi" w:cs="Helvetica"/>
          <w:sz w:val="24"/>
          <w:szCs w:val="24"/>
          <w:highlight w:val="yellow"/>
        </w:rPr>
        <w:t>(</w:t>
      </w:r>
      <w:r w:rsidRPr="00E66FA6">
        <w:rPr>
          <w:rFonts w:eastAsiaTheme="minorHAnsi" w:cs="Helvetica"/>
          <w:highlight w:val="yellow"/>
        </w:rPr>
        <w:t xml:space="preserve"> n =10 /29 or </w:t>
      </w:r>
      <w:r w:rsidRPr="00E66FA6">
        <w:rPr>
          <w:rFonts w:eastAsiaTheme="minorHAnsi" w:cs="Helvetica"/>
          <w:sz w:val="24"/>
          <w:szCs w:val="24"/>
          <w:highlight w:val="yellow"/>
        </w:rPr>
        <w:t>34 %)</w:t>
      </w:r>
      <w:r w:rsidRPr="00E66FA6">
        <w:rPr>
          <w:rFonts w:eastAsiaTheme="minorHAnsi" w:cs="Helvetica"/>
          <w:highlight w:val="yellow"/>
        </w:rPr>
        <w:t xml:space="preserve"> </w:t>
      </w:r>
      <w:r w:rsidRPr="00E66FA6">
        <w:rPr>
          <w:rFonts w:eastAsiaTheme="minorHAnsi" w:cs="Helvetica"/>
          <w:sz w:val="24"/>
          <w:szCs w:val="24"/>
          <w:highlight w:val="yellow"/>
        </w:rPr>
        <w:t xml:space="preserve">in </w:t>
      </w:r>
      <w:r w:rsidRPr="00E66FA6">
        <w:rPr>
          <w:rFonts w:eastAsiaTheme="minorHAnsi" w:cs="Helvetica"/>
          <w:highlight w:val="yellow"/>
        </w:rPr>
        <w:t xml:space="preserve">comparison to </w:t>
      </w:r>
      <w:r w:rsidRPr="00E66FA6">
        <w:rPr>
          <w:rFonts w:eastAsiaTheme="minorHAnsi" w:cs="Helvetica"/>
          <w:sz w:val="24"/>
          <w:szCs w:val="24"/>
          <w:highlight w:val="yellow"/>
        </w:rPr>
        <w:t>EAB</w:t>
      </w:r>
      <w:r w:rsidRPr="00E66FA6">
        <w:rPr>
          <w:rFonts w:eastAsiaTheme="minorHAnsi" w:cs="Helvetica"/>
          <w:highlight w:val="yellow"/>
        </w:rPr>
        <w:t>s</w:t>
      </w:r>
      <w:r w:rsidRPr="00E66FA6">
        <w:rPr>
          <w:rFonts w:eastAsiaTheme="minorHAnsi" w:cs="Helvetica"/>
          <w:sz w:val="24"/>
          <w:szCs w:val="24"/>
          <w:highlight w:val="yellow"/>
        </w:rPr>
        <w:t xml:space="preserve"> (</w:t>
      </w:r>
      <w:r w:rsidRPr="00E66FA6">
        <w:rPr>
          <w:rFonts w:eastAsiaTheme="minorHAnsi" w:cs="Helvetica"/>
          <w:highlight w:val="yellow"/>
        </w:rPr>
        <w:t xml:space="preserve"> n =3 /31 or </w:t>
      </w:r>
      <w:r w:rsidRPr="00E66FA6">
        <w:rPr>
          <w:rFonts w:eastAsiaTheme="minorHAnsi" w:cs="Helvetica"/>
          <w:sz w:val="24"/>
          <w:szCs w:val="24"/>
          <w:highlight w:val="yellow"/>
        </w:rPr>
        <w:t>9.6 %)</w:t>
      </w:r>
      <w:r w:rsidRPr="00E66FA6">
        <w:rPr>
          <w:rFonts w:eastAsiaTheme="minorHAnsi" w:cs="Helvetica"/>
          <w:sz w:val="15"/>
          <w:szCs w:val="15"/>
          <w:highlight w:val="yellow"/>
        </w:rPr>
        <w:t xml:space="preserve">. </w:t>
      </w:r>
    </w:p>
    <w:p w14:paraId="5453921C"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The self-perception of oral health was monitored </w:t>
      </w:r>
      <w:r w:rsidRPr="00E66FA6">
        <w:rPr>
          <w:rFonts w:eastAsiaTheme="minorHAnsi"/>
          <w:sz w:val="24"/>
          <w:szCs w:val="24"/>
          <w:highlight w:val="yellow"/>
        </w:rPr>
        <w:t xml:space="preserve">by </w:t>
      </w:r>
      <w:r w:rsidRPr="00E66FA6">
        <w:rPr>
          <w:rFonts w:eastAsiaTheme="minorHAnsi"/>
          <w:highlight w:val="yellow"/>
        </w:rPr>
        <w:t xml:space="preserve">the </w:t>
      </w:r>
      <w:r w:rsidRPr="00E66FA6">
        <w:rPr>
          <w:rFonts w:eastAsiaTheme="minorHAnsi"/>
          <w:sz w:val="24"/>
          <w:szCs w:val="24"/>
          <w:highlight w:val="yellow"/>
        </w:rPr>
        <w:t>General Oral Health</w:t>
      </w:r>
      <w:r w:rsidRPr="00E66FA6">
        <w:rPr>
          <w:rFonts w:eastAsiaTheme="minorHAnsi"/>
          <w:highlight w:val="yellow"/>
        </w:rPr>
        <w:t xml:space="preserve"> </w:t>
      </w:r>
      <w:r w:rsidRPr="00E66FA6">
        <w:rPr>
          <w:rFonts w:eastAsiaTheme="minorHAnsi"/>
          <w:sz w:val="24"/>
          <w:szCs w:val="24"/>
          <w:highlight w:val="yellow"/>
        </w:rPr>
        <w:t>Assessment Index (GOHAI</w:t>
      </w:r>
      <w:r w:rsidRPr="00E66FA6">
        <w:rPr>
          <w:rFonts w:eastAsiaTheme="minorHAnsi"/>
          <w:highlight w:val="yellow"/>
        </w:rPr>
        <w:t xml:space="preserve"> score – Campos et al 2017</w:t>
      </w:r>
      <w:r w:rsidRPr="00E66FA6">
        <w:rPr>
          <w:rFonts w:eastAsiaTheme="minorHAnsi"/>
          <w:noProof/>
          <w:highlight w:val="yellow"/>
          <w:vertAlign w:val="superscript"/>
        </w:rPr>
        <w:t>38</w:t>
      </w:r>
      <w:r w:rsidRPr="00E66FA6">
        <w:rPr>
          <w:rFonts w:eastAsiaTheme="minorHAnsi"/>
          <w:highlight w:val="yellow"/>
        </w:rPr>
        <w:t xml:space="preserve">) as a validated QoL (Quality of life) - scale. The responses from patients with MMF screws topped the total scores, followed by the </w:t>
      </w:r>
      <w:proofErr w:type="spellStart"/>
      <w:r w:rsidRPr="00E66FA6">
        <w:rPr>
          <w:rFonts w:eastAsiaTheme="minorHAnsi" w:cs="Times-Roman"/>
          <w:color w:val="141413"/>
          <w:highlight w:val="yellow"/>
        </w:rPr>
        <w:t>SMARTLock</w:t>
      </w:r>
      <w:proofErr w:type="spellEnd"/>
      <w:r w:rsidRPr="00E66FA6">
        <w:rPr>
          <w:rFonts w:eastAsiaTheme="minorHAnsi" w:cs="Times-Roman"/>
          <w:color w:val="141413"/>
          <w:highlight w:val="yellow"/>
        </w:rPr>
        <w:t xml:space="preserve"> Hybrid group and EABs ranked last. The superior QoL reported by patients treated with MMF screws was attributed to the limited volume of the devices less interfering with oral functions than </w:t>
      </w:r>
      <w:proofErr w:type="spellStart"/>
      <w:r w:rsidRPr="00E66FA6">
        <w:rPr>
          <w:rFonts w:eastAsiaTheme="minorHAnsi" w:cs="Times-Roman"/>
          <w:color w:val="141413"/>
          <w:highlight w:val="yellow"/>
        </w:rPr>
        <w:t>SMARTLock</w:t>
      </w:r>
      <w:proofErr w:type="spellEnd"/>
      <w:r w:rsidRPr="00E66FA6">
        <w:rPr>
          <w:rFonts w:eastAsiaTheme="minorHAnsi" w:cs="Times-Roman"/>
          <w:color w:val="141413"/>
          <w:highlight w:val="yellow"/>
        </w:rPr>
        <w:t xml:space="preserve"> or EABs</w:t>
      </w:r>
      <w:r w:rsidRPr="00E66FA6">
        <w:rPr>
          <w:rFonts w:eastAsiaTheme="minorHAnsi"/>
          <w:sz w:val="15"/>
          <w:szCs w:val="15"/>
          <w:highlight w:val="yellow"/>
        </w:rPr>
        <w:t>.</w:t>
      </w:r>
    </w:p>
    <w:p w14:paraId="251912CA" w14:textId="77777777" w:rsidR="000D7460" w:rsidRPr="00E66FA6" w:rsidRDefault="000D7460" w:rsidP="000D7460">
      <w:pPr>
        <w:pStyle w:val="MDPI31text"/>
        <w:rPr>
          <w:rFonts w:eastAsiaTheme="minorHAnsi"/>
          <w:highlight w:val="yellow"/>
        </w:rPr>
      </w:pPr>
      <w:r w:rsidRPr="00E66FA6">
        <w:rPr>
          <w:rFonts w:eastAsiaTheme="minorHAnsi"/>
          <w:highlight w:val="yellow"/>
        </w:rPr>
        <w:t>A conference presentation (Wilt et al 2019)</w:t>
      </w:r>
      <w:r w:rsidRPr="00E66FA6">
        <w:rPr>
          <w:rFonts w:eastAsiaTheme="minorHAnsi"/>
          <w:noProof/>
          <w:highlight w:val="yellow"/>
          <w:vertAlign w:val="superscript"/>
        </w:rPr>
        <w:t>29</w:t>
      </w:r>
      <w:r w:rsidRPr="00E66FA6">
        <w:rPr>
          <w:rFonts w:eastAsiaTheme="minorHAnsi"/>
          <w:highlight w:val="yellow"/>
        </w:rPr>
        <w:t xml:space="preserve"> addressed whether hybrid arch bars (i.e. the </w:t>
      </w:r>
      <w:proofErr w:type="spellStart"/>
      <w:r w:rsidRPr="00E66FA6">
        <w:rPr>
          <w:rFonts w:eastAsiaTheme="minorHAnsi"/>
          <w:highlight w:val="yellow"/>
        </w:rPr>
        <w:t>SMARTLock</w:t>
      </w:r>
      <w:proofErr w:type="spellEnd"/>
      <w:r w:rsidRPr="00E66FA6">
        <w:rPr>
          <w:rFonts w:eastAsiaTheme="minorHAnsi"/>
          <w:highlight w:val="yellow"/>
        </w:rPr>
        <w:t xml:space="preserve"> System) pose a risk to the dentition.</w:t>
      </w:r>
    </w:p>
    <w:p w14:paraId="4DF2A852" w14:textId="77777777" w:rsidR="000D7460" w:rsidRPr="00E66FA6" w:rsidRDefault="000D7460" w:rsidP="000D7460">
      <w:pPr>
        <w:pStyle w:val="MDPI31text"/>
        <w:rPr>
          <w:rFonts w:eastAsiaTheme="minorHAnsi"/>
          <w:highlight w:val="yellow"/>
        </w:rPr>
      </w:pPr>
      <w:r w:rsidRPr="00E66FA6">
        <w:rPr>
          <w:rFonts w:eastAsiaTheme="minorHAnsi"/>
          <w:highlight w:val="yellow"/>
        </w:rPr>
        <w:t>Postoperative axial CT slices of 50 patients receiving the hybrid MMF system were inspected for lesions caused by a total of 507 screws associated with 1340 teeth. Overall 31.5 % of these teeth showed screw contact or injuries. By way of further detail – there was damage to the periodontal ligaments (7.4%), disruption of tooth root dentin (19.8%), pulp chamber perforations (3.8%) and root fractures (0.5 %). Maxillary teeth were affected more often than the mandibular dentition. The topographic distribution of the injuries according to tooth groups varied in an anterior to posterior direction: incisors/canines 13.7%, premolars 8 % and molars 9.8 %.</w:t>
      </w:r>
    </w:p>
    <w:p w14:paraId="713042EE" w14:textId="77777777" w:rsidR="000D7460" w:rsidRPr="00E66FA6" w:rsidRDefault="000D7460" w:rsidP="000D7460">
      <w:pPr>
        <w:pStyle w:val="MDPI31text"/>
        <w:rPr>
          <w:rFonts w:eastAsiaTheme="minorHAnsi"/>
          <w:highlight w:val="yellow"/>
        </w:rPr>
      </w:pPr>
      <w:r w:rsidRPr="00E66FA6">
        <w:rPr>
          <w:rFonts w:eastAsiaTheme="minorHAnsi"/>
          <w:highlight w:val="yellow"/>
        </w:rPr>
        <w:t>The root fractures in the mandible (n = 5) exceeded maxillary teeth (n = 1). In short, bone anchor screws for a hybrid MMF system pose an increased risk to the entire maxillary dentition as well as the anterior dentition of both jaws.</w:t>
      </w:r>
    </w:p>
    <w:p w14:paraId="638488F0" w14:textId="77777777" w:rsidR="000D7460" w:rsidRPr="00E66FA6" w:rsidRDefault="000D7460" w:rsidP="000D7460">
      <w:pPr>
        <w:pStyle w:val="MDPI31text"/>
        <w:rPr>
          <w:highlight w:val="yellow"/>
        </w:rPr>
      </w:pPr>
      <w:r w:rsidRPr="00E66FA6">
        <w:rPr>
          <w:highlight w:val="yellow"/>
        </w:rPr>
        <w:t>A meta-analysis undertaken by Jain et al (2021)</w:t>
      </w:r>
      <w:r w:rsidRPr="00E66FA6">
        <w:rPr>
          <w:noProof/>
          <w:highlight w:val="yellow"/>
          <w:vertAlign w:val="superscript"/>
        </w:rPr>
        <w:t>31</w:t>
      </w:r>
      <w:r w:rsidRPr="00E66FA6">
        <w:rPr>
          <w:highlight w:val="yellow"/>
        </w:rPr>
        <w:t xml:space="preserve"> resumed the findings of seven separate comparative studies on bone-supported arch bars (3 on self-made hybrid EAB modifications plus 4 on the </w:t>
      </w:r>
      <w:proofErr w:type="spellStart"/>
      <w:r w:rsidRPr="00E66FA6">
        <w:rPr>
          <w:highlight w:val="yellow"/>
        </w:rPr>
        <w:t>SMARTLock</w:t>
      </w:r>
      <w:proofErr w:type="spellEnd"/>
      <w:r w:rsidRPr="00E66FA6">
        <w:rPr>
          <w:highlight w:val="yellow"/>
        </w:rPr>
        <w:t xml:space="preserve"> Hybrid System) and EABs up to 2019, all of which have been outlined previously. The study objective was to identify the better MMF modality.</w:t>
      </w:r>
    </w:p>
    <w:p w14:paraId="6E864F5A" w14:textId="77777777" w:rsidR="000D7460" w:rsidRPr="00E66FA6" w:rsidRDefault="000D7460" w:rsidP="000D7460">
      <w:pPr>
        <w:pStyle w:val="MDPI31text"/>
        <w:rPr>
          <w:highlight w:val="yellow"/>
        </w:rPr>
      </w:pPr>
      <w:r w:rsidRPr="00E66FA6">
        <w:rPr>
          <w:highlight w:val="yellow"/>
        </w:rPr>
        <w:t xml:space="preserve">The analysis included RCTs, </w:t>
      </w:r>
      <w:r w:rsidRPr="00E66FA6">
        <w:rPr>
          <w:rFonts w:eastAsiaTheme="minorHAnsi"/>
          <w:highlight w:val="yellow"/>
        </w:rPr>
        <w:t xml:space="preserve">controlled clinical trials and retrospective studies. Non-randomized trials with incomplete data were excluded. However, on closer inspection, the selection (e.g. exclusion of Chao and </w:t>
      </w:r>
      <w:proofErr w:type="spellStart"/>
      <w:r w:rsidRPr="00E66FA6">
        <w:rPr>
          <w:rFonts w:eastAsiaTheme="minorHAnsi"/>
          <w:highlight w:val="yellow"/>
        </w:rPr>
        <w:t>Hulsen</w:t>
      </w:r>
      <w:proofErr w:type="spellEnd"/>
      <w:r w:rsidRPr="00E66FA6">
        <w:rPr>
          <w:rFonts w:eastAsiaTheme="minorHAnsi"/>
          <w:highlight w:val="yellow"/>
        </w:rPr>
        <w:t xml:space="preserve"> 2015</w:t>
      </w:r>
      <w:r w:rsidRPr="00E66FA6">
        <w:rPr>
          <w:rFonts w:eastAsiaTheme="minorHAnsi"/>
          <w:noProof/>
          <w:highlight w:val="yellow"/>
          <w:vertAlign w:val="superscript"/>
        </w:rPr>
        <w:t>16</w:t>
      </w:r>
      <w:r w:rsidRPr="00E66FA6">
        <w:rPr>
          <w:rFonts w:eastAsiaTheme="minorHAnsi"/>
          <w:highlight w:val="yellow"/>
        </w:rPr>
        <w:t xml:space="preserve"> from the metanalysis in contrast to </w:t>
      </w:r>
      <w:proofErr w:type="spellStart"/>
      <w:r w:rsidRPr="00E66FA6">
        <w:rPr>
          <w:rFonts w:eastAsiaTheme="minorHAnsi"/>
          <w:highlight w:val="yellow"/>
        </w:rPr>
        <w:t>Khelemsky</w:t>
      </w:r>
      <w:proofErr w:type="spellEnd"/>
      <w:r w:rsidRPr="00E66FA6">
        <w:rPr>
          <w:rFonts w:eastAsiaTheme="minorHAnsi"/>
          <w:highlight w:val="yellow"/>
        </w:rPr>
        <w:t xml:space="preserve"> et al 2019</w:t>
      </w:r>
      <w:r w:rsidRPr="00E66FA6">
        <w:rPr>
          <w:rFonts w:eastAsiaTheme="minorHAnsi"/>
          <w:noProof/>
          <w:highlight w:val="yellow"/>
          <w:vertAlign w:val="superscript"/>
        </w:rPr>
        <w:t>22</w:t>
      </w:r>
      <w:r w:rsidRPr="00E66FA6">
        <w:rPr>
          <w:rFonts w:eastAsiaTheme="minorHAnsi"/>
          <w:highlight w:val="yellow"/>
        </w:rPr>
        <w:t>) appears incoherent.</w:t>
      </w:r>
    </w:p>
    <w:p w14:paraId="319F2CAD" w14:textId="77777777" w:rsidR="000D7460" w:rsidRPr="00E66FA6" w:rsidRDefault="000D7460" w:rsidP="000D7460">
      <w:pPr>
        <w:pStyle w:val="MDPI31text"/>
        <w:rPr>
          <w:rFonts w:eastAsiaTheme="minorHAnsi"/>
          <w:highlight w:val="yellow"/>
        </w:rPr>
      </w:pPr>
      <w:r w:rsidRPr="00E66FA6">
        <w:rPr>
          <w:rFonts w:eastAsiaTheme="minorHAnsi"/>
          <w:highlight w:val="yellow"/>
        </w:rPr>
        <w:t>The included studies represented a total of 382 adult patients.</w:t>
      </w:r>
    </w:p>
    <w:p w14:paraId="4281C1CA" w14:textId="77777777" w:rsidR="000D7460" w:rsidRPr="00E66FA6" w:rsidRDefault="000D7460" w:rsidP="000D7460">
      <w:pPr>
        <w:pStyle w:val="MDPI31text"/>
        <w:rPr>
          <w:rFonts w:eastAsiaTheme="minorHAnsi"/>
          <w:highlight w:val="yellow"/>
        </w:rPr>
      </w:pPr>
      <w:r w:rsidRPr="00E66FA6">
        <w:rPr>
          <w:highlight w:val="yellow"/>
        </w:rPr>
        <w:t xml:space="preserve">The outcome parameters extracted for analysis were </w:t>
      </w:r>
      <w:r w:rsidRPr="00E66FA6">
        <w:rPr>
          <w:rFonts w:eastAsiaTheme="minorHAnsi"/>
          <w:highlight w:val="yellow"/>
        </w:rPr>
        <w:t>duration of MMF placement, stability of the arch bars, oral hygiene, glove tears/ wire-stick punctures and tooth root damage.</w:t>
      </w:r>
    </w:p>
    <w:p w14:paraId="06F42D2A" w14:textId="77777777" w:rsidR="000D7460" w:rsidRPr="00E66FA6" w:rsidRDefault="000D7460" w:rsidP="000D7460">
      <w:pPr>
        <w:pStyle w:val="MDPI31text"/>
        <w:rPr>
          <w:rFonts w:eastAsiaTheme="minorHAnsi"/>
          <w:highlight w:val="yellow"/>
        </w:rPr>
      </w:pPr>
      <w:r w:rsidRPr="00E66FA6">
        <w:rPr>
          <w:rFonts w:eastAsiaTheme="minorHAnsi"/>
          <w:highlight w:val="yellow"/>
        </w:rPr>
        <w:t>The Cochrane methodology for systematic reviews of RCTs was used to analyze the data.</w:t>
      </w:r>
    </w:p>
    <w:p w14:paraId="6075625F" w14:textId="77777777" w:rsidR="000D7460" w:rsidRPr="00E66FA6" w:rsidRDefault="000D7460" w:rsidP="000D7460">
      <w:pPr>
        <w:pStyle w:val="MDPI31text"/>
        <w:rPr>
          <w:highlight w:val="yellow"/>
        </w:rPr>
      </w:pPr>
      <w:r w:rsidRPr="00E66FA6">
        <w:rPr>
          <w:highlight w:val="yellow"/>
        </w:rPr>
        <w:t>The resulting forest plots highlight the deficiencies and discrepancies of the individual studies in terms of missing parameters, variation of the weight across the studies, substantial heterogeneity of treatment effects, inherent bias and grading of quality of evidence.</w:t>
      </w:r>
    </w:p>
    <w:p w14:paraId="124BC69C" w14:textId="77777777" w:rsidR="000D7460" w:rsidRPr="00E66FA6" w:rsidRDefault="000D7460" w:rsidP="000D7460">
      <w:pPr>
        <w:pStyle w:val="MDPI31text"/>
        <w:rPr>
          <w:highlight w:val="yellow"/>
        </w:rPr>
      </w:pPr>
      <w:r w:rsidRPr="00E66FA6">
        <w:rPr>
          <w:highlight w:val="yellow"/>
        </w:rPr>
        <w:t>5 [Pathak et al 2019</w:t>
      </w:r>
      <w:r w:rsidRPr="00E66FA6">
        <w:rPr>
          <w:noProof/>
          <w:highlight w:val="yellow"/>
          <w:vertAlign w:val="superscript"/>
        </w:rPr>
        <w:t>8</w:t>
      </w:r>
      <w:r w:rsidRPr="00E66FA6">
        <w:rPr>
          <w:highlight w:val="yellow"/>
        </w:rPr>
        <w:t>, Rani et al 2018</w:t>
      </w:r>
      <w:r w:rsidRPr="00E66FA6">
        <w:rPr>
          <w:noProof/>
          <w:highlight w:val="yellow"/>
          <w:vertAlign w:val="superscript"/>
        </w:rPr>
        <w:t>19</w:t>
      </w:r>
      <w:r w:rsidRPr="00E66FA6">
        <w:rPr>
          <w:highlight w:val="yellow"/>
        </w:rPr>
        <w:t xml:space="preserve">, </w:t>
      </w:r>
      <w:proofErr w:type="spellStart"/>
      <w:r w:rsidRPr="00E66FA6">
        <w:rPr>
          <w:highlight w:val="yellow"/>
        </w:rPr>
        <w:t>Bouloux</w:t>
      </w:r>
      <w:proofErr w:type="spellEnd"/>
      <w:r w:rsidRPr="00E66FA6">
        <w:rPr>
          <w:highlight w:val="yellow"/>
        </w:rPr>
        <w:t xml:space="preserve"> 2018</w:t>
      </w:r>
      <w:r w:rsidRPr="00E66FA6">
        <w:rPr>
          <w:noProof/>
          <w:highlight w:val="yellow"/>
          <w:vertAlign w:val="superscript"/>
        </w:rPr>
        <w:t>20</w:t>
      </w:r>
      <w:r w:rsidRPr="00E66FA6">
        <w:rPr>
          <w:highlight w:val="yellow"/>
        </w:rPr>
        <w:t>, King and Christensen 2019</w:t>
      </w:r>
      <w:r w:rsidRPr="00E66FA6">
        <w:rPr>
          <w:noProof/>
          <w:highlight w:val="yellow"/>
          <w:vertAlign w:val="superscript"/>
        </w:rPr>
        <w:t>21</w:t>
      </w:r>
      <w:r w:rsidRPr="00E66FA6">
        <w:rPr>
          <w:highlight w:val="yellow"/>
        </w:rPr>
        <w:t xml:space="preserve">, </w:t>
      </w:r>
      <w:proofErr w:type="spellStart"/>
      <w:r w:rsidRPr="00E66FA6">
        <w:rPr>
          <w:highlight w:val="yellow"/>
        </w:rPr>
        <w:t>Khelemsky</w:t>
      </w:r>
      <w:proofErr w:type="spellEnd"/>
      <w:r w:rsidRPr="00E66FA6">
        <w:rPr>
          <w:highlight w:val="yellow"/>
        </w:rPr>
        <w:t xml:space="preserve"> et al 2019</w:t>
      </w:r>
      <w:r w:rsidRPr="00E66FA6">
        <w:rPr>
          <w:noProof/>
          <w:highlight w:val="yellow"/>
          <w:vertAlign w:val="superscript"/>
        </w:rPr>
        <w:t>22</w:t>
      </w:r>
      <w:r w:rsidRPr="00E66FA6">
        <w:rPr>
          <w:highlight w:val="yellow"/>
        </w:rPr>
        <w:t xml:space="preserve">] of the 7 studies compared the time required for placement of the MMF devices showing that the application of hybrid arch bars required statistically significantly less time. In fact, </w:t>
      </w:r>
      <w:proofErr w:type="spellStart"/>
      <w:r w:rsidRPr="00E66FA6">
        <w:rPr>
          <w:highlight w:val="yellow"/>
        </w:rPr>
        <w:t>Khelemsky</w:t>
      </w:r>
      <w:proofErr w:type="spellEnd"/>
      <w:r w:rsidRPr="00E66FA6">
        <w:rPr>
          <w:highlight w:val="yellow"/>
        </w:rPr>
        <w:t xml:space="preserve"> et al (2019) did not report the time required for mounting of the MMF devices but rather only the overall operative time.</w:t>
      </w:r>
    </w:p>
    <w:p w14:paraId="000EF7F6" w14:textId="77777777" w:rsidR="000D7460" w:rsidRPr="00E66FA6" w:rsidRDefault="000D7460" w:rsidP="000D7460">
      <w:pPr>
        <w:pStyle w:val="MDPI31text"/>
        <w:rPr>
          <w:highlight w:val="yellow"/>
        </w:rPr>
      </w:pPr>
      <w:r w:rsidRPr="00E66FA6">
        <w:rPr>
          <w:highlight w:val="yellow"/>
        </w:rPr>
        <w:lastRenderedPageBreak/>
        <w:t>Only 3 studies [Pathak et al 2019</w:t>
      </w:r>
      <w:r w:rsidRPr="00E66FA6">
        <w:rPr>
          <w:noProof/>
          <w:highlight w:val="yellow"/>
          <w:vertAlign w:val="superscript"/>
        </w:rPr>
        <w:t>8</w:t>
      </w:r>
      <w:r w:rsidRPr="00E66FA6">
        <w:rPr>
          <w:highlight w:val="yellow"/>
        </w:rPr>
        <w:t>, Rani et al 2018</w:t>
      </w:r>
      <w:r w:rsidRPr="00E66FA6">
        <w:rPr>
          <w:noProof/>
          <w:highlight w:val="yellow"/>
          <w:vertAlign w:val="superscript"/>
        </w:rPr>
        <w:t>19</w:t>
      </w:r>
      <w:r w:rsidRPr="00E66FA6">
        <w:rPr>
          <w:highlight w:val="yellow"/>
        </w:rPr>
        <w:t>, Rothe et al 2019</w:t>
      </w:r>
      <w:r w:rsidRPr="00E66FA6">
        <w:rPr>
          <w:noProof/>
          <w:highlight w:val="yellow"/>
          <w:vertAlign w:val="superscript"/>
        </w:rPr>
        <w:t>7</w:t>
      </w:r>
      <w:r w:rsidRPr="00E66FA6">
        <w:rPr>
          <w:highlight w:val="yellow"/>
        </w:rPr>
        <w:t>] assessed the stability of the arch bar types, and no statistical difference was discernible.</w:t>
      </w:r>
    </w:p>
    <w:p w14:paraId="594B4F10" w14:textId="77777777" w:rsidR="000D7460" w:rsidRPr="00E66FA6" w:rsidRDefault="000D7460" w:rsidP="000D7460">
      <w:pPr>
        <w:pStyle w:val="MDPI31text"/>
        <w:rPr>
          <w:rFonts w:eastAsiaTheme="minorHAnsi"/>
          <w:highlight w:val="yellow"/>
        </w:rPr>
      </w:pPr>
      <w:r w:rsidRPr="00E66FA6">
        <w:rPr>
          <w:highlight w:val="yellow"/>
        </w:rPr>
        <w:t>5 studies rated oral hygiene using common indices [</w:t>
      </w:r>
      <w:r w:rsidRPr="00E66FA6">
        <w:rPr>
          <w:rFonts w:eastAsiaTheme="minorHAnsi"/>
          <w:highlight w:val="yellow"/>
        </w:rPr>
        <w:t>Hassan et al 2018</w:t>
      </w:r>
      <w:r w:rsidRPr="00E66FA6">
        <w:rPr>
          <w:rFonts w:eastAsiaTheme="minorHAnsi"/>
          <w:noProof/>
          <w:highlight w:val="yellow"/>
          <w:vertAlign w:val="superscript"/>
        </w:rPr>
        <w:t>9</w:t>
      </w:r>
      <w:r w:rsidRPr="00E66FA6">
        <w:rPr>
          <w:rFonts w:eastAsiaTheme="minorHAnsi"/>
          <w:highlight w:val="yellow"/>
        </w:rPr>
        <w:t>, King and Christensen 2019</w:t>
      </w:r>
      <w:r w:rsidRPr="00E66FA6">
        <w:rPr>
          <w:rFonts w:eastAsiaTheme="minorHAnsi"/>
          <w:noProof/>
          <w:highlight w:val="yellow"/>
          <w:vertAlign w:val="superscript"/>
        </w:rPr>
        <w:t>21</w:t>
      </w:r>
      <w:r w:rsidRPr="00E66FA6">
        <w:rPr>
          <w:rFonts w:eastAsiaTheme="minorHAnsi"/>
          <w:highlight w:val="yellow"/>
        </w:rPr>
        <w:t>, Rothe et al 2019</w:t>
      </w:r>
      <w:r w:rsidRPr="00E66FA6">
        <w:rPr>
          <w:rFonts w:eastAsiaTheme="minorHAnsi"/>
          <w:noProof/>
          <w:highlight w:val="yellow"/>
          <w:vertAlign w:val="superscript"/>
        </w:rPr>
        <w:t>7</w:t>
      </w:r>
      <w:r w:rsidRPr="00E66FA6">
        <w:rPr>
          <w:rFonts w:eastAsiaTheme="minorHAnsi"/>
          <w:highlight w:val="yellow"/>
        </w:rPr>
        <w:t xml:space="preserve">] </w:t>
      </w:r>
      <w:r w:rsidRPr="00E66FA6">
        <w:rPr>
          <w:highlight w:val="yellow"/>
        </w:rPr>
        <w:t>or dichotomous data [</w:t>
      </w:r>
      <w:r w:rsidRPr="00E66FA6">
        <w:rPr>
          <w:rFonts w:eastAsiaTheme="minorHAnsi"/>
          <w:highlight w:val="yellow"/>
        </w:rPr>
        <w:t>Pathak et 2019</w:t>
      </w:r>
      <w:r w:rsidRPr="00E66FA6">
        <w:rPr>
          <w:rFonts w:eastAsiaTheme="minorHAnsi"/>
          <w:noProof/>
          <w:highlight w:val="yellow"/>
          <w:vertAlign w:val="superscript"/>
        </w:rPr>
        <w:t>8</w:t>
      </w:r>
      <w:r w:rsidRPr="00E66FA6">
        <w:rPr>
          <w:rFonts w:eastAsiaTheme="minorHAnsi"/>
          <w:highlight w:val="yellow"/>
        </w:rPr>
        <w:t>, Rani et al 2018</w:t>
      </w:r>
      <w:r w:rsidRPr="00E66FA6">
        <w:rPr>
          <w:rFonts w:eastAsiaTheme="minorHAnsi"/>
          <w:noProof/>
          <w:highlight w:val="yellow"/>
          <w:vertAlign w:val="superscript"/>
        </w:rPr>
        <w:t>19</w:t>
      </w:r>
      <w:r w:rsidRPr="00E66FA6">
        <w:rPr>
          <w:rFonts w:eastAsiaTheme="minorHAnsi"/>
          <w:highlight w:val="yellow"/>
        </w:rPr>
        <w:t>].</w:t>
      </w:r>
    </w:p>
    <w:p w14:paraId="39250995" w14:textId="77777777" w:rsidR="000D7460" w:rsidRPr="00E66FA6" w:rsidRDefault="000D7460" w:rsidP="000D7460">
      <w:pPr>
        <w:pStyle w:val="MDPI31text"/>
        <w:rPr>
          <w:rFonts w:eastAsiaTheme="minorHAnsi"/>
          <w:highlight w:val="yellow"/>
        </w:rPr>
      </w:pPr>
      <w:r w:rsidRPr="00E66FA6">
        <w:rPr>
          <w:rFonts w:eastAsiaTheme="minorHAnsi"/>
          <w:highlight w:val="yellow"/>
        </w:rPr>
        <w:t>Separate analysis for the two groups found statistically significantly better indexed hygiene results and trend for better binary (Rani et al 2018)</w:t>
      </w:r>
      <w:r w:rsidRPr="00E66FA6">
        <w:rPr>
          <w:rFonts w:eastAsiaTheme="minorHAnsi"/>
          <w:noProof/>
          <w:highlight w:val="yellow"/>
          <w:vertAlign w:val="superscript"/>
        </w:rPr>
        <w:t>19</w:t>
      </w:r>
      <w:r w:rsidRPr="00E66FA6">
        <w:rPr>
          <w:rFonts w:eastAsiaTheme="minorHAnsi"/>
          <w:highlight w:val="yellow"/>
        </w:rPr>
        <w:t xml:space="preserve"> and </w:t>
      </w:r>
      <w:proofErr w:type="spellStart"/>
      <w:r w:rsidRPr="00E66FA6">
        <w:rPr>
          <w:rFonts w:eastAsiaTheme="minorHAnsi"/>
          <w:highlight w:val="yellow"/>
        </w:rPr>
        <w:t>tridented</w:t>
      </w:r>
      <w:proofErr w:type="spellEnd"/>
      <w:r w:rsidRPr="00E66FA6">
        <w:rPr>
          <w:rFonts w:eastAsiaTheme="minorHAnsi"/>
          <w:highlight w:val="yellow"/>
        </w:rPr>
        <w:t xml:space="preserve"> (Pathak et al 2019)</w:t>
      </w:r>
      <w:r w:rsidRPr="00E66FA6">
        <w:rPr>
          <w:rFonts w:eastAsiaTheme="minorHAnsi"/>
          <w:noProof/>
          <w:highlight w:val="yellow"/>
          <w:vertAlign w:val="superscript"/>
        </w:rPr>
        <w:t>8</w:t>
      </w:r>
      <w:r w:rsidRPr="00E66FA6">
        <w:rPr>
          <w:rFonts w:eastAsiaTheme="minorHAnsi"/>
          <w:highlight w:val="yellow"/>
        </w:rPr>
        <w:t xml:space="preserve"> results for the hybrid MMF devices.</w:t>
      </w:r>
    </w:p>
    <w:p w14:paraId="5CED6867" w14:textId="77777777" w:rsidR="000D7460" w:rsidRPr="00E66FA6" w:rsidRDefault="000D7460" w:rsidP="000D7460">
      <w:pPr>
        <w:pStyle w:val="MDPI31text"/>
        <w:rPr>
          <w:highlight w:val="yellow"/>
        </w:rPr>
      </w:pPr>
      <w:r w:rsidRPr="00E66FA6">
        <w:rPr>
          <w:highlight w:val="yellow"/>
        </w:rPr>
        <w:t>3 studies [Pathak et al 2019</w:t>
      </w:r>
      <w:r w:rsidRPr="00E66FA6">
        <w:rPr>
          <w:noProof/>
          <w:highlight w:val="yellow"/>
          <w:vertAlign w:val="superscript"/>
        </w:rPr>
        <w:t>8</w:t>
      </w:r>
      <w:r w:rsidRPr="00E66FA6">
        <w:rPr>
          <w:highlight w:val="yellow"/>
        </w:rPr>
        <w:t>, Rani et al 2018</w:t>
      </w:r>
      <w:r w:rsidRPr="00E66FA6">
        <w:rPr>
          <w:noProof/>
          <w:highlight w:val="yellow"/>
          <w:vertAlign w:val="superscript"/>
        </w:rPr>
        <w:t>19</w:t>
      </w:r>
      <w:r w:rsidRPr="00E66FA6">
        <w:rPr>
          <w:highlight w:val="yellow"/>
        </w:rPr>
        <w:t>, Rothe et al 2019</w:t>
      </w:r>
      <w:r w:rsidRPr="00E66FA6">
        <w:rPr>
          <w:noProof/>
          <w:highlight w:val="yellow"/>
          <w:vertAlign w:val="superscript"/>
        </w:rPr>
        <w:t>7</w:t>
      </w:r>
      <w:r w:rsidRPr="00E66FA6">
        <w:rPr>
          <w:highlight w:val="yellow"/>
        </w:rPr>
        <w:t>] reported glove tears / wire-stick punctures which were all seen in EABs.</w:t>
      </w:r>
    </w:p>
    <w:p w14:paraId="1ACB1801" w14:textId="77777777" w:rsidR="000D7460" w:rsidRPr="00E66FA6" w:rsidRDefault="000D7460" w:rsidP="000D7460">
      <w:pPr>
        <w:pStyle w:val="MDPI31text"/>
        <w:rPr>
          <w:rFonts w:eastAsiaTheme="minorHAnsi"/>
          <w:highlight w:val="yellow"/>
        </w:rPr>
      </w:pPr>
      <w:r w:rsidRPr="00E66FA6">
        <w:rPr>
          <w:highlight w:val="yellow"/>
        </w:rPr>
        <w:t xml:space="preserve">5 studies </w:t>
      </w:r>
      <w:r w:rsidRPr="00E66FA6">
        <w:rPr>
          <w:rFonts w:eastAsiaTheme="minorHAnsi"/>
          <w:highlight w:val="yellow"/>
        </w:rPr>
        <w:t>[</w:t>
      </w:r>
      <w:proofErr w:type="spellStart"/>
      <w:r w:rsidRPr="00E66FA6">
        <w:rPr>
          <w:rFonts w:eastAsiaTheme="minorHAnsi"/>
          <w:highlight w:val="yellow"/>
        </w:rPr>
        <w:t>Bouloux</w:t>
      </w:r>
      <w:proofErr w:type="spellEnd"/>
      <w:r w:rsidRPr="00E66FA6">
        <w:rPr>
          <w:rFonts w:eastAsiaTheme="minorHAnsi"/>
          <w:highlight w:val="yellow"/>
        </w:rPr>
        <w:t xml:space="preserve"> 2018</w:t>
      </w:r>
      <w:r w:rsidRPr="00E66FA6">
        <w:rPr>
          <w:rFonts w:eastAsiaTheme="minorHAnsi"/>
          <w:noProof/>
          <w:highlight w:val="yellow"/>
          <w:vertAlign w:val="superscript"/>
        </w:rPr>
        <w:t>20</w:t>
      </w:r>
      <w:r w:rsidRPr="00E66FA6">
        <w:rPr>
          <w:rFonts w:eastAsiaTheme="minorHAnsi"/>
          <w:highlight w:val="yellow"/>
        </w:rPr>
        <w:t>, King and Christensen 2019</w:t>
      </w:r>
      <w:r w:rsidRPr="00E66FA6">
        <w:rPr>
          <w:rFonts w:eastAsiaTheme="minorHAnsi"/>
          <w:noProof/>
          <w:highlight w:val="yellow"/>
          <w:vertAlign w:val="superscript"/>
        </w:rPr>
        <w:t>21</w:t>
      </w:r>
      <w:r w:rsidRPr="00E66FA6">
        <w:rPr>
          <w:rFonts w:eastAsiaTheme="minorHAnsi"/>
          <w:highlight w:val="yellow"/>
        </w:rPr>
        <w:t>, Pathak et al 2019</w:t>
      </w:r>
      <w:r w:rsidRPr="00E66FA6">
        <w:rPr>
          <w:rFonts w:eastAsiaTheme="minorHAnsi"/>
          <w:noProof/>
          <w:highlight w:val="yellow"/>
          <w:vertAlign w:val="superscript"/>
        </w:rPr>
        <w:t>8</w:t>
      </w:r>
      <w:r w:rsidRPr="00E66FA6">
        <w:rPr>
          <w:rFonts w:eastAsiaTheme="minorHAnsi"/>
          <w:highlight w:val="yellow"/>
        </w:rPr>
        <w:t>, Rani et al 2018</w:t>
      </w:r>
      <w:r w:rsidRPr="00E66FA6">
        <w:rPr>
          <w:rFonts w:eastAsiaTheme="minorHAnsi"/>
          <w:noProof/>
          <w:highlight w:val="yellow"/>
          <w:vertAlign w:val="superscript"/>
        </w:rPr>
        <w:t>19</w:t>
      </w:r>
      <w:r w:rsidRPr="00E66FA6">
        <w:rPr>
          <w:rFonts w:eastAsiaTheme="minorHAnsi"/>
          <w:highlight w:val="yellow"/>
        </w:rPr>
        <w:t>, Rothe et al 2019</w:t>
      </w:r>
      <w:r w:rsidRPr="00E66FA6">
        <w:rPr>
          <w:rFonts w:eastAsiaTheme="minorHAnsi"/>
          <w:noProof/>
          <w:highlight w:val="yellow"/>
          <w:vertAlign w:val="superscript"/>
        </w:rPr>
        <w:t>7</w:t>
      </w:r>
      <w:r w:rsidRPr="00E66FA6">
        <w:rPr>
          <w:rFonts w:eastAsiaTheme="minorHAnsi"/>
          <w:highlight w:val="yellow"/>
        </w:rPr>
        <w:t xml:space="preserve">] </w:t>
      </w:r>
      <w:r w:rsidRPr="00E66FA6">
        <w:rPr>
          <w:highlight w:val="yellow"/>
        </w:rPr>
        <w:t xml:space="preserve">noted tooth root damage, which was observed - due to the treatment - was </w:t>
      </w:r>
      <w:r w:rsidRPr="00E66FA6">
        <w:rPr>
          <w:rFonts w:eastAsiaTheme="minorHAnsi"/>
          <w:highlight w:val="yellow"/>
        </w:rPr>
        <w:t xml:space="preserve">restricted to the hybrid arch bar groups in </w:t>
      </w:r>
      <w:r w:rsidRPr="00E66FA6">
        <w:rPr>
          <w:highlight w:val="yellow"/>
        </w:rPr>
        <w:t xml:space="preserve">4 studies </w:t>
      </w:r>
      <w:r w:rsidRPr="00E66FA6">
        <w:rPr>
          <w:rFonts w:eastAsiaTheme="minorHAnsi"/>
          <w:highlight w:val="yellow"/>
        </w:rPr>
        <w:t>[</w:t>
      </w:r>
      <w:proofErr w:type="spellStart"/>
      <w:r w:rsidRPr="00E66FA6">
        <w:rPr>
          <w:rFonts w:eastAsiaTheme="minorHAnsi"/>
          <w:highlight w:val="yellow"/>
        </w:rPr>
        <w:t>Bouloux</w:t>
      </w:r>
      <w:proofErr w:type="spellEnd"/>
      <w:r w:rsidRPr="00E66FA6">
        <w:rPr>
          <w:rFonts w:eastAsiaTheme="minorHAnsi"/>
          <w:highlight w:val="yellow"/>
        </w:rPr>
        <w:t xml:space="preserve"> 2018</w:t>
      </w:r>
      <w:r w:rsidRPr="00E66FA6">
        <w:rPr>
          <w:rFonts w:eastAsiaTheme="minorHAnsi"/>
          <w:noProof/>
          <w:highlight w:val="yellow"/>
          <w:vertAlign w:val="superscript"/>
        </w:rPr>
        <w:t>20</w:t>
      </w:r>
      <w:r w:rsidRPr="00E66FA6">
        <w:rPr>
          <w:rFonts w:eastAsiaTheme="minorHAnsi"/>
          <w:highlight w:val="yellow"/>
        </w:rPr>
        <w:t>, Pathak et al 2019</w:t>
      </w:r>
      <w:r w:rsidRPr="00E66FA6">
        <w:rPr>
          <w:rFonts w:eastAsiaTheme="minorHAnsi"/>
          <w:noProof/>
          <w:highlight w:val="yellow"/>
          <w:vertAlign w:val="superscript"/>
        </w:rPr>
        <w:t>8</w:t>
      </w:r>
      <w:r w:rsidRPr="00E66FA6">
        <w:rPr>
          <w:rFonts w:eastAsiaTheme="minorHAnsi"/>
          <w:highlight w:val="yellow"/>
        </w:rPr>
        <w:t>, Rani et al 2018</w:t>
      </w:r>
      <w:r w:rsidRPr="00E66FA6">
        <w:rPr>
          <w:rFonts w:eastAsiaTheme="minorHAnsi"/>
          <w:noProof/>
          <w:highlight w:val="yellow"/>
          <w:vertAlign w:val="superscript"/>
        </w:rPr>
        <w:t>19</w:t>
      </w:r>
      <w:r w:rsidRPr="00E66FA6">
        <w:rPr>
          <w:rFonts w:eastAsiaTheme="minorHAnsi"/>
          <w:highlight w:val="yellow"/>
        </w:rPr>
        <w:t>, Rothe et al 2019</w:t>
      </w:r>
      <w:r w:rsidRPr="00E66FA6">
        <w:rPr>
          <w:rFonts w:eastAsiaTheme="minorHAnsi"/>
          <w:noProof/>
          <w:highlight w:val="yellow"/>
          <w:vertAlign w:val="superscript"/>
        </w:rPr>
        <w:t>7</w:t>
      </w:r>
      <w:r w:rsidRPr="00E66FA6">
        <w:rPr>
          <w:rFonts w:eastAsiaTheme="minorHAnsi"/>
          <w:highlight w:val="yellow"/>
        </w:rPr>
        <w:t>].</w:t>
      </w:r>
    </w:p>
    <w:p w14:paraId="7C649701" w14:textId="77777777" w:rsidR="000D7460" w:rsidRPr="00E66FA6" w:rsidRDefault="000D7460" w:rsidP="000D7460">
      <w:pPr>
        <w:pStyle w:val="MDPI31text"/>
        <w:rPr>
          <w:rFonts w:eastAsiaTheme="minorHAnsi"/>
          <w:highlight w:val="yellow"/>
        </w:rPr>
      </w:pPr>
      <w:r w:rsidRPr="00E66FA6">
        <w:rPr>
          <w:rFonts w:eastAsiaTheme="minorHAnsi"/>
          <w:highlight w:val="yellow"/>
        </w:rPr>
        <w:t>The qualitative analysis attested a high risk of bias to all 7 studies.</w:t>
      </w:r>
    </w:p>
    <w:p w14:paraId="3A020DDB" w14:textId="77777777" w:rsidR="000D7460" w:rsidRPr="00E66FA6" w:rsidRDefault="000D7460" w:rsidP="000D7460">
      <w:pPr>
        <w:pStyle w:val="MDPI31text"/>
        <w:rPr>
          <w:rFonts w:eastAsiaTheme="minorHAnsi"/>
          <w:highlight w:val="yellow"/>
        </w:rPr>
      </w:pPr>
      <w:r w:rsidRPr="00E66FA6">
        <w:rPr>
          <w:rFonts w:eastAsiaTheme="minorHAnsi"/>
          <w:highlight w:val="yellow"/>
        </w:rPr>
        <w:t>The quality of evidence ranged from low for oral hygiene to moderate for all the other assessment parameters.</w:t>
      </w:r>
    </w:p>
    <w:p w14:paraId="7BDA5436" w14:textId="77777777" w:rsidR="000D7460" w:rsidRPr="00E66FA6" w:rsidRDefault="000D7460" w:rsidP="000D7460">
      <w:pPr>
        <w:pStyle w:val="MDPI31text"/>
        <w:rPr>
          <w:rFonts w:eastAsiaTheme="minorHAnsi"/>
          <w:highlight w:val="yellow"/>
        </w:rPr>
      </w:pPr>
      <w:r w:rsidRPr="00E66FA6">
        <w:rPr>
          <w:rFonts w:eastAsiaTheme="minorHAnsi"/>
          <w:highlight w:val="yellow"/>
        </w:rPr>
        <w:t>Another confounding factor was a lack of statistical power owing to the small sample size of some studies.</w:t>
      </w:r>
    </w:p>
    <w:p w14:paraId="01DD8AAA" w14:textId="77777777" w:rsidR="000D7460" w:rsidRPr="00E66FA6" w:rsidRDefault="000D7460" w:rsidP="000D7460">
      <w:pPr>
        <w:pStyle w:val="MDPI31text"/>
        <w:rPr>
          <w:rFonts w:eastAsiaTheme="minorHAnsi"/>
          <w:highlight w:val="yellow"/>
        </w:rPr>
      </w:pPr>
      <w:r w:rsidRPr="00E66FA6">
        <w:rPr>
          <w:rFonts w:eastAsiaTheme="minorHAnsi"/>
          <w:highlight w:val="yellow"/>
        </w:rPr>
        <w:t>Nonetheless, the analysis concluded that hybrid arch bars were a better MMF option than EABs, but further, more accurate research might change this preliminary result.</w:t>
      </w:r>
    </w:p>
    <w:p w14:paraId="2B1D56BA"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 2024 systematic review by </w:t>
      </w:r>
      <w:proofErr w:type="spellStart"/>
      <w:r w:rsidRPr="00E66FA6">
        <w:rPr>
          <w:rFonts w:eastAsiaTheme="minorHAnsi"/>
          <w:highlight w:val="yellow"/>
        </w:rPr>
        <w:t>Sulistyani</w:t>
      </w:r>
      <w:proofErr w:type="spellEnd"/>
      <w:r w:rsidRPr="00E66FA6">
        <w:rPr>
          <w:rFonts w:eastAsiaTheme="minorHAnsi"/>
          <w:highlight w:val="yellow"/>
        </w:rPr>
        <w:t xml:space="preserve"> (2024)</w:t>
      </w:r>
      <w:r w:rsidRPr="00E66FA6">
        <w:rPr>
          <w:rFonts w:eastAsiaTheme="minorHAnsi"/>
          <w:noProof/>
          <w:highlight w:val="yellow"/>
          <w:vertAlign w:val="superscript"/>
        </w:rPr>
        <w:t>32</w:t>
      </w:r>
      <w:r w:rsidRPr="00E66FA6">
        <w:rPr>
          <w:rFonts w:eastAsiaTheme="minorHAnsi"/>
          <w:highlight w:val="yellow"/>
        </w:rPr>
        <w:t xml:space="preserve"> compared treatment outcomes of tooth-borne and bone-borne intermaxillary devices.</w:t>
      </w:r>
    </w:p>
    <w:p w14:paraId="1F94F58A" w14:textId="77777777" w:rsidR="000D7460" w:rsidRPr="00E66FA6" w:rsidRDefault="000D7460" w:rsidP="000D7460">
      <w:pPr>
        <w:pStyle w:val="MDPI31text"/>
        <w:rPr>
          <w:rFonts w:eastAsiaTheme="minorHAnsi"/>
          <w:highlight w:val="yellow"/>
        </w:rPr>
      </w:pPr>
      <w:r w:rsidRPr="00E66FA6">
        <w:rPr>
          <w:rFonts w:eastAsiaTheme="minorHAnsi"/>
          <w:highlight w:val="yellow"/>
        </w:rPr>
        <w:t xml:space="preserve">After exclusion, 13 studies remained, 4 related to the </w:t>
      </w:r>
      <w:proofErr w:type="spellStart"/>
      <w:r w:rsidRPr="00E66FA6">
        <w:rPr>
          <w:rFonts w:eastAsiaTheme="minorHAnsi"/>
          <w:highlight w:val="yellow"/>
        </w:rPr>
        <w:t>SMARTLock</w:t>
      </w:r>
      <w:proofErr w:type="spellEnd"/>
      <w:r w:rsidRPr="00E66FA6">
        <w:rPr>
          <w:rFonts w:eastAsiaTheme="minorHAnsi"/>
          <w:highlight w:val="yellow"/>
        </w:rPr>
        <w:t xml:space="preserve"> System (</w:t>
      </w:r>
      <w:proofErr w:type="spellStart"/>
      <w:r w:rsidRPr="00E66FA6">
        <w:rPr>
          <w:rFonts w:eastAsiaTheme="minorHAnsi"/>
          <w:highlight w:val="yellow"/>
        </w:rPr>
        <w:t>Bouloux</w:t>
      </w:r>
      <w:proofErr w:type="spellEnd"/>
      <w:r w:rsidRPr="00E66FA6">
        <w:rPr>
          <w:rFonts w:eastAsiaTheme="minorHAnsi"/>
          <w:highlight w:val="yellow"/>
        </w:rPr>
        <w:t xml:space="preserve"> 2018</w:t>
      </w:r>
      <w:r w:rsidRPr="00E66FA6">
        <w:rPr>
          <w:rFonts w:eastAsiaTheme="minorHAnsi"/>
          <w:noProof/>
          <w:highlight w:val="yellow"/>
          <w:vertAlign w:val="superscript"/>
        </w:rPr>
        <w:t>20</w:t>
      </w:r>
      <w:r w:rsidRPr="00E66FA6">
        <w:rPr>
          <w:rFonts w:eastAsiaTheme="minorHAnsi"/>
          <w:highlight w:val="yellow"/>
        </w:rPr>
        <w:t>, Edmunds et al 2019</w:t>
      </w:r>
      <w:r w:rsidRPr="00E66FA6">
        <w:rPr>
          <w:rFonts w:eastAsiaTheme="minorHAnsi"/>
          <w:noProof/>
          <w:highlight w:val="yellow"/>
          <w:vertAlign w:val="superscript"/>
        </w:rPr>
        <w:t>27</w:t>
      </w:r>
      <w:r w:rsidRPr="00E66FA6">
        <w:rPr>
          <w:rFonts w:eastAsiaTheme="minorHAnsi"/>
          <w:highlight w:val="yellow"/>
        </w:rPr>
        <w:t>, Hamid and Bede 2021</w:t>
      </w:r>
      <w:r w:rsidRPr="00E66FA6">
        <w:rPr>
          <w:rFonts w:eastAsiaTheme="minorHAnsi"/>
          <w:noProof/>
          <w:highlight w:val="yellow"/>
          <w:vertAlign w:val="superscript"/>
        </w:rPr>
        <w:t>33</w:t>
      </w:r>
      <w:r w:rsidRPr="00E66FA6">
        <w:rPr>
          <w:rFonts w:eastAsiaTheme="minorHAnsi"/>
          <w:highlight w:val="yellow"/>
        </w:rPr>
        <w:t>, Sankar et al 2023</w:t>
      </w:r>
      <w:r w:rsidRPr="00E66FA6">
        <w:rPr>
          <w:rFonts w:eastAsiaTheme="minorHAnsi"/>
          <w:noProof/>
          <w:highlight w:val="yellow"/>
          <w:vertAlign w:val="superscript"/>
        </w:rPr>
        <w:t>23</w:t>
      </w:r>
      <w:r w:rsidRPr="00E66FA6">
        <w:rPr>
          <w:rFonts w:eastAsiaTheme="minorHAnsi"/>
          <w:highlight w:val="yellow"/>
        </w:rPr>
        <w:t>) and 1 referring to a self-made hybrid (Pathak et al 2019)</w:t>
      </w:r>
      <w:r w:rsidRPr="00E66FA6">
        <w:rPr>
          <w:rFonts w:eastAsiaTheme="minorHAnsi"/>
          <w:noProof/>
          <w:highlight w:val="yellow"/>
          <w:vertAlign w:val="superscript"/>
        </w:rPr>
        <w:t>8</w:t>
      </w:r>
      <w:r w:rsidRPr="00E66FA6">
        <w:rPr>
          <w:rFonts w:eastAsiaTheme="minorHAnsi"/>
          <w:highlight w:val="yellow"/>
        </w:rPr>
        <w:t xml:space="preserve">. 3 papers - all concerned with </w:t>
      </w:r>
      <w:proofErr w:type="spellStart"/>
      <w:r w:rsidRPr="00E66FA6">
        <w:rPr>
          <w:rFonts w:eastAsiaTheme="minorHAnsi"/>
          <w:highlight w:val="yellow"/>
        </w:rPr>
        <w:t>SMARTLock</w:t>
      </w:r>
      <w:proofErr w:type="spellEnd"/>
      <w:r w:rsidRPr="00E66FA6">
        <w:rPr>
          <w:rFonts w:eastAsiaTheme="minorHAnsi"/>
          <w:highlight w:val="yellow"/>
        </w:rPr>
        <w:t xml:space="preserve"> Systems (Edmunds et al 2019</w:t>
      </w:r>
      <w:r w:rsidRPr="00E66FA6">
        <w:rPr>
          <w:rFonts w:eastAsiaTheme="minorHAnsi"/>
          <w:noProof/>
          <w:highlight w:val="yellow"/>
          <w:vertAlign w:val="superscript"/>
        </w:rPr>
        <w:t>27</w:t>
      </w:r>
      <w:r w:rsidRPr="00E66FA6">
        <w:rPr>
          <w:rFonts w:eastAsiaTheme="minorHAnsi"/>
          <w:highlight w:val="yellow"/>
        </w:rPr>
        <w:t>, Hamid and Bede 2021</w:t>
      </w:r>
      <w:r w:rsidRPr="00E66FA6">
        <w:rPr>
          <w:rFonts w:eastAsiaTheme="minorHAnsi"/>
          <w:noProof/>
          <w:highlight w:val="yellow"/>
          <w:vertAlign w:val="superscript"/>
        </w:rPr>
        <w:t>33</w:t>
      </w:r>
      <w:r w:rsidRPr="00E66FA6">
        <w:rPr>
          <w:rFonts w:eastAsiaTheme="minorHAnsi"/>
          <w:highlight w:val="yellow"/>
        </w:rPr>
        <w:t>) and a facsimile (Sankar et al 2023)</w:t>
      </w:r>
      <w:r w:rsidRPr="00E66FA6">
        <w:rPr>
          <w:rFonts w:eastAsiaTheme="minorHAnsi"/>
          <w:noProof/>
          <w:highlight w:val="yellow"/>
          <w:vertAlign w:val="superscript"/>
        </w:rPr>
        <w:t>23</w:t>
      </w:r>
      <w:r w:rsidRPr="00E66FA6">
        <w:rPr>
          <w:rFonts w:eastAsiaTheme="minorHAnsi"/>
          <w:highlight w:val="yellow"/>
        </w:rPr>
        <w:t xml:space="preserve"> are published more recently than those reviewed by Jain et al (2021)</w:t>
      </w:r>
      <w:r w:rsidRPr="00E66FA6">
        <w:rPr>
          <w:rFonts w:eastAsiaTheme="minorHAnsi"/>
          <w:noProof/>
          <w:highlight w:val="yellow"/>
          <w:vertAlign w:val="superscript"/>
        </w:rPr>
        <w:t>31</w:t>
      </w:r>
      <w:r w:rsidRPr="00E66FA6">
        <w:rPr>
          <w:rFonts w:eastAsiaTheme="minorHAnsi"/>
          <w:highlight w:val="yellow"/>
        </w:rPr>
        <w:t>.</w:t>
      </w:r>
    </w:p>
    <w:p w14:paraId="309C830E" w14:textId="77777777" w:rsidR="000D7460" w:rsidRPr="00E66FA6" w:rsidRDefault="000D7460" w:rsidP="000D7460">
      <w:pPr>
        <w:pStyle w:val="MDPI31text"/>
        <w:rPr>
          <w:highlight w:val="yellow"/>
        </w:rPr>
      </w:pPr>
      <w:r w:rsidRPr="00E66FA6">
        <w:rPr>
          <w:rFonts w:eastAsiaTheme="minorHAnsi"/>
          <w:highlight w:val="yellow"/>
        </w:rPr>
        <w:t xml:space="preserve">The 13 publications comprised 8 studies using tooth-borne fixation: 4 applying EABs, 3 studies not specifying the arch bar type and 1 study with eyelet wiring. The type of bone-borne fixation devices varied between MMF screws in 8 studies and hybrid or bone-supported MMF devices in 5 studies (see above). The number of patients totaled 583 with clinical outcomes evaluated according to the usual criteria and assessed for typical complications. A differentiated breakdown of the various MMF modalities in the two major treatment arms, however was not accomplished, so that the </w:t>
      </w:r>
      <w:proofErr w:type="spellStart"/>
      <w:r w:rsidRPr="00E66FA6">
        <w:rPr>
          <w:rFonts w:eastAsiaTheme="minorHAnsi"/>
          <w:highlight w:val="yellow"/>
        </w:rPr>
        <w:t>SMARTLock</w:t>
      </w:r>
      <w:proofErr w:type="spellEnd"/>
      <w:r w:rsidRPr="00E66FA6">
        <w:rPr>
          <w:rFonts w:eastAsiaTheme="minorHAnsi"/>
          <w:highlight w:val="yellow"/>
        </w:rPr>
        <w:t xml:space="preserve"> MMF System withdraw individual appraisal. The paper’s conclusion leaves ambiguity simply repeating the pros and cons of tooth-borne and bone-borne devices and leaving the choice of MMF device to the surgeon’s experience.</w:t>
      </w:r>
    </w:p>
    <w:p w14:paraId="7F5C7458" w14:textId="77777777" w:rsidR="000D7460" w:rsidRPr="00E66FA6" w:rsidRDefault="000D7460" w:rsidP="000D7460">
      <w:pPr>
        <w:pStyle w:val="MDPI31text"/>
        <w:rPr>
          <w:highlight w:val="yellow"/>
        </w:rPr>
      </w:pPr>
      <w:r w:rsidRPr="00E66FA6">
        <w:rPr>
          <w:highlight w:val="yellow"/>
        </w:rPr>
        <w:t>The most recent systematic review and meta-analysis argues that in past-time reports a maximum of 2 -3 MMF techniques only have been compared to each other (</w:t>
      </w:r>
      <w:proofErr w:type="spellStart"/>
      <w:r w:rsidRPr="00E66FA6">
        <w:rPr>
          <w:highlight w:val="yellow"/>
        </w:rPr>
        <w:t>Kalluri</w:t>
      </w:r>
      <w:proofErr w:type="spellEnd"/>
      <w:r w:rsidRPr="00E66FA6">
        <w:rPr>
          <w:highlight w:val="yellow"/>
        </w:rPr>
        <w:t xml:space="preserve"> et al 2024)</w:t>
      </w:r>
      <w:r w:rsidRPr="00E66FA6">
        <w:rPr>
          <w:noProof/>
          <w:highlight w:val="yellow"/>
          <w:vertAlign w:val="superscript"/>
        </w:rPr>
        <w:t>34</w:t>
      </w:r>
      <w:r w:rsidRPr="00E66FA6">
        <w:rPr>
          <w:highlight w:val="yellow"/>
        </w:rPr>
        <w:t>. Thus it raises the high claim to conduct an analysis on all existing MMF techniques.</w:t>
      </w:r>
    </w:p>
    <w:p w14:paraId="18E84005" w14:textId="77777777" w:rsidR="000D7460" w:rsidRPr="00E66FA6" w:rsidRDefault="000D7460" w:rsidP="000D7460">
      <w:pPr>
        <w:pStyle w:val="MDPI31text"/>
        <w:rPr>
          <w:highlight w:val="yellow"/>
        </w:rPr>
      </w:pPr>
      <w:r w:rsidRPr="00E66FA6">
        <w:rPr>
          <w:highlight w:val="yellow"/>
        </w:rPr>
        <w:t>The variety of all MMF types – traditional to modern is allocated to 5 major categories: arch bars, screw-based, wire-based, plate/splint-based and other.</w:t>
      </w:r>
    </w:p>
    <w:p w14:paraId="20ECB099" w14:textId="77777777" w:rsidR="000D7460" w:rsidRPr="00E66FA6" w:rsidRDefault="000D7460" w:rsidP="000D7460">
      <w:pPr>
        <w:pStyle w:val="MDPI31text"/>
        <w:rPr>
          <w:highlight w:val="yellow"/>
        </w:rPr>
      </w:pPr>
      <w:r w:rsidRPr="00E66FA6">
        <w:rPr>
          <w:highlight w:val="yellow"/>
        </w:rPr>
        <w:t xml:space="preserve">Unfortunately, each of these MMF ‘categories sorted by type’ is heterogenous and mixes the modalities without appropriate distinctions to keep them separated for analysis based on the fundamental technique </w:t>
      </w:r>
      <w:r w:rsidRPr="00E66FA6">
        <w:rPr>
          <w:highlight w:val="yellow"/>
        </w:rPr>
        <w:lastRenderedPageBreak/>
        <w:t xml:space="preserve">and design. As a result hybrid MMF devices are listed under the heading ‘Arch Bars’ as hybrid-arch bars, bone supported arch bars and modified screw-retained arch bars combined with Erich arch bars. Headless compression screws with an arch bar are designated as ‘screw-based’ MMF techniques besides all other kinds of IMF / MMF screws. </w:t>
      </w:r>
      <w:proofErr w:type="spellStart"/>
      <w:r w:rsidRPr="00E66FA6">
        <w:rPr>
          <w:highlight w:val="yellow"/>
        </w:rPr>
        <w:t>SMARTLock</w:t>
      </w:r>
      <w:proofErr w:type="spellEnd"/>
      <w:r w:rsidRPr="00E66FA6">
        <w:rPr>
          <w:highlight w:val="yellow"/>
        </w:rPr>
        <w:t xml:space="preserve"> Hybrid MMF, </w:t>
      </w:r>
      <w:proofErr w:type="spellStart"/>
      <w:r w:rsidRPr="00E66FA6">
        <w:rPr>
          <w:highlight w:val="yellow"/>
        </w:rPr>
        <w:t>OmniMax</w:t>
      </w:r>
      <w:proofErr w:type="spellEnd"/>
      <w:r w:rsidRPr="00E66FA6">
        <w:rPr>
          <w:highlight w:val="yellow"/>
        </w:rPr>
        <w:t xml:space="preserve"> MMF System (Zimmer Biomet) and the Matrix Wave Plate System (DePuy Synthes) are placed in a MMF group entitled ‘Other’ along with bondable buttons, wire free MMF and </w:t>
      </w:r>
      <w:proofErr w:type="spellStart"/>
      <w:r w:rsidRPr="00E66FA6">
        <w:rPr>
          <w:highlight w:val="yellow"/>
        </w:rPr>
        <w:t>Mitek</w:t>
      </w:r>
      <w:proofErr w:type="spellEnd"/>
      <w:r w:rsidRPr="00E66FA6">
        <w:rPr>
          <w:highlight w:val="yellow"/>
        </w:rPr>
        <w:t xml:space="preserve"> bone anchor skeletal MMF.</w:t>
      </w:r>
    </w:p>
    <w:p w14:paraId="333F9A93" w14:textId="77777777" w:rsidR="000D7460" w:rsidRPr="00E66FA6" w:rsidRDefault="000D7460" w:rsidP="000D7460">
      <w:pPr>
        <w:pStyle w:val="MDPI31text"/>
        <w:rPr>
          <w:highlight w:val="yellow"/>
        </w:rPr>
      </w:pPr>
      <w:r w:rsidRPr="00E66FA6">
        <w:rPr>
          <w:highlight w:val="yellow"/>
        </w:rPr>
        <w:t xml:space="preserve">Out of 4234 articles identified in the initial literature search, 24 studies were eventually included in the systematic review with 17 studies qualifying for meta-analysis. The represented MMF techniques according to the author’s terminology were MMF screws (7 /24 studies, 29 %) modified arch bars (4/24 studies, 16.6 % </w:t>
      </w:r>
      <w:r w:rsidRPr="00E66FA6">
        <w:rPr>
          <w:highlight w:val="yellow"/>
        </w:rPr>
        <w:sym w:font="Symbol" w:char="F0BB"/>
      </w:r>
      <w:r w:rsidRPr="00E66FA6">
        <w:rPr>
          <w:highlight w:val="yellow"/>
        </w:rPr>
        <w:t xml:space="preserve"> self-made hybrid EABs) and “Other” (in total </w:t>
      </w:r>
      <w:r w:rsidRPr="00E66FA6">
        <w:rPr>
          <w:highlight w:val="yellow"/>
        </w:rPr>
        <w:sym w:font="Symbol" w:char="F053"/>
      </w:r>
      <w:r w:rsidRPr="00E66FA6">
        <w:rPr>
          <w:highlight w:val="yellow"/>
        </w:rPr>
        <w:t xml:space="preserve"> 13/24 studies, 54 %; in detail: </w:t>
      </w:r>
      <w:proofErr w:type="spellStart"/>
      <w:r w:rsidRPr="00E66FA6">
        <w:rPr>
          <w:highlight w:val="yellow"/>
        </w:rPr>
        <w:t>SMARTLock</w:t>
      </w:r>
      <w:proofErr w:type="spellEnd"/>
      <w:r w:rsidRPr="00E66FA6">
        <w:rPr>
          <w:highlight w:val="yellow"/>
        </w:rPr>
        <w:t xml:space="preserve"> [3/24 studies, 12.5 %], </w:t>
      </w:r>
      <w:proofErr w:type="spellStart"/>
      <w:r w:rsidRPr="00E66FA6">
        <w:rPr>
          <w:highlight w:val="yellow"/>
        </w:rPr>
        <w:t>OmniMax</w:t>
      </w:r>
      <w:proofErr w:type="spellEnd"/>
      <w:r w:rsidRPr="00E66FA6">
        <w:rPr>
          <w:highlight w:val="yellow"/>
        </w:rPr>
        <w:t xml:space="preserve"> [1/24 studies, 4.1 %], Embrasure wires [4 /24 studies, 16. 2%], DIMAC wires, Leonard buttons, Vacuum formed splints, Hanger plates and Eyelet  [ = 5 x 1/24 studies or 5 x 4.1 %]).</w:t>
      </w:r>
    </w:p>
    <w:p w14:paraId="2A19CDB3" w14:textId="77777777" w:rsidR="000D7460" w:rsidRPr="00E66FA6" w:rsidRDefault="000D7460" w:rsidP="000D7460">
      <w:pPr>
        <w:pStyle w:val="MDPI31text"/>
        <w:rPr>
          <w:highlight w:val="yellow"/>
        </w:rPr>
      </w:pPr>
      <w:r w:rsidRPr="00E66FA6">
        <w:rPr>
          <w:highlight w:val="yellow"/>
        </w:rPr>
        <w:t>Conventional Erich arch bars served as the reference ‘gold standard’ for comparisons in the following 3 re-defined basic groups, which were composed out of the 5 aforementioned categories : “Other Arch Bars”, “All Other Interventions” - including modified arch bars or non-arch bar forms of MMF such as various screw-based, wire based and plate/splint-based forms of MMF and “Other Interventions” again including non-arch bar MMF forms. The total sample size for the meta- analysis was 3109 patients with a mean of 37.6 ± 20.6 patients from each study. Despite this respectable patient number the overall data set was regarded as insufficient in quantity to allow reliable statements for a large number of the typical assessment parameters for MMF technique outcomes: overgrowth /coverage of hardware by oral mucosa, impaired wound healing, postoperative infections, intra – and postoperative stability, patient comfort or operative time for MMF removal.</w:t>
      </w:r>
    </w:p>
    <w:p w14:paraId="3AF50CC4" w14:textId="77777777" w:rsidR="000D7460" w:rsidRPr="00E66FA6" w:rsidRDefault="000D7460" w:rsidP="000D7460">
      <w:pPr>
        <w:pStyle w:val="MDPI31text"/>
        <w:rPr>
          <w:highlight w:val="yellow"/>
        </w:rPr>
      </w:pPr>
      <w:r w:rsidRPr="00E66FA6">
        <w:rPr>
          <w:highlight w:val="yellow"/>
        </w:rPr>
        <w:t>A closer look on the forest plots showing the actually meta-analyzed results identifies a total of 8 studies of self-made/ modified arch bars (Rothe et al 2018</w:t>
      </w:r>
      <w:r w:rsidRPr="00E66FA6">
        <w:rPr>
          <w:noProof/>
          <w:highlight w:val="yellow"/>
          <w:vertAlign w:val="superscript"/>
        </w:rPr>
        <w:t>6</w:t>
      </w:r>
      <w:r w:rsidRPr="00E66FA6">
        <w:rPr>
          <w:highlight w:val="yellow"/>
        </w:rPr>
        <w:t>, Pathak et al 2019</w:t>
      </w:r>
      <w:r w:rsidRPr="00E66FA6">
        <w:rPr>
          <w:noProof/>
          <w:highlight w:val="yellow"/>
          <w:vertAlign w:val="superscript"/>
        </w:rPr>
        <w:t>8</w:t>
      </w:r>
      <w:r w:rsidRPr="00E66FA6">
        <w:rPr>
          <w:highlight w:val="yellow"/>
        </w:rPr>
        <w:t xml:space="preserve">, </w:t>
      </w:r>
      <w:proofErr w:type="spellStart"/>
      <w:r w:rsidRPr="00E66FA6">
        <w:rPr>
          <w:highlight w:val="yellow"/>
        </w:rPr>
        <w:t>Venugopalan</w:t>
      </w:r>
      <w:proofErr w:type="spellEnd"/>
      <w:r w:rsidRPr="00E66FA6">
        <w:rPr>
          <w:highlight w:val="yellow"/>
        </w:rPr>
        <w:t xml:space="preserve"> et al 2020</w:t>
      </w:r>
      <w:r w:rsidRPr="00E66FA6">
        <w:rPr>
          <w:noProof/>
          <w:highlight w:val="yellow"/>
          <w:vertAlign w:val="superscript"/>
        </w:rPr>
        <w:t>10</w:t>
      </w:r>
      <w:r w:rsidRPr="00E66FA6">
        <w:rPr>
          <w:highlight w:val="yellow"/>
        </w:rPr>
        <w:t>) and commercial hybrid MMF devices (</w:t>
      </w:r>
      <w:proofErr w:type="spellStart"/>
      <w:r w:rsidRPr="00E66FA6">
        <w:rPr>
          <w:highlight w:val="yellow"/>
        </w:rPr>
        <w:t>SMARTLock</w:t>
      </w:r>
      <w:proofErr w:type="spellEnd"/>
      <w:r w:rsidRPr="00E66FA6">
        <w:rPr>
          <w:highlight w:val="yellow"/>
        </w:rPr>
        <w:t xml:space="preserve">: Chao and </w:t>
      </w:r>
      <w:proofErr w:type="spellStart"/>
      <w:r w:rsidRPr="00E66FA6">
        <w:rPr>
          <w:highlight w:val="yellow"/>
        </w:rPr>
        <w:t>Hulsen</w:t>
      </w:r>
      <w:proofErr w:type="spellEnd"/>
      <w:r w:rsidRPr="00E66FA6">
        <w:rPr>
          <w:highlight w:val="yellow"/>
        </w:rPr>
        <w:t xml:space="preserve"> 2015</w:t>
      </w:r>
      <w:r w:rsidRPr="00E66FA6">
        <w:rPr>
          <w:noProof/>
          <w:highlight w:val="yellow"/>
          <w:vertAlign w:val="superscript"/>
        </w:rPr>
        <w:t>16</w:t>
      </w:r>
      <w:r w:rsidRPr="00E66FA6">
        <w:rPr>
          <w:highlight w:val="yellow"/>
        </w:rPr>
        <w:t xml:space="preserve">, </w:t>
      </w:r>
      <w:proofErr w:type="spellStart"/>
      <w:r w:rsidRPr="00E66FA6">
        <w:rPr>
          <w:highlight w:val="yellow"/>
        </w:rPr>
        <w:t>Bouloux</w:t>
      </w:r>
      <w:proofErr w:type="spellEnd"/>
      <w:r w:rsidRPr="00E66FA6">
        <w:rPr>
          <w:highlight w:val="yellow"/>
        </w:rPr>
        <w:t xml:space="preserve"> 2018</w:t>
      </w:r>
      <w:r w:rsidRPr="00E66FA6">
        <w:rPr>
          <w:noProof/>
          <w:highlight w:val="yellow"/>
          <w:vertAlign w:val="superscript"/>
        </w:rPr>
        <w:t>20</w:t>
      </w:r>
      <w:r w:rsidRPr="00E66FA6">
        <w:rPr>
          <w:highlight w:val="yellow"/>
        </w:rPr>
        <w:t>, Hamid and Bede 2021</w:t>
      </w:r>
      <w:r w:rsidRPr="00E66FA6">
        <w:rPr>
          <w:noProof/>
          <w:highlight w:val="yellow"/>
          <w:vertAlign w:val="superscript"/>
        </w:rPr>
        <w:t>33</w:t>
      </w:r>
      <w:r w:rsidRPr="00E66FA6">
        <w:rPr>
          <w:highlight w:val="yellow"/>
        </w:rPr>
        <w:t>, Sankar et al 2023</w:t>
      </w:r>
      <w:r w:rsidRPr="00E66FA6">
        <w:rPr>
          <w:noProof/>
          <w:highlight w:val="yellow"/>
          <w:vertAlign w:val="superscript"/>
        </w:rPr>
        <w:t>23</w:t>
      </w:r>
      <w:r w:rsidRPr="00E66FA6">
        <w:rPr>
          <w:highlight w:val="yellow"/>
        </w:rPr>
        <w:t xml:space="preserve">, </w:t>
      </w:r>
      <w:proofErr w:type="spellStart"/>
      <w:r w:rsidRPr="00E66FA6">
        <w:rPr>
          <w:highlight w:val="yellow"/>
        </w:rPr>
        <w:t>OmniMax</w:t>
      </w:r>
      <w:proofErr w:type="spellEnd"/>
      <w:r w:rsidRPr="00E66FA6">
        <w:rPr>
          <w:highlight w:val="yellow"/>
        </w:rPr>
        <w:t>: Aukerman 2022</w:t>
      </w:r>
      <w:r w:rsidRPr="00E66FA6">
        <w:rPr>
          <w:noProof/>
          <w:highlight w:val="yellow"/>
          <w:vertAlign w:val="superscript"/>
        </w:rPr>
        <w:t>39</w:t>
      </w:r>
      <w:r w:rsidRPr="00E66FA6">
        <w:rPr>
          <w:highlight w:val="yellow"/>
        </w:rPr>
        <w:t>). It appears misleading that these 8 studies – despite their hybrid bone-borne MMF type – turn up in the assessments (MMF application time, malocclusion or glove perforations/wire punctures etc.) of all 3 basic evaluation groups.</w:t>
      </w:r>
    </w:p>
    <w:p w14:paraId="65F792A4" w14:textId="77777777" w:rsidR="000D7460" w:rsidRPr="00E66FA6" w:rsidRDefault="000D7460" w:rsidP="000D7460">
      <w:pPr>
        <w:pStyle w:val="MDPI31text"/>
        <w:rPr>
          <w:highlight w:val="yellow"/>
        </w:rPr>
      </w:pPr>
      <w:r w:rsidRPr="00E66FA6">
        <w:rPr>
          <w:highlight w:val="yellow"/>
        </w:rPr>
        <w:t xml:space="preserve">The study of </w:t>
      </w:r>
      <w:proofErr w:type="spellStart"/>
      <w:r w:rsidRPr="00E66FA6">
        <w:rPr>
          <w:highlight w:val="yellow"/>
        </w:rPr>
        <w:t>Venugopalan</w:t>
      </w:r>
      <w:proofErr w:type="spellEnd"/>
      <w:r w:rsidRPr="00E66FA6">
        <w:rPr>
          <w:highlight w:val="yellow"/>
        </w:rPr>
        <w:t xml:space="preserve"> et al 2020</w:t>
      </w:r>
      <w:r w:rsidRPr="00E66FA6">
        <w:rPr>
          <w:noProof/>
          <w:highlight w:val="yellow"/>
          <w:vertAlign w:val="superscript"/>
        </w:rPr>
        <w:t>10</w:t>
      </w:r>
      <w:r w:rsidRPr="00E66FA6">
        <w:rPr>
          <w:highlight w:val="yellow"/>
        </w:rPr>
        <w:t>, for instance detailing the clinical results on a modified Erich Arch Bar is included in two groups – “All Other interventions” and “Other Interventions” The latter of which is surely erroneous, since that category was formerly reserved exclusively for “non-arch bar forms of MMF”.</w:t>
      </w:r>
    </w:p>
    <w:p w14:paraId="65C19CCE" w14:textId="77777777" w:rsidR="000D7460" w:rsidRPr="00E66FA6" w:rsidRDefault="000D7460" w:rsidP="000D7460">
      <w:pPr>
        <w:pStyle w:val="MDPI31text"/>
        <w:rPr>
          <w:highlight w:val="yellow"/>
        </w:rPr>
      </w:pPr>
      <w:r w:rsidRPr="00E66FA6">
        <w:rPr>
          <w:highlight w:val="yellow"/>
        </w:rPr>
        <w:t>The reiteration of identical MMF techniques in the 3 basic evaluation groups also occurs with some other studies, e.g. dealing with MMF screws, embrasure wires or Leonard buttons.</w:t>
      </w:r>
    </w:p>
    <w:p w14:paraId="4FA97502" w14:textId="77777777" w:rsidR="000D7460" w:rsidRPr="00E66FA6" w:rsidRDefault="000D7460" w:rsidP="000D7460">
      <w:pPr>
        <w:pStyle w:val="MDPI31text"/>
        <w:rPr>
          <w:highlight w:val="yellow"/>
        </w:rPr>
      </w:pPr>
      <w:r w:rsidRPr="00E66FA6">
        <w:rPr>
          <w:highlight w:val="yellow"/>
        </w:rPr>
        <w:t>In the end, the puzzling mix and remixing of identical studies into a variety of technically distinct MMF groups does not provide meaningful information or guidelines to choose an appropriate MMF type for clinical practice.</w:t>
      </w:r>
    </w:p>
    <w:p w14:paraId="32FAB654" w14:textId="77777777" w:rsidR="000D7460" w:rsidRPr="00E66FA6" w:rsidRDefault="000D7460" w:rsidP="000D7460">
      <w:pPr>
        <w:pStyle w:val="MDPI31text"/>
        <w:rPr>
          <w:highlight w:val="yellow"/>
        </w:rPr>
      </w:pPr>
      <w:r w:rsidRPr="00E66FA6">
        <w:rPr>
          <w:highlight w:val="yellow"/>
        </w:rPr>
        <w:t xml:space="preserve">However the statistics ultimately arrive at a conclusion, where modern alternative MMF modalities yield more efficient outcomes in </w:t>
      </w:r>
      <w:r w:rsidRPr="00E66FA6">
        <w:rPr>
          <w:highlight w:val="yellow"/>
        </w:rPr>
        <w:lastRenderedPageBreak/>
        <w:t>comparison to conventional Erich arch bars. The qualifying reservation “if appropriate” for the individual patient, was not further explained (</w:t>
      </w:r>
      <w:proofErr w:type="spellStart"/>
      <w:r w:rsidRPr="00E66FA6">
        <w:rPr>
          <w:highlight w:val="yellow"/>
        </w:rPr>
        <w:t>Kalluri</w:t>
      </w:r>
      <w:proofErr w:type="spellEnd"/>
      <w:r w:rsidRPr="00E66FA6">
        <w:rPr>
          <w:highlight w:val="yellow"/>
        </w:rPr>
        <w:t xml:space="preserve"> et al 2024)</w:t>
      </w:r>
      <w:r w:rsidRPr="00E66FA6">
        <w:rPr>
          <w:noProof/>
          <w:highlight w:val="yellow"/>
          <w:vertAlign w:val="superscript"/>
        </w:rPr>
        <w:t>34</w:t>
      </w:r>
      <w:r w:rsidRPr="00E66FA6">
        <w:rPr>
          <w:highlight w:val="yellow"/>
        </w:rPr>
        <w:t>.</w:t>
      </w:r>
    </w:p>
    <w:p w14:paraId="790CFED3" w14:textId="77777777" w:rsidR="000D7460" w:rsidRDefault="000D7460">
      <w:pPr>
        <w:rPr>
          <w:lang w:val="en-US"/>
        </w:rPr>
      </w:pPr>
    </w:p>
    <w:p w14:paraId="52A616BE" w14:textId="77777777" w:rsidR="002C5277" w:rsidRDefault="002C5277">
      <w:pPr>
        <w:rPr>
          <w:lang w:val="en-US"/>
        </w:rPr>
      </w:pPr>
    </w:p>
    <w:p w14:paraId="0A1B87C7" w14:textId="77777777" w:rsidR="002C5277" w:rsidRDefault="002C5277">
      <w:pPr>
        <w:rPr>
          <w:lang w:val="en-US"/>
        </w:rPr>
      </w:pPr>
    </w:p>
    <w:p w14:paraId="36EF9020" w14:textId="77777777" w:rsidR="002C5277" w:rsidRPr="00E66FA6" w:rsidRDefault="002C5277" w:rsidP="002C5277">
      <w:pPr>
        <w:pStyle w:val="MDPI31text"/>
        <w:rPr>
          <w:rFonts w:eastAsiaTheme="minorHAnsi" w:cs="Helvetica Neue"/>
          <w:b/>
          <w:bCs/>
          <w:sz w:val="24"/>
          <w:szCs w:val="24"/>
          <w:highlight w:val="yellow"/>
          <w:lang w:eastAsia="en-US"/>
        </w:rPr>
      </w:pPr>
      <w:r w:rsidRPr="00E66FA6">
        <w:rPr>
          <w:b/>
          <w:bCs/>
          <w:sz w:val="24"/>
          <w:szCs w:val="24"/>
          <w:highlight w:val="yellow"/>
        </w:rPr>
        <w:t xml:space="preserve">A summary on Wire Free Fixation is provided as </w:t>
      </w:r>
      <w:r w:rsidRPr="00E66FA6">
        <w:rPr>
          <w:b/>
          <w:bCs/>
          <w:i/>
          <w:iCs/>
          <w:sz w:val="24"/>
          <w:szCs w:val="24"/>
          <w:highlight w:val="yellow"/>
        </w:rPr>
        <w:t>Electronic Supplement</w:t>
      </w:r>
      <w:r w:rsidRPr="00E66FA6">
        <w:rPr>
          <w:b/>
          <w:bCs/>
          <w:sz w:val="24"/>
          <w:szCs w:val="24"/>
          <w:highlight w:val="yellow"/>
        </w:rPr>
        <w:t xml:space="preserve"> (</w:t>
      </w:r>
      <w:proofErr w:type="spellStart"/>
      <w:r w:rsidRPr="00E66FA6">
        <w:rPr>
          <w:b/>
          <w:bCs/>
          <w:i/>
          <w:iCs/>
          <w:sz w:val="24"/>
          <w:szCs w:val="24"/>
          <w:highlight w:val="yellow"/>
        </w:rPr>
        <w:t>eTextBlock</w:t>
      </w:r>
      <w:proofErr w:type="spellEnd"/>
      <w:r w:rsidRPr="00E66FA6">
        <w:rPr>
          <w:b/>
          <w:bCs/>
          <w:i/>
          <w:iCs/>
          <w:sz w:val="24"/>
          <w:szCs w:val="24"/>
          <w:highlight w:val="yellow"/>
        </w:rPr>
        <w:t xml:space="preserve"> 3</w:t>
      </w:r>
      <w:r w:rsidRPr="00E66FA6">
        <w:rPr>
          <w:b/>
          <w:bCs/>
          <w:sz w:val="24"/>
          <w:szCs w:val="24"/>
          <w:highlight w:val="yellow"/>
        </w:rPr>
        <w:t xml:space="preserve"> –; Line 1689 – 1716= yellow highlighted text)</w:t>
      </w:r>
    </w:p>
    <w:p w14:paraId="1F78FD1C" w14:textId="77777777" w:rsidR="002C5277" w:rsidRPr="00E66FA6" w:rsidRDefault="002C5277" w:rsidP="002C5277">
      <w:pPr>
        <w:pStyle w:val="MDPI22heading2"/>
        <w:spacing w:before="240"/>
        <w:rPr>
          <w:rFonts w:eastAsiaTheme="minorHAnsi"/>
          <w:highlight w:val="yellow"/>
        </w:rPr>
      </w:pPr>
      <w:r w:rsidRPr="00E66FA6">
        <w:rPr>
          <w:rFonts w:eastAsiaTheme="minorHAnsi"/>
          <w:highlight w:val="yellow"/>
        </w:rPr>
        <w:t>4.2. Wire-Free Fixation</w:t>
      </w:r>
    </w:p>
    <w:p w14:paraId="7F92DAB5" w14:textId="77777777" w:rsidR="002C5277" w:rsidRPr="00E66FA6" w:rsidRDefault="002C5277" w:rsidP="002C5277">
      <w:pPr>
        <w:pStyle w:val="MDPI31text"/>
        <w:rPr>
          <w:rFonts w:eastAsiaTheme="minorHAnsi"/>
          <w:highlight w:val="yellow"/>
        </w:rPr>
      </w:pPr>
      <w:r w:rsidRPr="00E66FA6">
        <w:rPr>
          <w:rFonts w:eastAsiaTheme="minorHAnsi"/>
          <w:highlight w:val="yellow"/>
        </w:rPr>
        <w:t>Historically wire-free fixation of MMF devices has come a long way.</w:t>
      </w:r>
    </w:p>
    <w:p w14:paraId="3FDD5328" w14:textId="77777777" w:rsidR="002C5277" w:rsidRPr="00E66FA6" w:rsidRDefault="002C5277" w:rsidP="002C5277">
      <w:pPr>
        <w:pStyle w:val="MDPI31text"/>
        <w:rPr>
          <w:rFonts w:eastAsiaTheme="minorHAnsi"/>
          <w:highlight w:val="yellow"/>
        </w:rPr>
      </w:pPr>
      <w:r w:rsidRPr="00E66FA6">
        <w:rPr>
          <w:rFonts w:eastAsiaTheme="minorHAnsi"/>
          <w:highlight w:val="yellow"/>
        </w:rPr>
        <w:t>Wire-free fixation of MMF devices started with use of the acid etch technique for direct composite or resin bonding of arch bars in the late 1980s (</w:t>
      </w:r>
      <w:proofErr w:type="spellStart"/>
      <w:r w:rsidRPr="00E66FA6">
        <w:rPr>
          <w:rFonts w:eastAsiaTheme="minorHAnsi"/>
          <w:highlight w:val="yellow"/>
        </w:rPr>
        <w:t>Baurmash</w:t>
      </w:r>
      <w:proofErr w:type="spellEnd"/>
      <w:r w:rsidRPr="00E66FA6">
        <w:rPr>
          <w:rFonts w:eastAsiaTheme="minorHAnsi"/>
          <w:highlight w:val="yellow"/>
        </w:rPr>
        <w:t xml:space="preserve"> et al 1988)</w:t>
      </w:r>
      <w:r w:rsidRPr="00E66FA6">
        <w:rPr>
          <w:rFonts w:eastAsiaTheme="minorHAnsi"/>
          <w:noProof/>
          <w:highlight w:val="yellow"/>
          <w:vertAlign w:val="superscript"/>
        </w:rPr>
        <w:t>60</w:t>
      </w:r>
      <w:r w:rsidRPr="00E66FA6">
        <w:rPr>
          <w:rFonts w:eastAsiaTheme="minorHAnsi"/>
          <w:highlight w:val="yellow"/>
        </w:rPr>
        <w:t xml:space="preserve"> Here a fine orthodontic mesh was welded to the flat inner surface of a conventional EAB to create a suitable interface for the adhesion.</w:t>
      </w:r>
    </w:p>
    <w:p w14:paraId="28CBF3AF" w14:textId="77777777" w:rsidR="002C5277" w:rsidRPr="00E66FA6" w:rsidRDefault="002C5277" w:rsidP="002C5277">
      <w:pPr>
        <w:pStyle w:val="MDPI31text"/>
        <w:rPr>
          <w:rFonts w:eastAsiaTheme="minorHAnsi"/>
          <w:highlight w:val="yellow"/>
        </w:rPr>
      </w:pPr>
      <w:r w:rsidRPr="00E66FA6">
        <w:rPr>
          <w:rFonts w:eastAsiaTheme="minorHAnsi"/>
          <w:highlight w:val="yellow"/>
        </w:rPr>
        <w:t>A wire free MMF device in a so-called “bracket- bar’ design was introduced soon thereafter (</w:t>
      </w:r>
      <w:proofErr w:type="spellStart"/>
      <w:r w:rsidRPr="00E66FA6">
        <w:rPr>
          <w:rFonts w:eastAsiaTheme="minorHAnsi"/>
          <w:highlight w:val="yellow"/>
        </w:rPr>
        <w:t>Sindet</w:t>
      </w:r>
      <w:proofErr w:type="spellEnd"/>
      <w:r w:rsidRPr="00E66FA6">
        <w:rPr>
          <w:rFonts w:eastAsiaTheme="minorHAnsi"/>
          <w:highlight w:val="yellow"/>
        </w:rPr>
        <w:t>-Pedersen et al 1990)</w:t>
      </w:r>
      <w:r w:rsidRPr="00E66FA6">
        <w:rPr>
          <w:rFonts w:eastAsiaTheme="minorHAnsi"/>
          <w:noProof/>
          <w:highlight w:val="yellow"/>
          <w:vertAlign w:val="superscript"/>
        </w:rPr>
        <w:t>61</w:t>
      </w:r>
      <w:r w:rsidRPr="00E66FA6">
        <w:rPr>
          <w:rFonts w:eastAsiaTheme="minorHAnsi"/>
          <w:highlight w:val="yellow"/>
        </w:rPr>
        <w:t>. This specialized bar with a continuous series of oval-shaped perforations was contoured to fit passively to the teeth and was resin bonded.</w:t>
      </w:r>
    </w:p>
    <w:p w14:paraId="3350455C" w14:textId="77777777" w:rsidR="002C5277" w:rsidRPr="00E66FA6" w:rsidRDefault="002C5277" w:rsidP="002C5277">
      <w:pPr>
        <w:pStyle w:val="MDPI31text"/>
        <w:rPr>
          <w:rFonts w:eastAsiaTheme="minorHAnsi"/>
          <w:highlight w:val="yellow"/>
        </w:rPr>
      </w:pPr>
      <w:r w:rsidRPr="00E66FA6">
        <w:rPr>
          <w:rFonts w:eastAsiaTheme="minorHAnsi"/>
          <w:highlight w:val="yellow"/>
        </w:rPr>
        <w:t>Both of the author groups advocated installing plate segments in lieu of a full arches (</w:t>
      </w:r>
      <w:proofErr w:type="spellStart"/>
      <w:r w:rsidRPr="00E66FA6">
        <w:rPr>
          <w:rFonts w:eastAsiaTheme="minorHAnsi"/>
          <w:highlight w:val="yellow"/>
        </w:rPr>
        <w:t>Baurmash</w:t>
      </w:r>
      <w:proofErr w:type="spellEnd"/>
      <w:r w:rsidRPr="00E66FA6">
        <w:rPr>
          <w:rFonts w:eastAsiaTheme="minorHAnsi"/>
          <w:highlight w:val="yellow"/>
        </w:rPr>
        <w:t xml:space="preserve"> 2006</w:t>
      </w:r>
      <w:r w:rsidRPr="00E66FA6">
        <w:rPr>
          <w:rFonts w:eastAsiaTheme="minorHAnsi"/>
          <w:noProof/>
          <w:highlight w:val="yellow"/>
          <w:vertAlign w:val="superscript"/>
        </w:rPr>
        <w:t>62</w:t>
      </w:r>
      <w:r w:rsidRPr="00E66FA6">
        <w:rPr>
          <w:rFonts w:eastAsiaTheme="minorHAnsi"/>
          <w:highlight w:val="yellow"/>
        </w:rPr>
        <w:t>, 2007</w:t>
      </w:r>
      <w:r w:rsidRPr="00E66FA6">
        <w:rPr>
          <w:rFonts w:eastAsiaTheme="minorHAnsi"/>
          <w:noProof/>
          <w:highlight w:val="yellow"/>
          <w:vertAlign w:val="superscript"/>
        </w:rPr>
        <w:t>63</w:t>
      </w:r>
      <w:r w:rsidRPr="00E66FA6">
        <w:rPr>
          <w:rFonts w:eastAsiaTheme="minorHAnsi"/>
          <w:highlight w:val="yellow"/>
        </w:rPr>
        <w:t>, Chandan et al 2010</w:t>
      </w:r>
      <w:r w:rsidRPr="00E66FA6">
        <w:rPr>
          <w:rFonts w:eastAsiaTheme="minorHAnsi"/>
          <w:noProof/>
          <w:highlight w:val="yellow"/>
          <w:vertAlign w:val="superscript"/>
        </w:rPr>
        <w:t>64</w:t>
      </w:r>
      <w:r w:rsidRPr="00E66FA6">
        <w:rPr>
          <w:rFonts w:eastAsiaTheme="minorHAnsi"/>
          <w:highlight w:val="yellow"/>
        </w:rPr>
        <w:t>) .</w:t>
      </w:r>
    </w:p>
    <w:p w14:paraId="2981AA86" w14:textId="77777777" w:rsidR="002C5277" w:rsidRPr="00E66FA6" w:rsidRDefault="002C5277" w:rsidP="002C5277">
      <w:pPr>
        <w:pStyle w:val="MDPI31text"/>
        <w:rPr>
          <w:rFonts w:eastAsiaTheme="minorHAnsi"/>
          <w:highlight w:val="yellow"/>
        </w:rPr>
      </w:pPr>
      <w:r w:rsidRPr="00E66FA6">
        <w:rPr>
          <w:rFonts w:eastAsiaTheme="minorHAnsi"/>
          <w:highlight w:val="yellow"/>
        </w:rPr>
        <w:t>The authors indicated adequate fixation, better oral hygiene due to less hardware, suitability in deep bite and the advantages in reduction of mandible fractures with sectional bars. They discouraged fracture reduction through these bar segments because the resin bonding might not withstand the forces during traction. Once the reduction was completed by manipulation of the bony fragments and the occlusion was reestablished the sectional bars were joined over the fracture site with wire (!) loops topped by a resin deposit.</w:t>
      </w:r>
    </w:p>
    <w:p w14:paraId="6E7790D2" w14:textId="77777777" w:rsidR="002C5277" w:rsidRPr="002D0052" w:rsidRDefault="002C5277" w:rsidP="002C5277">
      <w:pPr>
        <w:pStyle w:val="MDPI31text"/>
        <w:rPr>
          <w:b/>
          <w:bCs/>
        </w:rPr>
      </w:pPr>
      <w:r w:rsidRPr="00E66FA6">
        <w:rPr>
          <w:rFonts w:eastAsiaTheme="minorHAnsi"/>
          <w:highlight w:val="yellow"/>
        </w:rPr>
        <w:t xml:space="preserve">Another wire-free method of arch bar fixation to the dentition used a bilateral integration of a tiny turnbuckle into the longitudinal rod of a </w:t>
      </w:r>
      <w:proofErr w:type="spellStart"/>
      <w:r w:rsidRPr="00E66FA6">
        <w:rPr>
          <w:rFonts w:eastAsiaTheme="minorHAnsi"/>
          <w:highlight w:val="yellow"/>
        </w:rPr>
        <w:t>Schuchardt</w:t>
      </w:r>
      <w:proofErr w:type="spellEnd"/>
      <w:r w:rsidRPr="00E66FA6">
        <w:rPr>
          <w:rFonts w:eastAsiaTheme="minorHAnsi"/>
          <w:highlight w:val="yellow"/>
        </w:rPr>
        <w:t xml:space="preserve"> arch bar. The ends of the rod completely encompassed the terminal tooth crowns – usually molars – including their lingual or palatal aspect in a belt-like manner. The arch bar was clamped on the dental crown surfaces by tensioning the turnbuckles to shorten the rod length. The posterior clamp fitting attachment was enhanced by filling the interdental spaces with </w:t>
      </w:r>
      <w:r w:rsidRPr="00E66FA6">
        <w:rPr>
          <w:highlight w:val="yellow"/>
        </w:rPr>
        <w:t>auto-polymerizing acrylic resin (</w:t>
      </w:r>
      <w:proofErr w:type="spellStart"/>
      <w:r w:rsidRPr="00E66FA6">
        <w:rPr>
          <w:highlight w:val="yellow"/>
        </w:rPr>
        <w:t>Hönig</w:t>
      </w:r>
      <w:proofErr w:type="spellEnd"/>
      <w:r w:rsidRPr="00E66FA6">
        <w:rPr>
          <w:highlight w:val="yellow"/>
        </w:rPr>
        <w:t xml:space="preserve"> 1991)</w:t>
      </w:r>
      <w:r w:rsidRPr="00E66FA6">
        <w:rPr>
          <w:noProof/>
          <w:highlight w:val="yellow"/>
          <w:vertAlign w:val="superscript"/>
        </w:rPr>
        <w:t>65</w:t>
      </w:r>
      <w:r w:rsidRPr="00E66FA6">
        <w:rPr>
          <w:highlight w:val="yellow"/>
        </w:rPr>
        <w:t>. Potentially adverse reactions of the teeth (unwanted movements, extrusion) to clamping forces were downplayed in the author’s discussion.</w:t>
      </w:r>
    </w:p>
    <w:p w14:paraId="44100DD5" w14:textId="77777777" w:rsidR="002C5277" w:rsidRPr="006B544D" w:rsidRDefault="002C5277">
      <w:pPr>
        <w:rPr>
          <w:lang w:val="en-US"/>
        </w:rPr>
      </w:pPr>
    </w:p>
    <w:sectPr w:rsidR="002C5277" w:rsidRPr="006B544D" w:rsidSect="00682D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Times-Roman">
    <w:altName w:val="Times New Roman"/>
    <w:panose1 w:val="0000050000000002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4D"/>
    <w:rsid w:val="000014AD"/>
    <w:rsid w:val="0000307B"/>
    <w:rsid w:val="00003F04"/>
    <w:rsid w:val="00005DCA"/>
    <w:rsid w:val="00005DE6"/>
    <w:rsid w:val="00007C85"/>
    <w:rsid w:val="00010E75"/>
    <w:rsid w:val="00011973"/>
    <w:rsid w:val="000152CE"/>
    <w:rsid w:val="0001558B"/>
    <w:rsid w:val="0001715B"/>
    <w:rsid w:val="0002019B"/>
    <w:rsid w:val="00020521"/>
    <w:rsid w:val="00021EA0"/>
    <w:rsid w:val="00023CDD"/>
    <w:rsid w:val="00024096"/>
    <w:rsid w:val="000259D9"/>
    <w:rsid w:val="00026B69"/>
    <w:rsid w:val="00031F1D"/>
    <w:rsid w:val="000325E5"/>
    <w:rsid w:val="000342ED"/>
    <w:rsid w:val="000347D6"/>
    <w:rsid w:val="00037A11"/>
    <w:rsid w:val="00041C41"/>
    <w:rsid w:val="00041D96"/>
    <w:rsid w:val="000450F0"/>
    <w:rsid w:val="00045679"/>
    <w:rsid w:val="0004613A"/>
    <w:rsid w:val="00046701"/>
    <w:rsid w:val="00046B1C"/>
    <w:rsid w:val="00047A15"/>
    <w:rsid w:val="00051A55"/>
    <w:rsid w:val="00052FDC"/>
    <w:rsid w:val="00054245"/>
    <w:rsid w:val="00054A56"/>
    <w:rsid w:val="000554BB"/>
    <w:rsid w:val="000556FC"/>
    <w:rsid w:val="000562E6"/>
    <w:rsid w:val="00057CA5"/>
    <w:rsid w:val="00057D1B"/>
    <w:rsid w:val="0006238A"/>
    <w:rsid w:val="00062A42"/>
    <w:rsid w:val="00062BAE"/>
    <w:rsid w:val="00062FD6"/>
    <w:rsid w:val="00064032"/>
    <w:rsid w:val="00065F10"/>
    <w:rsid w:val="000703A4"/>
    <w:rsid w:val="00070870"/>
    <w:rsid w:val="00071791"/>
    <w:rsid w:val="0007219C"/>
    <w:rsid w:val="00073D2E"/>
    <w:rsid w:val="00074C6F"/>
    <w:rsid w:val="000750A6"/>
    <w:rsid w:val="00075212"/>
    <w:rsid w:val="00075A89"/>
    <w:rsid w:val="0007665A"/>
    <w:rsid w:val="00077573"/>
    <w:rsid w:val="00083F5F"/>
    <w:rsid w:val="00085785"/>
    <w:rsid w:val="00086A5B"/>
    <w:rsid w:val="00090B56"/>
    <w:rsid w:val="00091334"/>
    <w:rsid w:val="00092C6B"/>
    <w:rsid w:val="00094AAD"/>
    <w:rsid w:val="00094E9A"/>
    <w:rsid w:val="00096C61"/>
    <w:rsid w:val="00096DCA"/>
    <w:rsid w:val="00096EAB"/>
    <w:rsid w:val="000A0414"/>
    <w:rsid w:val="000A21E8"/>
    <w:rsid w:val="000A290A"/>
    <w:rsid w:val="000A294F"/>
    <w:rsid w:val="000A6A16"/>
    <w:rsid w:val="000A6ABC"/>
    <w:rsid w:val="000A7909"/>
    <w:rsid w:val="000B090B"/>
    <w:rsid w:val="000B0BD4"/>
    <w:rsid w:val="000B12FF"/>
    <w:rsid w:val="000B2813"/>
    <w:rsid w:val="000B3810"/>
    <w:rsid w:val="000B382F"/>
    <w:rsid w:val="000B4B36"/>
    <w:rsid w:val="000B6305"/>
    <w:rsid w:val="000B7390"/>
    <w:rsid w:val="000C0318"/>
    <w:rsid w:val="000C0798"/>
    <w:rsid w:val="000C2B94"/>
    <w:rsid w:val="000C362A"/>
    <w:rsid w:val="000C4B82"/>
    <w:rsid w:val="000C5112"/>
    <w:rsid w:val="000C5DCC"/>
    <w:rsid w:val="000C6746"/>
    <w:rsid w:val="000C6F4A"/>
    <w:rsid w:val="000C79FC"/>
    <w:rsid w:val="000C7D6F"/>
    <w:rsid w:val="000D2DE5"/>
    <w:rsid w:val="000D3009"/>
    <w:rsid w:val="000D5AAD"/>
    <w:rsid w:val="000D7460"/>
    <w:rsid w:val="000E2053"/>
    <w:rsid w:val="000E2C3B"/>
    <w:rsid w:val="000E32EE"/>
    <w:rsid w:val="000E488B"/>
    <w:rsid w:val="000E6127"/>
    <w:rsid w:val="000E62A2"/>
    <w:rsid w:val="000F287C"/>
    <w:rsid w:val="000F42E1"/>
    <w:rsid w:val="000F4ECA"/>
    <w:rsid w:val="000F66DA"/>
    <w:rsid w:val="000F7E85"/>
    <w:rsid w:val="00101D46"/>
    <w:rsid w:val="001034EE"/>
    <w:rsid w:val="00103A9A"/>
    <w:rsid w:val="001049CB"/>
    <w:rsid w:val="00104E96"/>
    <w:rsid w:val="00110733"/>
    <w:rsid w:val="0011193A"/>
    <w:rsid w:val="0011261D"/>
    <w:rsid w:val="00112961"/>
    <w:rsid w:val="001134F3"/>
    <w:rsid w:val="00115393"/>
    <w:rsid w:val="00120C37"/>
    <w:rsid w:val="00121371"/>
    <w:rsid w:val="00121EC3"/>
    <w:rsid w:val="00125CEB"/>
    <w:rsid w:val="00125EDE"/>
    <w:rsid w:val="0012679B"/>
    <w:rsid w:val="00127A6F"/>
    <w:rsid w:val="001307FC"/>
    <w:rsid w:val="00131014"/>
    <w:rsid w:val="0013349D"/>
    <w:rsid w:val="00136541"/>
    <w:rsid w:val="00140E5E"/>
    <w:rsid w:val="00140EA2"/>
    <w:rsid w:val="00143E4C"/>
    <w:rsid w:val="00145C1B"/>
    <w:rsid w:val="00145E0C"/>
    <w:rsid w:val="001461AE"/>
    <w:rsid w:val="00147233"/>
    <w:rsid w:val="00147499"/>
    <w:rsid w:val="0015050B"/>
    <w:rsid w:val="0015286C"/>
    <w:rsid w:val="0015289D"/>
    <w:rsid w:val="001530AB"/>
    <w:rsid w:val="00154C7E"/>
    <w:rsid w:val="00155D4B"/>
    <w:rsid w:val="001607DA"/>
    <w:rsid w:val="00160A2E"/>
    <w:rsid w:val="00162877"/>
    <w:rsid w:val="00163B10"/>
    <w:rsid w:val="00163B67"/>
    <w:rsid w:val="00164336"/>
    <w:rsid w:val="00165842"/>
    <w:rsid w:val="001659BD"/>
    <w:rsid w:val="001666B5"/>
    <w:rsid w:val="00166905"/>
    <w:rsid w:val="00174FB2"/>
    <w:rsid w:val="0017728D"/>
    <w:rsid w:val="00177635"/>
    <w:rsid w:val="001855DC"/>
    <w:rsid w:val="00186DF1"/>
    <w:rsid w:val="00190C0E"/>
    <w:rsid w:val="00190CF0"/>
    <w:rsid w:val="00193B8D"/>
    <w:rsid w:val="00194F41"/>
    <w:rsid w:val="001957BE"/>
    <w:rsid w:val="00196649"/>
    <w:rsid w:val="00196C47"/>
    <w:rsid w:val="00196D29"/>
    <w:rsid w:val="001A0EFC"/>
    <w:rsid w:val="001A1CA2"/>
    <w:rsid w:val="001A3443"/>
    <w:rsid w:val="001A54E6"/>
    <w:rsid w:val="001A7E7F"/>
    <w:rsid w:val="001B0996"/>
    <w:rsid w:val="001B0F5D"/>
    <w:rsid w:val="001B1403"/>
    <w:rsid w:val="001B39B2"/>
    <w:rsid w:val="001B6C2F"/>
    <w:rsid w:val="001B7BE8"/>
    <w:rsid w:val="001B7C13"/>
    <w:rsid w:val="001B7D1C"/>
    <w:rsid w:val="001C0089"/>
    <w:rsid w:val="001C00E1"/>
    <w:rsid w:val="001C2F2E"/>
    <w:rsid w:val="001C3E76"/>
    <w:rsid w:val="001C56BC"/>
    <w:rsid w:val="001C6B82"/>
    <w:rsid w:val="001D01C1"/>
    <w:rsid w:val="001D18CE"/>
    <w:rsid w:val="001D3580"/>
    <w:rsid w:val="001D3E3D"/>
    <w:rsid w:val="001D4A35"/>
    <w:rsid w:val="001D69A8"/>
    <w:rsid w:val="001E285F"/>
    <w:rsid w:val="001E3580"/>
    <w:rsid w:val="001E565D"/>
    <w:rsid w:val="001E5E66"/>
    <w:rsid w:val="001E6B11"/>
    <w:rsid w:val="001E73A8"/>
    <w:rsid w:val="001F2650"/>
    <w:rsid w:val="001F268F"/>
    <w:rsid w:val="001F3420"/>
    <w:rsid w:val="001F447D"/>
    <w:rsid w:val="001F4B09"/>
    <w:rsid w:val="001F5791"/>
    <w:rsid w:val="001F5BA0"/>
    <w:rsid w:val="001F7562"/>
    <w:rsid w:val="0020459C"/>
    <w:rsid w:val="002064EC"/>
    <w:rsid w:val="002073D9"/>
    <w:rsid w:val="0021007F"/>
    <w:rsid w:val="00211093"/>
    <w:rsid w:val="00211772"/>
    <w:rsid w:val="002125BB"/>
    <w:rsid w:val="00213F77"/>
    <w:rsid w:val="0021427B"/>
    <w:rsid w:val="00215E05"/>
    <w:rsid w:val="0022345D"/>
    <w:rsid w:val="00225B6B"/>
    <w:rsid w:val="002260E9"/>
    <w:rsid w:val="002267A7"/>
    <w:rsid w:val="00230AB6"/>
    <w:rsid w:val="00230B64"/>
    <w:rsid w:val="002322D6"/>
    <w:rsid w:val="00233F3A"/>
    <w:rsid w:val="00235096"/>
    <w:rsid w:val="0023583E"/>
    <w:rsid w:val="002361DB"/>
    <w:rsid w:val="002432A6"/>
    <w:rsid w:val="00245094"/>
    <w:rsid w:val="00245CAC"/>
    <w:rsid w:val="002475F5"/>
    <w:rsid w:val="00247F4A"/>
    <w:rsid w:val="00250CF8"/>
    <w:rsid w:val="0025163B"/>
    <w:rsid w:val="002525BA"/>
    <w:rsid w:val="00253600"/>
    <w:rsid w:val="002608A6"/>
    <w:rsid w:val="00263F9F"/>
    <w:rsid w:val="00264DD5"/>
    <w:rsid w:val="00264ECC"/>
    <w:rsid w:val="002673B0"/>
    <w:rsid w:val="002725FA"/>
    <w:rsid w:val="0027564F"/>
    <w:rsid w:val="00275F44"/>
    <w:rsid w:val="00276480"/>
    <w:rsid w:val="0028005B"/>
    <w:rsid w:val="00280A1B"/>
    <w:rsid w:val="00281E09"/>
    <w:rsid w:val="00282B1F"/>
    <w:rsid w:val="00284250"/>
    <w:rsid w:val="00290547"/>
    <w:rsid w:val="0029212C"/>
    <w:rsid w:val="002925C8"/>
    <w:rsid w:val="00292E96"/>
    <w:rsid w:val="002933B8"/>
    <w:rsid w:val="00293754"/>
    <w:rsid w:val="002941ED"/>
    <w:rsid w:val="002945BD"/>
    <w:rsid w:val="00294865"/>
    <w:rsid w:val="002A16C8"/>
    <w:rsid w:val="002A19E2"/>
    <w:rsid w:val="002A1BF8"/>
    <w:rsid w:val="002A4C17"/>
    <w:rsid w:val="002A59E9"/>
    <w:rsid w:val="002A5C65"/>
    <w:rsid w:val="002A5D1E"/>
    <w:rsid w:val="002A73CB"/>
    <w:rsid w:val="002B146B"/>
    <w:rsid w:val="002B3BCB"/>
    <w:rsid w:val="002B3CA2"/>
    <w:rsid w:val="002B4C66"/>
    <w:rsid w:val="002B56A1"/>
    <w:rsid w:val="002B6159"/>
    <w:rsid w:val="002B683E"/>
    <w:rsid w:val="002C2A02"/>
    <w:rsid w:val="002C3066"/>
    <w:rsid w:val="002C3B0D"/>
    <w:rsid w:val="002C3D28"/>
    <w:rsid w:val="002C5277"/>
    <w:rsid w:val="002C7396"/>
    <w:rsid w:val="002D142F"/>
    <w:rsid w:val="002D1664"/>
    <w:rsid w:val="002D1C29"/>
    <w:rsid w:val="002D28DB"/>
    <w:rsid w:val="002D32FF"/>
    <w:rsid w:val="002D5AAC"/>
    <w:rsid w:val="002D7F43"/>
    <w:rsid w:val="002E01BA"/>
    <w:rsid w:val="002E06C3"/>
    <w:rsid w:val="002E0789"/>
    <w:rsid w:val="002E0966"/>
    <w:rsid w:val="002E14FD"/>
    <w:rsid w:val="002E334E"/>
    <w:rsid w:val="002E5C67"/>
    <w:rsid w:val="002E5F08"/>
    <w:rsid w:val="002F0411"/>
    <w:rsid w:val="002F0436"/>
    <w:rsid w:val="002F0488"/>
    <w:rsid w:val="002F0F73"/>
    <w:rsid w:val="002F1F57"/>
    <w:rsid w:val="002F3615"/>
    <w:rsid w:val="002F4F06"/>
    <w:rsid w:val="002F52B7"/>
    <w:rsid w:val="002F5CAB"/>
    <w:rsid w:val="002F63EF"/>
    <w:rsid w:val="002F72BA"/>
    <w:rsid w:val="002F787B"/>
    <w:rsid w:val="002F79D2"/>
    <w:rsid w:val="00300447"/>
    <w:rsid w:val="00302205"/>
    <w:rsid w:val="003025CB"/>
    <w:rsid w:val="003028F6"/>
    <w:rsid w:val="00303095"/>
    <w:rsid w:val="00305782"/>
    <w:rsid w:val="00305AB0"/>
    <w:rsid w:val="00306A56"/>
    <w:rsid w:val="00306C14"/>
    <w:rsid w:val="0030723E"/>
    <w:rsid w:val="00310259"/>
    <w:rsid w:val="00312662"/>
    <w:rsid w:val="00312BC8"/>
    <w:rsid w:val="00313278"/>
    <w:rsid w:val="00313331"/>
    <w:rsid w:val="00313ACF"/>
    <w:rsid w:val="00314BBF"/>
    <w:rsid w:val="003151E8"/>
    <w:rsid w:val="0031788C"/>
    <w:rsid w:val="003204B3"/>
    <w:rsid w:val="0032142E"/>
    <w:rsid w:val="003221EF"/>
    <w:rsid w:val="00323B9A"/>
    <w:rsid w:val="00324172"/>
    <w:rsid w:val="00325FC3"/>
    <w:rsid w:val="00327A08"/>
    <w:rsid w:val="00330F80"/>
    <w:rsid w:val="00331336"/>
    <w:rsid w:val="00336617"/>
    <w:rsid w:val="003370D5"/>
    <w:rsid w:val="00342AC9"/>
    <w:rsid w:val="003453C6"/>
    <w:rsid w:val="00345546"/>
    <w:rsid w:val="00345E69"/>
    <w:rsid w:val="00352564"/>
    <w:rsid w:val="00352747"/>
    <w:rsid w:val="00353130"/>
    <w:rsid w:val="003532BB"/>
    <w:rsid w:val="0035363C"/>
    <w:rsid w:val="0035494E"/>
    <w:rsid w:val="00356D0B"/>
    <w:rsid w:val="0035788E"/>
    <w:rsid w:val="00360A4A"/>
    <w:rsid w:val="00363E63"/>
    <w:rsid w:val="00364358"/>
    <w:rsid w:val="0037048F"/>
    <w:rsid w:val="00371760"/>
    <w:rsid w:val="003742CC"/>
    <w:rsid w:val="0037480F"/>
    <w:rsid w:val="00375079"/>
    <w:rsid w:val="00377263"/>
    <w:rsid w:val="003774F5"/>
    <w:rsid w:val="003806CD"/>
    <w:rsid w:val="00380946"/>
    <w:rsid w:val="00380A03"/>
    <w:rsid w:val="00383ACB"/>
    <w:rsid w:val="0038635E"/>
    <w:rsid w:val="003870B5"/>
    <w:rsid w:val="00390533"/>
    <w:rsid w:val="003927E4"/>
    <w:rsid w:val="003933EF"/>
    <w:rsid w:val="00393F5B"/>
    <w:rsid w:val="00395C40"/>
    <w:rsid w:val="00396C8B"/>
    <w:rsid w:val="003A116B"/>
    <w:rsid w:val="003A393D"/>
    <w:rsid w:val="003A39E5"/>
    <w:rsid w:val="003A7D21"/>
    <w:rsid w:val="003B0586"/>
    <w:rsid w:val="003B1874"/>
    <w:rsid w:val="003B4083"/>
    <w:rsid w:val="003B4A91"/>
    <w:rsid w:val="003B4E25"/>
    <w:rsid w:val="003B4E7C"/>
    <w:rsid w:val="003C061F"/>
    <w:rsid w:val="003C0C9D"/>
    <w:rsid w:val="003C2A02"/>
    <w:rsid w:val="003C31F5"/>
    <w:rsid w:val="003C4445"/>
    <w:rsid w:val="003C4ACE"/>
    <w:rsid w:val="003C57F7"/>
    <w:rsid w:val="003C76C0"/>
    <w:rsid w:val="003D130B"/>
    <w:rsid w:val="003D1F85"/>
    <w:rsid w:val="003D2744"/>
    <w:rsid w:val="003D5006"/>
    <w:rsid w:val="003D5F88"/>
    <w:rsid w:val="003D7503"/>
    <w:rsid w:val="003E26AE"/>
    <w:rsid w:val="003E2AE6"/>
    <w:rsid w:val="003E46E5"/>
    <w:rsid w:val="003E4F78"/>
    <w:rsid w:val="003E55C8"/>
    <w:rsid w:val="003E5D25"/>
    <w:rsid w:val="003F18A7"/>
    <w:rsid w:val="003F192D"/>
    <w:rsid w:val="003F433F"/>
    <w:rsid w:val="003F460D"/>
    <w:rsid w:val="003F5252"/>
    <w:rsid w:val="003F55E6"/>
    <w:rsid w:val="003F5C28"/>
    <w:rsid w:val="003F73BD"/>
    <w:rsid w:val="00400435"/>
    <w:rsid w:val="00400C0C"/>
    <w:rsid w:val="0040102B"/>
    <w:rsid w:val="00403601"/>
    <w:rsid w:val="0040468A"/>
    <w:rsid w:val="00404A7C"/>
    <w:rsid w:val="0040543E"/>
    <w:rsid w:val="004054C9"/>
    <w:rsid w:val="004064CF"/>
    <w:rsid w:val="00406E60"/>
    <w:rsid w:val="00410AF4"/>
    <w:rsid w:val="00411651"/>
    <w:rsid w:val="0041269A"/>
    <w:rsid w:val="00412B4B"/>
    <w:rsid w:val="00414259"/>
    <w:rsid w:val="004165D1"/>
    <w:rsid w:val="004178CD"/>
    <w:rsid w:val="00417AE7"/>
    <w:rsid w:val="0042048C"/>
    <w:rsid w:val="004204BB"/>
    <w:rsid w:val="004213C7"/>
    <w:rsid w:val="0042276E"/>
    <w:rsid w:val="004236D6"/>
    <w:rsid w:val="00423C79"/>
    <w:rsid w:val="00423E24"/>
    <w:rsid w:val="0042484B"/>
    <w:rsid w:val="004277B8"/>
    <w:rsid w:val="00431F3A"/>
    <w:rsid w:val="00432071"/>
    <w:rsid w:val="00433E1C"/>
    <w:rsid w:val="0043406E"/>
    <w:rsid w:val="00435C77"/>
    <w:rsid w:val="00437117"/>
    <w:rsid w:val="00437901"/>
    <w:rsid w:val="004413AB"/>
    <w:rsid w:val="00441427"/>
    <w:rsid w:val="00441819"/>
    <w:rsid w:val="00441B7C"/>
    <w:rsid w:val="00442AB0"/>
    <w:rsid w:val="00442BD0"/>
    <w:rsid w:val="004459BE"/>
    <w:rsid w:val="004464B9"/>
    <w:rsid w:val="0044650B"/>
    <w:rsid w:val="00453B0A"/>
    <w:rsid w:val="00454F06"/>
    <w:rsid w:val="004560C2"/>
    <w:rsid w:val="00456B1B"/>
    <w:rsid w:val="00457942"/>
    <w:rsid w:val="00457FE5"/>
    <w:rsid w:val="0046093A"/>
    <w:rsid w:val="004621E1"/>
    <w:rsid w:val="00462890"/>
    <w:rsid w:val="004654BB"/>
    <w:rsid w:val="00465D74"/>
    <w:rsid w:val="00467260"/>
    <w:rsid w:val="0047054A"/>
    <w:rsid w:val="00471A44"/>
    <w:rsid w:val="00473C13"/>
    <w:rsid w:val="00475922"/>
    <w:rsid w:val="00476B85"/>
    <w:rsid w:val="004803B7"/>
    <w:rsid w:val="004809D7"/>
    <w:rsid w:val="00480BC8"/>
    <w:rsid w:val="00482BF5"/>
    <w:rsid w:val="00482E29"/>
    <w:rsid w:val="00483743"/>
    <w:rsid w:val="004855A0"/>
    <w:rsid w:val="004859D2"/>
    <w:rsid w:val="00485D07"/>
    <w:rsid w:val="004863AA"/>
    <w:rsid w:val="0048672B"/>
    <w:rsid w:val="00486D17"/>
    <w:rsid w:val="00487BAD"/>
    <w:rsid w:val="004919AF"/>
    <w:rsid w:val="00491F52"/>
    <w:rsid w:val="00493D13"/>
    <w:rsid w:val="00495392"/>
    <w:rsid w:val="00496374"/>
    <w:rsid w:val="00496A43"/>
    <w:rsid w:val="004A1172"/>
    <w:rsid w:val="004A1EEC"/>
    <w:rsid w:val="004A3DB1"/>
    <w:rsid w:val="004A3F55"/>
    <w:rsid w:val="004A6B99"/>
    <w:rsid w:val="004A6F82"/>
    <w:rsid w:val="004A71DA"/>
    <w:rsid w:val="004B033E"/>
    <w:rsid w:val="004B043C"/>
    <w:rsid w:val="004B0998"/>
    <w:rsid w:val="004B18BD"/>
    <w:rsid w:val="004B479B"/>
    <w:rsid w:val="004B4A43"/>
    <w:rsid w:val="004B5E0E"/>
    <w:rsid w:val="004B615A"/>
    <w:rsid w:val="004B73E3"/>
    <w:rsid w:val="004C18B0"/>
    <w:rsid w:val="004C1CDB"/>
    <w:rsid w:val="004C43F9"/>
    <w:rsid w:val="004C6611"/>
    <w:rsid w:val="004C6909"/>
    <w:rsid w:val="004C6B86"/>
    <w:rsid w:val="004C71FE"/>
    <w:rsid w:val="004C7A77"/>
    <w:rsid w:val="004D10C3"/>
    <w:rsid w:val="004D2086"/>
    <w:rsid w:val="004D3AD8"/>
    <w:rsid w:val="004D404C"/>
    <w:rsid w:val="004D4A22"/>
    <w:rsid w:val="004D4D43"/>
    <w:rsid w:val="004D637D"/>
    <w:rsid w:val="004D6DEA"/>
    <w:rsid w:val="004E5A88"/>
    <w:rsid w:val="004E5E7C"/>
    <w:rsid w:val="004E6C38"/>
    <w:rsid w:val="004E768B"/>
    <w:rsid w:val="004F03FE"/>
    <w:rsid w:val="004F1213"/>
    <w:rsid w:val="004F37A4"/>
    <w:rsid w:val="004F55AA"/>
    <w:rsid w:val="004F5CA3"/>
    <w:rsid w:val="004F6A0B"/>
    <w:rsid w:val="00500A93"/>
    <w:rsid w:val="005012B1"/>
    <w:rsid w:val="00501D3D"/>
    <w:rsid w:val="00503958"/>
    <w:rsid w:val="00505354"/>
    <w:rsid w:val="00505ABA"/>
    <w:rsid w:val="00506469"/>
    <w:rsid w:val="00507420"/>
    <w:rsid w:val="005079B2"/>
    <w:rsid w:val="00507D37"/>
    <w:rsid w:val="00511E20"/>
    <w:rsid w:val="00511FE4"/>
    <w:rsid w:val="00514592"/>
    <w:rsid w:val="00514E5C"/>
    <w:rsid w:val="00515122"/>
    <w:rsid w:val="005163B5"/>
    <w:rsid w:val="00516689"/>
    <w:rsid w:val="0051780E"/>
    <w:rsid w:val="00517862"/>
    <w:rsid w:val="00521D5E"/>
    <w:rsid w:val="005240CA"/>
    <w:rsid w:val="005250AF"/>
    <w:rsid w:val="00526DF9"/>
    <w:rsid w:val="00527B2D"/>
    <w:rsid w:val="00531686"/>
    <w:rsid w:val="00532A40"/>
    <w:rsid w:val="00533213"/>
    <w:rsid w:val="005333DE"/>
    <w:rsid w:val="00533713"/>
    <w:rsid w:val="005340F0"/>
    <w:rsid w:val="00534696"/>
    <w:rsid w:val="00541311"/>
    <w:rsid w:val="00542E6D"/>
    <w:rsid w:val="0054479E"/>
    <w:rsid w:val="0054593F"/>
    <w:rsid w:val="0054646D"/>
    <w:rsid w:val="005477D2"/>
    <w:rsid w:val="005479CA"/>
    <w:rsid w:val="00550D2A"/>
    <w:rsid w:val="00550E25"/>
    <w:rsid w:val="0055166F"/>
    <w:rsid w:val="005538F8"/>
    <w:rsid w:val="00554D8F"/>
    <w:rsid w:val="00555F76"/>
    <w:rsid w:val="005606CE"/>
    <w:rsid w:val="00562F03"/>
    <w:rsid w:val="0056396A"/>
    <w:rsid w:val="005641A2"/>
    <w:rsid w:val="00564ECE"/>
    <w:rsid w:val="00565820"/>
    <w:rsid w:val="005671DF"/>
    <w:rsid w:val="00571D68"/>
    <w:rsid w:val="00573097"/>
    <w:rsid w:val="005742AE"/>
    <w:rsid w:val="00575B1C"/>
    <w:rsid w:val="00580D58"/>
    <w:rsid w:val="005814F6"/>
    <w:rsid w:val="0058278B"/>
    <w:rsid w:val="00583103"/>
    <w:rsid w:val="00583B02"/>
    <w:rsid w:val="00584EE2"/>
    <w:rsid w:val="0058668C"/>
    <w:rsid w:val="00586DA1"/>
    <w:rsid w:val="005904A8"/>
    <w:rsid w:val="005905FC"/>
    <w:rsid w:val="00590866"/>
    <w:rsid w:val="00591BEE"/>
    <w:rsid w:val="005921C4"/>
    <w:rsid w:val="00592328"/>
    <w:rsid w:val="005923A4"/>
    <w:rsid w:val="005937FB"/>
    <w:rsid w:val="005955B1"/>
    <w:rsid w:val="0059681B"/>
    <w:rsid w:val="00596F9D"/>
    <w:rsid w:val="005A18D8"/>
    <w:rsid w:val="005A2747"/>
    <w:rsid w:val="005A2F51"/>
    <w:rsid w:val="005A40FA"/>
    <w:rsid w:val="005A452E"/>
    <w:rsid w:val="005A49D7"/>
    <w:rsid w:val="005B0986"/>
    <w:rsid w:val="005B20E2"/>
    <w:rsid w:val="005B47F7"/>
    <w:rsid w:val="005B4B72"/>
    <w:rsid w:val="005B609F"/>
    <w:rsid w:val="005C02BC"/>
    <w:rsid w:val="005C21F1"/>
    <w:rsid w:val="005C28E0"/>
    <w:rsid w:val="005C4028"/>
    <w:rsid w:val="005C4425"/>
    <w:rsid w:val="005C459E"/>
    <w:rsid w:val="005C4AD9"/>
    <w:rsid w:val="005C6523"/>
    <w:rsid w:val="005C657E"/>
    <w:rsid w:val="005C715E"/>
    <w:rsid w:val="005D0263"/>
    <w:rsid w:val="005D3961"/>
    <w:rsid w:val="005D5FE3"/>
    <w:rsid w:val="005D6F6D"/>
    <w:rsid w:val="005D765D"/>
    <w:rsid w:val="005D7F02"/>
    <w:rsid w:val="005E007B"/>
    <w:rsid w:val="005E0C4C"/>
    <w:rsid w:val="005E1B2B"/>
    <w:rsid w:val="005E243C"/>
    <w:rsid w:val="005E2AB0"/>
    <w:rsid w:val="005E3856"/>
    <w:rsid w:val="005E49F2"/>
    <w:rsid w:val="005E4CFF"/>
    <w:rsid w:val="005E4E94"/>
    <w:rsid w:val="005E5206"/>
    <w:rsid w:val="005E5D2D"/>
    <w:rsid w:val="005F065B"/>
    <w:rsid w:val="005F16FE"/>
    <w:rsid w:val="005F1C54"/>
    <w:rsid w:val="005F48B7"/>
    <w:rsid w:val="005F6EBE"/>
    <w:rsid w:val="005F6F2E"/>
    <w:rsid w:val="005F7D2C"/>
    <w:rsid w:val="00600737"/>
    <w:rsid w:val="00603BF7"/>
    <w:rsid w:val="00607BCB"/>
    <w:rsid w:val="00610156"/>
    <w:rsid w:val="00610335"/>
    <w:rsid w:val="006132CB"/>
    <w:rsid w:val="00613A29"/>
    <w:rsid w:val="00613E7F"/>
    <w:rsid w:val="00614386"/>
    <w:rsid w:val="00614F0B"/>
    <w:rsid w:val="006158B0"/>
    <w:rsid w:val="006173A2"/>
    <w:rsid w:val="00617CED"/>
    <w:rsid w:val="00621BC3"/>
    <w:rsid w:val="0062424E"/>
    <w:rsid w:val="006249F2"/>
    <w:rsid w:val="006259A6"/>
    <w:rsid w:val="00625EDF"/>
    <w:rsid w:val="00631F70"/>
    <w:rsid w:val="00632086"/>
    <w:rsid w:val="006328A1"/>
    <w:rsid w:val="00635555"/>
    <w:rsid w:val="00643BB1"/>
    <w:rsid w:val="006445B4"/>
    <w:rsid w:val="00644A62"/>
    <w:rsid w:val="00644D79"/>
    <w:rsid w:val="00645195"/>
    <w:rsid w:val="00645E1E"/>
    <w:rsid w:val="0064753C"/>
    <w:rsid w:val="00647AC6"/>
    <w:rsid w:val="00647CAE"/>
    <w:rsid w:val="00650304"/>
    <w:rsid w:val="0065105E"/>
    <w:rsid w:val="006512BF"/>
    <w:rsid w:val="00653FCD"/>
    <w:rsid w:val="00654B41"/>
    <w:rsid w:val="00655758"/>
    <w:rsid w:val="006575C2"/>
    <w:rsid w:val="00661D05"/>
    <w:rsid w:val="00663E8C"/>
    <w:rsid w:val="00663EA3"/>
    <w:rsid w:val="006643B6"/>
    <w:rsid w:val="0066538A"/>
    <w:rsid w:val="00665C11"/>
    <w:rsid w:val="00666D65"/>
    <w:rsid w:val="00666EB4"/>
    <w:rsid w:val="00667BDA"/>
    <w:rsid w:val="006704A6"/>
    <w:rsid w:val="00671CFD"/>
    <w:rsid w:val="0067228E"/>
    <w:rsid w:val="00673735"/>
    <w:rsid w:val="00675236"/>
    <w:rsid w:val="006815D6"/>
    <w:rsid w:val="00681C5A"/>
    <w:rsid w:val="00682D75"/>
    <w:rsid w:val="00683896"/>
    <w:rsid w:val="00685AD8"/>
    <w:rsid w:val="00685E42"/>
    <w:rsid w:val="00685FC5"/>
    <w:rsid w:val="0068601F"/>
    <w:rsid w:val="0069029C"/>
    <w:rsid w:val="006917A3"/>
    <w:rsid w:val="006925C7"/>
    <w:rsid w:val="00692675"/>
    <w:rsid w:val="00692DDE"/>
    <w:rsid w:val="00693F97"/>
    <w:rsid w:val="00694A13"/>
    <w:rsid w:val="00695235"/>
    <w:rsid w:val="00695837"/>
    <w:rsid w:val="00695DE4"/>
    <w:rsid w:val="00695DEB"/>
    <w:rsid w:val="0069664E"/>
    <w:rsid w:val="006971D3"/>
    <w:rsid w:val="006A079C"/>
    <w:rsid w:val="006A5B73"/>
    <w:rsid w:val="006A68BF"/>
    <w:rsid w:val="006A6B5B"/>
    <w:rsid w:val="006A6BDE"/>
    <w:rsid w:val="006B0D2A"/>
    <w:rsid w:val="006B288A"/>
    <w:rsid w:val="006B394C"/>
    <w:rsid w:val="006B544D"/>
    <w:rsid w:val="006B5927"/>
    <w:rsid w:val="006B6CF5"/>
    <w:rsid w:val="006C1862"/>
    <w:rsid w:val="006C1D14"/>
    <w:rsid w:val="006C33F6"/>
    <w:rsid w:val="006C381D"/>
    <w:rsid w:val="006C4EE2"/>
    <w:rsid w:val="006C5818"/>
    <w:rsid w:val="006C5A21"/>
    <w:rsid w:val="006C7ADE"/>
    <w:rsid w:val="006C7F07"/>
    <w:rsid w:val="006D2AE1"/>
    <w:rsid w:val="006D3413"/>
    <w:rsid w:val="006D384E"/>
    <w:rsid w:val="006D518A"/>
    <w:rsid w:val="006D736A"/>
    <w:rsid w:val="006D758F"/>
    <w:rsid w:val="006E0E09"/>
    <w:rsid w:val="006E3650"/>
    <w:rsid w:val="006E42C2"/>
    <w:rsid w:val="006E4A9B"/>
    <w:rsid w:val="006E5109"/>
    <w:rsid w:val="006E6EDD"/>
    <w:rsid w:val="006F182B"/>
    <w:rsid w:val="006F345A"/>
    <w:rsid w:val="006F5EEF"/>
    <w:rsid w:val="00700993"/>
    <w:rsid w:val="00700DAF"/>
    <w:rsid w:val="00701388"/>
    <w:rsid w:val="00701CD2"/>
    <w:rsid w:val="00702550"/>
    <w:rsid w:val="007028F6"/>
    <w:rsid w:val="00703B4B"/>
    <w:rsid w:val="00704690"/>
    <w:rsid w:val="007049C8"/>
    <w:rsid w:val="00704CF8"/>
    <w:rsid w:val="00705C42"/>
    <w:rsid w:val="00705CFC"/>
    <w:rsid w:val="00710EEF"/>
    <w:rsid w:val="00713B70"/>
    <w:rsid w:val="0071542D"/>
    <w:rsid w:val="0071554F"/>
    <w:rsid w:val="00716182"/>
    <w:rsid w:val="007201CA"/>
    <w:rsid w:val="00721AAA"/>
    <w:rsid w:val="0072549F"/>
    <w:rsid w:val="0073010B"/>
    <w:rsid w:val="00730ADF"/>
    <w:rsid w:val="00730D42"/>
    <w:rsid w:val="007312BC"/>
    <w:rsid w:val="00732E68"/>
    <w:rsid w:val="0074040F"/>
    <w:rsid w:val="00740E0C"/>
    <w:rsid w:val="007415AA"/>
    <w:rsid w:val="00742039"/>
    <w:rsid w:val="00746F3D"/>
    <w:rsid w:val="00750C80"/>
    <w:rsid w:val="00752471"/>
    <w:rsid w:val="00752FE4"/>
    <w:rsid w:val="00755BFB"/>
    <w:rsid w:val="0076014E"/>
    <w:rsid w:val="00763428"/>
    <w:rsid w:val="00765CC0"/>
    <w:rsid w:val="0076687C"/>
    <w:rsid w:val="00767CE7"/>
    <w:rsid w:val="0077146B"/>
    <w:rsid w:val="00772AEF"/>
    <w:rsid w:val="00773421"/>
    <w:rsid w:val="0077358C"/>
    <w:rsid w:val="00774D1A"/>
    <w:rsid w:val="007765A1"/>
    <w:rsid w:val="007766CA"/>
    <w:rsid w:val="00776ABF"/>
    <w:rsid w:val="00780590"/>
    <w:rsid w:val="00780C13"/>
    <w:rsid w:val="00780D42"/>
    <w:rsid w:val="0078160E"/>
    <w:rsid w:val="0078362E"/>
    <w:rsid w:val="00783E4D"/>
    <w:rsid w:val="007851D3"/>
    <w:rsid w:val="00786B29"/>
    <w:rsid w:val="00790AEF"/>
    <w:rsid w:val="00792316"/>
    <w:rsid w:val="00793C1D"/>
    <w:rsid w:val="0079404C"/>
    <w:rsid w:val="00794D09"/>
    <w:rsid w:val="00795563"/>
    <w:rsid w:val="007973C7"/>
    <w:rsid w:val="007973EC"/>
    <w:rsid w:val="00797CB8"/>
    <w:rsid w:val="007A1B6A"/>
    <w:rsid w:val="007A3391"/>
    <w:rsid w:val="007A51C1"/>
    <w:rsid w:val="007A5AB0"/>
    <w:rsid w:val="007A629C"/>
    <w:rsid w:val="007A6EDE"/>
    <w:rsid w:val="007A755E"/>
    <w:rsid w:val="007B373B"/>
    <w:rsid w:val="007B4CCE"/>
    <w:rsid w:val="007B6790"/>
    <w:rsid w:val="007C13E5"/>
    <w:rsid w:val="007C1D1F"/>
    <w:rsid w:val="007C27BE"/>
    <w:rsid w:val="007C40A7"/>
    <w:rsid w:val="007C451B"/>
    <w:rsid w:val="007C549B"/>
    <w:rsid w:val="007C54E9"/>
    <w:rsid w:val="007C57CD"/>
    <w:rsid w:val="007C5EE6"/>
    <w:rsid w:val="007C6A9C"/>
    <w:rsid w:val="007C73CA"/>
    <w:rsid w:val="007C7AC2"/>
    <w:rsid w:val="007D1CEA"/>
    <w:rsid w:val="007D3982"/>
    <w:rsid w:val="007D5F34"/>
    <w:rsid w:val="007D5F42"/>
    <w:rsid w:val="007D7F3A"/>
    <w:rsid w:val="007E137F"/>
    <w:rsid w:val="007E6192"/>
    <w:rsid w:val="007E623B"/>
    <w:rsid w:val="007E652C"/>
    <w:rsid w:val="007F1437"/>
    <w:rsid w:val="007F16FA"/>
    <w:rsid w:val="007F262F"/>
    <w:rsid w:val="007F293C"/>
    <w:rsid w:val="007F62E9"/>
    <w:rsid w:val="008003AA"/>
    <w:rsid w:val="00801E94"/>
    <w:rsid w:val="00801FB8"/>
    <w:rsid w:val="00805890"/>
    <w:rsid w:val="00810F19"/>
    <w:rsid w:val="008115BE"/>
    <w:rsid w:val="00811AC5"/>
    <w:rsid w:val="0081263F"/>
    <w:rsid w:val="008126A1"/>
    <w:rsid w:val="008129E8"/>
    <w:rsid w:val="00812D09"/>
    <w:rsid w:val="00813584"/>
    <w:rsid w:val="00813F7C"/>
    <w:rsid w:val="0081411E"/>
    <w:rsid w:val="00815A8F"/>
    <w:rsid w:val="00822DA0"/>
    <w:rsid w:val="0083075C"/>
    <w:rsid w:val="00830AAC"/>
    <w:rsid w:val="00835827"/>
    <w:rsid w:val="008360F0"/>
    <w:rsid w:val="00836143"/>
    <w:rsid w:val="008366CB"/>
    <w:rsid w:val="00836778"/>
    <w:rsid w:val="00837DA4"/>
    <w:rsid w:val="00840766"/>
    <w:rsid w:val="00840C14"/>
    <w:rsid w:val="008433C6"/>
    <w:rsid w:val="00845226"/>
    <w:rsid w:val="00847B49"/>
    <w:rsid w:val="00847C9E"/>
    <w:rsid w:val="0085710C"/>
    <w:rsid w:val="008574D1"/>
    <w:rsid w:val="008606CA"/>
    <w:rsid w:val="008613DD"/>
    <w:rsid w:val="0086485F"/>
    <w:rsid w:val="00865023"/>
    <w:rsid w:val="00865271"/>
    <w:rsid w:val="00865792"/>
    <w:rsid w:val="00866045"/>
    <w:rsid w:val="00866798"/>
    <w:rsid w:val="00867C43"/>
    <w:rsid w:val="0087052C"/>
    <w:rsid w:val="00870BC9"/>
    <w:rsid w:val="00873623"/>
    <w:rsid w:val="00874BAA"/>
    <w:rsid w:val="00876D1C"/>
    <w:rsid w:val="00881BD0"/>
    <w:rsid w:val="0088215F"/>
    <w:rsid w:val="008833C7"/>
    <w:rsid w:val="00884609"/>
    <w:rsid w:val="00884DE6"/>
    <w:rsid w:val="00885E5C"/>
    <w:rsid w:val="00886367"/>
    <w:rsid w:val="00887E24"/>
    <w:rsid w:val="00890881"/>
    <w:rsid w:val="0089106E"/>
    <w:rsid w:val="00894F3E"/>
    <w:rsid w:val="00895AB9"/>
    <w:rsid w:val="008973F5"/>
    <w:rsid w:val="00897891"/>
    <w:rsid w:val="008A6D03"/>
    <w:rsid w:val="008B4769"/>
    <w:rsid w:val="008B603D"/>
    <w:rsid w:val="008B626B"/>
    <w:rsid w:val="008C0088"/>
    <w:rsid w:val="008C1185"/>
    <w:rsid w:val="008C22EC"/>
    <w:rsid w:val="008C3EBC"/>
    <w:rsid w:val="008C76A0"/>
    <w:rsid w:val="008C7E6F"/>
    <w:rsid w:val="008C7F35"/>
    <w:rsid w:val="008D343B"/>
    <w:rsid w:val="008D4277"/>
    <w:rsid w:val="008D581F"/>
    <w:rsid w:val="008D6129"/>
    <w:rsid w:val="008D7CA7"/>
    <w:rsid w:val="008E1966"/>
    <w:rsid w:val="008E2A8F"/>
    <w:rsid w:val="008E3317"/>
    <w:rsid w:val="008E4865"/>
    <w:rsid w:val="008E5062"/>
    <w:rsid w:val="008E51DD"/>
    <w:rsid w:val="008E57A0"/>
    <w:rsid w:val="008E699F"/>
    <w:rsid w:val="008E7F74"/>
    <w:rsid w:val="008F0B06"/>
    <w:rsid w:val="008F0DBD"/>
    <w:rsid w:val="008F1CF9"/>
    <w:rsid w:val="008F1E2A"/>
    <w:rsid w:val="008F2A09"/>
    <w:rsid w:val="008F32B6"/>
    <w:rsid w:val="008F42E8"/>
    <w:rsid w:val="008F4E28"/>
    <w:rsid w:val="008F535A"/>
    <w:rsid w:val="008F68EB"/>
    <w:rsid w:val="008F7E52"/>
    <w:rsid w:val="00903403"/>
    <w:rsid w:val="009055AF"/>
    <w:rsid w:val="00911697"/>
    <w:rsid w:val="0091301E"/>
    <w:rsid w:val="0091450B"/>
    <w:rsid w:val="0091592C"/>
    <w:rsid w:val="00916EB7"/>
    <w:rsid w:val="00916F7D"/>
    <w:rsid w:val="00920E24"/>
    <w:rsid w:val="009211A5"/>
    <w:rsid w:val="00921C03"/>
    <w:rsid w:val="009224B7"/>
    <w:rsid w:val="00922B9D"/>
    <w:rsid w:val="00926A6F"/>
    <w:rsid w:val="0093053B"/>
    <w:rsid w:val="0093125C"/>
    <w:rsid w:val="009313DC"/>
    <w:rsid w:val="009318D3"/>
    <w:rsid w:val="009332AC"/>
    <w:rsid w:val="009335A9"/>
    <w:rsid w:val="009335D5"/>
    <w:rsid w:val="00936A33"/>
    <w:rsid w:val="00940C73"/>
    <w:rsid w:val="00950576"/>
    <w:rsid w:val="009505B7"/>
    <w:rsid w:val="00951091"/>
    <w:rsid w:val="00952665"/>
    <w:rsid w:val="00952887"/>
    <w:rsid w:val="009529D0"/>
    <w:rsid w:val="00952F14"/>
    <w:rsid w:val="00953DFE"/>
    <w:rsid w:val="00954D84"/>
    <w:rsid w:val="0095557D"/>
    <w:rsid w:val="00956463"/>
    <w:rsid w:val="00956821"/>
    <w:rsid w:val="0096036B"/>
    <w:rsid w:val="0096122C"/>
    <w:rsid w:val="00962AC5"/>
    <w:rsid w:val="009674DE"/>
    <w:rsid w:val="0096783C"/>
    <w:rsid w:val="00967ACF"/>
    <w:rsid w:val="00967B14"/>
    <w:rsid w:val="00967D78"/>
    <w:rsid w:val="009701B4"/>
    <w:rsid w:val="00970ED5"/>
    <w:rsid w:val="00971D88"/>
    <w:rsid w:val="0097333E"/>
    <w:rsid w:val="009745B5"/>
    <w:rsid w:val="00975EE2"/>
    <w:rsid w:val="009768F2"/>
    <w:rsid w:val="009801F9"/>
    <w:rsid w:val="0098135E"/>
    <w:rsid w:val="0098525C"/>
    <w:rsid w:val="0098620E"/>
    <w:rsid w:val="009865BD"/>
    <w:rsid w:val="0098743E"/>
    <w:rsid w:val="0099406B"/>
    <w:rsid w:val="009945B3"/>
    <w:rsid w:val="00994FD2"/>
    <w:rsid w:val="00995BC7"/>
    <w:rsid w:val="00995CD9"/>
    <w:rsid w:val="00995D90"/>
    <w:rsid w:val="009969A2"/>
    <w:rsid w:val="00996B21"/>
    <w:rsid w:val="00997624"/>
    <w:rsid w:val="00997D83"/>
    <w:rsid w:val="009A00A5"/>
    <w:rsid w:val="009A03DF"/>
    <w:rsid w:val="009A20C7"/>
    <w:rsid w:val="009A24F2"/>
    <w:rsid w:val="009A3086"/>
    <w:rsid w:val="009A4104"/>
    <w:rsid w:val="009A5F06"/>
    <w:rsid w:val="009A700F"/>
    <w:rsid w:val="009B0A4A"/>
    <w:rsid w:val="009B0E8C"/>
    <w:rsid w:val="009B3829"/>
    <w:rsid w:val="009B536C"/>
    <w:rsid w:val="009B5433"/>
    <w:rsid w:val="009B5B28"/>
    <w:rsid w:val="009B5DAB"/>
    <w:rsid w:val="009B7023"/>
    <w:rsid w:val="009B7A07"/>
    <w:rsid w:val="009B7BEE"/>
    <w:rsid w:val="009C064F"/>
    <w:rsid w:val="009C0FEB"/>
    <w:rsid w:val="009C36F6"/>
    <w:rsid w:val="009D1439"/>
    <w:rsid w:val="009D1D5C"/>
    <w:rsid w:val="009D3172"/>
    <w:rsid w:val="009D4CF5"/>
    <w:rsid w:val="009D513C"/>
    <w:rsid w:val="009D62DB"/>
    <w:rsid w:val="009D6C5A"/>
    <w:rsid w:val="009D7146"/>
    <w:rsid w:val="009D7D81"/>
    <w:rsid w:val="009E033D"/>
    <w:rsid w:val="009E08CF"/>
    <w:rsid w:val="009E2AE2"/>
    <w:rsid w:val="009E5FBB"/>
    <w:rsid w:val="009E5FC1"/>
    <w:rsid w:val="009E63BE"/>
    <w:rsid w:val="009E6695"/>
    <w:rsid w:val="009E6E50"/>
    <w:rsid w:val="009F16D0"/>
    <w:rsid w:val="009F1D20"/>
    <w:rsid w:val="009F2BEA"/>
    <w:rsid w:val="009F4D42"/>
    <w:rsid w:val="009F6F3E"/>
    <w:rsid w:val="009F7428"/>
    <w:rsid w:val="009F754D"/>
    <w:rsid w:val="009F75F6"/>
    <w:rsid w:val="00A00818"/>
    <w:rsid w:val="00A01DB7"/>
    <w:rsid w:val="00A02D01"/>
    <w:rsid w:val="00A0309F"/>
    <w:rsid w:val="00A0562C"/>
    <w:rsid w:val="00A065BE"/>
    <w:rsid w:val="00A11740"/>
    <w:rsid w:val="00A11AE0"/>
    <w:rsid w:val="00A12542"/>
    <w:rsid w:val="00A127AA"/>
    <w:rsid w:val="00A15715"/>
    <w:rsid w:val="00A16986"/>
    <w:rsid w:val="00A16D95"/>
    <w:rsid w:val="00A17F4B"/>
    <w:rsid w:val="00A24160"/>
    <w:rsid w:val="00A24377"/>
    <w:rsid w:val="00A24784"/>
    <w:rsid w:val="00A25BEA"/>
    <w:rsid w:val="00A25F74"/>
    <w:rsid w:val="00A308FB"/>
    <w:rsid w:val="00A30D10"/>
    <w:rsid w:val="00A31280"/>
    <w:rsid w:val="00A34189"/>
    <w:rsid w:val="00A35689"/>
    <w:rsid w:val="00A35A3B"/>
    <w:rsid w:val="00A35AF4"/>
    <w:rsid w:val="00A37A2D"/>
    <w:rsid w:val="00A4077A"/>
    <w:rsid w:val="00A409FE"/>
    <w:rsid w:val="00A45536"/>
    <w:rsid w:val="00A459C4"/>
    <w:rsid w:val="00A461B4"/>
    <w:rsid w:val="00A46CC1"/>
    <w:rsid w:val="00A52535"/>
    <w:rsid w:val="00A5266D"/>
    <w:rsid w:val="00A5275C"/>
    <w:rsid w:val="00A52C81"/>
    <w:rsid w:val="00A53251"/>
    <w:rsid w:val="00A544E5"/>
    <w:rsid w:val="00A600C8"/>
    <w:rsid w:val="00A60B13"/>
    <w:rsid w:val="00A62B1E"/>
    <w:rsid w:val="00A639D8"/>
    <w:rsid w:val="00A644E2"/>
    <w:rsid w:val="00A64EDB"/>
    <w:rsid w:val="00A71871"/>
    <w:rsid w:val="00A72F8C"/>
    <w:rsid w:val="00A752CF"/>
    <w:rsid w:val="00A757AD"/>
    <w:rsid w:val="00A759D2"/>
    <w:rsid w:val="00A75C57"/>
    <w:rsid w:val="00A75CA9"/>
    <w:rsid w:val="00A77DAE"/>
    <w:rsid w:val="00A81626"/>
    <w:rsid w:val="00A81A5B"/>
    <w:rsid w:val="00A81D80"/>
    <w:rsid w:val="00A83E66"/>
    <w:rsid w:val="00A8494C"/>
    <w:rsid w:val="00A87B13"/>
    <w:rsid w:val="00A90188"/>
    <w:rsid w:val="00A903FC"/>
    <w:rsid w:val="00A91977"/>
    <w:rsid w:val="00A953ED"/>
    <w:rsid w:val="00A95CE8"/>
    <w:rsid w:val="00A96354"/>
    <w:rsid w:val="00A97240"/>
    <w:rsid w:val="00AA067F"/>
    <w:rsid w:val="00AA412C"/>
    <w:rsid w:val="00AA4277"/>
    <w:rsid w:val="00AA713E"/>
    <w:rsid w:val="00AA7F52"/>
    <w:rsid w:val="00AB0298"/>
    <w:rsid w:val="00AB0B63"/>
    <w:rsid w:val="00AB1673"/>
    <w:rsid w:val="00AB1CEE"/>
    <w:rsid w:val="00AB225A"/>
    <w:rsid w:val="00AB38FF"/>
    <w:rsid w:val="00AB544D"/>
    <w:rsid w:val="00AB56A5"/>
    <w:rsid w:val="00AB59A2"/>
    <w:rsid w:val="00AB6588"/>
    <w:rsid w:val="00AB7146"/>
    <w:rsid w:val="00AB7307"/>
    <w:rsid w:val="00AC219E"/>
    <w:rsid w:val="00AC2B0D"/>
    <w:rsid w:val="00AC352C"/>
    <w:rsid w:val="00AC3829"/>
    <w:rsid w:val="00AC3D08"/>
    <w:rsid w:val="00AC4949"/>
    <w:rsid w:val="00AC4AB4"/>
    <w:rsid w:val="00AD10EE"/>
    <w:rsid w:val="00AD5748"/>
    <w:rsid w:val="00AD6DE4"/>
    <w:rsid w:val="00AD7552"/>
    <w:rsid w:val="00AD75FE"/>
    <w:rsid w:val="00AE38E4"/>
    <w:rsid w:val="00AE3A15"/>
    <w:rsid w:val="00AE4271"/>
    <w:rsid w:val="00AE5C05"/>
    <w:rsid w:val="00AE634F"/>
    <w:rsid w:val="00AE6B29"/>
    <w:rsid w:val="00AE6E5C"/>
    <w:rsid w:val="00AE77FE"/>
    <w:rsid w:val="00AF2ED6"/>
    <w:rsid w:val="00AF5830"/>
    <w:rsid w:val="00AF74C3"/>
    <w:rsid w:val="00AF77F1"/>
    <w:rsid w:val="00B0016E"/>
    <w:rsid w:val="00B002E6"/>
    <w:rsid w:val="00B0052B"/>
    <w:rsid w:val="00B0386D"/>
    <w:rsid w:val="00B06332"/>
    <w:rsid w:val="00B1056D"/>
    <w:rsid w:val="00B10A5F"/>
    <w:rsid w:val="00B10D15"/>
    <w:rsid w:val="00B1359F"/>
    <w:rsid w:val="00B136F6"/>
    <w:rsid w:val="00B13AC7"/>
    <w:rsid w:val="00B1470E"/>
    <w:rsid w:val="00B148B0"/>
    <w:rsid w:val="00B1619E"/>
    <w:rsid w:val="00B16439"/>
    <w:rsid w:val="00B17F7C"/>
    <w:rsid w:val="00B20240"/>
    <w:rsid w:val="00B2077F"/>
    <w:rsid w:val="00B20FFB"/>
    <w:rsid w:val="00B220AA"/>
    <w:rsid w:val="00B22112"/>
    <w:rsid w:val="00B23DF6"/>
    <w:rsid w:val="00B249F6"/>
    <w:rsid w:val="00B24CA2"/>
    <w:rsid w:val="00B2504A"/>
    <w:rsid w:val="00B2549F"/>
    <w:rsid w:val="00B260E5"/>
    <w:rsid w:val="00B260F5"/>
    <w:rsid w:val="00B26AF3"/>
    <w:rsid w:val="00B26C29"/>
    <w:rsid w:val="00B314EA"/>
    <w:rsid w:val="00B33954"/>
    <w:rsid w:val="00B3455C"/>
    <w:rsid w:val="00B34B46"/>
    <w:rsid w:val="00B357FE"/>
    <w:rsid w:val="00B359C8"/>
    <w:rsid w:val="00B3758B"/>
    <w:rsid w:val="00B42330"/>
    <w:rsid w:val="00B42EDF"/>
    <w:rsid w:val="00B450DD"/>
    <w:rsid w:val="00B465EA"/>
    <w:rsid w:val="00B46A44"/>
    <w:rsid w:val="00B46E0B"/>
    <w:rsid w:val="00B50D01"/>
    <w:rsid w:val="00B520FF"/>
    <w:rsid w:val="00B53F6C"/>
    <w:rsid w:val="00B5549D"/>
    <w:rsid w:val="00B55F74"/>
    <w:rsid w:val="00B570A3"/>
    <w:rsid w:val="00B61AD2"/>
    <w:rsid w:val="00B61FC0"/>
    <w:rsid w:val="00B627FB"/>
    <w:rsid w:val="00B64FBF"/>
    <w:rsid w:val="00B65B11"/>
    <w:rsid w:val="00B666FE"/>
    <w:rsid w:val="00B70932"/>
    <w:rsid w:val="00B71F0F"/>
    <w:rsid w:val="00B72DC1"/>
    <w:rsid w:val="00B742DB"/>
    <w:rsid w:val="00B80F3E"/>
    <w:rsid w:val="00B826F9"/>
    <w:rsid w:val="00B82CF4"/>
    <w:rsid w:val="00B84444"/>
    <w:rsid w:val="00B84A86"/>
    <w:rsid w:val="00B863B7"/>
    <w:rsid w:val="00B86EF0"/>
    <w:rsid w:val="00B91995"/>
    <w:rsid w:val="00B9273F"/>
    <w:rsid w:val="00B92AFE"/>
    <w:rsid w:val="00B92D76"/>
    <w:rsid w:val="00B93577"/>
    <w:rsid w:val="00B9373A"/>
    <w:rsid w:val="00B938B9"/>
    <w:rsid w:val="00B940A4"/>
    <w:rsid w:val="00B9495A"/>
    <w:rsid w:val="00B95A1C"/>
    <w:rsid w:val="00B97687"/>
    <w:rsid w:val="00B97CF8"/>
    <w:rsid w:val="00BA12A6"/>
    <w:rsid w:val="00BA144D"/>
    <w:rsid w:val="00BA1A1E"/>
    <w:rsid w:val="00BA2425"/>
    <w:rsid w:val="00BA28AB"/>
    <w:rsid w:val="00BA4470"/>
    <w:rsid w:val="00BA4E01"/>
    <w:rsid w:val="00BA6742"/>
    <w:rsid w:val="00BA79E0"/>
    <w:rsid w:val="00BB041F"/>
    <w:rsid w:val="00BB0507"/>
    <w:rsid w:val="00BB0CDF"/>
    <w:rsid w:val="00BB190A"/>
    <w:rsid w:val="00BB38E2"/>
    <w:rsid w:val="00BB40B6"/>
    <w:rsid w:val="00BB4DB5"/>
    <w:rsid w:val="00BB6222"/>
    <w:rsid w:val="00BB689D"/>
    <w:rsid w:val="00BB6970"/>
    <w:rsid w:val="00BB6EBB"/>
    <w:rsid w:val="00BB7760"/>
    <w:rsid w:val="00BB78BE"/>
    <w:rsid w:val="00BC3E4D"/>
    <w:rsid w:val="00BC542F"/>
    <w:rsid w:val="00BC581C"/>
    <w:rsid w:val="00BC5CD9"/>
    <w:rsid w:val="00BC7CE1"/>
    <w:rsid w:val="00BC7CFF"/>
    <w:rsid w:val="00BC7E04"/>
    <w:rsid w:val="00BD022D"/>
    <w:rsid w:val="00BD0566"/>
    <w:rsid w:val="00BD1ABD"/>
    <w:rsid w:val="00BD2652"/>
    <w:rsid w:val="00BD271C"/>
    <w:rsid w:val="00BD3DA9"/>
    <w:rsid w:val="00BD4453"/>
    <w:rsid w:val="00BD4B8B"/>
    <w:rsid w:val="00BD6B0D"/>
    <w:rsid w:val="00BD6E48"/>
    <w:rsid w:val="00BE0AF5"/>
    <w:rsid w:val="00BE114C"/>
    <w:rsid w:val="00BE127E"/>
    <w:rsid w:val="00BE39D8"/>
    <w:rsid w:val="00BE3BF6"/>
    <w:rsid w:val="00BE5C4D"/>
    <w:rsid w:val="00BE5F9E"/>
    <w:rsid w:val="00BE6BD6"/>
    <w:rsid w:val="00BE75CD"/>
    <w:rsid w:val="00BE77F7"/>
    <w:rsid w:val="00BE7E9B"/>
    <w:rsid w:val="00BF46D1"/>
    <w:rsid w:val="00BF5385"/>
    <w:rsid w:val="00BF6486"/>
    <w:rsid w:val="00BF77E8"/>
    <w:rsid w:val="00BF7D96"/>
    <w:rsid w:val="00C01DA4"/>
    <w:rsid w:val="00C02232"/>
    <w:rsid w:val="00C022C8"/>
    <w:rsid w:val="00C02719"/>
    <w:rsid w:val="00C0276A"/>
    <w:rsid w:val="00C04664"/>
    <w:rsid w:val="00C10261"/>
    <w:rsid w:val="00C13B76"/>
    <w:rsid w:val="00C1436D"/>
    <w:rsid w:val="00C155B8"/>
    <w:rsid w:val="00C158F7"/>
    <w:rsid w:val="00C174E7"/>
    <w:rsid w:val="00C17651"/>
    <w:rsid w:val="00C20949"/>
    <w:rsid w:val="00C20D8A"/>
    <w:rsid w:val="00C21B84"/>
    <w:rsid w:val="00C227F6"/>
    <w:rsid w:val="00C22BE4"/>
    <w:rsid w:val="00C24720"/>
    <w:rsid w:val="00C25911"/>
    <w:rsid w:val="00C30C08"/>
    <w:rsid w:val="00C30E99"/>
    <w:rsid w:val="00C31077"/>
    <w:rsid w:val="00C335CA"/>
    <w:rsid w:val="00C33BEF"/>
    <w:rsid w:val="00C34296"/>
    <w:rsid w:val="00C34A52"/>
    <w:rsid w:val="00C34B4F"/>
    <w:rsid w:val="00C368E2"/>
    <w:rsid w:val="00C4103D"/>
    <w:rsid w:val="00C43A25"/>
    <w:rsid w:val="00C4454D"/>
    <w:rsid w:val="00C447A7"/>
    <w:rsid w:val="00C44F50"/>
    <w:rsid w:val="00C467AD"/>
    <w:rsid w:val="00C46954"/>
    <w:rsid w:val="00C47002"/>
    <w:rsid w:val="00C473C0"/>
    <w:rsid w:val="00C5062A"/>
    <w:rsid w:val="00C50CA0"/>
    <w:rsid w:val="00C5193D"/>
    <w:rsid w:val="00C52EAF"/>
    <w:rsid w:val="00C543C7"/>
    <w:rsid w:val="00C55857"/>
    <w:rsid w:val="00C55F8C"/>
    <w:rsid w:val="00C560D0"/>
    <w:rsid w:val="00C575EF"/>
    <w:rsid w:val="00C60093"/>
    <w:rsid w:val="00C60171"/>
    <w:rsid w:val="00C626F4"/>
    <w:rsid w:val="00C62941"/>
    <w:rsid w:val="00C6299C"/>
    <w:rsid w:val="00C64883"/>
    <w:rsid w:val="00C6669D"/>
    <w:rsid w:val="00C66CAC"/>
    <w:rsid w:val="00C7131C"/>
    <w:rsid w:val="00C72C87"/>
    <w:rsid w:val="00C7456A"/>
    <w:rsid w:val="00C75DE8"/>
    <w:rsid w:val="00C77065"/>
    <w:rsid w:val="00C81875"/>
    <w:rsid w:val="00C820A0"/>
    <w:rsid w:val="00C82ED1"/>
    <w:rsid w:val="00C83160"/>
    <w:rsid w:val="00C83835"/>
    <w:rsid w:val="00C84DC0"/>
    <w:rsid w:val="00C85335"/>
    <w:rsid w:val="00C85562"/>
    <w:rsid w:val="00C856CB"/>
    <w:rsid w:val="00C87915"/>
    <w:rsid w:val="00C87FC7"/>
    <w:rsid w:val="00C91EB6"/>
    <w:rsid w:val="00C929F6"/>
    <w:rsid w:val="00C92EBC"/>
    <w:rsid w:val="00C9736E"/>
    <w:rsid w:val="00CA0077"/>
    <w:rsid w:val="00CA0E3D"/>
    <w:rsid w:val="00CA0E5D"/>
    <w:rsid w:val="00CA31E6"/>
    <w:rsid w:val="00CA3B8F"/>
    <w:rsid w:val="00CA3D67"/>
    <w:rsid w:val="00CA45F8"/>
    <w:rsid w:val="00CA52BF"/>
    <w:rsid w:val="00CA54AE"/>
    <w:rsid w:val="00CA5E5B"/>
    <w:rsid w:val="00CB1369"/>
    <w:rsid w:val="00CB1AA7"/>
    <w:rsid w:val="00CB4AE2"/>
    <w:rsid w:val="00CB4CA8"/>
    <w:rsid w:val="00CB4E1A"/>
    <w:rsid w:val="00CB540D"/>
    <w:rsid w:val="00CB7E51"/>
    <w:rsid w:val="00CC2512"/>
    <w:rsid w:val="00CC4EF2"/>
    <w:rsid w:val="00CD1685"/>
    <w:rsid w:val="00CD226D"/>
    <w:rsid w:val="00CD2358"/>
    <w:rsid w:val="00CD2D5F"/>
    <w:rsid w:val="00CD3FC6"/>
    <w:rsid w:val="00CD4BAF"/>
    <w:rsid w:val="00CD553D"/>
    <w:rsid w:val="00CD5A66"/>
    <w:rsid w:val="00CD5CE8"/>
    <w:rsid w:val="00CD6879"/>
    <w:rsid w:val="00CE0EC4"/>
    <w:rsid w:val="00CE54E1"/>
    <w:rsid w:val="00CE78D5"/>
    <w:rsid w:val="00CE7CC3"/>
    <w:rsid w:val="00CF01A6"/>
    <w:rsid w:val="00CF01C0"/>
    <w:rsid w:val="00CF0A16"/>
    <w:rsid w:val="00CF343A"/>
    <w:rsid w:val="00CF40FE"/>
    <w:rsid w:val="00CF5157"/>
    <w:rsid w:val="00CF5BEE"/>
    <w:rsid w:val="00CF64CC"/>
    <w:rsid w:val="00CF694E"/>
    <w:rsid w:val="00CF77AE"/>
    <w:rsid w:val="00D01554"/>
    <w:rsid w:val="00D01954"/>
    <w:rsid w:val="00D02A80"/>
    <w:rsid w:val="00D03DE9"/>
    <w:rsid w:val="00D054C8"/>
    <w:rsid w:val="00D063BF"/>
    <w:rsid w:val="00D06E26"/>
    <w:rsid w:val="00D07AAE"/>
    <w:rsid w:val="00D11EF7"/>
    <w:rsid w:val="00D11F7A"/>
    <w:rsid w:val="00D12568"/>
    <w:rsid w:val="00D127AB"/>
    <w:rsid w:val="00D12D78"/>
    <w:rsid w:val="00D13428"/>
    <w:rsid w:val="00D1451E"/>
    <w:rsid w:val="00D1471D"/>
    <w:rsid w:val="00D1505F"/>
    <w:rsid w:val="00D17C5E"/>
    <w:rsid w:val="00D20E85"/>
    <w:rsid w:val="00D23246"/>
    <w:rsid w:val="00D23A1E"/>
    <w:rsid w:val="00D23A80"/>
    <w:rsid w:val="00D2461A"/>
    <w:rsid w:val="00D256FF"/>
    <w:rsid w:val="00D275C2"/>
    <w:rsid w:val="00D27794"/>
    <w:rsid w:val="00D3105D"/>
    <w:rsid w:val="00D3183A"/>
    <w:rsid w:val="00D332FE"/>
    <w:rsid w:val="00D349AB"/>
    <w:rsid w:val="00D350F9"/>
    <w:rsid w:val="00D35182"/>
    <w:rsid w:val="00D36E03"/>
    <w:rsid w:val="00D3704D"/>
    <w:rsid w:val="00D40E7F"/>
    <w:rsid w:val="00D4105C"/>
    <w:rsid w:val="00D42A7C"/>
    <w:rsid w:val="00D43513"/>
    <w:rsid w:val="00D453F5"/>
    <w:rsid w:val="00D524E0"/>
    <w:rsid w:val="00D528A6"/>
    <w:rsid w:val="00D5296B"/>
    <w:rsid w:val="00D52F22"/>
    <w:rsid w:val="00D5569C"/>
    <w:rsid w:val="00D56A9B"/>
    <w:rsid w:val="00D62E29"/>
    <w:rsid w:val="00D65043"/>
    <w:rsid w:val="00D72217"/>
    <w:rsid w:val="00D72484"/>
    <w:rsid w:val="00D730A4"/>
    <w:rsid w:val="00D76230"/>
    <w:rsid w:val="00D82AEF"/>
    <w:rsid w:val="00D83985"/>
    <w:rsid w:val="00D844CA"/>
    <w:rsid w:val="00D85809"/>
    <w:rsid w:val="00D86447"/>
    <w:rsid w:val="00D873D6"/>
    <w:rsid w:val="00D87F4F"/>
    <w:rsid w:val="00D90847"/>
    <w:rsid w:val="00D91630"/>
    <w:rsid w:val="00D91685"/>
    <w:rsid w:val="00D94459"/>
    <w:rsid w:val="00D9460B"/>
    <w:rsid w:val="00D9709C"/>
    <w:rsid w:val="00D97291"/>
    <w:rsid w:val="00D97A5C"/>
    <w:rsid w:val="00DA03A9"/>
    <w:rsid w:val="00DA0E74"/>
    <w:rsid w:val="00DA1A33"/>
    <w:rsid w:val="00DA3FD1"/>
    <w:rsid w:val="00DA5B9B"/>
    <w:rsid w:val="00DA651A"/>
    <w:rsid w:val="00DA751F"/>
    <w:rsid w:val="00DA7DB1"/>
    <w:rsid w:val="00DB01B7"/>
    <w:rsid w:val="00DB0908"/>
    <w:rsid w:val="00DB09FC"/>
    <w:rsid w:val="00DB0DAC"/>
    <w:rsid w:val="00DB1BCA"/>
    <w:rsid w:val="00DB29CE"/>
    <w:rsid w:val="00DB47E0"/>
    <w:rsid w:val="00DB4A2A"/>
    <w:rsid w:val="00DB5756"/>
    <w:rsid w:val="00DB7D94"/>
    <w:rsid w:val="00DC0A09"/>
    <w:rsid w:val="00DC28F4"/>
    <w:rsid w:val="00DC4B19"/>
    <w:rsid w:val="00DC5B8C"/>
    <w:rsid w:val="00DC5C93"/>
    <w:rsid w:val="00DC6031"/>
    <w:rsid w:val="00DC6268"/>
    <w:rsid w:val="00DC67B1"/>
    <w:rsid w:val="00DC68E3"/>
    <w:rsid w:val="00DC6E77"/>
    <w:rsid w:val="00DC6EC5"/>
    <w:rsid w:val="00DD2FE7"/>
    <w:rsid w:val="00DD52C5"/>
    <w:rsid w:val="00DD75AC"/>
    <w:rsid w:val="00DE0E1B"/>
    <w:rsid w:val="00DE191E"/>
    <w:rsid w:val="00DE2359"/>
    <w:rsid w:val="00DE43D7"/>
    <w:rsid w:val="00DE58E5"/>
    <w:rsid w:val="00DE759E"/>
    <w:rsid w:val="00DF143E"/>
    <w:rsid w:val="00DF36D8"/>
    <w:rsid w:val="00DF4E6B"/>
    <w:rsid w:val="00DF71B8"/>
    <w:rsid w:val="00E01940"/>
    <w:rsid w:val="00E02477"/>
    <w:rsid w:val="00E04294"/>
    <w:rsid w:val="00E0572A"/>
    <w:rsid w:val="00E070BA"/>
    <w:rsid w:val="00E07F7F"/>
    <w:rsid w:val="00E1008A"/>
    <w:rsid w:val="00E135D6"/>
    <w:rsid w:val="00E1513E"/>
    <w:rsid w:val="00E163A1"/>
    <w:rsid w:val="00E17136"/>
    <w:rsid w:val="00E17ADB"/>
    <w:rsid w:val="00E22A0A"/>
    <w:rsid w:val="00E23138"/>
    <w:rsid w:val="00E24FED"/>
    <w:rsid w:val="00E262E9"/>
    <w:rsid w:val="00E307C5"/>
    <w:rsid w:val="00E31085"/>
    <w:rsid w:val="00E33A67"/>
    <w:rsid w:val="00E35A7D"/>
    <w:rsid w:val="00E35D96"/>
    <w:rsid w:val="00E3635A"/>
    <w:rsid w:val="00E36A2C"/>
    <w:rsid w:val="00E37B02"/>
    <w:rsid w:val="00E37EEF"/>
    <w:rsid w:val="00E4145F"/>
    <w:rsid w:val="00E41960"/>
    <w:rsid w:val="00E41A86"/>
    <w:rsid w:val="00E42355"/>
    <w:rsid w:val="00E44624"/>
    <w:rsid w:val="00E4465E"/>
    <w:rsid w:val="00E4594C"/>
    <w:rsid w:val="00E45CA1"/>
    <w:rsid w:val="00E461FF"/>
    <w:rsid w:val="00E4753C"/>
    <w:rsid w:val="00E510E1"/>
    <w:rsid w:val="00E517C6"/>
    <w:rsid w:val="00E5344E"/>
    <w:rsid w:val="00E54AA9"/>
    <w:rsid w:val="00E55A1D"/>
    <w:rsid w:val="00E568F9"/>
    <w:rsid w:val="00E56D52"/>
    <w:rsid w:val="00E572E0"/>
    <w:rsid w:val="00E61761"/>
    <w:rsid w:val="00E61DB3"/>
    <w:rsid w:val="00E6292F"/>
    <w:rsid w:val="00E6340D"/>
    <w:rsid w:val="00E63FD9"/>
    <w:rsid w:val="00E643EB"/>
    <w:rsid w:val="00E64A6E"/>
    <w:rsid w:val="00E64C60"/>
    <w:rsid w:val="00E66ABA"/>
    <w:rsid w:val="00E66DC0"/>
    <w:rsid w:val="00E66E8E"/>
    <w:rsid w:val="00E7077F"/>
    <w:rsid w:val="00E72978"/>
    <w:rsid w:val="00E7461C"/>
    <w:rsid w:val="00E74BF9"/>
    <w:rsid w:val="00E74E1D"/>
    <w:rsid w:val="00E75A15"/>
    <w:rsid w:val="00E76296"/>
    <w:rsid w:val="00E84A7C"/>
    <w:rsid w:val="00E85EF9"/>
    <w:rsid w:val="00E86BE4"/>
    <w:rsid w:val="00E879BD"/>
    <w:rsid w:val="00E90075"/>
    <w:rsid w:val="00E90D38"/>
    <w:rsid w:val="00E914AA"/>
    <w:rsid w:val="00E92655"/>
    <w:rsid w:val="00E944E2"/>
    <w:rsid w:val="00E95ACE"/>
    <w:rsid w:val="00E9738F"/>
    <w:rsid w:val="00EA3679"/>
    <w:rsid w:val="00EA3C24"/>
    <w:rsid w:val="00EA50AB"/>
    <w:rsid w:val="00EA5764"/>
    <w:rsid w:val="00EA5E7F"/>
    <w:rsid w:val="00EA7B39"/>
    <w:rsid w:val="00EB03E5"/>
    <w:rsid w:val="00EB0733"/>
    <w:rsid w:val="00EB390B"/>
    <w:rsid w:val="00EB41D6"/>
    <w:rsid w:val="00EB4BCD"/>
    <w:rsid w:val="00EB60F8"/>
    <w:rsid w:val="00EB69CB"/>
    <w:rsid w:val="00EB6D64"/>
    <w:rsid w:val="00EB75F9"/>
    <w:rsid w:val="00EC04F5"/>
    <w:rsid w:val="00EC05F8"/>
    <w:rsid w:val="00EC4C07"/>
    <w:rsid w:val="00EC4F9E"/>
    <w:rsid w:val="00EC6D2C"/>
    <w:rsid w:val="00ED22EA"/>
    <w:rsid w:val="00ED295E"/>
    <w:rsid w:val="00ED2FD8"/>
    <w:rsid w:val="00ED63A0"/>
    <w:rsid w:val="00ED6A1A"/>
    <w:rsid w:val="00ED6E0C"/>
    <w:rsid w:val="00ED7557"/>
    <w:rsid w:val="00EE39FF"/>
    <w:rsid w:val="00EE4167"/>
    <w:rsid w:val="00EE46DD"/>
    <w:rsid w:val="00EE6B15"/>
    <w:rsid w:val="00EE7009"/>
    <w:rsid w:val="00EF0CEA"/>
    <w:rsid w:val="00EF1DE4"/>
    <w:rsid w:val="00EF3F00"/>
    <w:rsid w:val="00EF6FBD"/>
    <w:rsid w:val="00EF73D9"/>
    <w:rsid w:val="00F01F69"/>
    <w:rsid w:val="00F03961"/>
    <w:rsid w:val="00F045E4"/>
    <w:rsid w:val="00F049E6"/>
    <w:rsid w:val="00F04C67"/>
    <w:rsid w:val="00F058FA"/>
    <w:rsid w:val="00F0596D"/>
    <w:rsid w:val="00F06939"/>
    <w:rsid w:val="00F071E2"/>
    <w:rsid w:val="00F0733D"/>
    <w:rsid w:val="00F07B0A"/>
    <w:rsid w:val="00F138BB"/>
    <w:rsid w:val="00F13E66"/>
    <w:rsid w:val="00F14B98"/>
    <w:rsid w:val="00F15B1B"/>
    <w:rsid w:val="00F15BC7"/>
    <w:rsid w:val="00F15D90"/>
    <w:rsid w:val="00F20BBE"/>
    <w:rsid w:val="00F24AB5"/>
    <w:rsid w:val="00F24D2D"/>
    <w:rsid w:val="00F27861"/>
    <w:rsid w:val="00F31472"/>
    <w:rsid w:val="00F32502"/>
    <w:rsid w:val="00F335D0"/>
    <w:rsid w:val="00F33B0F"/>
    <w:rsid w:val="00F35552"/>
    <w:rsid w:val="00F359B4"/>
    <w:rsid w:val="00F37B2D"/>
    <w:rsid w:val="00F37CAB"/>
    <w:rsid w:val="00F40935"/>
    <w:rsid w:val="00F410D9"/>
    <w:rsid w:val="00F4214E"/>
    <w:rsid w:val="00F45384"/>
    <w:rsid w:val="00F46151"/>
    <w:rsid w:val="00F469E5"/>
    <w:rsid w:val="00F51E3E"/>
    <w:rsid w:val="00F52918"/>
    <w:rsid w:val="00F53CFB"/>
    <w:rsid w:val="00F53DE2"/>
    <w:rsid w:val="00F54E54"/>
    <w:rsid w:val="00F54F05"/>
    <w:rsid w:val="00F562D7"/>
    <w:rsid w:val="00F5662B"/>
    <w:rsid w:val="00F60DED"/>
    <w:rsid w:val="00F61239"/>
    <w:rsid w:val="00F6236B"/>
    <w:rsid w:val="00F62F14"/>
    <w:rsid w:val="00F63D23"/>
    <w:rsid w:val="00F6422B"/>
    <w:rsid w:val="00F664AD"/>
    <w:rsid w:val="00F72F09"/>
    <w:rsid w:val="00F75A70"/>
    <w:rsid w:val="00F76201"/>
    <w:rsid w:val="00F76EAD"/>
    <w:rsid w:val="00F7766D"/>
    <w:rsid w:val="00F81215"/>
    <w:rsid w:val="00F81B2A"/>
    <w:rsid w:val="00F82F65"/>
    <w:rsid w:val="00F83403"/>
    <w:rsid w:val="00F83D03"/>
    <w:rsid w:val="00F8695D"/>
    <w:rsid w:val="00F872FF"/>
    <w:rsid w:val="00F904E5"/>
    <w:rsid w:val="00F939B3"/>
    <w:rsid w:val="00F94A78"/>
    <w:rsid w:val="00F95812"/>
    <w:rsid w:val="00F9606B"/>
    <w:rsid w:val="00F96850"/>
    <w:rsid w:val="00F97C6A"/>
    <w:rsid w:val="00FA10CB"/>
    <w:rsid w:val="00FA1412"/>
    <w:rsid w:val="00FA3650"/>
    <w:rsid w:val="00FA4249"/>
    <w:rsid w:val="00FA6530"/>
    <w:rsid w:val="00FB087C"/>
    <w:rsid w:val="00FB0C83"/>
    <w:rsid w:val="00FB1241"/>
    <w:rsid w:val="00FB18CF"/>
    <w:rsid w:val="00FB1C06"/>
    <w:rsid w:val="00FB2C67"/>
    <w:rsid w:val="00FB4341"/>
    <w:rsid w:val="00FB741D"/>
    <w:rsid w:val="00FB77C9"/>
    <w:rsid w:val="00FC0491"/>
    <w:rsid w:val="00FC09B4"/>
    <w:rsid w:val="00FC0D9D"/>
    <w:rsid w:val="00FC11B5"/>
    <w:rsid w:val="00FC2F71"/>
    <w:rsid w:val="00FC351C"/>
    <w:rsid w:val="00FC5677"/>
    <w:rsid w:val="00FC5BE9"/>
    <w:rsid w:val="00FC605E"/>
    <w:rsid w:val="00FC6D6F"/>
    <w:rsid w:val="00FC7FE7"/>
    <w:rsid w:val="00FD0C13"/>
    <w:rsid w:val="00FD258F"/>
    <w:rsid w:val="00FD4FB0"/>
    <w:rsid w:val="00FD57ED"/>
    <w:rsid w:val="00FD6100"/>
    <w:rsid w:val="00FE3B34"/>
    <w:rsid w:val="00FE4410"/>
    <w:rsid w:val="00FE480F"/>
    <w:rsid w:val="00FE4B5A"/>
    <w:rsid w:val="00FE5433"/>
    <w:rsid w:val="00FE5B37"/>
    <w:rsid w:val="00FF053D"/>
    <w:rsid w:val="00FF0646"/>
    <w:rsid w:val="00FF09A0"/>
    <w:rsid w:val="00FF0B3E"/>
    <w:rsid w:val="00FF0F12"/>
    <w:rsid w:val="00FF1B23"/>
    <w:rsid w:val="00FF2164"/>
    <w:rsid w:val="00FF254F"/>
    <w:rsid w:val="00FF2F1B"/>
    <w:rsid w:val="00FF3DD7"/>
    <w:rsid w:val="00FF47D3"/>
    <w:rsid w:val="00FF5691"/>
    <w:rsid w:val="00FF76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5B37507"/>
  <w15:chartTrackingRefBased/>
  <w15:docId w15:val="{54F3395A-5781-4048-A95D-29E49EB6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5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5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544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544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544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544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544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544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544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544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544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544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544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544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544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544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544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544D"/>
    <w:rPr>
      <w:rFonts w:eastAsiaTheme="majorEastAsia" w:cstheme="majorBidi"/>
      <w:color w:val="272727" w:themeColor="text1" w:themeTint="D8"/>
    </w:rPr>
  </w:style>
  <w:style w:type="paragraph" w:styleId="Titel">
    <w:name w:val="Title"/>
    <w:basedOn w:val="Standard"/>
    <w:next w:val="Standard"/>
    <w:link w:val="TitelZchn"/>
    <w:uiPriority w:val="10"/>
    <w:qFormat/>
    <w:rsid w:val="006B544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544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544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544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544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B544D"/>
    <w:rPr>
      <w:i/>
      <w:iCs/>
      <w:color w:val="404040" w:themeColor="text1" w:themeTint="BF"/>
    </w:rPr>
  </w:style>
  <w:style w:type="paragraph" w:styleId="Listenabsatz">
    <w:name w:val="List Paragraph"/>
    <w:basedOn w:val="Standard"/>
    <w:uiPriority w:val="34"/>
    <w:qFormat/>
    <w:rsid w:val="006B544D"/>
    <w:pPr>
      <w:ind w:left="720"/>
      <w:contextualSpacing/>
    </w:pPr>
  </w:style>
  <w:style w:type="character" w:styleId="IntensiveHervorhebung">
    <w:name w:val="Intense Emphasis"/>
    <w:basedOn w:val="Absatz-Standardschriftart"/>
    <w:uiPriority w:val="21"/>
    <w:qFormat/>
    <w:rsid w:val="006B544D"/>
    <w:rPr>
      <w:i/>
      <w:iCs/>
      <w:color w:val="0F4761" w:themeColor="accent1" w:themeShade="BF"/>
    </w:rPr>
  </w:style>
  <w:style w:type="paragraph" w:styleId="IntensivesZitat">
    <w:name w:val="Intense Quote"/>
    <w:basedOn w:val="Standard"/>
    <w:next w:val="Standard"/>
    <w:link w:val="IntensivesZitatZchn"/>
    <w:uiPriority w:val="30"/>
    <w:qFormat/>
    <w:rsid w:val="006B5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544D"/>
    <w:rPr>
      <w:i/>
      <w:iCs/>
      <w:color w:val="0F4761" w:themeColor="accent1" w:themeShade="BF"/>
    </w:rPr>
  </w:style>
  <w:style w:type="character" w:styleId="IntensiverVerweis">
    <w:name w:val="Intense Reference"/>
    <w:basedOn w:val="Absatz-Standardschriftart"/>
    <w:uiPriority w:val="32"/>
    <w:qFormat/>
    <w:rsid w:val="006B544D"/>
    <w:rPr>
      <w:b/>
      <w:bCs/>
      <w:smallCaps/>
      <w:color w:val="0F4761" w:themeColor="accent1" w:themeShade="BF"/>
      <w:spacing w:val="5"/>
    </w:rPr>
  </w:style>
  <w:style w:type="paragraph" w:customStyle="1" w:styleId="MDPI31text">
    <w:name w:val="MDPI_3.1_text"/>
    <w:qFormat/>
    <w:rsid w:val="006B544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customStyle="1" w:styleId="MDPI22heading2">
    <w:name w:val="MDPI_2.2_heading2"/>
    <w:qFormat/>
    <w:rsid w:val="002C5277"/>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6020</Words>
  <Characters>37928</Characters>
  <Application>Microsoft Office Word</Application>
  <DocSecurity>0</DocSecurity>
  <Lines>316</Lines>
  <Paragraphs>87</Paragraphs>
  <ScaleCrop>false</ScaleCrop>
  <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Carl-Peter Cornelius</dc:creator>
  <cp:keywords/>
  <dc:description/>
  <cp:lastModifiedBy>Carl-Peter Cornelius</cp:lastModifiedBy>
  <cp:revision>3</cp:revision>
  <dcterms:created xsi:type="dcterms:W3CDTF">2025-02-20T10:17:00Z</dcterms:created>
  <dcterms:modified xsi:type="dcterms:W3CDTF">2025-02-20T10:20:00Z</dcterms:modified>
</cp:coreProperties>
</file>