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07B23" w14:textId="77777777" w:rsidR="003426EA" w:rsidRPr="00734DD4" w:rsidRDefault="003426EA" w:rsidP="00575D61">
      <w:pPr>
        <w:spacing w:after="0" w:line="360" w:lineRule="auto"/>
        <w:jc w:val="both"/>
        <w:rPr>
          <w:rFonts w:ascii="Arial" w:hAnsi="Arial" w:cs="Arial"/>
          <w:b/>
          <w:bCs/>
          <w:sz w:val="24"/>
          <w:szCs w:val="24"/>
        </w:rPr>
      </w:pPr>
      <w:r>
        <w:rPr>
          <w:rFonts w:ascii="Arial" w:hAnsi="Arial" w:cs="Arial"/>
          <w:b/>
          <w:bCs/>
          <w:sz w:val="24"/>
          <w:szCs w:val="24"/>
        </w:rPr>
        <w:t>S</w:t>
      </w:r>
      <w:r w:rsidRPr="00734DD4">
        <w:rPr>
          <w:rFonts w:ascii="Arial" w:hAnsi="Arial" w:cs="Arial"/>
          <w:b/>
          <w:bCs/>
          <w:sz w:val="24"/>
          <w:szCs w:val="24"/>
        </w:rPr>
        <w:t xml:space="preserve">pray-dried </w:t>
      </w:r>
      <w:r w:rsidRPr="00734DD4">
        <w:rPr>
          <w:rFonts w:ascii="Arial" w:hAnsi="Arial" w:cs="Arial"/>
          <w:b/>
          <w:bCs/>
          <w:i/>
          <w:iCs/>
          <w:sz w:val="24"/>
          <w:szCs w:val="24"/>
        </w:rPr>
        <w:t xml:space="preserve">Celtis </w:t>
      </w:r>
      <w:proofErr w:type="spellStart"/>
      <w:r w:rsidRPr="00734DD4">
        <w:rPr>
          <w:rFonts w:ascii="Arial" w:hAnsi="Arial" w:cs="Arial"/>
          <w:b/>
          <w:bCs/>
          <w:i/>
          <w:iCs/>
          <w:sz w:val="24"/>
          <w:szCs w:val="24"/>
        </w:rPr>
        <w:t>iguanaea</w:t>
      </w:r>
      <w:proofErr w:type="spellEnd"/>
      <w:r w:rsidRPr="00734DD4">
        <w:rPr>
          <w:rFonts w:ascii="Arial" w:hAnsi="Arial" w:cs="Arial"/>
          <w:b/>
          <w:bCs/>
          <w:sz w:val="24"/>
          <w:szCs w:val="24"/>
        </w:rPr>
        <w:t xml:space="preserve"> </w:t>
      </w:r>
      <w:r>
        <w:rPr>
          <w:rFonts w:ascii="Arial" w:hAnsi="Arial" w:cs="Arial"/>
          <w:b/>
          <w:bCs/>
          <w:sz w:val="24"/>
          <w:szCs w:val="24"/>
        </w:rPr>
        <w:t xml:space="preserve">(Jacq.) Planch (Cannabaceae) </w:t>
      </w:r>
      <w:r w:rsidRPr="00734DD4">
        <w:rPr>
          <w:rFonts w:ascii="Arial" w:hAnsi="Arial" w:cs="Arial"/>
          <w:b/>
          <w:bCs/>
          <w:sz w:val="24"/>
          <w:szCs w:val="24"/>
        </w:rPr>
        <w:t>extract: Building</w:t>
      </w:r>
      <w:r>
        <w:rPr>
          <w:rFonts w:ascii="Arial" w:hAnsi="Arial" w:cs="Arial"/>
          <w:b/>
          <w:bCs/>
          <w:sz w:val="24"/>
          <w:szCs w:val="24"/>
        </w:rPr>
        <w:t xml:space="preserve"> </w:t>
      </w:r>
      <w:r w:rsidRPr="00734DD4">
        <w:rPr>
          <w:rFonts w:ascii="Arial" w:hAnsi="Arial" w:cs="Arial"/>
          <w:b/>
          <w:bCs/>
          <w:sz w:val="24"/>
          <w:szCs w:val="24"/>
        </w:rPr>
        <w:t>evidence for its therapeutic potential in pain and inflammation management</w:t>
      </w:r>
    </w:p>
    <w:p w14:paraId="78FECF44" w14:textId="77777777" w:rsidR="00747A3D" w:rsidRPr="00DD7502" w:rsidRDefault="00747A3D" w:rsidP="00747A3D">
      <w:pPr>
        <w:spacing w:after="0" w:line="360" w:lineRule="auto"/>
        <w:jc w:val="both"/>
        <w:rPr>
          <w:rFonts w:ascii="Arial" w:hAnsi="Arial" w:cs="Arial"/>
          <w:sz w:val="24"/>
          <w:szCs w:val="24"/>
          <w:lang w:val="pt-BR"/>
        </w:rPr>
      </w:pPr>
      <w:r w:rsidRPr="00DD7502">
        <w:rPr>
          <w:rFonts w:ascii="Arial" w:hAnsi="Arial" w:cs="Arial"/>
          <w:sz w:val="24"/>
          <w:szCs w:val="24"/>
          <w:lang w:val="pt-BR"/>
        </w:rPr>
        <w:t>Kátia</w:t>
      </w:r>
      <w:r>
        <w:rPr>
          <w:rFonts w:ascii="Arial" w:hAnsi="Arial" w:cs="Arial"/>
          <w:sz w:val="24"/>
          <w:szCs w:val="24"/>
          <w:lang w:val="pt-BR"/>
        </w:rPr>
        <w:t xml:space="preserve"> Regina Ribeiro</w:t>
      </w:r>
      <w:r w:rsidRPr="00DA29D0">
        <w:rPr>
          <w:rFonts w:ascii="Arial" w:hAnsi="Arial" w:cs="Arial"/>
          <w:sz w:val="24"/>
          <w:szCs w:val="24"/>
          <w:vertAlign w:val="superscript"/>
          <w:lang w:val="pt-BR"/>
        </w:rPr>
        <w:t>1</w:t>
      </w:r>
      <w:r w:rsidRPr="00DD7502">
        <w:rPr>
          <w:rFonts w:ascii="Arial" w:hAnsi="Arial" w:cs="Arial"/>
          <w:sz w:val="24"/>
          <w:szCs w:val="24"/>
          <w:lang w:val="pt-BR"/>
        </w:rPr>
        <w:t>, Rúbia</w:t>
      </w:r>
      <w:r>
        <w:rPr>
          <w:rFonts w:ascii="Arial" w:hAnsi="Arial" w:cs="Arial"/>
          <w:sz w:val="24"/>
          <w:szCs w:val="24"/>
          <w:lang w:val="pt-BR"/>
        </w:rPr>
        <w:t xml:space="preserve"> </w:t>
      </w:r>
      <w:proofErr w:type="spellStart"/>
      <w:r>
        <w:rPr>
          <w:rFonts w:ascii="Arial" w:hAnsi="Arial" w:cs="Arial"/>
          <w:sz w:val="24"/>
          <w:szCs w:val="24"/>
          <w:lang w:val="pt-BR"/>
        </w:rPr>
        <w:t>Bellard</w:t>
      </w:r>
      <w:proofErr w:type="spellEnd"/>
      <w:r>
        <w:rPr>
          <w:rFonts w:ascii="Arial" w:hAnsi="Arial" w:cs="Arial"/>
          <w:sz w:val="24"/>
          <w:szCs w:val="24"/>
          <w:lang w:val="pt-BR"/>
        </w:rPr>
        <w:t xml:space="preserve"> e Silva</w:t>
      </w:r>
      <w:r w:rsidRPr="00DA29D0">
        <w:rPr>
          <w:rFonts w:ascii="Arial" w:hAnsi="Arial" w:cs="Arial"/>
          <w:sz w:val="24"/>
          <w:szCs w:val="24"/>
          <w:vertAlign w:val="superscript"/>
          <w:lang w:val="pt-BR"/>
        </w:rPr>
        <w:t>1</w:t>
      </w:r>
      <w:r w:rsidRPr="00DD7502">
        <w:rPr>
          <w:rFonts w:ascii="Arial" w:hAnsi="Arial" w:cs="Arial"/>
          <w:sz w:val="24"/>
          <w:szCs w:val="24"/>
          <w:lang w:val="pt-BR"/>
        </w:rPr>
        <w:t xml:space="preserve">, </w:t>
      </w:r>
      <w:r w:rsidRPr="00521DA5">
        <w:rPr>
          <w:rFonts w:ascii="Arial" w:hAnsi="Arial" w:cs="Arial"/>
          <w:sz w:val="24"/>
          <w:szCs w:val="24"/>
          <w:lang w:val="pt-BR"/>
        </w:rPr>
        <w:t>João Paulo Costa Rodrigues</w:t>
      </w:r>
      <w:r>
        <w:rPr>
          <w:rFonts w:ascii="Arial" w:hAnsi="Arial" w:cs="Arial"/>
          <w:sz w:val="24"/>
          <w:szCs w:val="24"/>
          <w:vertAlign w:val="superscript"/>
          <w:lang w:val="pt-BR"/>
        </w:rPr>
        <w:t>2</w:t>
      </w:r>
      <w:r w:rsidRPr="00DD7502">
        <w:rPr>
          <w:rFonts w:ascii="Arial" w:hAnsi="Arial" w:cs="Arial"/>
          <w:sz w:val="24"/>
          <w:szCs w:val="24"/>
          <w:lang w:val="pt-BR"/>
        </w:rPr>
        <w:t xml:space="preserve">, </w:t>
      </w:r>
      <w:r>
        <w:rPr>
          <w:rFonts w:ascii="Arial" w:hAnsi="Arial" w:cs="Arial"/>
          <w:sz w:val="24"/>
          <w:szCs w:val="24"/>
          <w:lang w:val="pt-BR"/>
        </w:rPr>
        <w:t>Mairon César Coimbra</w:t>
      </w:r>
      <w:r>
        <w:rPr>
          <w:rFonts w:ascii="Arial" w:hAnsi="Arial" w:cs="Arial"/>
          <w:sz w:val="24"/>
          <w:szCs w:val="24"/>
          <w:vertAlign w:val="superscript"/>
          <w:lang w:val="pt-BR"/>
        </w:rPr>
        <w:t>3</w:t>
      </w:r>
      <w:r>
        <w:rPr>
          <w:rFonts w:ascii="Arial" w:hAnsi="Arial" w:cs="Arial"/>
          <w:sz w:val="24"/>
          <w:szCs w:val="24"/>
          <w:lang w:val="pt-BR"/>
        </w:rPr>
        <w:t xml:space="preserve">, </w:t>
      </w:r>
      <w:r w:rsidRPr="00DD7502">
        <w:rPr>
          <w:rFonts w:ascii="Arial" w:hAnsi="Arial" w:cs="Arial"/>
          <w:sz w:val="24"/>
          <w:szCs w:val="24"/>
          <w:lang w:val="pt-BR"/>
        </w:rPr>
        <w:t>L</w:t>
      </w:r>
      <w:r>
        <w:rPr>
          <w:rFonts w:ascii="Arial" w:hAnsi="Arial" w:cs="Arial"/>
          <w:sz w:val="24"/>
          <w:szCs w:val="24"/>
          <w:lang w:val="pt-BR"/>
        </w:rPr>
        <w:t>aura Jéssica Pereira</w:t>
      </w:r>
      <w:r w:rsidRPr="00DA29D0">
        <w:rPr>
          <w:rFonts w:ascii="Arial" w:hAnsi="Arial" w:cs="Arial"/>
          <w:sz w:val="24"/>
          <w:szCs w:val="24"/>
          <w:vertAlign w:val="superscript"/>
          <w:lang w:val="pt-BR"/>
        </w:rPr>
        <w:t>1</w:t>
      </w:r>
      <w:r>
        <w:rPr>
          <w:rFonts w:ascii="Arial" w:hAnsi="Arial" w:cs="Arial"/>
          <w:sz w:val="24"/>
          <w:szCs w:val="24"/>
          <w:lang w:val="pt-BR"/>
        </w:rPr>
        <w:t xml:space="preserve">, </w:t>
      </w:r>
      <w:proofErr w:type="spellStart"/>
      <w:r>
        <w:rPr>
          <w:rFonts w:ascii="Arial" w:hAnsi="Arial" w:cs="Arial"/>
          <w:sz w:val="24"/>
          <w:szCs w:val="24"/>
          <w:lang w:val="pt-BR"/>
        </w:rPr>
        <w:t>Emmilly</w:t>
      </w:r>
      <w:proofErr w:type="spellEnd"/>
      <w:r>
        <w:rPr>
          <w:rFonts w:ascii="Arial" w:hAnsi="Arial" w:cs="Arial"/>
          <w:sz w:val="24"/>
          <w:szCs w:val="24"/>
          <w:lang w:val="pt-BR"/>
        </w:rPr>
        <w:t xml:space="preserve"> de Oliveira Alves</w:t>
      </w:r>
      <w:r w:rsidRPr="00DA29D0">
        <w:rPr>
          <w:rFonts w:ascii="Arial" w:hAnsi="Arial" w:cs="Arial"/>
          <w:sz w:val="24"/>
          <w:szCs w:val="24"/>
          <w:vertAlign w:val="superscript"/>
          <w:lang w:val="pt-BR"/>
        </w:rPr>
        <w:t>1</w:t>
      </w:r>
      <w:r>
        <w:rPr>
          <w:rFonts w:ascii="Arial" w:hAnsi="Arial" w:cs="Arial"/>
          <w:sz w:val="24"/>
          <w:szCs w:val="24"/>
          <w:lang w:val="pt-BR"/>
        </w:rPr>
        <w:t xml:space="preserve">, </w:t>
      </w:r>
      <w:r w:rsidRPr="00521DA5">
        <w:rPr>
          <w:rFonts w:ascii="Arial" w:hAnsi="Arial" w:cs="Arial"/>
          <w:sz w:val="24"/>
          <w:szCs w:val="24"/>
          <w:lang w:val="pt-BR"/>
        </w:rPr>
        <w:t>Flávio Martins de Oliveira</w:t>
      </w:r>
      <w:r>
        <w:rPr>
          <w:rFonts w:ascii="Arial" w:hAnsi="Arial" w:cs="Arial"/>
          <w:sz w:val="24"/>
          <w:szCs w:val="24"/>
          <w:vertAlign w:val="superscript"/>
          <w:lang w:val="pt-BR"/>
        </w:rPr>
        <w:t>4</w:t>
      </w:r>
      <w:r>
        <w:rPr>
          <w:rFonts w:ascii="Arial" w:hAnsi="Arial" w:cs="Arial"/>
          <w:sz w:val="24"/>
          <w:szCs w:val="24"/>
          <w:lang w:val="pt-BR"/>
        </w:rPr>
        <w:t xml:space="preserve">, </w:t>
      </w:r>
      <w:r w:rsidRPr="00521DA5">
        <w:rPr>
          <w:rFonts w:ascii="Arial" w:hAnsi="Arial" w:cs="Arial"/>
          <w:sz w:val="24"/>
          <w:szCs w:val="24"/>
          <w:lang w:val="pt-BR"/>
        </w:rPr>
        <w:t>Marx Osório Araújo Pereira</w:t>
      </w:r>
      <w:r>
        <w:rPr>
          <w:rFonts w:ascii="Arial" w:hAnsi="Arial" w:cs="Arial"/>
          <w:sz w:val="24"/>
          <w:szCs w:val="24"/>
          <w:vertAlign w:val="superscript"/>
          <w:lang w:val="pt-BR"/>
        </w:rPr>
        <w:t>5</w:t>
      </w:r>
      <w:r>
        <w:rPr>
          <w:rFonts w:ascii="Arial" w:hAnsi="Arial" w:cs="Arial"/>
          <w:sz w:val="24"/>
          <w:szCs w:val="24"/>
          <w:lang w:val="pt-BR"/>
        </w:rPr>
        <w:t xml:space="preserve">, Eric de Souza </w:t>
      </w:r>
      <w:r w:rsidRPr="00DA29D0">
        <w:rPr>
          <w:rFonts w:ascii="Arial" w:hAnsi="Arial" w:cs="Arial"/>
          <w:sz w:val="24"/>
          <w:szCs w:val="24"/>
          <w:lang w:val="pt-BR"/>
        </w:rPr>
        <w:t>Gil</w:t>
      </w:r>
      <w:r>
        <w:rPr>
          <w:rFonts w:ascii="Arial" w:hAnsi="Arial" w:cs="Arial"/>
          <w:sz w:val="24"/>
          <w:szCs w:val="24"/>
          <w:vertAlign w:val="superscript"/>
          <w:lang w:val="pt-BR"/>
        </w:rPr>
        <w:t>5</w:t>
      </w:r>
      <w:r w:rsidRPr="00DA29D0">
        <w:rPr>
          <w:rFonts w:ascii="Arial" w:hAnsi="Arial" w:cs="Arial"/>
          <w:sz w:val="24"/>
          <w:szCs w:val="24"/>
          <w:lang w:val="pt-BR"/>
        </w:rPr>
        <w:t>, Carlos Alexandre Carollo</w:t>
      </w:r>
      <w:r>
        <w:rPr>
          <w:rFonts w:ascii="Arial" w:hAnsi="Arial" w:cs="Arial"/>
          <w:sz w:val="24"/>
          <w:szCs w:val="24"/>
          <w:vertAlign w:val="superscript"/>
          <w:lang w:val="pt-BR"/>
        </w:rPr>
        <w:t>6</w:t>
      </w:r>
      <w:r w:rsidRPr="00DA29D0">
        <w:rPr>
          <w:rFonts w:ascii="Arial" w:hAnsi="Arial" w:cs="Arial"/>
          <w:sz w:val="24"/>
          <w:szCs w:val="24"/>
          <w:lang w:val="pt-BR"/>
        </w:rPr>
        <w:t xml:space="preserve">, </w:t>
      </w:r>
      <w:proofErr w:type="spellStart"/>
      <w:r w:rsidRPr="00DA29D0">
        <w:rPr>
          <w:rFonts w:ascii="Arial" w:hAnsi="Arial" w:cs="Arial"/>
          <w:sz w:val="24"/>
          <w:szCs w:val="24"/>
          <w:lang w:val="pt-BR"/>
        </w:rPr>
        <w:t>Nadla</w:t>
      </w:r>
      <w:proofErr w:type="spellEnd"/>
      <w:r w:rsidRPr="00DA29D0">
        <w:rPr>
          <w:rFonts w:ascii="Arial" w:hAnsi="Arial" w:cs="Arial"/>
          <w:sz w:val="24"/>
          <w:szCs w:val="24"/>
          <w:lang w:val="pt-BR"/>
        </w:rPr>
        <w:t xml:space="preserve"> Soares Cassemiro</w:t>
      </w:r>
      <w:r>
        <w:rPr>
          <w:rFonts w:ascii="Arial" w:hAnsi="Arial" w:cs="Arial"/>
          <w:sz w:val="24"/>
          <w:szCs w:val="24"/>
          <w:vertAlign w:val="superscript"/>
          <w:lang w:val="pt-BR"/>
        </w:rPr>
        <w:t>6</w:t>
      </w:r>
      <w:r w:rsidRPr="00DA29D0">
        <w:rPr>
          <w:rFonts w:ascii="Arial" w:hAnsi="Arial" w:cs="Arial"/>
          <w:sz w:val="24"/>
          <w:szCs w:val="24"/>
          <w:lang w:val="pt-BR"/>
        </w:rPr>
        <w:t xml:space="preserve">, </w:t>
      </w:r>
      <w:proofErr w:type="spellStart"/>
      <w:r w:rsidRPr="00DA29D0">
        <w:rPr>
          <w:rFonts w:ascii="Arial" w:hAnsi="Arial" w:cs="Arial"/>
          <w:sz w:val="24"/>
          <w:szCs w:val="24"/>
          <w:lang w:val="pt-BR"/>
        </w:rPr>
        <w:t>Camile</w:t>
      </w:r>
      <w:proofErr w:type="spellEnd"/>
      <w:r w:rsidRPr="00DA29D0">
        <w:rPr>
          <w:rFonts w:ascii="Arial" w:hAnsi="Arial" w:cs="Arial"/>
          <w:sz w:val="24"/>
          <w:szCs w:val="24"/>
          <w:lang w:val="pt-BR"/>
        </w:rPr>
        <w:t xml:space="preserve"> Aparecida da Silva</w:t>
      </w:r>
      <w:r w:rsidRPr="00DA29D0">
        <w:rPr>
          <w:rFonts w:ascii="Arial" w:hAnsi="Arial" w:cs="Arial"/>
          <w:sz w:val="24"/>
          <w:szCs w:val="24"/>
          <w:vertAlign w:val="superscript"/>
          <w:lang w:val="pt-BR"/>
        </w:rPr>
        <w:t>1</w:t>
      </w:r>
      <w:r w:rsidRPr="00DA29D0">
        <w:rPr>
          <w:rFonts w:ascii="Arial" w:hAnsi="Arial" w:cs="Arial"/>
          <w:sz w:val="24"/>
          <w:szCs w:val="24"/>
          <w:lang w:val="pt-BR"/>
        </w:rPr>
        <w:t xml:space="preserve">, </w:t>
      </w:r>
      <w:proofErr w:type="spellStart"/>
      <w:r w:rsidRPr="00DA29D0">
        <w:rPr>
          <w:rFonts w:ascii="Arial" w:hAnsi="Arial" w:cs="Arial"/>
          <w:sz w:val="24"/>
          <w:szCs w:val="24"/>
          <w:lang w:val="pt-BR"/>
        </w:rPr>
        <w:t>Pablinny</w:t>
      </w:r>
      <w:proofErr w:type="spellEnd"/>
      <w:r w:rsidRPr="00DA29D0">
        <w:rPr>
          <w:rFonts w:ascii="Arial" w:hAnsi="Arial" w:cs="Arial"/>
          <w:sz w:val="24"/>
          <w:szCs w:val="24"/>
          <w:lang w:val="pt-BR"/>
        </w:rPr>
        <w:t xml:space="preserve"> Moreira Galdino de Carvalho</w:t>
      </w:r>
      <w:r>
        <w:rPr>
          <w:rFonts w:ascii="Arial" w:hAnsi="Arial" w:cs="Arial"/>
          <w:sz w:val="24"/>
          <w:szCs w:val="24"/>
          <w:vertAlign w:val="superscript"/>
          <w:lang w:val="pt-BR"/>
        </w:rPr>
        <w:t>7</w:t>
      </w:r>
      <w:r w:rsidRPr="00DA29D0">
        <w:rPr>
          <w:rFonts w:ascii="Arial" w:hAnsi="Arial" w:cs="Arial"/>
          <w:sz w:val="24"/>
          <w:szCs w:val="24"/>
          <w:lang w:val="pt-BR"/>
        </w:rPr>
        <w:t>, Flávia Carmo Horta Pinto</w:t>
      </w:r>
      <w:r>
        <w:rPr>
          <w:rFonts w:ascii="Arial" w:hAnsi="Arial" w:cs="Arial"/>
          <w:sz w:val="24"/>
          <w:szCs w:val="24"/>
          <w:vertAlign w:val="superscript"/>
          <w:lang w:val="pt-BR"/>
        </w:rPr>
        <w:t>8</w:t>
      </w:r>
      <w:r w:rsidRPr="00DA29D0">
        <w:rPr>
          <w:rFonts w:ascii="Arial" w:hAnsi="Arial" w:cs="Arial"/>
          <w:sz w:val="24"/>
          <w:szCs w:val="24"/>
          <w:lang w:val="pt-BR"/>
        </w:rPr>
        <w:t xml:space="preserve">, </w:t>
      </w:r>
      <w:r>
        <w:rPr>
          <w:rFonts w:ascii="Arial" w:hAnsi="Arial" w:cs="Arial"/>
          <w:sz w:val="24"/>
          <w:szCs w:val="24"/>
          <w:lang w:val="pt-BR"/>
        </w:rPr>
        <w:t>Renan Diniz Ferreira</w:t>
      </w:r>
      <w:r w:rsidRPr="00501406">
        <w:rPr>
          <w:rFonts w:ascii="Arial" w:hAnsi="Arial" w:cs="Arial"/>
          <w:sz w:val="24"/>
          <w:szCs w:val="24"/>
          <w:vertAlign w:val="superscript"/>
          <w:lang w:val="pt-BR"/>
        </w:rPr>
        <w:t>8</w:t>
      </w:r>
      <w:r>
        <w:rPr>
          <w:rFonts w:ascii="Arial" w:hAnsi="Arial" w:cs="Arial"/>
          <w:sz w:val="24"/>
          <w:szCs w:val="24"/>
          <w:lang w:val="pt-BR"/>
        </w:rPr>
        <w:t xml:space="preserve">, </w:t>
      </w:r>
      <w:proofErr w:type="spellStart"/>
      <w:r w:rsidRPr="00DA29D0">
        <w:rPr>
          <w:rFonts w:ascii="Arial" w:hAnsi="Arial" w:cs="Arial"/>
          <w:sz w:val="24"/>
          <w:szCs w:val="24"/>
          <w:lang w:val="pt-BR"/>
        </w:rPr>
        <w:t>Zakariyya</w:t>
      </w:r>
      <w:proofErr w:type="spellEnd"/>
      <w:r w:rsidRPr="00DA29D0">
        <w:rPr>
          <w:rFonts w:ascii="Arial" w:hAnsi="Arial" w:cs="Arial"/>
          <w:sz w:val="24"/>
          <w:szCs w:val="24"/>
          <w:lang w:val="pt-BR"/>
        </w:rPr>
        <w:t xml:space="preserve"> Muhammad Bello</w:t>
      </w:r>
      <w:r>
        <w:rPr>
          <w:rFonts w:ascii="Arial" w:hAnsi="Arial" w:cs="Arial"/>
          <w:sz w:val="24"/>
          <w:szCs w:val="24"/>
          <w:vertAlign w:val="superscript"/>
          <w:lang w:val="pt-BR"/>
        </w:rPr>
        <w:t>9,10</w:t>
      </w:r>
      <w:r w:rsidRPr="00DA29D0">
        <w:rPr>
          <w:rFonts w:ascii="Arial" w:hAnsi="Arial" w:cs="Arial"/>
          <w:sz w:val="24"/>
          <w:szCs w:val="24"/>
          <w:lang w:val="pt-BR"/>
        </w:rPr>
        <w:t xml:space="preserve">, Edilene </w:t>
      </w:r>
      <w:r>
        <w:rPr>
          <w:rFonts w:ascii="Arial" w:hAnsi="Arial" w:cs="Arial"/>
          <w:sz w:val="24"/>
          <w:szCs w:val="24"/>
          <w:lang w:val="pt-BR"/>
        </w:rPr>
        <w:t xml:space="preserve">Santos Alves de </w:t>
      </w:r>
      <w:r w:rsidRPr="00DA29D0">
        <w:rPr>
          <w:rFonts w:ascii="Arial" w:hAnsi="Arial" w:cs="Arial"/>
          <w:sz w:val="24"/>
          <w:szCs w:val="24"/>
          <w:lang w:val="pt-BR"/>
        </w:rPr>
        <w:t>Melo</w:t>
      </w:r>
      <w:r w:rsidRPr="00DA29D0">
        <w:rPr>
          <w:rFonts w:ascii="Arial" w:hAnsi="Arial" w:cs="Arial"/>
          <w:sz w:val="24"/>
          <w:szCs w:val="24"/>
          <w:vertAlign w:val="superscript"/>
          <w:lang w:val="pt-BR"/>
        </w:rPr>
        <w:t>1</w:t>
      </w:r>
      <w:r>
        <w:rPr>
          <w:rFonts w:ascii="Arial" w:hAnsi="Arial" w:cs="Arial"/>
          <w:sz w:val="24"/>
          <w:szCs w:val="24"/>
          <w:vertAlign w:val="superscript"/>
          <w:lang w:val="pt-BR"/>
        </w:rPr>
        <w:t>1</w:t>
      </w:r>
      <w:r w:rsidRPr="00DA29D0">
        <w:rPr>
          <w:rFonts w:ascii="Arial" w:hAnsi="Arial" w:cs="Arial"/>
          <w:sz w:val="24"/>
          <w:szCs w:val="24"/>
          <w:lang w:val="pt-BR"/>
        </w:rPr>
        <w:t xml:space="preserve">, Marina </w:t>
      </w:r>
      <w:r w:rsidRPr="00521DA5">
        <w:rPr>
          <w:rFonts w:ascii="Arial" w:hAnsi="Arial" w:cs="Arial"/>
          <w:sz w:val="24"/>
          <w:szCs w:val="24"/>
          <w:lang w:val="pt-BR"/>
        </w:rPr>
        <w:t>Andrade Rocha</w:t>
      </w:r>
      <w:r w:rsidRPr="00DA29D0">
        <w:rPr>
          <w:rFonts w:ascii="Arial" w:hAnsi="Arial" w:cs="Arial"/>
          <w:sz w:val="24"/>
          <w:szCs w:val="24"/>
          <w:vertAlign w:val="superscript"/>
          <w:lang w:val="pt-BR"/>
        </w:rPr>
        <w:t>1</w:t>
      </w:r>
      <w:r>
        <w:rPr>
          <w:rFonts w:ascii="Arial" w:hAnsi="Arial" w:cs="Arial"/>
          <w:sz w:val="24"/>
          <w:szCs w:val="24"/>
          <w:vertAlign w:val="superscript"/>
          <w:lang w:val="pt-BR"/>
        </w:rPr>
        <w:t>1</w:t>
      </w:r>
      <w:r>
        <w:rPr>
          <w:rFonts w:ascii="Arial" w:hAnsi="Arial" w:cs="Arial"/>
          <w:sz w:val="24"/>
          <w:szCs w:val="24"/>
          <w:lang w:val="pt-BR"/>
        </w:rPr>
        <w:t>, Ana Gabriela Silva</w:t>
      </w:r>
      <w:r w:rsidRPr="00DA29D0">
        <w:rPr>
          <w:rFonts w:ascii="Arial" w:hAnsi="Arial" w:cs="Arial"/>
          <w:sz w:val="24"/>
          <w:szCs w:val="24"/>
          <w:vertAlign w:val="superscript"/>
          <w:lang w:val="pt-BR"/>
        </w:rPr>
        <w:t>1</w:t>
      </w:r>
      <w:r>
        <w:rPr>
          <w:rFonts w:ascii="Arial" w:hAnsi="Arial" w:cs="Arial"/>
          <w:sz w:val="24"/>
          <w:szCs w:val="24"/>
          <w:vertAlign w:val="superscript"/>
          <w:lang w:val="pt-BR"/>
        </w:rPr>
        <w:t>1</w:t>
      </w:r>
      <w:r>
        <w:rPr>
          <w:rFonts w:ascii="Arial" w:hAnsi="Arial" w:cs="Arial"/>
          <w:sz w:val="24"/>
          <w:szCs w:val="24"/>
          <w:lang w:val="pt-BR"/>
        </w:rPr>
        <w:t xml:space="preserve">, </w:t>
      </w:r>
      <w:proofErr w:type="spellStart"/>
      <w:r>
        <w:rPr>
          <w:rFonts w:ascii="Arial" w:hAnsi="Arial" w:cs="Arial"/>
          <w:sz w:val="24"/>
          <w:szCs w:val="24"/>
          <w:lang w:val="pt-BR"/>
        </w:rPr>
        <w:t>Rosy</w:t>
      </w:r>
      <w:proofErr w:type="spellEnd"/>
      <w:r>
        <w:rPr>
          <w:rFonts w:ascii="Arial" w:hAnsi="Arial" w:cs="Arial"/>
          <w:sz w:val="24"/>
          <w:szCs w:val="24"/>
          <w:lang w:val="pt-BR"/>
        </w:rPr>
        <w:t xml:space="preserve"> Iara Maciel Azambuja Ribeiro</w:t>
      </w:r>
      <w:r w:rsidRPr="00DA29D0">
        <w:rPr>
          <w:rFonts w:ascii="Arial" w:hAnsi="Arial" w:cs="Arial"/>
          <w:sz w:val="24"/>
          <w:szCs w:val="24"/>
          <w:vertAlign w:val="superscript"/>
          <w:lang w:val="pt-BR"/>
        </w:rPr>
        <w:t>1</w:t>
      </w:r>
      <w:r>
        <w:rPr>
          <w:rFonts w:ascii="Arial" w:hAnsi="Arial" w:cs="Arial"/>
          <w:sz w:val="24"/>
          <w:szCs w:val="24"/>
          <w:vertAlign w:val="superscript"/>
          <w:lang w:val="pt-BR"/>
        </w:rPr>
        <w:t>1</w:t>
      </w:r>
      <w:r>
        <w:rPr>
          <w:rFonts w:ascii="Arial" w:hAnsi="Arial" w:cs="Arial"/>
          <w:sz w:val="24"/>
          <w:szCs w:val="24"/>
          <w:lang w:val="pt-BR"/>
        </w:rPr>
        <w:t xml:space="preserve">, </w:t>
      </w:r>
      <w:r w:rsidRPr="00521DA5">
        <w:rPr>
          <w:rFonts w:ascii="Arial" w:hAnsi="Arial" w:cs="Arial"/>
          <w:sz w:val="24"/>
          <w:szCs w:val="24"/>
          <w:lang w:val="pt-BR"/>
        </w:rPr>
        <w:t>Adriana Cristina Soares</w:t>
      </w:r>
      <w:r>
        <w:rPr>
          <w:rFonts w:ascii="Arial" w:hAnsi="Arial" w:cs="Arial"/>
          <w:sz w:val="24"/>
          <w:szCs w:val="24"/>
          <w:vertAlign w:val="superscript"/>
          <w:lang w:val="pt-BR"/>
        </w:rPr>
        <w:t>2</w:t>
      </w:r>
      <w:r>
        <w:rPr>
          <w:rFonts w:ascii="Arial" w:hAnsi="Arial" w:cs="Arial"/>
          <w:sz w:val="24"/>
          <w:szCs w:val="24"/>
          <w:lang w:val="pt-BR"/>
        </w:rPr>
        <w:t>, Renê Oliveira do Couto</w:t>
      </w:r>
      <w:r w:rsidRPr="00DA29D0">
        <w:rPr>
          <w:rFonts w:ascii="Arial" w:hAnsi="Arial" w:cs="Arial"/>
          <w:sz w:val="24"/>
          <w:szCs w:val="24"/>
          <w:vertAlign w:val="superscript"/>
          <w:lang w:val="pt-BR"/>
        </w:rPr>
        <w:t>1</w:t>
      </w:r>
      <w:r>
        <w:rPr>
          <w:rFonts w:ascii="Arial" w:hAnsi="Arial" w:cs="Arial"/>
          <w:sz w:val="24"/>
          <w:szCs w:val="24"/>
          <w:lang w:val="pt-BR"/>
        </w:rPr>
        <w:t>*</w:t>
      </w:r>
    </w:p>
    <w:p w14:paraId="49624B7C" w14:textId="77777777" w:rsidR="003426EA" w:rsidRDefault="003426EA" w:rsidP="00575D61">
      <w:pPr>
        <w:spacing w:after="0" w:line="360" w:lineRule="auto"/>
        <w:jc w:val="both"/>
        <w:rPr>
          <w:rFonts w:ascii="Arial" w:hAnsi="Arial" w:cs="Arial"/>
          <w:sz w:val="24"/>
          <w:szCs w:val="24"/>
          <w:lang w:val="pt-BR"/>
        </w:rPr>
      </w:pPr>
    </w:p>
    <w:p w14:paraId="0D8FF46B" w14:textId="77777777" w:rsidR="00747A3D" w:rsidRDefault="00747A3D" w:rsidP="00747A3D">
      <w:pPr>
        <w:spacing w:after="0" w:line="360" w:lineRule="auto"/>
        <w:jc w:val="both"/>
        <w:rPr>
          <w:rFonts w:ascii="Arial" w:hAnsi="Arial" w:cs="Arial"/>
          <w:sz w:val="24"/>
          <w:szCs w:val="24"/>
          <w:lang w:val="pt-BR"/>
        </w:rPr>
      </w:pPr>
      <w:r w:rsidRPr="00DA29D0">
        <w:rPr>
          <w:rFonts w:ascii="Arial" w:hAnsi="Arial" w:cs="Arial"/>
          <w:sz w:val="24"/>
          <w:szCs w:val="24"/>
          <w:vertAlign w:val="superscript"/>
          <w:lang w:val="pt-BR"/>
        </w:rPr>
        <w:t>1</w:t>
      </w:r>
      <w:r>
        <w:rPr>
          <w:rFonts w:ascii="Arial" w:hAnsi="Arial" w:cs="Arial"/>
          <w:sz w:val="24"/>
          <w:szCs w:val="24"/>
          <w:vertAlign w:val="superscript"/>
          <w:lang w:val="pt-BR"/>
        </w:rPr>
        <w:t xml:space="preserve"> </w:t>
      </w:r>
      <w:proofErr w:type="spellStart"/>
      <w:r>
        <w:rPr>
          <w:rFonts w:ascii="Arial" w:hAnsi="Arial" w:cs="Arial"/>
          <w:sz w:val="24"/>
          <w:szCs w:val="24"/>
          <w:lang w:val="pt-BR"/>
        </w:rPr>
        <w:t>Laboratory</w:t>
      </w:r>
      <w:proofErr w:type="spellEnd"/>
      <w:r>
        <w:rPr>
          <w:rFonts w:ascii="Arial" w:hAnsi="Arial" w:cs="Arial"/>
          <w:sz w:val="24"/>
          <w:szCs w:val="24"/>
          <w:lang w:val="pt-BR"/>
        </w:rPr>
        <w:t xml:space="preserve"> </w:t>
      </w:r>
      <w:proofErr w:type="spellStart"/>
      <w:r>
        <w:rPr>
          <w:rFonts w:ascii="Arial" w:hAnsi="Arial" w:cs="Arial"/>
          <w:sz w:val="24"/>
          <w:szCs w:val="24"/>
          <w:lang w:val="pt-BR"/>
        </w:rPr>
        <w:t>of</w:t>
      </w:r>
      <w:proofErr w:type="spellEnd"/>
      <w:r>
        <w:rPr>
          <w:rFonts w:ascii="Arial" w:hAnsi="Arial" w:cs="Arial"/>
          <w:sz w:val="24"/>
          <w:szCs w:val="24"/>
          <w:lang w:val="pt-BR"/>
        </w:rPr>
        <w:t xml:space="preserve"> </w:t>
      </w:r>
      <w:proofErr w:type="spellStart"/>
      <w:r>
        <w:rPr>
          <w:rFonts w:ascii="Arial" w:hAnsi="Arial" w:cs="Arial"/>
          <w:sz w:val="24"/>
          <w:szCs w:val="24"/>
          <w:lang w:val="pt-BR"/>
        </w:rPr>
        <w:t>Pharmaeutical</w:t>
      </w:r>
      <w:proofErr w:type="spellEnd"/>
      <w:r>
        <w:rPr>
          <w:rFonts w:ascii="Arial" w:hAnsi="Arial" w:cs="Arial"/>
          <w:sz w:val="24"/>
          <w:szCs w:val="24"/>
          <w:lang w:val="pt-BR"/>
        </w:rPr>
        <w:t xml:space="preserve"> </w:t>
      </w:r>
      <w:proofErr w:type="spellStart"/>
      <w:r>
        <w:rPr>
          <w:rFonts w:ascii="Arial" w:hAnsi="Arial" w:cs="Arial"/>
          <w:sz w:val="24"/>
          <w:szCs w:val="24"/>
          <w:lang w:val="pt-BR"/>
        </w:rPr>
        <w:t>Development</w:t>
      </w:r>
      <w:proofErr w:type="spellEnd"/>
      <w:r>
        <w:rPr>
          <w:rFonts w:ascii="Arial" w:hAnsi="Arial" w:cs="Arial"/>
          <w:sz w:val="24"/>
          <w:szCs w:val="24"/>
          <w:lang w:val="pt-BR"/>
        </w:rPr>
        <w:t xml:space="preserve"> (LADEF), </w:t>
      </w:r>
      <w:r w:rsidRPr="004A68D9">
        <w:rPr>
          <w:rFonts w:ascii="Arial" w:hAnsi="Arial" w:cs="Arial"/>
          <w:sz w:val="24"/>
          <w:szCs w:val="24"/>
          <w:lang w:val="pt-BR"/>
        </w:rPr>
        <w:t xml:space="preserve">Federal </w:t>
      </w:r>
      <w:proofErr w:type="spellStart"/>
      <w:r w:rsidRPr="004A68D9">
        <w:rPr>
          <w:rFonts w:ascii="Arial" w:hAnsi="Arial" w:cs="Arial"/>
          <w:sz w:val="24"/>
          <w:szCs w:val="24"/>
          <w:lang w:val="pt-BR"/>
        </w:rPr>
        <w:t>University</w:t>
      </w:r>
      <w:proofErr w:type="spellEnd"/>
      <w:r w:rsidRPr="004A68D9">
        <w:rPr>
          <w:rFonts w:ascii="Arial" w:hAnsi="Arial" w:cs="Arial"/>
          <w:sz w:val="24"/>
          <w:szCs w:val="24"/>
          <w:lang w:val="pt-BR"/>
        </w:rPr>
        <w:t xml:space="preserve"> </w:t>
      </w:r>
      <w:proofErr w:type="spellStart"/>
      <w:r w:rsidRPr="004A68D9">
        <w:rPr>
          <w:rFonts w:ascii="Arial" w:hAnsi="Arial" w:cs="Arial"/>
          <w:sz w:val="24"/>
          <w:szCs w:val="24"/>
          <w:lang w:val="pt-BR"/>
        </w:rPr>
        <w:t>of</w:t>
      </w:r>
      <w:proofErr w:type="spellEnd"/>
      <w:r w:rsidRPr="004A68D9">
        <w:rPr>
          <w:rFonts w:ascii="Arial" w:hAnsi="Arial" w:cs="Arial"/>
          <w:sz w:val="24"/>
          <w:szCs w:val="24"/>
          <w:lang w:val="pt-BR"/>
        </w:rPr>
        <w:t xml:space="preserve"> São João </w:t>
      </w:r>
      <w:proofErr w:type="spellStart"/>
      <w:r w:rsidRPr="004A68D9">
        <w:rPr>
          <w:rFonts w:ascii="Arial" w:hAnsi="Arial" w:cs="Arial"/>
          <w:sz w:val="24"/>
          <w:szCs w:val="24"/>
          <w:lang w:val="pt-BR"/>
        </w:rPr>
        <w:t>del</w:t>
      </w:r>
      <w:proofErr w:type="spellEnd"/>
      <w:r w:rsidRPr="004A68D9">
        <w:rPr>
          <w:rFonts w:ascii="Arial" w:hAnsi="Arial" w:cs="Arial"/>
          <w:sz w:val="24"/>
          <w:szCs w:val="24"/>
          <w:lang w:val="pt-BR"/>
        </w:rPr>
        <w:t xml:space="preserve">-Rei, </w:t>
      </w:r>
      <w:proofErr w:type="spellStart"/>
      <w:r>
        <w:rPr>
          <w:rFonts w:ascii="Arial" w:hAnsi="Arial" w:cs="Arial"/>
          <w:sz w:val="24"/>
          <w:szCs w:val="24"/>
          <w:lang w:val="pt-BR"/>
        </w:rPr>
        <w:t>Midwest</w:t>
      </w:r>
      <w:proofErr w:type="spellEnd"/>
      <w:r>
        <w:rPr>
          <w:rFonts w:ascii="Arial" w:hAnsi="Arial" w:cs="Arial"/>
          <w:sz w:val="24"/>
          <w:szCs w:val="24"/>
          <w:lang w:val="pt-BR"/>
        </w:rPr>
        <w:t xml:space="preserve"> </w:t>
      </w:r>
      <w:r w:rsidRPr="004A68D9">
        <w:rPr>
          <w:rFonts w:ascii="Arial" w:hAnsi="Arial" w:cs="Arial"/>
          <w:sz w:val="24"/>
          <w:szCs w:val="24"/>
          <w:lang w:val="pt-BR"/>
        </w:rPr>
        <w:t xml:space="preserve">Campus Dona </w:t>
      </w:r>
      <w:proofErr w:type="spellStart"/>
      <w:r w:rsidRPr="004A68D9">
        <w:rPr>
          <w:rFonts w:ascii="Arial" w:hAnsi="Arial" w:cs="Arial"/>
          <w:sz w:val="24"/>
          <w:szCs w:val="24"/>
          <w:lang w:val="pt-BR"/>
        </w:rPr>
        <w:t>Lindu</w:t>
      </w:r>
      <w:proofErr w:type="spellEnd"/>
      <w:r w:rsidRPr="004A68D9">
        <w:rPr>
          <w:rFonts w:ascii="Arial" w:hAnsi="Arial" w:cs="Arial"/>
          <w:sz w:val="24"/>
          <w:szCs w:val="24"/>
          <w:lang w:val="pt-BR"/>
        </w:rPr>
        <w:t xml:space="preserve">, Divinópolis, Minas Gerais, </w:t>
      </w:r>
      <w:proofErr w:type="spellStart"/>
      <w:r w:rsidRPr="004A68D9">
        <w:rPr>
          <w:rFonts w:ascii="Arial" w:hAnsi="Arial" w:cs="Arial"/>
          <w:sz w:val="24"/>
          <w:szCs w:val="24"/>
          <w:lang w:val="pt-BR"/>
        </w:rPr>
        <w:t>Brazil</w:t>
      </w:r>
      <w:proofErr w:type="spellEnd"/>
      <w:r>
        <w:rPr>
          <w:rFonts w:ascii="Arial" w:hAnsi="Arial" w:cs="Arial"/>
          <w:sz w:val="24"/>
          <w:szCs w:val="24"/>
          <w:lang w:val="pt-BR"/>
        </w:rPr>
        <w:t>.</w:t>
      </w:r>
    </w:p>
    <w:p w14:paraId="66A07660" w14:textId="77777777" w:rsidR="00747A3D" w:rsidRDefault="00747A3D" w:rsidP="00747A3D">
      <w:pPr>
        <w:spacing w:after="0" w:line="360" w:lineRule="auto"/>
        <w:jc w:val="both"/>
        <w:rPr>
          <w:rFonts w:ascii="Arial" w:hAnsi="Arial" w:cs="Arial"/>
          <w:sz w:val="24"/>
          <w:szCs w:val="24"/>
        </w:rPr>
      </w:pPr>
      <w:r w:rsidRPr="00930ADA">
        <w:rPr>
          <w:rFonts w:ascii="Arial" w:hAnsi="Arial" w:cs="Arial"/>
          <w:sz w:val="24"/>
          <w:szCs w:val="24"/>
          <w:vertAlign w:val="superscript"/>
        </w:rPr>
        <w:t>2</w:t>
      </w:r>
      <w:r w:rsidRPr="00DC1BA6">
        <w:rPr>
          <w:rFonts w:ascii="Arial" w:hAnsi="Arial" w:cs="Arial"/>
          <w:sz w:val="24"/>
          <w:szCs w:val="24"/>
        </w:rPr>
        <w:t xml:space="preserve">Pharmacology of Pain and Inflammation Laboratory, Federal University of São João del-Rei, Midwest Campus Dona </w:t>
      </w:r>
      <w:proofErr w:type="spellStart"/>
      <w:r w:rsidRPr="00DC1BA6">
        <w:rPr>
          <w:rFonts w:ascii="Arial" w:hAnsi="Arial" w:cs="Arial"/>
          <w:sz w:val="24"/>
          <w:szCs w:val="24"/>
        </w:rPr>
        <w:t>Lindu</w:t>
      </w:r>
      <w:proofErr w:type="spellEnd"/>
      <w:r w:rsidRPr="00DC1BA6">
        <w:rPr>
          <w:rFonts w:ascii="Arial" w:hAnsi="Arial" w:cs="Arial"/>
          <w:sz w:val="24"/>
          <w:szCs w:val="24"/>
        </w:rPr>
        <w:t xml:space="preserve">, </w:t>
      </w:r>
      <w:proofErr w:type="spellStart"/>
      <w:r w:rsidRPr="00DC1BA6">
        <w:rPr>
          <w:rFonts w:ascii="Arial" w:hAnsi="Arial" w:cs="Arial"/>
          <w:sz w:val="24"/>
          <w:szCs w:val="24"/>
        </w:rPr>
        <w:t>Divinópolis</w:t>
      </w:r>
      <w:proofErr w:type="spellEnd"/>
      <w:r w:rsidRPr="00DC1BA6">
        <w:rPr>
          <w:rFonts w:ascii="Arial" w:hAnsi="Arial" w:cs="Arial"/>
          <w:sz w:val="24"/>
          <w:szCs w:val="24"/>
        </w:rPr>
        <w:t>, Brazil</w:t>
      </w:r>
    </w:p>
    <w:p w14:paraId="34EA21FC" w14:textId="77777777" w:rsidR="00747A3D" w:rsidRDefault="00747A3D" w:rsidP="00747A3D">
      <w:pPr>
        <w:spacing w:after="0" w:line="360" w:lineRule="auto"/>
        <w:jc w:val="both"/>
        <w:rPr>
          <w:rFonts w:ascii="Arial" w:hAnsi="Arial" w:cs="Arial"/>
          <w:sz w:val="24"/>
          <w:szCs w:val="24"/>
        </w:rPr>
      </w:pPr>
      <w:r w:rsidRPr="00DC1BA6">
        <w:rPr>
          <w:rFonts w:ascii="Arial" w:hAnsi="Arial" w:cs="Arial"/>
          <w:sz w:val="24"/>
          <w:szCs w:val="24"/>
          <w:vertAlign w:val="superscript"/>
        </w:rPr>
        <w:t>3</w:t>
      </w:r>
      <w:r>
        <w:rPr>
          <w:rFonts w:ascii="Arial" w:hAnsi="Arial" w:cs="Arial"/>
          <w:sz w:val="24"/>
          <w:szCs w:val="24"/>
        </w:rPr>
        <w:t>L</w:t>
      </w:r>
      <w:r w:rsidRPr="00DC1BA6">
        <w:rPr>
          <w:rFonts w:ascii="Arial" w:hAnsi="Arial" w:cs="Arial"/>
          <w:sz w:val="24"/>
          <w:szCs w:val="24"/>
        </w:rPr>
        <w:t>aboratory</w:t>
      </w:r>
      <w:r>
        <w:rPr>
          <w:rFonts w:ascii="Arial" w:hAnsi="Arial" w:cs="Arial"/>
          <w:sz w:val="24"/>
          <w:szCs w:val="24"/>
        </w:rPr>
        <w:t xml:space="preserve"> of Phytochemistry</w:t>
      </w:r>
      <w:r w:rsidRPr="00DC1BA6">
        <w:rPr>
          <w:rFonts w:ascii="Arial" w:hAnsi="Arial" w:cs="Arial"/>
          <w:sz w:val="24"/>
          <w:szCs w:val="24"/>
        </w:rPr>
        <w:t xml:space="preserve">, Federal University of São João del-Rei, Midwest Campus Dona </w:t>
      </w:r>
      <w:proofErr w:type="spellStart"/>
      <w:r w:rsidRPr="00DC1BA6">
        <w:rPr>
          <w:rFonts w:ascii="Arial" w:hAnsi="Arial" w:cs="Arial"/>
          <w:sz w:val="24"/>
          <w:szCs w:val="24"/>
        </w:rPr>
        <w:t>Lindu</w:t>
      </w:r>
      <w:proofErr w:type="spellEnd"/>
      <w:r w:rsidRPr="00DC1BA6">
        <w:rPr>
          <w:rFonts w:ascii="Arial" w:hAnsi="Arial" w:cs="Arial"/>
          <w:sz w:val="24"/>
          <w:szCs w:val="24"/>
        </w:rPr>
        <w:t xml:space="preserve">, </w:t>
      </w:r>
      <w:proofErr w:type="spellStart"/>
      <w:r w:rsidRPr="00DC1BA6">
        <w:rPr>
          <w:rFonts w:ascii="Arial" w:hAnsi="Arial" w:cs="Arial"/>
          <w:sz w:val="24"/>
          <w:szCs w:val="24"/>
        </w:rPr>
        <w:t>Divinópolis</w:t>
      </w:r>
      <w:proofErr w:type="spellEnd"/>
      <w:r w:rsidRPr="00DC1BA6">
        <w:rPr>
          <w:rFonts w:ascii="Arial" w:hAnsi="Arial" w:cs="Arial"/>
          <w:sz w:val="24"/>
          <w:szCs w:val="24"/>
        </w:rPr>
        <w:t>, Brazil</w:t>
      </w:r>
    </w:p>
    <w:p w14:paraId="1526839C" w14:textId="77777777" w:rsidR="00747A3D" w:rsidRDefault="00747A3D" w:rsidP="00747A3D">
      <w:pPr>
        <w:spacing w:after="0" w:line="360" w:lineRule="auto"/>
        <w:jc w:val="both"/>
        <w:rPr>
          <w:rFonts w:ascii="Arial" w:hAnsi="Arial" w:cs="Arial"/>
          <w:sz w:val="24"/>
          <w:szCs w:val="24"/>
        </w:rPr>
      </w:pPr>
      <w:r w:rsidRPr="00DC1BA6">
        <w:rPr>
          <w:rFonts w:ascii="Arial" w:hAnsi="Arial" w:cs="Arial"/>
          <w:sz w:val="24"/>
          <w:szCs w:val="24"/>
          <w:vertAlign w:val="superscript"/>
        </w:rPr>
        <w:t>4</w:t>
      </w:r>
      <w:r w:rsidRPr="00DC1BA6">
        <w:rPr>
          <w:rFonts w:ascii="Arial" w:hAnsi="Arial" w:cs="Arial"/>
          <w:sz w:val="24"/>
          <w:szCs w:val="24"/>
        </w:rPr>
        <w:t>CT-INFRA II - Animal Maintenance Facility</w:t>
      </w:r>
      <w:r>
        <w:rPr>
          <w:rFonts w:ascii="Arial" w:hAnsi="Arial" w:cs="Arial"/>
          <w:sz w:val="24"/>
          <w:szCs w:val="24"/>
        </w:rPr>
        <w:t xml:space="preserve">, </w:t>
      </w:r>
      <w:r w:rsidRPr="00DC1BA6">
        <w:rPr>
          <w:rFonts w:ascii="Arial" w:hAnsi="Arial" w:cs="Arial"/>
          <w:sz w:val="24"/>
          <w:szCs w:val="24"/>
        </w:rPr>
        <w:t xml:space="preserve">Federal University of São João del-Rei, Midwest Campus Dona </w:t>
      </w:r>
      <w:proofErr w:type="spellStart"/>
      <w:r w:rsidRPr="00DC1BA6">
        <w:rPr>
          <w:rFonts w:ascii="Arial" w:hAnsi="Arial" w:cs="Arial"/>
          <w:sz w:val="24"/>
          <w:szCs w:val="24"/>
        </w:rPr>
        <w:t>Lindu</w:t>
      </w:r>
      <w:proofErr w:type="spellEnd"/>
      <w:r w:rsidRPr="00DC1BA6">
        <w:rPr>
          <w:rFonts w:ascii="Arial" w:hAnsi="Arial" w:cs="Arial"/>
          <w:sz w:val="24"/>
          <w:szCs w:val="24"/>
        </w:rPr>
        <w:t xml:space="preserve">, </w:t>
      </w:r>
      <w:proofErr w:type="spellStart"/>
      <w:r w:rsidRPr="00DC1BA6">
        <w:rPr>
          <w:rFonts w:ascii="Arial" w:hAnsi="Arial" w:cs="Arial"/>
          <w:sz w:val="24"/>
          <w:szCs w:val="24"/>
        </w:rPr>
        <w:t>Divinópolis</w:t>
      </w:r>
      <w:proofErr w:type="spellEnd"/>
      <w:r w:rsidRPr="00DC1BA6">
        <w:rPr>
          <w:rFonts w:ascii="Arial" w:hAnsi="Arial" w:cs="Arial"/>
          <w:sz w:val="24"/>
          <w:szCs w:val="24"/>
        </w:rPr>
        <w:t>, Brazil</w:t>
      </w:r>
    </w:p>
    <w:p w14:paraId="0193C0F5" w14:textId="77777777" w:rsidR="00747A3D" w:rsidRPr="00930ADA" w:rsidRDefault="00747A3D" w:rsidP="00747A3D">
      <w:pPr>
        <w:spacing w:after="0" w:line="360" w:lineRule="auto"/>
        <w:jc w:val="both"/>
        <w:rPr>
          <w:rFonts w:ascii="Arial" w:hAnsi="Arial" w:cs="Arial"/>
          <w:sz w:val="24"/>
          <w:szCs w:val="24"/>
        </w:rPr>
      </w:pPr>
      <w:r w:rsidRPr="00DC1BA6">
        <w:rPr>
          <w:rFonts w:ascii="Arial" w:hAnsi="Arial" w:cs="Arial"/>
          <w:sz w:val="24"/>
          <w:szCs w:val="24"/>
          <w:vertAlign w:val="superscript"/>
        </w:rPr>
        <w:t>5</w:t>
      </w:r>
      <w:r w:rsidRPr="00930ADA">
        <w:rPr>
          <w:rFonts w:ascii="Arial" w:hAnsi="Arial" w:cs="Arial"/>
          <w:sz w:val="24"/>
          <w:szCs w:val="24"/>
        </w:rPr>
        <w:t xml:space="preserve">Laboratory of Pharmaceutical and Environmental Analysis (LAFAM), Faculty of Pharmacy, Federal University of Goiás (UFG), </w:t>
      </w:r>
      <w:proofErr w:type="spellStart"/>
      <w:r w:rsidRPr="00930ADA">
        <w:rPr>
          <w:rFonts w:ascii="Arial" w:hAnsi="Arial" w:cs="Arial"/>
          <w:sz w:val="24"/>
          <w:szCs w:val="24"/>
        </w:rPr>
        <w:t>Goiânia</w:t>
      </w:r>
      <w:proofErr w:type="spellEnd"/>
      <w:r w:rsidRPr="00930ADA">
        <w:rPr>
          <w:rFonts w:ascii="Arial" w:hAnsi="Arial" w:cs="Arial"/>
          <w:sz w:val="24"/>
          <w:szCs w:val="24"/>
        </w:rPr>
        <w:t>, Goiás, Brazil.</w:t>
      </w:r>
    </w:p>
    <w:p w14:paraId="1C5E1CD8" w14:textId="77777777" w:rsidR="00747A3D" w:rsidRPr="00930ADA" w:rsidRDefault="00747A3D" w:rsidP="00747A3D">
      <w:pPr>
        <w:spacing w:after="0" w:line="360" w:lineRule="auto"/>
        <w:jc w:val="both"/>
        <w:rPr>
          <w:rFonts w:ascii="Arial" w:hAnsi="Arial" w:cs="Arial"/>
          <w:sz w:val="24"/>
          <w:szCs w:val="24"/>
        </w:rPr>
      </w:pPr>
      <w:r>
        <w:rPr>
          <w:rFonts w:ascii="Arial" w:hAnsi="Arial" w:cs="Arial"/>
          <w:sz w:val="24"/>
          <w:szCs w:val="24"/>
          <w:vertAlign w:val="superscript"/>
        </w:rPr>
        <w:t>6</w:t>
      </w:r>
      <w:r w:rsidRPr="00930ADA">
        <w:rPr>
          <w:rFonts w:ascii="Arial" w:hAnsi="Arial" w:cs="Arial"/>
          <w:sz w:val="24"/>
          <w:szCs w:val="24"/>
        </w:rPr>
        <w:t>Laboratory of Natural Products and Mass Spectrometry (LAPNEM), Faculty of Pharmaceutical Sciences, Food and Nutrition (FACFAN), Federal University of Mato Grosso do Sul (UFMS), Campo Grande, Mato Grosso do Sul, Brazil.</w:t>
      </w:r>
    </w:p>
    <w:p w14:paraId="618559E4" w14:textId="77777777" w:rsidR="00747A3D" w:rsidRPr="00930ADA" w:rsidRDefault="00747A3D" w:rsidP="00747A3D">
      <w:pPr>
        <w:spacing w:after="0" w:line="360" w:lineRule="auto"/>
        <w:jc w:val="both"/>
        <w:rPr>
          <w:rFonts w:ascii="Arial" w:hAnsi="Arial" w:cs="Arial"/>
          <w:sz w:val="24"/>
          <w:szCs w:val="24"/>
        </w:rPr>
      </w:pPr>
      <w:r>
        <w:rPr>
          <w:rFonts w:ascii="Arial" w:hAnsi="Arial" w:cs="Arial"/>
          <w:sz w:val="24"/>
          <w:szCs w:val="24"/>
          <w:vertAlign w:val="superscript"/>
        </w:rPr>
        <w:t>7</w:t>
      </w:r>
      <w:r w:rsidRPr="00930ADA">
        <w:rPr>
          <w:rFonts w:ascii="Arial" w:hAnsi="Arial" w:cs="Arial"/>
          <w:sz w:val="24"/>
          <w:szCs w:val="24"/>
        </w:rPr>
        <w:t xml:space="preserve">Federal University of Western Bahia (UFOB), Center for Biological and Health Sciences, </w:t>
      </w:r>
      <w:proofErr w:type="spellStart"/>
      <w:r w:rsidRPr="00930ADA">
        <w:rPr>
          <w:rFonts w:ascii="Arial" w:hAnsi="Arial" w:cs="Arial"/>
          <w:sz w:val="24"/>
          <w:szCs w:val="24"/>
        </w:rPr>
        <w:t>Barreiras</w:t>
      </w:r>
      <w:proofErr w:type="spellEnd"/>
      <w:r w:rsidRPr="00930ADA">
        <w:rPr>
          <w:rFonts w:ascii="Arial" w:hAnsi="Arial" w:cs="Arial"/>
          <w:sz w:val="24"/>
          <w:szCs w:val="24"/>
        </w:rPr>
        <w:t>, Bahia, Brazil.</w:t>
      </w:r>
    </w:p>
    <w:p w14:paraId="53D679D9" w14:textId="77777777" w:rsidR="00747A3D" w:rsidRDefault="00747A3D" w:rsidP="00747A3D">
      <w:pPr>
        <w:spacing w:after="0" w:line="360" w:lineRule="auto"/>
        <w:jc w:val="both"/>
        <w:rPr>
          <w:rFonts w:ascii="Arial" w:hAnsi="Arial" w:cs="Arial"/>
          <w:sz w:val="24"/>
          <w:szCs w:val="24"/>
          <w:lang w:val="pt-BR"/>
        </w:rPr>
      </w:pPr>
      <w:r>
        <w:rPr>
          <w:rFonts w:ascii="Arial" w:hAnsi="Arial" w:cs="Arial"/>
          <w:sz w:val="24"/>
          <w:szCs w:val="24"/>
          <w:vertAlign w:val="superscript"/>
          <w:lang w:val="pt-BR"/>
        </w:rPr>
        <w:t>8</w:t>
      </w:r>
      <w:r w:rsidRPr="004A68D9">
        <w:rPr>
          <w:rFonts w:ascii="Arial" w:hAnsi="Arial" w:cs="Arial"/>
          <w:sz w:val="24"/>
          <w:szCs w:val="24"/>
          <w:lang w:val="pt-BR"/>
        </w:rPr>
        <w:t xml:space="preserve">Federal </w:t>
      </w:r>
      <w:proofErr w:type="spellStart"/>
      <w:r w:rsidRPr="004A68D9">
        <w:rPr>
          <w:rFonts w:ascii="Arial" w:hAnsi="Arial" w:cs="Arial"/>
          <w:sz w:val="24"/>
          <w:szCs w:val="24"/>
          <w:lang w:val="pt-BR"/>
        </w:rPr>
        <w:t>University</w:t>
      </w:r>
      <w:proofErr w:type="spellEnd"/>
      <w:r w:rsidRPr="004A68D9">
        <w:rPr>
          <w:rFonts w:ascii="Arial" w:hAnsi="Arial" w:cs="Arial"/>
          <w:sz w:val="24"/>
          <w:szCs w:val="24"/>
          <w:lang w:val="pt-BR"/>
        </w:rPr>
        <w:t xml:space="preserve"> </w:t>
      </w:r>
      <w:proofErr w:type="spellStart"/>
      <w:r w:rsidRPr="004A68D9">
        <w:rPr>
          <w:rFonts w:ascii="Arial" w:hAnsi="Arial" w:cs="Arial"/>
          <w:sz w:val="24"/>
          <w:szCs w:val="24"/>
          <w:lang w:val="pt-BR"/>
        </w:rPr>
        <w:t>of</w:t>
      </w:r>
      <w:proofErr w:type="spellEnd"/>
      <w:r w:rsidRPr="004A68D9">
        <w:rPr>
          <w:rFonts w:ascii="Arial" w:hAnsi="Arial" w:cs="Arial"/>
          <w:sz w:val="24"/>
          <w:szCs w:val="24"/>
          <w:lang w:val="pt-BR"/>
        </w:rPr>
        <w:t xml:space="preserve"> São João </w:t>
      </w:r>
      <w:proofErr w:type="spellStart"/>
      <w:r w:rsidRPr="004A68D9">
        <w:rPr>
          <w:rFonts w:ascii="Arial" w:hAnsi="Arial" w:cs="Arial"/>
          <w:sz w:val="24"/>
          <w:szCs w:val="24"/>
          <w:lang w:val="pt-BR"/>
        </w:rPr>
        <w:t>del</w:t>
      </w:r>
      <w:proofErr w:type="spellEnd"/>
      <w:r w:rsidRPr="004A68D9">
        <w:rPr>
          <w:rFonts w:ascii="Arial" w:hAnsi="Arial" w:cs="Arial"/>
          <w:sz w:val="24"/>
          <w:szCs w:val="24"/>
          <w:lang w:val="pt-BR"/>
        </w:rPr>
        <w:t xml:space="preserve">-Rei, </w:t>
      </w:r>
      <w:proofErr w:type="spellStart"/>
      <w:r w:rsidRPr="004A68D9">
        <w:rPr>
          <w:rFonts w:ascii="Arial" w:hAnsi="Arial" w:cs="Arial"/>
          <w:sz w:val="24"/>
          <w:szCs w:val="24"/>
          <w:lang w:val="pt-BR"/>
        </w:rPr>
        <w:t>Department</w:t>
      </w:r>
      <w:proofErr w:type="spellEnd"/>
      <w:r w:rsidRPr="004A68D9">
        <w:rPr>
          <w:rFonts w:ascii="Arial" w:hAnsi="Arial" w:cs="Arial"/>
          <w:sz w:val="24"/>
          <w:szCs w:val="24"/>
          <w:lang w:val="pt-BR"/>
        </w:rPr>
        <w:t xml:space="preserve"> </w:t>
      </w:r>
      <w:proofErr w:type="spellStart"/>
      <w:r w:rsidRPr="004A68D9">
        <w:rPr>
          <w:rFonts w:ascii="Arial" w:hAnsi="Arial" w:cs="Arial"/>
          <w:sz w:val="24"/>
          <w:szCs w:val="24"/>
          <w:lang w:val="pt-BR"/>
        </w:rPr>
        <w:t>of</w:t>
      </w:r>
      <w:proofErr w:type="spellEnd"/>
      <w:r w:rsidRPr="004A68D9">
        <w:rPr>
          <w:rFonts w:ascii="Arial" w:hAnsi="Arial" w:cs="Arial"/>
          <w:sz w:val="24"/>
          <w:szCs w:val="24"/>
          <w:lang w:val="pt-BR"/>
        </w:rPr>
        <w:t xml:space="preserve"> Natural </w:t>
      </w:r>
      <w:proofErr w:type="spellStart"/>
      <w:r w:rsidRPr="004A68D9">
        <w:rPr>
          <w:rFonts w:ascii="Arial" w:hAnsi="Arial" w:cs="Arial"/>
          <w:sz w:val="24"/>
          <w:szCs w:val="24"/>
          <w:lang w:val="pt-BR"/>
        </w:rPr>
        <w:t>Sciences</w:t>
      </w:r>
      <w:proofErr w:type="spellEnd"/>
      <w:r w:rsidRPr="004A68D9">
        <w:rPr>
          <w:rFonts w:ascii="Arial" w:hAnsi="Arial" w:cs="Arial"/>
          <w:sz w:val="24"/>
          <w:szCs w:val="24"/>
          <w:lang w:val="pt-BR"/>
        </w:rPr>
        <w:t xml:space="preserve"> (DCNAT), São João </w:t>
      </w:r>
      <w:proofErr w:type="spellStart"/>
      <w:r w:rsidRPr="004A68D9">
        <w:rPr>
          <w:rFonts w:ascii="Arial" w:hAnsi="Arial" w:cs="Arial"/>
          <w:sz w:val="24"/>
          <w:szCs w:val="24"/>
          <w:lang w:val="pt-BR"/>
        </w:rPr>
        <w:t>del</w:t>
      </w:r>
      <w:proofErr w:type="spellEnd"/>
      <w:r w:rsidRPr="004A68D9">
        <w:rPr>
          <w:rFonts w:ascii="Arial" w:hAnsi="Arial" w:cs="Arial"/>
          <w:sz w:val="24"/>
          <w:szCs w:val="24"/>
          <w:lang w:val="pt-BR"/>
        </w:rPr>
        <w:t xml:space="preserve">-Rei, Minas Gerais, </w:t>
      </w:r>
      <w:proofErr w:type="spellStart"/>
      <w:r w:rsidRPr="004A68D9">
        <w:rPr>
          <w:rFonts w:ascii="Arial" w:hAnsi="Arial" w:cs="Arial"/>
          <w:sz w:val="24"/>
          <w:szCs w:val="24"/>
          <w:lang w:val="pt-BR"/>
        </w:rPr>
        <w:t>Brazil</w:t>
      </w:r>
      <w:proofErr w:type="spellEnd"/>
      <w:r w:rsidRPr="004A68D9">
        <w:rPr>
          <w:rFonts w:ascii="Arial" w:hAnsi="Arial" w:cs="Arial"/>
          <w:sz w:val="24"/>
          <w:szCs w:val="24"/>
          <w:lang w:val="pt-BR"/>
        </w:rPr>
        <w:t>.</w:t>
      </w:r>
    </w:p>
    <w:p w14:paraId="660D5F48" w14:textId="77777777" w:rsidR="00747A3D" w:rsidRDefault="00747A3D" w:rsidP="00747A3D">
      <w:pPr>
        <w:spacing w:after="0" w:line="360" w:lineRule="auto"/>
        <w:jc w:val="both"/>
        <w:rPr>
          <w:rFonts w:ascii="Arial" w:hAnsi="Arial" w:cs="Arial"/>
          <w:sz w:val="24"/>
          <w:szCs w:val="24"/>
        </w:rPr>
      </w:pPr>
      <w:r>
        <w:rPr>
          <w:rFonts w:ascii="Arial" w:hAnsi="Arial" w:cs="Arial"/>
          <w:sz w:val="24"/>
          <w:szCs w:val="24"/>
          <w:vertAlign w:val="superscript"/>
        </w:rPr>
        <w:t>9</w:t>
      </w:r>
      <w:r w:rsidRPr="00930ADA">
        <w:rPr>
          <w:rFonts w:ascii="Arial" w:hAnsi="Arial" w:cs="Arial"/>
          <w:sz w:val="24"/>
          <w:szCs w:val="24"/>
        </w:rPr>
        <w:t>Department of Medical Laboratory Science, College of Medical Sciences, Ahmadu Bello University, Zaria, Nigeria.</w:t>
      </w:r>
    </w:p>
    <w:p w14:paraId="2A0D4B1D" w14:textId="77777777" w:rsidR="00747A3D" w:rsidRPr="00EC4DEA" w:rsidRDefault="00747A3D" w:rsidP="00747A3D">
      <w:pPr>
        <w:spacing w:after="0" w:line="360" w:lineRule="auto"/>
        <w:jc w:val="both"/>
        <w:rPr>
          <w:rFonts w:ascii="Arial" w:hAnsi="Arial" w:cs="Arial"/>
          <w:sz w:val="24"/>
          <w:szCs w:val="24"/>
        </w:rPr>
      </w:pPr>
      <w:r w:rsidRPr="00EC4DEA">
        <w:rPr>
          <w:rFonts w:ascii="Arial" w:hAnsi="Arial" w:cs="Arial"/>
          <w:sz w:val="24"/>
          <w:szCs w:val="24"/>
          <w:vertAlign w:val="superscript"/>
        </w:rPr>
        <w:t>10</w:t>
      </w:r>
      <w:r w:rsidRPr="00EC4DEA">
        <w:rPr>
          <w:rFonts w:ascii="Arial" w:hAnsi="Arial" w:cs="Arial"/>
          <w:sz w:val="24"/>
          <w:szCs w:val="24"/>
        </w:rPr>
        <w:t xml:space="preserve">CT-INFRA I </w:t>
      </w:r>
      <w:r>
        <w:rPr>
          <w:rFonts w:ascii="Arial" w:hAnsi="Arial" w:cs="Arial"/>
          <w:sz w:val="24"/>
          <w:szCs w:val="24"/>
        </w:rPr>
        <w:t>–</w:t>
      </w:r>
      <w:r w:rsidRPr="00EC4DEA">
        <w:rPr>
          <w:rFonts w:ascii="Arial" w:hAnsi="Arial" w:cs="Arial"/>
          <w:sz w:val="24"/>
          <w:szCs w:val="24"/>
        </w:rPr>
        <w:t xml:space="preserve"> </w:t>
      </w:r>
      <w:r>
        <w:rPr>
          <w:rFonts w:ascii="Arial" w:hAnsi="Arial" w:cs="Arial"/>
          <w:sz w:val="24"/>
          <w:szCs w:val="24"/>
        </w:rPr>
        <w:t xml:space="preserve">Laboratory of </w:t>
      </w:r>
      <w:r w:rsidRPr="00EC4DEA">
        <w:rPr>
          <w:rFonts w:ascii="Arial" w:hAnsi="Arial" w:cs="Arial"/>
          <w:sz w:val="24"/>
          <w:szCs w:val="24"/>
        </w:rPr>
        <w:t>Tissue Processing</w:t>
      </w:r>
      <w:r>
        <w:rPr>
          <w:rFonts w:ascii="Arial" w:hAnsi="Arial" w:cs="Arial"/>
          <w:sz w:val="24"/>
          <w:szCs w:val="24"/>
        </w:rPr>
        <w:t xml:space="preserve"> (LAPROTEC), </w:t>
      </w:r>
      <w:r w:rsidRPr="00EC4DEA">
        <w:rPr>
          <w:rFonts w:ascii="Arial" w:hAnsi="Arial" w:cs="Arial"/>
          <w:sz w:val="24"/>
          <w:szCs w:val="24"/>
        </w:rPr>
        <w:t xml:space="preserve">Federal University of São João del-Rei, Midwest Campus Dona </w:t>
      </w:r>
      <w:proofErr w:type="spellStart"/>
      <w:r w:rsidRPr="00EC4DEA">
        <w:rPr>
          <w:rFonts w:ascii="Arial" w:hAnsi="Arial" w:cs="Arial"/>
          <w:sz w:val="24"/>
          <w:szCs w:val="24"/>
        </w:rPr>
        <w:t>Lindu</w:t>
      </w:r>
      <w:proofErr w:type="spellEnd"/>
      <w:r w:rsidRPr="00EC4DEA">
        <w:rPr>
          <w:rFonts w:ascii="Arial" w:hAnsi="Arial" w:cs="Arial"/>
          <w:sz w:val="24"/>
          <w:szCs w:val="24"/>
        </w:rPr>
        <w:t xml:space="preserve">, </w:t>
      </w:r>
      <w:proofErr w:type="spellStart"/>
      <w:r w:rsidRPr="00EC4DEA">
        <w:rPr>
          <w:rFonts w:ascii="Arial" w:hAnsi="Arial" w:cs="Arial"/>
          <w:sz w:val="24"/>
          <w:szCs w:val="24"/>
        </w:rPr>
        <w:t>Divinópolis</w:t>
      </w:r>
      <w:proofErr w:type="spellEnd"/>
      <w:r w:rsidRPr="00EC4DEA">
        <w:rPr>
          <w:rFonts w:ascii="Arial" w:hAnsi="Arial" w:cs="Arial"/>
          <w:sz w:val="24"/>
          <w:szCs w:val="24"/>
        </w:rPr>
        <w:t>, Minas Gerais, Brazil.</w:t>
      </w:r>
    </w:p>
    <w:p w14:paraId="5B0757F9" w14:textId="77777777" w:rsidR="00747A3D" w:rsidRPr="00000F48" w:rsidRDefault="00747A3D" w:rsidP="00747A3D">
      <w:pPr>
        <w:spacing w:after="0" w:line="360" w:lineRule="auto"/>
        <w:jc w:val="both"/>
        <w:rPr>
          <w:rFonts w:ascii="Arial" w:hAnsi="Arial" w:cs="Arial"/>
          <w:sz w:val="24"/>
          <w:szCs w:val="24"/>
        </w:rPr>
      </w:pPr>
      <w:r w:rsidRPr="00EC4DEA">
        <w:rPr>
          <w:rFonts w:ascii="Arial" w:hAnsi="Arial" w:cs="Arial"/>
          <w:sz w:val="24"/>
          <w:szCs w:val="24"/>
          <w:vertAlign w:val="superscript"/>
        </w:rPr>
        <w:t>11</w:t>
      </w:r>
      <w:r w:rsidRPr="00EC4DEA">
        <w:rPr>
          <w:rFonts w:ascii="Arial" w:hAnsi="Arial" w:cs="Arial"/>
          <w:sz w:val="24"/>
          <w:szCs w:val="24"/>
        </w:rPr>
        <w:t>Laboratory of Experimental Pathology</w:t>
      </w:r>
      <w:r>
        <w:rPr>
          <w:rFonts w:ascii="Arial" w:hAnsi="Arial" w:cs="Arial"/>
          <w:sz w:val="24"/>
          <w:szCs w:val="24"/>
        </w:rPr>
        <w:t xml:space="preserve"> (LAPATEX)</w:t>
      </w:r>
      <w:r w:rsidRPr="00EC4DEA">
        <w:rPr>
          <w:rFonts w:ascii="Arial" w:hAnsi="Arial" w:cs="Arial"/>
          <w:sz w:val="24"/>
          <w:szCs w:val="24"/>
        </w:rPr>
        <w:t>, Federal University of São João del-Rei, Midwest</w:t>
      </w:r>
      <w:r>
        <w:rPr>
          <w:rFonts w:ascii="Arial" w:hAnsi="Arial" w:cs="Arial"/>
          <w:sz w:val="24"/>
          <w:szCs w:val="24"/>
        </w:rPr>
        <w:t xml:space="preserve"> </w:t>
      </w:r>
      <w:r w:rsidRPr="00000F48">
        <w:rPr>
          <w:rFonts w:ascii="Arial" w:hAnsi="Arial" w:cs="Arial"/>
          <w:sz w:val="24"/>
          <w:szCs w:val="24"/>
        </w:rPr>
        <w:t xml:space="preserve">Campus Dona </w:t>
      </w:r>
      <w:proofErr w:type="spellStart"/>
      <w:r w:rsidRPr="00000F48">
        <w:rPr>
          <w:rFonts w:ascii="Arial" w:hAnsi="Arial" w:cs="Arial"/>
          <w:sz w:val="24"/>
          <w:szCs w:val="24"/>
        </w:rPr>
        <w:t>Lindu</w:t>
      </w:r>
      <w:proofErr w:type="spellEnd"/>
      <w:r w:rsidRPr="00000F48">
        <w:rPr>
          <w:rFonts w:ascii="Arial" w:hAnsi="Arial" w:cs="Arial"/>
          <w:sz w:val="24"/>
          <w:szCs w:val="24"/>
        </w:rPr>
        <w:t xml:space="preserve">, </w:t>
      </w:r>
      <w:proofErr w:type="spellStart"/>
      <w:r w:rsidRPr="00000F48">
        <w:rPr>
          <w:rFonts w:ascii="Arial" w:hAnsi="Arial" w:cs="Arial"/>
          <w:sz w:val="24"/>
          <w:szCs w:val="24"/>
        </w:rPr>
        <w:t>Divinópolis</w:t>
      </w:r>
      <w:proofErr w:type="spellEnd"/>
      <w:r w:rsidRPr="00000F48">
        <w:rPr>
          <w:rFonts w:ascii="Arial" w:hAnsi="Arial" w:cs="Arial"/>
          <w:sz w:val="24"/>
          <w:szCs w:val="24"/>
        </w:rPr>
        <w:t>, Minas Gerais, Brazil.</w:t>
      </w:r>
    </w:p>
    <w:p w14:paraId="43C6CD63" w14:textId="77777777" w:rsidR="00747A3D" w:rsidRDefault="00747A3D" w:rsidP="00747A3D">
      <w:pPr>
        <w:spacing w:after="0" w:line="360" w:lineRule="auto"/>
        <w:jc w:val="both"/>
        <w:rPr>
          <w:rFonts w:ascii="Arial" w:hAnsi="Arial" w:cs="Arial"/>
          <w:sz w:val="24"/>
          <w:szCs w:val="24"/>
          <w:lang w:val="pt-BR"/>
        </w:rPr>
      </w:pPr>
      <w:r>
        <w:rPr>
          <w:rFonts w:ascii="Arial" w:hAnsi="Arial" w:cs="Arial"/>
          <w:sz w:val="24"/>
          <w:szCs w:val="24"/>
          <w:lang w:val="pt-BR"/>
        </w:rPr>
        <w:t>*</w:t>
      </w:r>
      <w:proofErr w:type="spellStart"/>
      <w:r>
        <w:rPr>
          <w:rFonts w:ascii="Arial" w:hAnsi="Arial" w:cs="Arial"/>
          <w:sz w:val="24"/>
          <w:szCs w:val="24"/>
          <w:lang w:val="pt-BR"/>
        </w:rPr>
        <w:t>Corresponding</w:t>
      </w:r>
      <w:proofErr w:type="spellEnd"/>
      <w:r>
        <w:rPr>
          <w:rFonts w:ascii="Arial" w:hAnsi="Arial" w:cs="Arial"/>
          <w:sz w:val="24"/>
          <w:szCs w:val="24"/>
          <w:lang w:val="pt-BR"/>
        </w:rPr>
        <w:t xml:space="preserve"> </w:t>
      </w:r>
      <w:proofErr w:type="spellStart"/>
      <w:r>
        <w:rPr>
          <w:rFonts w:ascii="Arial" w:hAnsi="Arial" w:cs="Arial"/>
          <w:sz w:val="24"/>
          <w:szCs w:val="24"/>
          <w:lang w:val="pt-BR"/>
        </w:rPr>
        <w:t>author</w:t>
      </w:r>
      <w:proofErr w:type="spellEnd"/>
      <w:r>
        <w:rPr>
          <w:rFonts w:ascii="Arial" w:hAnsi="Arial" w:cs="Arial"/>
          <w:sz w:val="24"/>
          <w:szCs w:val="24"/>
          <w:lang w:val="pt-BR"/>
        </w:rPr>
        <w:t>: Renê Oliveira do Couto</w:t>
      </w:r>
    </w:p>
    <w:p w14:paraId="3CC23851" w14:textId="77777777" w:rsidR="00747A3D" w:rsidRDefault="00747A3D" w:rsidP="00747A3D">
      <w:pPr>
        <w:spacing w:after="0" w:line="360" w:lineRule="auto"/>
        <w:jc w:val="both"/>
        <w:rPr>
          <w:rFonts w:ascii="Arial" w:hAnsi="Arial" w:cs="Arial"/>
          <w:sz w:val="24"/>
          <w:szCs w:val="24"/>
          <w:lang w:val="pt-BR"/>
        </w:rPr>
      </w:pPr>
      <w:r w:rsidRPr="00DA29D0">
        <w:rPr>
          <w:rFonts w:ascii="Arial" w:hAnsi="Arial" w:cs="Arial"/>
          <w:sz w:val="24"/>
          <w:szCs w:val="24"/>
          <w:lang w:val="pt-BR"/>
        </w:rPr>
        <w:t xml:space="preserve">“Dona </w:t>
      </w:r>
      <w:proofErr w:type="spellStart"/>
      <w:r w:rsidRPr="00DA29D0">
        <w:rPr>
          <w:rFonts w:ascii="Arial" w:hAnsi="Arial" w:cs="Arial"/>
          <w:sz w:val="24"/>
          <w:szCs w:val="24"/>
          <w:lang w:val="pt-BR"/>
        </w:rPr>
        <w:t>Lindu</w:t>
      </w:r>
      <w:proofErr w:type="spellEnd"/>
      <w:r w:rsidRPr="00DA29D0">
        <w:rPr>
          <w:rFonts w:ascii="Arial" w:hAnsi="Arial" w:cs="Arial"/>
          <w:sz w:val="24"/>
          <w:szCs w:val="24"/>
          <w:lang w:val="pt-BR"/>
        </w:rPr>
        <w:t xml:space="preserve">” </w:t>
      </w:r>
      <w:proofErr w:type="spellStart"/>
      <w:r w:rsidRPr="00DA29D0">
        <w:rPr>
          <w:rFonts w:ascii="Arial" w:hAnsi="Arial" w:cs="Arial"/>
          <w:sz w:val="24"/>
          <w:szCs w:val="24"/>
          <w:lang w:val="pt-BR"/>
        </w:rPr>
        <w:t>Midwest</w:t>
      </w:r>
      <w:proofErr w:type="spellEnd"/>
      <w:r w:rsidRPr="00DA29D0">
        <w:rPr>
          <w:rFonts w:ascii="Arial" w:hAnsi="Arial" w:cs="Arial"/>
          <w:sz w:val="24"/>
          <w:szCs w:val="24"/>
          <w:lang w:val="pt-BR"/>
        </w:rPr>
        <w:t xml:space="preserve"> Campus, Universidade Federal de São João </w:t>
      </w:r>
      <w:proofErr w:type="spellStart"/>
      <w:r w:rsidRPr="00DA29D0">
        <w:rPr>
          <w:rFonts w:ascii="Arial" w:hAnsi="Arial" w:cs="Arial"/>
          <w:sz w:val="24"/>
          <w:szCs w:val="24"/>
          <w:lang w:val="pt-BR"/>
        </w:rPr>
        <w:t>del</w:t>
      </w:r>
      <w:proofErr w:type="spellEnd"/>
      <w:r w:rsidRPr="00DA29D0">
        <w:rPr>
          <w:rFonts w:ascii="Arial" w:hAnsi="Arial" w:cs="Arial"/>
          <w:sz w:val="24"/>
          <w:szCs w:val="24"/>
          <w:lang w:val="pt-BR"/>
        </w:rPr>
        <w:t xml:space="preserve">-Rei (UFSJ), </w:t>
      </w:r>
      <w:proofErr w:type="spellStart"/>
      <w:r w:rsidRPr="00DA29D0">
        <w:rPr>
          <w:rFonts w:ascii="Arial" w:hAnsi="Arial" w:cs="Arial"/>
          <w:sz w:val="24"/>
          <w:szCs w:val="24"/>
          <w:lang w:val="pt-BR"/>
        </w:rPr>
        <w:t>Divinopolis</w:t>
      </w:r>
      <w:proofErr w:type="spellEnd"/>
      <w:r w:rsidRPr="00DA29D0">
        <w:rPr>
          <w:rFonts w:ascii="Arial" w:hAnsi="Arial" w:cs="Arial"/>
          <w:sz w:val="24"/>
          <w:szCs w:val="24"/>
          <w:lang w:val="pt-BR"/>
        </w:rPr>
        <w:t xml:space="preserve"> 35501-296, MG, </w:t>
      </w:r>
      <w:proofErr w:type="spellStart"/>
      <w:r w:rsidRPr="00DA29D0">
        <w:rPr>
          <w:rFonts w:ascii="Arial" w:hAnsi="Arial" w:cs="Arial"/>
          <w:sz w:val="24"/>
          <w:szCs w:val="24"/>
          <w:lang w:val="pt-BR"/>
        </w:rPr>
        <w:t>Brazil</w:t>
      </w:r>
      <w:proofErr w:type="spellEnd"/>
    </w:p>
    <w:p w14:paraId="2D3B71EC" w14:textId="16C3B000" w:rsidR="003426EA" w:rsidRPr="00FA0083" w:rsidRDefault="003426EA" w:rsidP="00575D61">
      <w:pPr>
        <w:spacing w:after="0"/>
        <w:jc w:val="both"/>
        <w:rPr>
          <w:rFonts w:ascii="Arial" w:hAnsi="Arial" w:cs="Arial"/>
          <w:b/>
          <w:bCs/>
          <w:sz w:val="24"/>
          <w:szCs w:val="24"/>
        </w:rPr>
      </w:pPr>
      <w:r w:rsidRPr="00FA0083">
        <w:rPr>
          <w:rFonts w:ascii="Arial" w:hAnsi="Arial" w:cs="Arial"/>
          <w:b/>
          <w:bCs/>
          <w:sz w:val="24"/>
          <w:szCs w:val="24"/>
        </w:rPr>
        <w:lastRenderedPageBreak/>
        <w:t>Supplementary Material</w:t>
      </w:r>
    </w:p>
    <w:p w14:paraId="7D9AC62F" w14:textId="77777777" w:rsidR="003426EA" w:rsidRPr="00FA0083" w:rsidRDefault="003426EA" w:rsidP="00575D61">
      <w:pPr>
        <w:spacing w:after="0" w:line="360" w:lineRule="auto"/>
        <w:jc w:val="both"/>
        <w:rPr>
          <w:rFonts w:ascii="Arial" w:hAnsi="Arial" w:cs="Arial"/>
          <w:sz w:val="24"/>
          <w:szCs w:val="24"/>
        </w:rPr>
      </w:pPr>
    </w:p>
    <w:p w14:paraId="0C9204B0" w14:textId="308E8B62" w:rsidR="003426EA" w:rsidRPr="00FA0083" w:rsidRDefault="003426EA" w:rsidP="00575D61">
      <w:pPr>
        <w:pStyle w:val="PargrafodaLista"/>
        <w:numPr>
          <w:ilvl w:val="0"/>
          <w:numId w:val="1"/>
        </w:numPr>
        <w:tabs>
          <w:tab w:val="left" w:pos="284"/>
        </w:tabs>
        <w:spacing w:after="0" w:line="360" w:lineRule="auto"/>
        <w:ind w:left="0" w:firstLine="0"/>
        <w:jc w:val="both"/>
        <w:rPr>
          <w:rFonts w:ascii="Arial" w:eastAsia="Times New Roman" w:hAnsi="Arial" w:cs="Arial"/>
          <w:b/>
          <w:bCs/>
          <w:sz w:val="24"/>
          <w:szCs w:val="24"/>
          <w:lang w:val="en-US"/>
        </w:rPr>
      </w:pPr>
      <w:r w:rsidRPr="00FA0083">
        <w:rPr>
          <w:rFonts w:ascii="Arial" w:hAnsi="Arial" w:cs="Arial"/>
          <w:sz w:val="24"/>
          <w:szCs w:val="24"/>
          <w:lang w:val="en-US"/>
        </w:rPr>
        <w:t xml:space="preserve">Analytical standardization of the </w:t>
      </w:r>
      <w:r w:rsidRPr="00FA0083">
        <w:rPr>
          <w:rFonts w:ascii="Arial" w:eastAsia="Times New Roman" w:hAnsi="Arial" w:cs="Arial"/>
          <w:sz w:val="24"/>
          <w:szCs w:val="24"/>
          <w:lang w:val="en-US"/>
        </w:rPr>
        <w:t xml:space="preserve">spray-dried </w:t>
      </w:r>
      <w:r w:rsidRPr="00FA0083">
        <w:rPr>
          <w:rFonts w:ascii="Arial" w:eastAsia="Times New Roman" w:hAnsi="Arial" w:cs="Arial"/>
          <w:i/>
          <w:iCs/>
          <w:sz w:val="24"/>
          <w:szCs w:val="24"/>
          <w:lang w:val="en-US"/>
        </w:rPr>
        <w:t xml:space="preserve">Celtis </w:t>
      </w:r>
      <w:proofErr w:type="spellStart"/>
      <w:r w:rsidRPr="00FA0083">
        <w:rPr>
          <w:rFonts w:ascii="Arial" w:eastAsia="Times New Roman" w:hAnsi="Arial" w:cs="Arial"/>
          <w:i/>
          <w:iCs/>
          <w:sz w:val="24"/>
          <w:szCs w:val="24"/>
          <w:lang w:val="en-US"/>
        </w:rPr>
        <w:t>iguanae</w:t>
      </w:r>
      <w:r w:rsidRPr="00FA0083">
        <w:rPr>
          <w:rFonts w:ascii="Arial" w:eastAsia="Times New Roman" w:hAnsi="Arial" w:cs="Arial"/>
          <w:sz w:val="24"/>
          <w:szCs w:val="24"/>
          <w:lang w:val="en-US"/>
        </w:rPr>
        <w:t>a</w:t>
      </w:r>
      <w:proofErr w:type="spellEnd"/>
      <w:r w:rsidRPr="00FA0083">
        <w:rPr>
          <w:rFonts w:ascii="Arial" w:eastAsia="Times New Roman" w:hAnsi="Arial" w:cs="Arial"/>
          <w:sz w:val="24"/>
          <w:szCs w:val="24"/>
          <w:lang w:val="en-US"/>
        </w:rPr>
        <w:t xml:space="preserve"> hydroethanolic leaf extract (</w:t>
      </w:r>
      <w:proofErr w:type="spellStart"/>
      <w:r w:rsidRPr="00FA0083">
        <w:rPr>
          <w:rFonts w:ascii="Arial" w:eastAsia="Times New Roman" w:hAnsi="Arial" w:cs="Arial"/>
          <w:sz w:val="24"/>
          <w:szCs w:val="24"/>
          <w:lang w:val="en-US"/>
        </w:rPr>
        <w:t>SDCi</w:t>
      </w:r>
      <w:proofErr w:type="spellEnd"/>
      <w:r w:rsidRPr="00FA0083">
        <w:rPr>
          <w:rFonts w:ascii="Arial" w:eastAsia="Times New Roman" w:hAnsi="Arial" w:cs="Arial"/>
          <w:sz w:val="24"/>
          <w:szCs w:val="24"/>
          <w:lang w:val="en-US"/>
        </w:rPr>
        <w:t>)</w:t>
      </w:r>
    </w:p>
    <w:p w14:paraId="33866E52" w14:textId="66AE2093" w:rsidR="003426EA" w:rsidRPr="00FA0083" w:rsidRDefault="00FA0083" w:rsidP="00575D61">
      <w:pPr>
        <w:pStyle w:val="PargrafodaLista"/>
        <w:numPr>
          <w:ilvl w:val="1"/>
          <w:numId w:val="1"/>
        </w:numPr>
        <w:tabs>
          <w:tab w:val="left" w:pos="142"/>
          <w:tab w:val="left" w:pos="284"/>
          <w:tab w:val="left" w:pos="426"/>
        </w:tabs>
        <w:spacing w:after="0" w:line="360" w:lineRule="auto"/>
        <w:ind w:left="0" w:firstLine="0"/>
        <w:jc w:val="both"/>
        <w:rPr>
          <w:rFonts w:ascii="Arial" w:hAnsi="Arial" w:cs="Arial"/>
          <w:sz w:val="24"/>
          <w:szCs w:val="24"/>
          <w:lang w:val="en-US"/>
        </w:rPr>
      </w:pPr>
      <w:r w:rsidRPr="00FA0083">
        <w:rPr>
          <w:rFonts w:ascii="Arial" w:hAnsi="Arial" w:cs="Arial"/>
          <w:sz w:val="24"/>
          <w:szCs w:val="24"/>
          <w:lang w:val="en-US"/>
        </w:rPr>
        <w:t>Determination</w:t>
      </w:r>
      <w:r w:rsidR="007064EF" w:rsidRPr="00FA0083">
        <w:rPr>
          <w:rFonts w:ascii="Arial" w:hAnsi="Arial" w:cs="Arial"/>
          <w:sz w:val="24"/>
          <w:szCs w:val="24"/>
          <w:lang w:val="en-US"/>
        </w:rPr>
        <w:t xml:space="preserve"> of total phenolics content (</w:t>
      </w:r>
      <w:proofErr w:type="spellStart"/>
      <w:r w:rsidR="007064EF" w:rsidRPr="00FA0083">
        <w:rPr>
          <w:rFonts w:ascii="Arial" w:hAnsi="Arial" w:cs="Arial"/>
          <w:sz w:val="24"/>
          <w:szCs w:val="24"/>
          <w:lang w:val="en-US"/>
        </w:rPr>
        <w:t>TPc</w:t>
      </w:r>
      <w:proofErr w:type="spellEnd"/>
      <w:r w:rsidR="007064EF" w:rsidRPr="00FA0083">
        <w:rPr>
          <w:rFonts w:ascii="Arial" w:hAnsi="Arial" w:cs="Arial"/>
          <w:sz w:val="24"/>
          <w:szCs w:val="24"/>
          <w:lang w:val="en-US"/>
        </w:rPr>
        <w:t>)</w:t>
      </w:r>
    </w:p>
    <w:p w14:paraId="7310149B" w14:textId="694B75DA" w:rsidR="003426EA" w:rsidRPr="00FA0083" w:rsidRDefault="007064EF" w:rsidP="00575D61">
      <w:pPr>
        <w:spacing w:after="0" w:line="360" w:lineRule="auto"/>
        <w:ind w:firstLine="708"/>
        <w:jc w:val="both"/>
        <w:rPr>
          <w:rFonts w:ascii="Arial" w:hAnsi="Arial" w:cs="Arial"/>
          <w:sz w:val="24"/>
          <w:szCs w:val="24"/>
        </w:rPr>
      </w:pPr>
      <w:proofErr w:type="spellStart"/>
      <w:r w:rsidRPr="00FA0083">
        <w:rPr>
          <w:rFonts w:ascii="Arial" w:hAnsi="Arial" w:cs="Arial"/>
          <w:sz w:val="24"/>
          <w:szCs w:val="24"/>
        </w:rPr>
        <w:t>TPc</w:t>
      </w:r>
      <w:proofErr w:type="spellEnd"/>
      <w:r w:rsidRPr="00FA0083">
        <w:rPr>
          <w:rFonts w:ascii="Arial" w:hAnsi="Arial" w:cs="Arial"/>
          <w:sz w:val="24"/>
          <w:szCs w:val="24"/>
        </w:rPr>
        <w:t xml:space="preserve"> was determined using the Folin-</w:t>
      </w:r>
      <w:proofErr w:type="spellStart"/>
      <w:r w:rsidRPr="00FA0083">
        <w:rPr>
          <w:rFonts w:ascii="Arial" w:hAnsi="Arial" w:cs="Arial"/>
          <w:sz w:val="24"/>
          <w:szCs w:val="24"/>
        </w:rPr>
        <w:t>Ciocalteu</w:t>
      </w:r>
      <w:proofErr w:type="spellEnd"/>
      <w:r w:rsidRPr="00FA0083">
        <w:rPr>
          <w:rFonts w:ascii="Arial" w:hAnsi="Arial" w:cs="Arial"/>
          <w:sz w:val="24"/>
          <w:szCs w:val="24"/>
        </w:rPr>
        <w:t xml:space="preserve"> method </w:t>
      </w:r>
      <w:bookmarkStart w:id="0" w:name="_Hlk189222915"/>
      <w:r w:rsidRPr="00FA0083">
        <w:rPr>
          <w:rFonts w:ascii="Arial" w:hAnsi="Arial" w:cs="Arial"/>
          <w:sz w:val="24"/>
          <w:szCs w:val="24"/>
        </w:rPr>
        <w:fldChar w:fldCharType="begin" w:fldLock="1"/>
      </w:r>
      <w:r w:rsidR="00F21F86">
        <w:rPr>
          <w:rFonts w:ascii="Arial" w:hAnsi="Arial" w:cs="Arial"/>
          <w:sz w:val="24"/>
          <w:szCs w:val="24"/>
        </w:rPr>
        <w:instrText>ADDIN CSL_CITATION {"citationItems":[{"id":"ITEM-1","itemData":{"DOI":"10.1016/S0076-6879(99)99017-1","author":[{"dropping-particle":"","family":"Singleton","given":"Vernon L.","non-dropping-particle":"","parse-names":false,"suffix":""},{"dropping-particle":"","family":"Orthofer","given":"Rudolf","non-dropping-particle":"","parse-names":false,"suffix":""},{"dropping-particle":"","family":"Lamuela-Raventós","given":"Rosa M.","non-dropping-particle":"","parse-names":false,"suffix":""}],"container-title":"Methods in Enzymology","id":"ITEM-1","issued":{"date-parts":[["1999"]]},"page":"152-178","title":"Analysis of Total Phenols and Other Oxidation Substrates and Antioxidants by Means of Folin-Ciocalteu Reagent","type":"article-journal","volume":"299"},"uris":["http://www.mendeley.com/documents/?uuid=0a4b48c2-05c6-499d-b31c-285e37e1997f"]}],"mendeley":{"formattedCitation":"[1]","plainTextFormattedCitation":"[1]","previouslyFormattedCitation":"(Singleton et al., 1999)"},"properties":{"noteIndex":0},"schema":"https://github.com/citation-style-language/schema/raw/master/csl-citation.json"}</w:instrText>
      </w:r>
      <w:r w:rsidRPr="00FA0083">
        <w:rPr>
          <w:rFonts w:ascii="Arial" w:hAnsi="Arial" w:cs="Arial"/>
          <w:sz w:val="24"/>
          <w:szCs w:val="24"/>
        </w:rPr>
        <w:fldChar w:fldCharType="separate"/>
      </w:r>
      <w:r w:rsidR="00F21F86" w:rsidRPr="00F21F86">
        <w:rPr>
          <w:rFonts w:ascii="Arial" w:hAnsi="Arial" w:cs="Arial"/>
          <w:noProof/>
          <w:sz w:val="24"/>
          <w:szCs w:val="24"/>
        </w:rPr>
        <w:t>[1]</w:t>
      </w:r>
      <w:r w:rsidRPr="00FA0083">
        <w:rPr>
          <w:rFonts w:ascii="Arial" w:hAnsi="Arial" w:cs="Arial"/>
          <w:sz w:val="24"/>
          <w:szCs w:val="24"/>
        </w:rPr>
        <w:fldChar w:fldCharType="end"/>
      </w:r>
      <w:bookmarkEnd w:id="0"/>
      <w:r w:rsidRPr="00FA0083">
        <w:rPr>
          <w:rFonts w:ascii="Arial" w:hAnsi="Arial" w:cs="Arial"/>
          <w:sz w:val="24"/>
          <w:szCs w:val="24"/>
        </w:rPr>
        <w:t xml:space="preserve"> adapted to 96-well microplates. An analytical standard of gallic acid was dissolved in ethanol (70% INPM) to obtain the stock solution (400 µg/mL) used to construct the analytical curve. An aqueous solution of Na</w:t>
      </w:r>
      <w:r w:rsidRPr="00FA0083">
        <w:rPr>
          <w:rFonts w:ascii="Arial" w:hAnsi="Arial" w:cs="Arial"/>
          <w:sz w:val="24"/>
          <w:szCs w:val="24"/>
          <w:vertAlign w:val="subscript"/>
        </w:rPr>
        <w:t>2</w:t>
      </w:r>
      <w:r w:rsidRPr="00FA0083">
        <w:rPr>
          <w:rFonts w:ascii="Arial" w:hAnsi="Arial" w:cs="Arial"/>
          <w:sz w:val="24"/>
          <w:szCs w:val="24"/>
        </w:rPr>
        <w:t>CO</w:t>
      </w:r>
      <w:r w:rsidRPr="00FA0083">
        <w:rPr>
          <w:rFonts w:ascii="Arial" w:hAnsi="Arial" w:cs="Arial"/>
          <w:sz w:val="24"/>
          <w:szCs w:val="24"/>
          <w:vertAlign w:val="subscript"/>
        </w:rPr>
        <w:t>3</w:t>
      </w:r>
      <w:r w:rsidRPr="00FA0083">
        <w:rPr>
          <w:rFonts w:ascii="Arial" w:hAnsi="Arial" w:cs="Arial"/>
          <w:sz w:val="24"/>
          <w:szCs w:val="24"/>
        </w:rPr>
        <w:t xml:space="preserve"> (100 mg/mL) was used as an alkalizing agent. The Folin-</w:t>
      </w:r>
      <w:proofErr w:type="spellStart"/>
      <w:r w:rsidRPr="00FA0083">
        <w:rPr>
          <w:rFonts w:ascii="Arial" w:hAnsi="Arial" w:cs="Arial"/>
          <w:sz w:val="24"/>
          <w:szCs w:val="24"/>
        </w:rPr>
        <w:t>Ciocalteu</w:t>
      </w:r>
      <w:proofErr w:type="spellEnd"/>
      <w:r w:rsidRPr="00FA0083">
        <w:rPr>
          <w:rFonts w:ascii="Arial" w:hAnsi="Arial" w:cs="Arial"/>
          <w:sz w:val="24"/>
          <w:szCs w:val="24"/>
        </w:rPr>
        <w:t xml:space="preserve"> reagent was diluted in water in a 1:2 ratio.</w:t>
      </w:r>
    </w:p>
    <w:p w14:paraId="236335F7" w14:textId="77777777" w:rsidR="007064EF" w:rsidRPr="00FA0083" w:rsidRDefault="007064EF" w:rsidP="00575D61">
      <w:pPr>
        <w:spacing w:after="0" w:line="360" w:lineRule="auto"/>
        <w:ind w:firstLine="708"/>
        <w:jc w:val="both"/>
        <w:rPr>
          <w:rFonts w:ascii="Arial" w:hAnsi="Arial" w:cs="Arial"/>
          <w:sz w:val="24"/>
          <w:szCs w:val="24"/>
        </w:rPr>
      </w:pPr>
      <w:r w:rsidRPr="00FA0083">
        <w:rPr>
          <w:rFonts w:ascii="Arial" w:hAnsi="Arial" w:cs="Arial"/>
          <w:sz w:val="24"/>
          <w:szCs w:val="24"/>
        </w:rPr>
        <w:t>To obtain the analytical curve (10, 20, 40, 80, 120 and 200 µg/mL), aliquots of the stock solution were diluted to 1 mL in polymeric microtubes with ethanol (70% INPM), and the set was homogenized in a vortex. ESCI was dissolved in ethanol (70% INPM) to 5 mg/mL in a volumetric flask.</w:t>
      </w:r>
    </w:p>
    <w:p w14:paraId="7B34EEBB" w14:textId="2AFDAB6D" w:rsidR="003426EA" w:rsidRPr="00FA0083" w:rsidRDefault="007064EF" w:rsidP="00575D61">
      <w:pPr>
        <w:spacing w:after="0" w:line="360" w:lineRule="auto"/>
        <w:ind w:firstLine="708"/>
        <w:jc w:val="both"/>
        <w:rPr>
          <w:rFonts w:ascii="Arial" w:hAnsi="Arial" w:cs="Arial"/>
          <w:sz w:val="24"/>
          <w:szCs w:val="24"/>
        </w:rPr>
      </w:pPr>
      <w:r w:rsidRPr="00FA0083">
        <w:rPr>
          <w:rFonts w:ascii="Arial" w:hAnsi="Arial" w:cs="Arial"/>
          <w:sz w:val="24"/>
          <w:szCs w:val="24"/>
        </w:rPr>
        <w:t xml:space="preserve">Aliquots (25 µL) of the gallic acid or </w:t>
      </w:r>
      <w:proofErr w:type="spellStart"/>
      <w:r w:rsidRPr="00FA0083">
        <w:rPr>
          <w:rFonts w:ascii="Arial" w:hAnsi="Arial" w:cs="Arial"/>
          <w:sz w:val="24"/>
          <w:szCs w:val="24"/>
        </w:rPr>
        <w:t>SDCi</w:t>
      </w:r>
      <w:proofErr w:type="spellEnd"/>
      <w:r w:rsidRPr="00FA0083">
        <w:rPr>
          <w:rFonts w:ascii="Arial" w:hAnsi="Arial" w:cs="Arial"/>
          <w:sz w:val="24"/>
          <w:szCs w:val="24"/>
        </w:rPr>
        <w:t xml:space="preserve"> working solution, 200 µL of water and 25 µL of the Folin-</w:t>
      </w:r>
      <w:proofErr w:type="spellStart"/>
      <w:r w:rsidRPr="00FA0083">
        <w:rPr>
          <w:rFonts w:ascii="Arial" w:hAnsi="Arial" w:cs="Arial"/>
          <w:sz w:val="24"/>
          <w:szCs w:val="24"/>
        </w:rPr>
        <w:t>Ciocalteu</w:t>
      </w:r>
      <w:proofErr w:type="spellEnd"/>
      <w:r w:rsidRPr="00FA0083">
        <w:rPr>
          <w:rFonts w:ascii="Arial" w:hAnsi="Arial" w:cs="Arial"/>
          <w:sz w:val="24"/>
          <w:szCs w:val="24"/>
        </w:rPr>
        <w:t xml:space="preserve"> reagent solution were added to each well of the microplate. After homogenizing and incubating the microplate for 5 min in the dark, 25 µL of the Na</w:t>
      </w:r>
      <w:r w:rsidRPr="00FA0083">
        <w:rPr>
          <w:rFonts w:ascii="Arial" w:hAnsi="Arial" w:cs="Arial"/>
          <w:sz w:val="24"/>
          <w:szCs w:val="24"/>
          <w:vertAlign w:val="subscript"/>
        </w:rPr>
        <w:t>2</w:t>
      </w:r>
      <w:r w:rsidRPr="00FA0083">
        <w:rPr>
          <w:rFonts w:ascii="Arial" w:hAnsi="Arial" w:cs="Arial"/>
          <w:sz w:val="24"/>
          <w:szCs w:val="24"/>
        </w:rPr>
        <w:t>CO</w:t>
      </w:r>
      <w:r w:rsidRPr="00FA0083">
        <w:rPr>
          <w:rFonts w:ascii="Arial" w:hAnsi="Arial" w:cs="Arial"/>
          <w:sz w:val="24"/>
          <w:szCs w:val="24"/>
          <w:vertAlign w:val="subscript"/>
        </w:rPr>
        <w:t>3</w:t>
      </w:r>
      <w:r w:rsidRPr="00FA0083">
        <w:rPr>
          <w:rFonts w:ascii="Arial" w:hAnsi="Arial" w:cs="Arial"/>
          <w:sz w:val="24"/>
          <w:szCs w:val="24"/>
        </w:rPr>
        <w:t xml:space="preserve"> solution was added. The set was homogenized again and incubated for a further 60 min in the dark at room temperature. The absorbances were determined at 725 nm in a Power Wave XS2 </w:t>
      </w:r>
      <w:proofErr w:type="spellStart"/>
      <w:r w:rsidRPr="00FA0083">
        <w:rPr>
          <w:rFonts w:ascii="Arial" w:hAnsi="Arial" w:cs="Arial"/>
          <w:sz w:val="24"/>
          <w:szCs w:val="24"/>
        </w:rPr>
        <w:t>Biotek</w:t>
      </w:r>
      <w:proofErr w:type="spellEnd"/>
      <w:r w:rsidRPr="00FA0083">
        <w:rPr>
          <w:rFonts w:ascii="Arial" w:hAnsi="Arial" w:cs="Arial"/>
          <w:sz w:val="24"/>
          <w:szCs w:val="24"/>
        </w:rPr>
        <w:t xml:space="preserve"> microplate reader (Marshall Scientific, Hampton, NH, USA). The experiments were carried out in independent triplicates, and the results expressed as mean ± standard deviation (SD). </w:t>
      </w:r>
      <w:proofErr w:type="spellStart"/>
      <w:r w:rsidRPr="00FA0083">
        <w:rPr>
          <w:rFonts w:ascii="Arial" w:hAnsi="Arial" w:cs="Arial"/>
          <w:sz w:val="24"/>
          <w:szCs w:val="24"/>
        </w:rPr>
        <w:t>TPc</w:t>
      </w:r>
      <w:proofErr w:type="spellEnd"/>
      <w:r w:rsidRPr="00FA0083">
        <w:rPr>
          <w:rFonts w:ascii="Arial" w:hAnsi="Arial" w:cs="Arial"/>
          <w:sz w:val="24"/>
          <w:szCs w:val="24"/>
        </w:rPr>
        <w:t xml:space="preserve"> was calculated using </w:t>
      </w:r>
      <w:r w:rsidRPr="00792AC1">
        <w:rPr>
          <w:rFonts w:ascii="Arial" w:hAnsi="Arial" w:cs="Arial"/>
          <w:b/>
          <w:bCs/>
          <w:sz w:val="24"/>
          <w:szCs w:val="24"/>
        </w:rPr>
        <w:t xml:space="preserve">Equation </w:t>
      </w:r>
      <w:r w:rsidR="000A68B3">
        <w:rPr>
          <w:rFonts w:ascii="Arial" w:hAnsi="Arial" w:cs="Arial"/>
          <w:b/>
          <w:bCs/>
          <w:sz w:val="24"/>
          <w:szCs w:val="24"/>
        </w:rPr>
        <w:t>S</w:t>
      </w:r>
      <w:r w:rsidRPr="00792AC1">
        <w:rPr>
          <w:rFonts w:ascii="Arial" w:hAnsi="Arial" w:cs="Arial"/>
          <w:b/>
          <w:bCs/>
          <w:sz w:val="24"/>
          <w:szCs w:val="24"/>
        </w:rPr>
        <w:t>1</w:t>
      </w:r>
      <w:r w:rsidRPr="00FA0083">
        <w:rPr>
          <w:rFonts w:ascii="Arial" w:hAnsi="Arial" w:cs="Arial"/>
          <w:sz w:val="24"/>
          <w:szCs w:val="24"/>
        </w:rPr>
        <w:t>:</w:t>
      </w:r>
    </w:p>
    <w:p w14:paraId="131748BC" w14:textId="60A64AFD" w:rsidR="00FA0083" w:rsidRPr="00814899" w:rsidRDefault="00FA0083" w:rsidP="00BB0045">
      <w:pPr>
        <w:spacing w:after="0" w:line="360" w:lineRule="auto"/>
        <w:ind w:left="-567"/>
        <w:jc w:val="center"/>
        <w:rPr>
          <w:rFonts w:ascii="Arial" w:hAnsi="Arial" w:cs="Arial"/>
          <w:sz w:val="24"/>
          <w:szCs w:val="24"/>
        </w:rPr>
      </w:pPr>
      <m:oMath>
        <m:r>
          <w:rPr>
            <w:rFonts w:ascii="Cambria Math" w:hAnsi="Cambria Math" w:cs="Arial"/>
            <w:sz w:val="24"/>
            <w:szCs w:val="24"/>
          </w:rPr>
          <m:t xml:space="preserve">TPc </m:t>
        </m:r>
        <m:d>
          <m:dPr>
            <m:ctrlPr>
              <w:rPr>
                <w:rFonts w:ascii="Cambria Math" w:hAnsi="Cambria Math" w:cs="Arial"/>
                <w:i/>
                <w:sz w:val="24"/>
                <w:szCs w:val="24"/>
              </w:rPr>
            </m:ctrlPr>
          </m:dPr>
          <m:e>
            <m:f>
              <m:fPr>
                <m:type m:val="lin"/>
                <m:ctrlPr>
                  <w:rPr>
                    <w:rFonts w:ascii="Cambria Math" w:hAnsi="Cambria Math" w:cs="Arial"/>
                    <w:i/>
                    <w:sz w:val="24"/>
                    <w:szCs w:val="24"/>
                  </w:rPr>
                </m:ctrlPr>
              </m:fPr>
              <m:num>
                <m:r>
                  <w:rPr>
                    <w:rFonts w:ascii="Cambria Math" w:hAnsi="Cambria Math" w:cs="Arial"/>
                    <w:sz w:val="24"/>
                    <w:szCs w:val="24"/>
                  </w:rPr>
                  <m:t>mg</m:t>
                </m:r>
              </m:num>
              <m:den>
                <m:r>
                  <w:rPr>
                    <w:rFonts w:ascii="Cambria Math" w:hAnsi="Cambria Math" w:cs="Arial"/>
                    <w:sz w:val="24"/>
                    <w:szCs w:val="24"/>
                  </w:rPr>
                  <m:t>g</m:t>
                </m:r>
              </m:den>
            </m:f>
          </m:e>
        </m:d>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CP</m:t>
            </m:r>
          </m:num>
          <m:den>
            <m:r>
              <w:rPr>
                <w:rFonts w:ascii="Cambria Math" w:hAnsi="Cambria Math" w:cs="Arial"/>
                <w:sz w:val="24"/>
                <w:szCs w:val="24"/>
              </w:rPr>
              <m:t>C*</m:t>
            </m:r>
            <m:d>
              <m:dPr>
                <m:ctrlPr>
                  <w:rPr>
                    <w:rFonts w:ascii="Cambria Math" w:hAnsi="Cambria Math" w:cs="Arial"/>
                    <w:i/>
                    <w:sz w:val="24"/>
                    <w:szCs w:val="24"/>
                  </w:rPr>
                </m:ctrlPr>
              </m:dPr>
              <m:e>
                <m:r>
                  <w:rPr>
                    <w:rFonts w:ascii="Cambria Math" w:hAnsi="Cambria Math" w:cs="Arial"/>
                    <w:sz w:val="24"/>
                    <w:szCs w:val="24"/>
                  </w:rPr>
                  <m:t>1-</m:t>
                </m:r>
                <m:f>
                  <m:fPr>
                    <m:ctrlPr>
                      <w:rPr>
                        <w:rFonts w:ascii="Cambria Math" w:hAnsi="Cambria Math" w:cs="Arial"/>
                        <w:i/>
                        <w:sz w:val="24"/>
                        <w:szCs w:val="24"/>
                      </w:rPr>
                    </m:ctrlPr>
                  </m:fPr>
                  <m:num>
                    <m:r>
                      <w:rPr>
                        <w:rFonts w:ascii="Cambria Math" w:hAnsi="Cambria Math" w:cs="Arial"/>
                        <w:sz w:val="24"/>
                        <w:szCs w:val="24"/>
                      </w:rPr>
                      <m:t>Mc</m:t>
                    </m:r>
                  </m:num>
                  <m:den>
                    <m:r>
                      <w:rPr>
                        <w:rFonts w:ascii="Cambria Math" w:hAnsi="Cambria Math" w:cs="Arial"/>
                        <w:sz w:val="24"/>
                        <w:szCs w:val="24"/>
                      </w:rPr>
                      <m:t>100</m:t>
                    </m:r>
                  </m:den>
                </m:f>
              </m:e>
            </m:d>
          </m:den>
        </m:f>
        <m:r>
          <w:rPr>
            <w:rFonts w:ascii="Cambria Math" w:hAnsi="Cambria Math" w:cs="Arial"/>
            <w:sz w:val="24"/>
            <w:szCs w:val="24"/>
          </w:rPr>
          <m:t>×</m:t>
        </m:r>
        <m:d>
          <m:dPr>
            <m:ctrlPr>
              <w:rPr>
                <w:rFonts w:ascii="Cambria Math" w:hAnsi="Cambria Math" w:cs="Arial"/>
                <w:i/>
                <w:sz w:val="24"/>
                <w:szCs w:val="24"/>
              </w:rPr>
            </m:ctrlPr>
          </m:dPr>
          <m:e>
            <m:r>
              <w:rPr>
                <w:rFonts w:ascii="Cambria Math" w:hAnsi="Cambria Math" w:cs="Arial"/>
                <w:sz w:val="24"/>
                <w:szCs w:val="24"/>
              </w:rPr>
              <m:t>1+</m:t>
            </m:r>
            <m:f>
              <m:fPr>
                <m:ctrlPr>
                  <w:rPr>
                    <w:rFonts w:ascii="Cambria Math" w:hAnsi="Cambria Math" w:cs="Arial"/>
                    <w:i/>
                    <w:sz w:val="24"/>
                    <w:szCs w:val="24"/>
                  </w:rPr>
                </m:ctrlPr>
              </m:fPr>
              <m:num>
                <m:r>
                  <w:rPr>
                    <w:rFonts w:ascii="Cambria Math" w:hAnsi="Cambria Math" w:cs="Arial"/>
                    <w:sz w:val="24"/>
                    <w:szCs w:val="24"/>
                  </w:rPr>
                  <m:t>L</m:t>
                </m:r>
              </m:num>
              <m:den>
                <m:r>
                  <w:rPr>
                    <w:rFonts w:ascii="Cambria Math" w:hAnsi="Cambria Math" w:cs="Arial"/>
                    <w:sz w:val="24"/>
                    <w:szCs w:val="24"/>
                  </w:rPr>
                  <m:t>100</m:t>
                </m:r>
              </m:den>
            </m:f>
          </m:e>
        </m:d>
      </m:oMath>
      <w:r w:rsidRPr="00814899">
        <w:rPr>
          <w:rFonts w:ascii="Arial" w:hAnsi="Arial" w:cs="Arial"/>
          <w:sz w:val="24"/>
          <w:szCs w:val="24"/>
        </w:rPr>
        <w:t xml:space="preserve">                        </w:t>
      </w:r>
      <w:r w:rsidRPr="00814899">
        <w:rPr>
          <w:rFonts w:ascii="Arial" w:hAnsi="Arial" w:cs="Arial"/>
          <w:b/>
          <w:bCs/>
          <w:sz w:val="24"/>
          <w:szCs w:val="24"/>
        </w:rPr>
        <w:t>(</w:t>
      </w:r>
      <w:r w:rsidR="000A68B3" w:rsidRPr="00814899">
        <w:rPr>
          <w:rFonts w:ascii="Arial" w:hAnsi="Arial" w:cs="Arial"/>
          <w:b/>
          <w:bCs/>
          <w:sz w:val="24"/>
          <w:szCs w:val="24"/>
        </w:rPr>
        <w:t>S</w:t>
      </w:r>
      <w:r w:rsidR="00792AC1" w:rsidRPr="00814899">
        <w:rPr>
          <w:rFonts w:ascii="Arial" w:hAnsi="Arial" w:cs="Arial"/>
          <w:b/>
          <w:bCs/>
          <w:sz w:val="24"/>
          <w:szCs w:val="24"/>
        </w:rPr>
        <w:t>1</w:t>
      </w:r>
      <w:r w:rsidRPr="00814899">
        <w:rPr>
          <w:rFonts w:ascii="Arial" w:hAnsi="Arial" w:cs="Arial"/>
          <w:b/>
          <w:bCs/>
          <w:sz w:val="24"/>
          <w:szCs w:val="24"/>
        </w:rPr>
        <w:t>)</w:t>
      </w:r>
    </w:p>
    <w:p w14:paraId="6E7626AC" w14:textId="15C6D9AD" w:rsidR="003426EA" w:rsidRPr="00FA0083" w:rsidRDefault="00FA0083" w:rsidP="00575D61">
      <w:pPr>
        <w:spacing w:after="0" w:line="360" w:lineRule="auto"/>
        <w:ind w:firstLine="708"/>
        <w:jc w:val="both"/>
        <w:rPr>
          <w:rFonts w:ascii="Arial" w:hAnsi="Arial" w:cs="Arial"/>
          <w:sz w:val="24"/>
          <w:szCs w:val="24"/>
        </w:rPr>
      </w:pPr>
      <w:r w:rsidRPr="00FA0083">
        <w:rPr>
          <w:rFonts w:ascii="Arial" w:hAnsi="Arial" w:cs="Arial"/>
          <w:sz w:val="24"/>
          <w:szCs w:val="24"/>
        </w:rPr>
        <w:t>Where</w:t>
      </w:r>
      <w:r>
        <w:rPr>
          <w:rFonts w:ascii="Arial" w:hAnsi="Arial" w:cs="Arial"/>
          <w:sz w:val="24"/>
          <w:szCs w:val="24"/>
        </w:rPr>
        <w:t>in</w:t>
      </w:r>
      <w:r w:rsidRPr="00FA0083">
        <w:rPr>
          <w:rFonts w:ascii="Arial" w:hAnsi="Arial" w:cs="Arial"/>
          <w:sz w:val="24"/>
          <w:szCs w:val="24"/>
        </w:rPr>
        <w:t>:</w:t>
      </w:r>
      <w:r>
        <w:rPr>
          <w:rFonts w:ascii="Arial" w:hAnsi="Arial" w:cs="Arial"/>
          <w:sz w:val="24"/>
          <w:szCs w:val="24"/>
        </w:rPr>
        <w:t xml:space="preserve"> </w:t>
      </w:r>
      <w:r w:rsidRPr="00FA0083">
        <w:rPr>
          <w:rFonts w:ascii="Arial" w:hAnsi="Arial" w:cs="Arial"/>
          <w:i/>
          <w:iCs/>
          <w:sz w:val="24"/>
          <w:szCs w:val="24"/>
        </w:rPr>
        <w:t>CP</w:t>
      </w:r>
      <w:r>
        <w:rPr>
          <w:rFonts w:ascii="Arial" w:hAnsi="Arial" w:cs="Arial"/>
          <w:sz w:val="24"/>
          <w:szCs w:val="24"/>
        </w:rPr>
        <w:t xml:space="preserve"> is the </w:t>
      </w:r>
      <w:r w:rsidRPr="00FA0083">
        <w:rPr>
          <w:rFonts w:ascii="Arial" w:hAnsi="Arial" w:cs="Arial"/>
          <w:sz w:val="24"/>
          <w:szCs w:val="24"/>
        </w:rPr>
        <w:t xml:space="preserve">phenolic concentration obtained using the standard curve (µg/mL); </w:t>
      </w:r>
      <w:r w:rsidRPr="00FA0083">
        <w:rPr>
          <w:rFonts w:ascii="Arial" w:hAnsi="Arial" w:cs="Arial"/>
          <w:i/>
          <w:iCs/>
          <w:sz w:val="24"/>
          <w:szCs w:val="24"/>
        </w:rPr>
        <w:t>C</w:t>
      </w:r>
      <w:r>
        <w:rPr>
          <w:rFonts w:ascii="Arial" w:hAnsi="Arial" w:cs="Arial"/>
          <w:sz w:val="24"/>
          <w:szCs w:val="24"/>
        </w:rPr>
        <w:t xml:space="preserve"> is the </w:t>
      </w:r>
      <w:proofErr w:type="spellStart"/>
      <w:r>
        <w:rPr>
          <w:rFonts w:ascii="Arial" w:hAnsi="Arial" w:cs="Arial"/>
          <w:sz w:val="24"/>
          <w:szCs w:val="24"/>
        </w:rPr>
        <w:t>SDCi</w:t>
      </w:r>
      <w:proofErr w:type="spellEnd"/>
      <w:r w:rsidRPr="00FA0083">
        <w:rPr>
          <w:rFonts w:ascii="Arial" w:hAnsi="Arial" w:cs="Arial"/>
          <w:sz w:val="24"/>
          <w:szCs w:val="24"/>
        </w:rPr>
        <w:t xml:space="preserve"> solution concentration (5 mg/mL);</w:t>
      </w:r>
      <w:r>
        <w:rPr>
          <w:rFonts w:ascii="Arial" w:hAnsi="Arial" w:cs="Arial"/>
          <w:sz w:val="24"/>
          <w:szCs w:val="24"/>
        </w:rPr>
        <w:t xml:space="preserve"> </w:t>
      </w:r>
      <w:r w:rsidRPr="00FA0083">
        <w:rPr>
          <w:rFonts w:ascii="Arial" w:hAnsi="Arial" w:cs="Arial"/>
          <w:i/>
          <w:iCs/>
          <w:sz w:val="24"/>
          <w:szCs w:val="24"/>
        </w:rPr>
        <w:t>Mc</w:t>
      </w:r>
      <w:r>
        <w:rPr>
          <w:rFonts w:ascii="Arial" w:hAnsi="Arial" w:cs="Arial"/>
          <w:sz w:val="24"/>
          <w:szCs w:val="24"/>
        </w:rPr>
        <w:t xml:space="preserve"> is the moisture content of </w:t>
      </w:r>
      <w:proofErr w:type="spellStart"/>
      <w:r>
        <w:rPr>
          <w:rFonts w:ascii="Arial" w:hAnsi="Arial" w:cs="Arial"/>
          <w:sz w:val="24"/>
          <w:szCs w:val="24"/>
        </w:rPr>
        <w:t>SDCi</w:t>
      </w:r>
      <w:proofErr w:type="spellEnd"/>
      <w:r w:rsidRPr="00FA0083">
        <w:rPr>
          <w:rFonts w:ascii="Arial" w:hAnsi="Arial" w:cs="Arial"/>
          <w:sz w:val="24"/>
          <w:szCs w:val="24"/>
        </w:rPr>
        <w:t xml:space="preserve"> (</w:t>
      </w:r>
      <w:r>
        <w:rPr>
          <w:rFonts w:ascii="Arial" w:hAnsi="Arial" w:cs="Arial"/>
          <w:sz w:val="24"/>
          <w:szCs w:val="24"/>
        </w:rPr>
        <w:t xml:space="preserve">i.e., </w:t>
      </w:r>
      <w:r w:rsidR="00792AC1" w:rsidRPr="00792AC1">
        <w:rPr>
          <w:rFonts w:ascii="Arial" w:hAnsi="Arial" w:cs="Arial"/>
          <w:sz w:val="24"/>
          <w:szCs w:val="24"/>
        </w:rPr>
        <w:t>9,9 ± 0,34</w:t>
      </w:r>
      <w:r w:rsidR="00792AC1">
        <w:rPr>
          <w:rFonts w:ascii="Arial" w:hAnsi="Arial" w:cs="Arial"/>
          <w:sz w:val="24"/>
          <w:szCs w:val="24"/>
        </w:rPr>
        <w:t xml:space="preserve"> </w:t>
      </w:r>
      <w:r w:rsidRPr="00FA0083">
        <w:rPr>
          <w:rFonts w:ascii="Arial" w:hAnsi="Arial" w:cs="Arial"/>
          <w:sz w:val="24"/>
          <w:szCs w:val="24"/>
        </w:rPr>
        <w:t xml:space="preserve">%); </w:t>
      </w:r>
      <w:r>
        <w:rPr>
          <w:rFonts w:ascii="Arial" w:hAnsi="Arial" w:cs="Arial"/>
          <w:sz w:val="24"/>
          <w:szCs w:val="24"/>
        </w:rPr>
        <w:t xml:space="preserve">and </w:t>
      </w:r>
      <w:r w:rsidRPr="00FA0083">
        <w:rPr>
          <w:rFonts w:ascii="Arial" w:hAnsi="Arial" w:cs="Arial"/>
          <w:i/>
          <w:iCs/>
          <w:sz w:val="24"/>
          <w:szCs w:val="24"/>
        </w:rPr>
        <w:t>L</w:t>
      </w:r>
      <w:r w:rsidRPr="00FA0083">
        <w:rPr>
          <w:rFonts w:ascii="Arial" w:hAnsi="Arial" w:cs="Arial"/>
          <w:sz w:val="24"/>
          <w:szCs w:val="24"/>
        </w:rPr>
        <w:t xml:space="preserve"> </w:t>
      </w:r>
      <w:r>
        <w:rPr>
          <w:rFonts w:ascii="Arial" w:hAnsi="Arial" w:cs="Arial"/>
          <w:sz w:val="24"/>
          <w:szCs w:val="24"/>
        </w:rPr>
        <w:t>is the</w:t>
      </w:r>
      <w:r w:rsidRPr="00FA0083">
        <w:rPr>
          <w:rFonts w:ascii="Arial" w:hAnsi="Arial" w:cs="Arial"/>
          <w:sz w:val="24"/>
          <w:szCs w:val="24"/>
        </w:rPr>
        <w:t xml:space="preserve"> </w:t>
      </w:r>
      <w:r>
        <w:rPr>
          <w:rFonts w:ascii="Arial" w:hAnsi="Arial" w:cs="Arial"/>
          <w:sz w:val="24"/>
          <w:szCs w:val="24"/>
        </w:rPr>
        <w:t xml:space="preserve">theoretical </w:t>
      </w:r>
      <w:r w:rsidRPr="00FA0083">
        <w:rPr>
          <w:rFonts w:ascii="Arial" w:hAnsi="Arial" w:cs="Arial"/>
          <w:sz w:val="24"/>
          <w:szCs w:val="24"/>
        </w:rPr>
        <w:t xml:space="preserve">leucine content </w:t>
      </w:r>
      <w:r>
        <w:rPr>
          <w:rFonts w:ascii="Arial" w:hAnsi="Arial" w:cs="Arial"/>
          <w:sz w:val="24"/>
          <w:szCs w:val="24"/>
        </w:rPr>
        <w:t xml:space="preserve">in the </w:t>
      </w:r>
      <w:proofErr w:type="spellStart"/>
      <w:proofErr w:type="gramStart"/>
      <w:r>
        <w:rPr>
          <w:rFonts w:ascii="Arial" w:hAnsi="Arial" w:cs="Arial"/>
          <w:sz w:val="24"/>
          <w:szCs w:val="24"/>
        </w:rPr>
        <w:t>SDCi</w:t>
      </w:r>
      <w:proofErr w:type="spellEnd"/>
      <w:r w:rsidRPr="00FA0083">
        <w:rPr>
          <w:rFonts w:ascii="Arial" w:hAnsi="Arial" w:cs="Arial"/>
          <w:sz w:val="24"/>
          <w:szCs w:val="24"/>
        </w:rPr>
        <w:t>(</w:t>
      </w:r>
      <w:proofErr w:type="gramEnd"/>
      <w:r>
        <w:rPr>
          <w:rFonts w:ascii="Arial" w:hAnsi="Arial" w:cs="Arial"/>
          <w:sz w:val="24"/>
          <w:szCs w:val="24"/>
        </w:rPr>
        <w:t xml:space="preserve">i.e., 45 </w:t>
      </w:r>
      <w:r w:rsidRPr="00FA0083">
        <w:rPr>
          <w:rFonts w:ascii="Arial" w:hAnsi="Arial" w:cs="Arial"/>
          <w:sz w:val="24"/>
          <w:szCs w:val="24"/>
        </w:rPr>
        <w:t>%).</w:t>
      </w:r>
    </w:p>
    <w:p w14:paraId="091C8E22" w14:textId="77777777" w:rsidR="003426EA" w:rsidRDefault="003426EA" w:rsidP="00575D61">
      <w:pPr>
        <w:spacing w:after="0" w:line="360" w:lineRule="auto"/>
        <w:jc w:val="both"/>
        <w:rPr>
          <w:rFonts w:ascii="Arial" w:hAnsi="Arial" w:cs="Arial"/>
          <w:sz w:val="24"/>
          <w:szCs w:val="24"/>
        </w:rPr>
      </w:pPr>
    </w:p>
    <w:p w14:paraId="025640E0" w14:textId="591FDA5D" w:rsidR="00792AC1" w:rsidRPr="00FA0083" w:rsidRDefault="00792AC1" w:rsidP="00575D61">
      <w:pPr>
        <w:pStyle w:val="PargrafodaLista"/>
        <w:numPr>
          <w:ilvl w:val="1"/>
          <w:numId w:val="1"/>
        </w:numPr>
        <w:tabs>
          <w:tab w:val="left" w:pos="142"/>
          <w:tab w:val="left" w:pos="284"/>
          <w:tab w:val="left" w:pos="426"/>
        </w:tabs>
        <w:spacing w:after="0" w:line="360" w:lineRule="auto"/>
        <w:ind w:left="0" w:firstLine="0"/>
        <w:jc w:val="both"/>
        <w:rPr>
          <w:rFonts w:ascii="Arial" w:hAnsi="Arial" w:cs="Arial"/>
          <w:sz w:val="24"/>
          <w:szCs w:val="24"/>
          <w:lang w:val="en-US"/>
        </w:rPr>
      </w:pPr>
      <w:r w:rsidRPr="00FA0083">
        <w:rPr>
          <w:rFonts w:ascii="Arial" w:hAnsi="Arial" w:cs="Arial"/>
          <w:sz w:val="24"/>
          <w:szCs w:val="24"/>
          <w:lang w:val="en-US"/>
        </w:rPr>
        <w:t xml:space="preserve">Determination of total </w:t>
      </w:r>
      <w:r>
        <w:rPr>
          <w:rFonts w:ascii="Arial" w:hAnsi="Arial" w:cs="Arial"/>
          <w:sz w:val="24"/>
          <w:szCs w:val="24"/>
          <w:lang w:val="en-US"/>
        </w:rPr>
        <w:t>flavonoids</w:t>
      </w:r>
      <w:r w:rsidRPr="00FA0083">
        <w:rPr>
          <w:rFonts w:ascii="Arial" w:hAnsi="Arial" w:cs="Arial"/>
          <w:sz w:val="24"/>
          <w:szCs w:val="24"/>
          <w:lang w:val="en-US"/>
        </w:rPr>
        <w:t xml:space="preserve"> content (</w:t>
      </w:r>
      <w:proofErr w:type="spellStart"/>
      <w:r w:rsidRPr="00FA0083">
        <w:rPr>
          <w:rFonts w:ascii="Arial" w:hAnsi="Arial" w:cs="Arial"/>
          <w:sz w:val="24"/>
          <w:szCs w:val="24"/>
          <w:lang w:val="en-US"/>
        </w:rPr>
        <w:t>T</w:t>
      </w:r>
      <w:r>
        <w:rPr>
          <w:rFonts w:ascii="Arial" w:hAnsi="Arial" w:cs="Arial"/>
          <w:sz w:val="24"/>
          <w:szCs w:val="24"/>
          <w:lang w:val="en-US"/>
        </w:rPr>
        <w:t>F</w:t>
      </w:r>
      <w:r w:rsidRPr="00FA0083">
        <w:rPr>
          <w:rFonts w:ascii="Arial" w:hAnsi="Arial" w:cs="Arial"/>
          <w:sz w:val="24"/>
          <w:szCs w:val="24"/>
          <w:lang w:val="en-US"/>
        </w:rPr>
        <w:t>c</w:t>
      </w:r>
      <w:proofErr w:type="spellEnd"/>
      <w:r w:rsidRPr="00FA0083">
        <w:rPr>
          <w:rFonts w:ascii="Arial" w:hAnsi="Arial" w:cs="Arial"/>
          <w:sz w:val="24"/>
          <w:szCs w:val="24"/>
          <w:lang w:val="en-US"/>
        </w:rPr>
        <w:t>)</w:t>
      </w:r>
    </w:p>
    <w:p w14:paraId="3C17E34D" w14:textId="30F5D498" w:rsidR="00792AC1" w:rsidRPr="00792AC1" w:rsidRDefault="00792AC1" w:rsidP="00575D61">
      <w:pPr>
        <w:spacing w:after="0" w:line="360" w:lineRule="auto"/>
        <w:ind w:firstLine="708"/>
        <w:jc w:val="both"/>
        <w:rPr>
          <w:rFonts w:ascii="Arial" w:hAnsi="Arial" w:cs="Arial"/>
          <w:sz w:val="24"/>
          <w:szCs w:val="24"/>
        </w:rPr>
      </w:pPr>
      <w:r w:rsidRPr="00792AC1">
        <w:rPr>
          <w:rFonts w:ascii="Arial" w:hAnsi="Arial" w:cs="Arial"/>
          <w:sz w:val="24"/>
          <w:szCs w:val="24"/>
        </w:rPr>
        <w:t>TF</w:t>
      </w:r>
      <w:r>
        <w:rPr>
          <w:rFonts w:ascii="Arial" w:hAnsi="Arial" w:cs="Arial"/>
          <w:sz w:val="24"/>
          <w:szCs w:val="24"/>
        </w:rPr>
        <w:t>C</w:t>
      </w:r>
      <w:r w:rsidRPr="00792AC1">
        <w:rPr>
          <w:rFonts w:ascii="Arial" w:hAnsi="Arial" w:cs="Arial"/>
          <w:sz w:val="24"/>
          <w:szCs w:val="24"/>
        </w:rPr>
        <w:t xml:space="preserve"> was determined using the AlCl</w:t>
      </w:r>
      <w:r w:rsidRPr="00792AC1">
        <w:rPr>
          <w:rFonts w:ascii="Arial" w:hAnsi="Arial" w:cs="Arial"/>
          <w:sz w:val="24"/>
          <w:szCs w:val="24"/>
          <w:vertAlign w:val="subscript"/>
        </w:rPr>
        <w:t>3</w:t>
      </w:r>
      <w:r w:rsidRPr="00792AC1">
        <w:rPr>
          <w:rFonts w:ascii="Arial" w:hAnsi="Arial" w:cs="Arial"/>
          <w:sz w:val="24"/>
          <w:szCs w:val="24"/>
        </w:rPr>
        <w:t xml:space="preserve"> method </w:t>
      </w:r>
      <w:bookmarkStart w:id="1" w:name="_Hlk189222900"/>
      <w:r w:rsidRPr="00D01451">
        <w:rPr>
          <w:rFonts w:ascii="Arial" w:hAnsi="Arial" w:cs="Arial"/>
          <w:sz w:val="24"/>
          <w:szCs w:val="24"/>
          <w:lang w:val="pt-BR"/>
        </w:rPr>
        <w:fldChar w:fldCharType="begin" w:fldLock="1"/>
      </w:r>
      <w:r w:rsidR="00F21F86">
        <w:rPr>
          <w:rFonts w:ascii="Arial" w:hAnsi="Arial" w:cs="Arial"/>
          <w:sz w:val="24"/>
          <w:szCs w:val="24"/>
        </w:rPr>
        <w:instrText>ADDIN CSL_CITATION {"citationItems":[{"id":"ITEM-1","itemData":{"ISSN":"1330-0075 (Print)","PMID":"16375832","abstract":"Propolis ethanolic solutions are the most used propolis products on the market  for the treatment of minor ulcers in the mouth, angina, thrush or skin infections. Since it is still an unofficial drug in pharmacy, we analyzed the contents of flavonoids in ten commercially available ethanolic solutions of propolis from the Croatian market using two complementary colorimetric methods. Antimicrobial activities, determined with the diffusion method, against six bacterial species (Bacillus subtilis NCTC 8236, Staphylococcus aureus ATCC 25923, Streptococcus pyogenes ATCC 12204, Enterococcus faecalis ATCC 29212, Escherichia coli ATCC 10536, Pseudomonas aeruginosa ATCC 27853, and one yeast-like fungus Candida albicans ATCC 10231 were compared. Results of flavonoids analysis suggested that the contents of flavones and flavonols in the products were uniform and ranged from 0.14 to 0.41%, but the content of flavanones varied greatly from 0.43 to 18.78%. Total flavonoid content, as the sum of two colorimetric methods, in propolis products was between 0.78 and 18.92%, and most products had the flavonoids content below 9%. All products with the total flavonoids content above 1% showed antimicrobial activity against the four Gram-positive bacterial species tested, and against P. aeruginosa and the yeast-like fungus C. albicans. Total flavonoids contents, expressed as the sum of two colorimetric methods, could be useful methods for estimating the flavonoid contents of propolis products. Our results indicate that the quality of commercially available propolis products requires verification.","author":[{"dropping-particle":"","family":"Kosalec","given":"Ivan","non-dropping-particle":"","parse-names":false,"suffix":""},{"dropping-particle":"","family":"Pepeljnjak","given":"Stjepan","non-dropping-particle":"","parse-names":false,"suffix":""},{"dropping-particle":"","family":"Bakmaz","given":"Marina","non-dropping-particle":"","parse-names":false,"suffix":""},{"dropping-particle":"","family":"Vladimir-Knezević","given":"Sanda","non-dropping-particle":"","parse-names":false,"suffix":""}],"container-title":"Acta pharmaceutica (Zagreb, Croatia)","id":"ITEM-1","issue":"4","issued":{"date-parts":[["2005","12"]]},"language":"eng","page":"423-430","publisher-place":"Poland","title":"Flavonoid analysis and antimicrobial activity of commercially available propolis  products.","type":"article-journal","volume":"55"},"uris":["http://www.mendeley.com/documents/?uuid=9f8755f4-b6bc-463f-8ee0-2f92d7b9221f"]}],"mendeley":{"formattedCitation":"[2]","plainTextFormattedCitation":"[2]","previouslyFormattedCitation":"(Kosalec et al., 2005)"},"properties":{"noteIndex":0},"schema":"https://github.com/citation-style-language/schema/raw/master/csl-citation.json"}</w:instrText>
      </w:r>
      <w:r w:rsidRPr="00D01451">
        <w:rPr>
          <w:rFonts w:ascii="Arial" w:hAnsi="Arial" w:cs="Arial"/>
          <w:sz w:val="24"/>
          <w:szCs w:val="24"/>
          <w:lang w:val="pt-BR"/>
        </w:rPr>
        <w:fldChar w:fldCharType="separate"/>
      </w:r>
      <w:r w:rsidR="00F21F86" w:rsidRPr="00F21F86">
        <w:rPr>
          <w:rFonts w:ascii="Arial" w:hAnsi="Arial" w:cs="Arial"/>
          <w:noProof/>
          <w:sz w:val="24"/>
          <w:szCs w:val="24"/>
        </w:rPr>
        <w:t>[2]</w:t>
      </w:r>
      <w:r w:rsidRPr="00D01451">
        <w:rPr>
          <w:rFonts w:ascii="Arial" w:hAnsi="Arial" w:cs="Arial"/>
          <w:sz w:val="24"/>
          <w:szCs w:val="24"/>
          <w:lang w:val="pt-BR"/>
        </w:rPr>
        <w:fldChar w:fldCharType="end"/>
      </w:r>
      <w:bookmarkEnd w:id="1"/>
      <w:r w:rsidRPr="00792AC1">
        <w:rPr>
          <w:rFonts w:ascii="Arial" w:hAnsi="Arial" w:cs="Arial"/>
          <w:sz w:val="24"/>
          <w:szCs w:val="24"/>
        </w:rPr>
        <w:t xml:space="preserve">. An analytical standard of rutin was dissolved in ethanol (70% </w:t>
      </w:r>
      <w:r>
        <w:rPr>
          <w:rFonts w:ascii="Arial" w:hAnsi="Arial" w:cs="Arial"/>
          <w:sz w:val="24"/>
          <w:szCs w:val="24"/>
        </w:rPr>
        <w:t>m/m</w:t>
      </w:r>
      <w:r w:rsidRPr="00792AC1">
        <w:rPr>
          <w:rFonts w:ascii="Arial" w:hAnsi="Arial" w:cs="Arial"/>
          <w:sz w:val="24"/>
          <w:szCs w:val="24"/>
        </w:rPr>
        <w:t>) to obtain the stock solution (100 µg/mL) used to construct the analytical curve.  An aqueous solution of AlCl</w:t>
      </w:r>
      <w:r w:rsidRPr="00792AC1">
        <w:rPr>
          <w:rFonts w:ascii="Arial" w:hAnsi="Arial" w:cs="Arial"/>
          <w:sz w:val="24"/>
          <w:szCs w:val="24"/>
          <w:vertAlign w:val="subscript"/>
        </w:rPr>
        <w:t>3</w:t>
      </w:r>
      <w:r w:rsidRPr="00792AC1">
        <w:rPr>
          <w:rFonts w:ascii="Arial" w:hAnsi="Arial" w:cs="Arial"/>
          <w:sz w:val="24"/>
          <w:szCs w:val="24"/>
        </w:rPr>
        <w:t xml:space="preserve"> (20 mg/mL) was used as the chromogenic reagent.</w:t>
      </w:r>
    </w:p>
    <w:p w14:paraId="7B77C8D3" w14:textId="2D2233C8" w:rsidR="00792AC1" w:rsidRPr="00792AC1" w:rsidRDefault="00792AC1" w:rsidP="00575D61">
      <w:pPr>
        <w:spacing w:after="0" w:line="360" w:lineRule="auto"/>
        <w:ind w:firstLine="708"/>
        <w:jc w:val="both"/>
        <w:rPr>
          <w:rFonts w:ascii="Arial" w:hAnsi="Arial" w:cs="Arial"/>
          <w:sz w:val="24"/>
          <w:szCs w:val="24"/>
        </w:rPr>
      </w:pPr>
      <w:r w:rsidRPr="00792AC1">
        <w:rPr>
          <w:rFonts w:ascii="Arial" w:hAnsi="Arial" w:cs="Arial"/>
          <w:sz w:val="24"/>
          <w:szCs w:val="24"/>
        </w:rPr>
        <w:t xml:space="preserve">To obtain the analytical curve (1.25, 2.5, 5, 10, 15, 20 and 25 µg/mL), aliquots of the stock solution were diluted to 2.5 mL in a test tube with ethanol (70% </w:t>
      </w:r>
      <w:r>
        <w:rPr>
          <w:rFonts w:ascii="Arial" w:hAnsi="Arial" w:cs="Arial"/>
          <w:sz w:val="24"/>
          <w:szCs w:val="24"/>
        </w:rPr>
        <w:t>m/m</w:t>
      </w:r>
      <w:r w:rsidRPr="00792AC1">
        <w:rPr>
          <w:rFonts w:ascii="Arial" w:hAnsi="Arial" w:cs="Arial"/>
          <w:sz w:val="24"/>
          <w:szCs w:val="24"/>
        </w:rPr>
        <w:t xml:space="preserve">), and the whole was homogenized in a vortex. The ESCI was dissolved in ethanol (70% </w:t>
      </w:r>
      <w:r>
        <w:rPr>
          <w:rFonts w:ascii="Arial" w:hAnsi="Arial" w:cs="Arial"/>
          <w:sz w:val="24"/>
          <w:szCs w:val="24"/>
        </w:rPr>
        <w:t>m/m</w:t>
      </w:r>
      <w:r w:rsidRPr="00792AC1">
        <w:rPr>
          <w:rFonts w:ascii="Arial" w:hAnsi="Arial" w:cs="Arial"/>
          <w:sz w:val="24"/>
          <w:szCs w:val="24"/>
        </w:rPr>
        <w:t>) to 5 mg/mL in a volumetric flask.</w:t>
      </w:r>
    </w:p>
    <w:p w14:paraId="77FB64C8" w14:textId="10333727" w:rsidR="00792AC1" w:rsidRPr="00FA0083" w:rsidRDefault="00792AC1" w:rsidP="00575D61">
      <w:pPr>
        <w:spacing w:after="0" w:line="360" w:lineRule="auto"/>
        <w:ind w:firstLine="708"/>
        <w:jc w:val="both"/>
        <w:rPr>
          <w:rFonts w:ascii="Arial" w:hAnsi="Arial" w:cs="Arial"/>
          <w:sz w:val="24"/>
          <w:szCs w:val="24"/>
        </w:rPr>
      </w:pPr>
      <w:r>
        <w:rPr>
          <w:rFonts w:ascii="Arial" w:hAnsi="Arial" w:cs="Arial"/>
          <w:sz w:val="24"/>
          <w:szCs w:val="24"/>
        </w:rPr>
        <w:lastRenderedPageBreak/>
        <w:t>Aliquots (</w:t>
      </w:r>
      <w:r w:rsidRPr="00792AC1">
        <w:rPr>
          <w:rFonts w:ascii="Arial" w:hAnsi="Arial" w:cs="Arial"/>
          <w:sz w:val="24"/>
          <w:szCs w:val="24"/>
        </w:rPr>
        <w:t>500 µL</w:t>
      </w:r>
      <w:r>
        <w:rPr>
          <w:rFonts w:ascii="Arial" w:hAnsi="Arial" w:cs="Arial"/>
          <w:sz w:val="24"/>
          <w:szCs w:val="24"/>
        </w:rPr>
        <w:t>)</w:t>
      </w:r>
      <w:r w:rsidRPr="00792AC1">
        <w:rPr>
          <w:rFonts w:ascii="Arial" w:hAnsi="Arial" w:cs="Arial"/>
          <w:sz w:val="24"/>
          <w:szCs w:val="24"/>
        </w:rPr>
        <w:t xml:space="preserve"> of the AlCl</w:t>
      </w:r>
      <w:r w:rsidRPr="00792AC1">
        <w:rPr>
          <w:rFonts w:ascii="Arial" w:hAnsi="Arial" w:cs="Arial"/>
          <w:sz w:val="24"/>
          <w:szCs w:val="24"/>
          <w:vertAlign w:val="subscript"/>
        </w:rPr>
        <w:t>3</w:t>
      </w:r>
      <w:r w:rsidRPr="00792AC1">
        <w:rPr>
          <w:rFonts w:ascii="Arial" w:hAnsi="Arial" w:cs="Arial"/>
          <w:sz w:val="24"/>
          <w:szCs w:val="24"/>
        </w:rPr>
        <w:t xml:space="preserve"> solution, 100 µL of the rutin or </w:t>
      </w:r>
      <w:proofErr w:type="spellStart"/>
      <w:r>
        <w:rPr>
          <w:rFonts w:ascii="Arial" w:hAnsi="Arial" w:cs="Arial"/>
          <w:sz w:val="24"/>
          <w:szCs w:val="24"/>
        </w:rPr>
        <w:t>SDCi</w:t>
      </w:r>
      <w:proofErr w:type="spellEnd"/>
      <w:r w:rsidRPr="00792AC1">
        <w:rPr>
          <w:rFonts w:ascii="Arial" w:hAnsi="Arial" w:cs="Arial"/>
          <w:sz w:val="24"/>
          <w:szCs w:val="24"/>
        </w:rPr>
        <w:t xml:space="preserve"> working solutions and 1.9 mL of ethanol (70% </w:t>
      </w:r>
      <w:r>
        <w:rPr>
          <w:rFonts w:ascii="Arial" w:hAnsi="Arial" w:cs="Arial"/>
          <w:sz w:val="24"/>
          <w:szCs w:val="24"/>
        </w:rPr>
        <w:t>m/m</w:t>
      </w:r>
      <w:r w:rsidRPr="00792AC1">
        <w:rPr>
          <w:rFonts w:ascii="Arial" w:hAnsi="Arial" w:cs="Arial"/>
          <w:sz w:val="24"/>
          <w:szCs w:val="24"/>
        </w:rPr>
        <w:t xml:space="preserve">) were added to test tubes. After homogenizing and incubating in the dark for 45 min at room temperature, the absorbances were measured at 425 nm in a Nova 1600UV spectrophotometer (Nova Instruments, Piracicaba, SP, Brazil). The experiments were carried out in independent triplicates and the results </w:t>
      </w:r>
      <w:r w:rsidR="00DD3B28">
        <w:rPr>
          <w:rFonts w:ascii="Arial" w:hAnsi="Arial" w:cs="Arial"/>
          <w:sz w:val="24"/>
          <w:szCs w:val="24"/>
        </w:rPr>
        <w:t xml:space="preserve">were </w:t>
      </w:r>
      <w:r w:rsidRPr="00792AC1">
        <w:rPr>
          <w:rFonts w:ascii="Arial" w:hAnsi="Arial" w:cs="Arial"/>
          <w:sz w:val="24"/>
          <w:szCs w:val="24"/>
        </w:rPr>
        <w:t xml:space="preserve">expressed as mean ± SD. </w:t>
      </w:r>
      <w:proofErr w:type="spellStart"/>
      <w:r w:rsidRPr="00792AC1">
        <w:rPr>
          <w:rFonts w:ascii="Arial" w:hAnsi="Arial" w:cs="Arial"/>
          <w:sz w:val="24"/>
          <w:szCs w:val="24"/>
        </w:rPr>
        <w:t>TF</w:t>
      </w:r>
      <w:r>
        <w:rPr>
          <w:rFonts w:ascii="Arial" w:hAnsi="Arial" w:cs="Arial"/>
          <w:sz w:val="24"/>
          <w:szCs w:val="24"/>
        </w:rPr>
        <w:t>c</w:t>
      </w:r>
      <w:proofErr w:type="spellEnd"/>
      <w:r w:rsidRPr="00792AC1">
        <w:rPr>
          <w:rFonts w:ascii="Arial" w:hAnsi="Arial" w:cs="Arial"/>
          <w:sz w:val="24"/>
          <w:szCs w:val="24"/>
        </w:rPr>
        <w:t xml:space="preserve"> was calculated using </w:t>
      </w:r>
      <w:r w:rsidRPr="00792AC1">
        <w:rPr>
          <w:rFonts w:ascii="Arial" w:hAnsi="Arial" w:cs="Arial"/>
          <w:b/>
          <w:bCs/>
          <w:sz w:val="24"/>
          <w:szCs w:val="24"/>
        </w:rPr>
        <w:t xml:space="preserve">Equation </w:t>
      </w:r>
      <w:r w:rsidR="000A68B3">
        <w:rPr>
          <w:rFonts w:ascii="Arial" w:hAnsi="Arial" w:cs="Arial"/>
          <w:b/>
          <w:bCs/>
          <w:sz w:val="24"/>
          <w:szCs w:val="24"/>
        </w:rPr>
        <w:t>S</w:t>
      </w:r>
      <w:r w:rsidRPr="00792AC1">
        <w:rPr>
          <w:rFonts w:ascii="Arial" w:hAnsi="Arial" w:cs="Arial"/>
          <w:b/>
          <w:bCs/>
          <w:sz w:val="24"/>
          <w:szCs w:val="24"/>
        </w:rPr>
        <w:t>2</w:t>
      </w:r>
      <w:r w:rsidRPr="00792AC1">
        <w:rPr>
          <w:rFonts w:ascii="Arial" w:hAnsi="Arial" w:cs="Arial"/>
          <w:sz w:val="24"/>
          <w:szCs w:val="24"/>
        </w:rPr>
        <w:t>:</w:t>
      </w:r>
    </w:p>
    <w:p w14:paraId="77D97C46" w14:textId="6539CBD7" w:rsidR="00792AC1" w:rsidRPr="00814899" w:rsidRDefault="00792AC1" w:rsidP="00BB0045">
      <w:pPr>
        <w:spacing w:after="0" w:line="360" w:lineRule="auto"/>
        <w:ind w:left="-567"/>
        <w:jc w:val="center"/>
        <w:rPr>
          <w:rFonts w:ascii="Arial" w:hAnsi="Arial" w:cs="Arial"/>
          <w:sz w:val="24"/>
          <w:szCs w:val="24"/>
        </w:rPr>
      </w:pPr>
      <m:oMath>
        <m:r>
          <w:rPr>
            <w:rFonts w:ascii="Cambria Math" w:hAnsi="Cambria Math" w:cs="Arial"/>
            <w:sz w:val="24"/>
            <w:szCs w:val="24"/>
          </w:rPr>
          <m:t xml:space="preserve">TFc </m:t>
        </m:r>
        <m:d>
          <m:dPr>
            <m:ctrlPr>
              <w:rPr>
                <w:rFonts w:ascii="Cambria Math" w:hAnsi="Cambria Math" w:cs="Arial"/>
                <w:i/>
                <w:sz w:val="24"/>
                <w:szCs w:val="24"/>
              </w:rPr>
            </m:ctrlPr>
          </m:dPr>
          <m:e>
            <m:f>
              <m:fPr>
                <m:type m:val="lin"/>
                <m:ctrlPr>
                  <w:rPr>
                    <w:rFonts w:ascii="Cambria Math" w:hAnsi="Cambria Math" w:cs="Arial"/>
                    <w:i/>
                    <w:sz w:val="24"/>
                    <w:szCs w:val="24"/>
                  </w:rPr>
                </m:ctrlPr>
              </m:fPr>
              <m:num>
                <m:r>
                  <w:rPr>
                    <w:rFonts w:ascii="Cambria Math" w:hAnsi="Cambria Math" w:cs="Arial"/>
                    <w:sz w:val="24"/>
                    <w:szCs w:val="24"/>
                  </w:rPr>
                  <m:t>mg</m:t>
                </m:r>
              </m:num>
              <m:den>
                <m:r>
                  <w:rPr>
                    <w:rFonts w:ascii="Cambria Math" w:hAnsi="Cambria Math" w:cs="Arial"/>
                    <w:sz w:val="24"/>
                    <w:szCs w:val="24"/>
                  </w:rPr>
                  <m:t>g</m:t>
                </m:r>
              </m:den>
            </m:f>
          </m:e>
        </m:d>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CF</m:t>
            </m:r>
          </m:num>
          <m:den>
            <m:r>
              <w:rPr>
                <w:rFonts w:ascii="Cambria Math" w:hAnsi="Cambria Math" w:cs="Arial"/>
                <w:sz w:val="24"/>
                <w:szCs w:val="24"/>
              </w:rPr>
              <m:t>C*</m:t>
            </m:r>
            <m:d>
              <m:dPr>
                <m:ctrlPr>
                  <w:rPr>
                    <w:rFonts w:ascii="Cambria Math" w:hAnsi="Cambria Math" w:cs="Arial"/>
                    <w:i/>
                    <w:sz w:val="24"/>
                    <w:szCs w:val="24"/>
                  </w:rPr>
                </m:ctrlPr>
              </m:dPr>
              <m:e>
                <m:r>
                  <w:rPr>
                    <w:rFonts w:ascii="Cambria Math" w:hAnsi="Cambria Math" w:cs="Arial"/>
                    <w:sz w:val="24"/>
                    <w:szCs w:val="24"/>
                  </w:rPr>
                  <m:t>1-</m:t>
                </m:r>
                <m:f>
                  <m:fPr>
                    <m:ctrlPr>
                      <w:rPr>
                        <w:rFonts w:ascii="Cambria Math" w:hAnsi="Cambria Math" w:cs="Arial"/>
                        <w:i/>
                        <w:sz w:val="24"/>
                        <w:szCs w:val="24"/>
                      </w:rPr>
                    </m:ctrlPr>
                  </m:fPr>
                  <m:num>
                    <m:r>
                      <w:rPr>
                        <w:rFonts w:ascii="Cambria Math" w:hAnsi="Cambria Math" w:cs="Arial"/>
                        <w:sz w:val="24"/>
                        <w:szCs w:val="24"/>
                      </w:rPr>
                      <m:t>MC</m:t>
                    </m:r>
                  </m:num>
                  <m:den>
                    <m:r>
                      <w:rPr>
                        <w:rFonts w:ascii="Cambria Math" w:hAnsi="Cambria Math" w:cs="Arial"/>
                        <w:sz w:val="24"/>
                        <w:szCs w:val="24"/>
                      </w:rPr>
                      <m:t>100</m:t>
                    </m:r>
                  </m:den>
                </m:f>
              </m:e>
            </m:d>
          </m:den>
        </m:f>
        <m:r>
          <w:rPr>
            <w:rFonts w:ascii="Cambria Math" w:hAnsi="Cambria Math" w:cs="Arial"/>
            <w:sz w:val="24"/>
            <w:szCs w:val="24"/>
          </w:rPr>
          <m:t>×</m:t>
        </m:r>
        <m:d>
          <m:dPr>
            <m:ctrlPr>
              <w:rPr>
                <w:rFonts w:ascii="Cambria Math" w:hAnsi="Cambria Math" w:cs="Arial"/>
                <w:i/>
                <w:sz w:val="24"/>
                <w:szCs w:val="24"/>
              </w:rPr>
            </m:ctrlPr>
          </m:dPr>
          <m:e>
            <m:r>
              <w:rPr>
                <w:rFonts w:ascii="Cambria Math" w:hAnsi="Cambria Math" w:cs="Arial"/>
                <w:sz w:val="24"/>
                <w:szCs w:val="24"/>
              </w:rPr>
              <m:t>1+</m:t>
            </m:r>
            <m:f>
              <m:fPr>
                <m:ctrlPr>
                  <w:rPr>
                    <w:rFonts w:ascii="Cambria Math" w:hAnsi="Cambria Math" w:cs="Arial"/>
                    <w:i/>
                    <w:sz w:val="24"/>
                    <w:szCs w:val="24"/>
                  </w:rPr>
                </m:ctrlPr>
              </m:fPr>
              <m:num>
                <m:r>
                  <w:rPr>
                    <w:rFonts w:ascii="Cambria Math" w:hAnsi="Cambria Math" w:cs="Arial"/>
                    <w:sz w:val="24"/>
                    <w:szCs w:val="24"/>
                  </w:rPr>
                  <m:t>L</m:t>
                </m:r>
              </m:num>
              <m:den>
                <m:r>
                  <w:rPr>
                    <w:rFonts w:ascii="Cambria Math" w:hAnsi="Cambria Math" w:cs="Arial"/>
                    <w:sz w:val="24"/>
                    <w:szCs w:val="24"/>
                  </w:rPr>
                  <m:t>100</m:t>
                </m:r>
              </m:den>
            </m:f>
          </m:e>
        </m:d>
      </m:oMath>
      <w:r w:rsidRPr="00814899">
        <w:rPr>
          <w:rFonts w:ascii="Arial" w:hAnsi="Arial" w:cs="Arial"/>
          <w:sz w:val="24"/>
          <w:szCs w:val="24"/>
        </w:rPr>
        <w:t xml:space="preserve">                          </w:t>
      </w:r>
      <w:r w:rsidRPr="00814899">
        <w:rPr>
          <w:rFonts w:ascii="Arial" w:hAnsi="Arial" w:cs="Arial"/>
          <w:b/>
          <w:bCs/>
          <w:sz w:val="24"/>
          <w:szCs w:val="24"/>
        </w:rPr>
        <w:t>(</w:t>
      </w:r>
      <w:r w:rsidR="000A68B3" w:rsidRPr="00814899">
        <w:rPr>
          <w:rFonts w:ascii="Arial" w:hAnsi="Arial" w:cs="Arial"/>
          <w:b/>
          <w:bCs/>
          <w:sz w:val="24"/>
          <w:szCs w:val="24"/>
        </w:rPr>
        <w:t>S</w:t>
      </w:r>
      <w:r w:rsidRPr="00814899">
        <w:rPr>
          <w:rFonts w:ascii="Arial" w:hAnsi="Arial" w:cs="Arial"/>
          <w:b/>
          <w:bCs/>
          <w:sz w:val="24"/>
          <w:szCs w:val="24"/>
        </w:rPr>
        <w:t>2)</w:t>
      </w:r>
    </w:p>
    <w:p w14:paraId="3D9CDAA0" w14:textId="022DEA0D" w:rsidR="00792AC1" w:rsidRPr="00FA0083" w:rsidRDefault="00792AC1" w:rsidP="00575D61">
      <w:pPr>
        <w:spacing w:after="0" w:line="360" w:lineRule="auto"/>
        <w:ind w:firstLine="708"/>
        <w:jc w:val="both"/>
        <w:rPr>
          <w:rFonts w:ascii="Arial" w:hAnsi="Arial" w:cs="Arial"/>
          <w:sz w:val="24"/>
          <w:szCs w:val="24"/>
        </w:rPr>
      </w:pPr>
      <w:r w:rsidRPr="00FA0083">
        <w:rPr>
          <w:rFonts w:ascii="Arial" w:hAnsi="Arial" w:cs="Arial"/>
          <w:sz w:val="24"/>
          <w:szCs w:val="24"/>
        </w:rPr>
        <w:t>Where</w:t>
      </w:r>
      <w:r>
        <w:rPr>
          <w:rFonts w:ascii="Arial" w:hAnsi="Arial" w:cs="Arial"/>
          <w:sz w:val="24"/>
          <w:szCs w:val="24"/>
        </w:rPr>
        <w:t>in</w:t>
      </w:r>
      <w:r w:rsidRPr="00FA0083">
        <w:rPr>
          <w:rFonts w:ascii="Arial" w:hAnsi="Arial" w:cs="Arial"/>
          <w:sz w:val="24"/>
          <w:szCs w:val="24"/>
        </w:rPr>
        <w:t>:</w:t>
      </w:r>
      <w:r>
        <w:rPr>
          <w:rFonts w:ascii="Arial" w:hAnsi="Arial" w:cs="Arial"/>
          <w:sz w:val="24"/>
          <w:szCs w:val="24"/>
        </w:rPr>
        <w:t xml:space="preserve"> </w:t>
      </w:r>
      <w:r w:rsidRPr="00FA0083">
        <w:rPr>
          <w:rFonts w:ascii="Arial" w:hAnsi="Arial" w:cs="Arial"/>
          <w:i/>
          <w:iCs/>
          <w:sz w:val="24"/>
          <w:szCs w:val="24"/>
        </w:rPr>
        <w:t>C</w:t>
      </w:r>
      <w:r>
        <w:rPr>
          <w:rFonts w:ascii="Arial" w:hAnsi="Arial" w:cs="Arial"/>
          <w:i/>
          <w:iCs/>
          <w:sz w:val="24"/>
          <w:szCs w:val="24"/>
        </w:rPr>
        <w:t>F</w:t>
      </w:r>
      <w:r>
        <w:rPr>
          <w:rFonts w:ascii="Arial" w:hAnsi="Arial" w:cs="Arial"/>
          <w:sz w:val="24"/>
          <w:szCs w:val="24"/>
        </w:rPr>
        <w:t xml:space="preserve"> is the </w:t>
      </w:r>
      <w:r w:rsidR="004E2810">
        <w:rPr>
          <w:rFonts w:ascii="Arial" w:hAnsi="Arial" w:cs="Arial"/>
          <w:sz w:val="24"/>
          <w:szCs w:val="24"/>
        </w:rPr>
        <w:t>flavonoid</w:t>
      </w:r>
      <w:r w:rsidRPr="00FA0083">
        <w:rPr>
          <w:rFonts w:ascii="Arial" w:hAnsi="Arial" w:cs="Arial"/>
          <w:sz w:val="24"/>
          <w:szCs w:val="24"/>
        </w:rPr>
        <w:t xml:space="preserve"> concentration obtained using the standard curve (µg/mL); </w:t>
      </w:r>
      <w:r w:rsidRPr="00FA0083">
        <w:rPr>
          <w:rFonts w:ascii="Arial" w:hAnsi="Arial" w:cs="Arial"/>
          <w:i/>
          <w:iCs/>
          <w:sz w:val="24"/>
          <w:szCs w:val="24"/>
        </w:rPr>
        <w:t>C</w:t>
      </w:r>
      <w:r>
        <w:rPr>
          <w:rFonts w:ascii="Arial" w:hAnsi="Arial" w:cs="Arial"/>
          <w:sz w:val="24"/>
          <w:szCs w:val="24"/>
        </w:rPr>
        <w:t xml:space="preserve"> is the </w:t>
      </w:r>
      <w:proofErr w:type="spellStart"/>
      <w:r>
        <w:rPr>
          <w:rFonts w:ascii="Arial" w:hAnsi="Arial" w:cs="Arial"/>
          <w:sz w:val="24"/>
          <w:szCs w:val="24"/>
        </w:rPr>
        <w:t>SDCi</w:t>
      </w:r>
      <w:proofErr w:type="spellEnd"/>
      <w:r w:rsidRPr="00FA0083">
        <w:rPr>
          <w:rFonts w:ascii="Arial" w:hAnsi="Arial" w:cs="Arial"/>
          <w:sz w:val="24"/>
          <w:szCs w:val="24"/>
        </w:rPr>
        <w:t xml:space="preserve"> solution concentration (5 mg/mL);</w:t>
      </w:r>
      <w:r>
        <w:rPr>
          <w:rFonts w:ascii="Arial" w:hAnsi="Arial" w:cs="Arial"/>
          <w:sz w:val="24"/>
          <w:szCs w:val="24"/>
        </w:rPr>
        <w:t xml:space="preserve"> </w:t>
      </w:r>
      <w:r w:rsidRPr="00FA0083">
        <w:rPr>
          <w:rFonts w:ascii="Arial" w:hAnsi="Arial" w:cs="Arial"/>
          <w:i/>
          <w:iCs/>
          <w:sz w:val="24"/>
          <w:szCs w:val="24"/>
        </w:rPr>
        <w:t>Mc</w:t>
      </w:r>
      <w:r>
        <w:rPr>
          <w:rFonts w:ascii="Arial" w:hAnsi="Arial" w:cs="Arial"/>
          <w:sz w:val="24"/>
          <w:szCs w:val="24"/>
        </w:rPr>
        <w:t xml:space="preserve"> is the moisture content of </w:t>
      </w:r>
      <w:proofErr w:type="spellStart"/>
      <w:r>
        <w:rPr>
          <w:rFonts w:ascii="Arial" w:hAnsi="Arial" w:cs="Arial"/>
          <w:sz w:val="24"/>
          <w:szCs w:val="24"/>
        </w:rPr>
        <w:t>SDCi</w:t>
      </w:r>
      <w:proofErr w:type="spellEnd"/>
      <w:r w:rsidRPr="00FA0083">
        <w:rPr>
          <w:rFonts w:ascii="Arial" w:hAnsi="Arial" w:cs="Arial"/>
          <w:sz w:val="24"/>
          <w:szCs w:val="24"/>
        </w:rPr>
        <w:t xml:space="preserve"> (</w:t>
      </w:r>
      <w:r>
        <w:rPr>
          <w:rFonts w:ascii="Arial" w:hAnsi="Arial" w:cs="Arial"/>
          <w:sz w:val="24"/>
          <w:szCs w:val="24"/>
        </w:rPr>
        <w:t xml:space="preserve">i.e., </w:t>
      </w:r>
      <w:r w:rsidRPr="00792AC1">
        <w:rPr>
          <w:rFonts w:ascii="Arial" w:hAnsi="Arial" w:cs="Arial"/>
          <w:sz w:val="24"/>
          <w:szCs w:val="24"/>
        </w:rPr>
        <w:t>9,9 ± 0,34</w:t>
      </w:r>
      <w:r>
        <w:rPr>
          <w:rFonts w:ascii="Arial" w:hAnsi="Arial" w:cs="Arial"/>
          <w:sz w:val="24"/>
          <w:szCs w:val="24"/>
        </w:rPr>
        <w:t xml:space="preserve"> </w:t>
      </w:r>
      <w:r w:rsidRPr="00FA0083">
        <w:rPr>
          <w:rFonts w:ascii="Arial" w:hAnsi="Arial" w:cs="Arial"/>
          <w:sz w:val="24"/>
          <w:szCs w:val="24"/>
        </w:rPr>
        <w:t xml:space="preserve">%); </w:t>
      </w:r>
      <w:r>
        <w:rPr>
          <w:rFonts w:ascii="Arial" w:hAnsi="Arial" w:cs="Arial"/>
          <w:sz w:val="24"/>
          <w:szCs w:val="24"/>
        </w:rPr>
        <w:t xml:space="preserve">and </w:t>
      </w:r>
      <w:r w:rsidRPr="00FA0083">
        <w:rPr>
          <w:rFonts w:ascii="Arial" w:hAnsi="Arial" w:cs="Arial"/>
          <w:i/>
          <w:iCs/>
          <w:sz w:val="24"/>
          <w:szCs w:val="24"/>
        </w:rPr>
        <w:t>L</w:t>
      </w:r>
      <w:r w:rsidRPr="00FA0083">
        <w:rPr>
          <w:rFonts w:ascii="Arial" w:hAnsi="Arial" w:cs="Arial"/>
          <w:sz w:val="24"/>
          <w:szCs w:val="24"/>
        </w:rPr>
        <w:t xml:space="preserve"> </w:t>
      </w:r>
      <w:r>
        <w:rPr>
          <w:rFonts w:ascii="Arial" w:hAnsi="Arial" w:cs="Arial"/>
          <w:sz w:val="24"/>
          <w:szCs w:val="24"/>
        </w:rPr>
        <w:t>is the</w:t>
      </w:r>
      <w:r w:rsidRPr="00FA0083">
        <w:rPr>
          <w:rFonts w:ascii="Arial" w:hAnsi="Arial" w:cs="Arial"/>
          <w:sz w:val="24"/>
          <w:szCs w:val="24"/>
        </w:rPr>
        <w:t xml:space="preserve"> </w:t>
      </w:r>
      <w:r>
        <w:rPr>
          <w:rFonts w:ascii="Arial" w:hAnsi="Arial" w:cs="Arial"/>
          <w:sz w:val="24"/>
          <w:szCs w:val="24"/>
        </w:rPr>
        <w:t xml:space="preserve">theoretical </w:t>
      </w:r>
      <w:r w:rsidRPr="00FA0083">
        <w:rPr>
          <w:rFonts w:ascii="Arial" w:hAnsi="Arial" w:cs="Arial"/>
          <w:sz w:val="24"/>
          <w:szCs w:val="24"/>
        </w:rPr>
        <w:t xml:space="preserve">leucine content </w:t>
      </w:r>
      <w:r>
        <w:rPr>
          <w:rFonts w:ascii="Arial" w:hAnsi="Arial" w:cs="Arial"/>
          <w:sz w:val="24"/>
          <w:szCs w:val="24"/>
        </w:rPr>
        <w:t xml:space="preserve">in the </w:t>
      </w:r>
      <w:proofErr w:type="spellStart"/>
      <w:r>
        <w:rPr>
          <w:rFonts w:ascii="Arial" w:hAnsi="Arial" w:cs="Arial"/>
          <w:sz w:val="24"/>
          <w:szCs w:val="24"/>
        </w:rPr>
        <w:t>SDCi</w:t>
      </w:r>
      <w:proofErr w:type="spellEnd"/>
      <w:r w:rsidR="002634F9">
        <w:rPr>
          <w:rFonts w:ascii="Arial" w:hAnsi="Arial" w:cs="Arial"/>
          <w:sz w:val="24"/>
          <w:szCs w:val="24"/>
        </w:rPr>
        <w:t xml:space="preserve"> </w:t>
      </w:r>
      <w:r w:rsidRPr="00FA0083">
        <w:rPr>
          <w:rFonts w:ascii="Arial" w:hAnsi="Arial" w:cs="Arial"/>
          <w:sz w:val="24"/>
          <w:szCs w:val="24"/>
        </w:rPr>
        <w:t>(</w:t>
      </w:r>
      <w:r>
        <w:rPr>
          <w:rFonts w:ascii="Arial" w:hAnsi="Arial" w:cs="Arial"/>
          <w:sz w:val="24"/>
          <w:szCs w:val="24"/>
        </w:rPr>
        <w:t xml:space="preserve">i.e., 45 </w:t>
      </w:r>
      <w:r w:rsidRPr="00FA0083">
        <w:rPr>
          <w:rFonts w:ascii="Arial" w:hAnsi="Arial" w:cs="Arial"/>
          <w:sz w:val="24"/>
          <w:szCs w:val="24"/>
        </w:rPr>
        <w:t>%).</w:t>
      </w:r>
    </w:p>
    <w:p w14:paraId="431AF2C8" w14:textId="77777777" w:rsidR="003426EA" w:rsidRDefault="003426EA" w:rsidP="00575D61">
      <w:pPr>
        <w:spacing w:after="0" w:line="360" w:lineRule="auto"/>
        <w:jc w:val="both"/>
        <w:rPr>
          <w:rFonts w:ascii="Arial" w:hAnsi="Arial" w:cs="Arial"/>
          <w:sz w:val="24"/>
          <w:szCs w:val="24"/>
        </w:rPr>
      </w:pPr>
    </w:p>
    <w:p w14:paraId="617E05F8" w14:textId="0D44EACF" w:rsidR="00792AC1" w:rsidRPr="00FA0083" w:rsidRDefault="00792AC1" w:rsidP="00575D61">
      <w:pPr>
        <w:pStyle w:val="PargrafodaLista"/>
        <w:numPr>
          <w:ilvl w:val="1"/>
          <w:numId w:val="1"/>
        </w:numPr>
        <w:tabs>
          <w:tab w:val="left" w:pos="142"/>
          <w:tab w:val="left" w:pos="284"/>
          <w:tab w:val="left" w:pos="426"/>
        </w:tabs>
        <w:spacing w:after="0" w:line="360" w:lineRule="auto"/>
        <w:ind w:left="0" w:firstLine="0"/>
        <w:jc w:val="both"/>
        <w:rPr>
          <w:rFonts w:ascii="Arial" w:hAnsi="Arial" w:cs="Arial"/>
          <w:sz w:val="24"/>
          <w:szCs w:val="24"/>
          <w:lang w:val="en-US"/>
        </w:rPr>
      </w:pPr>
      <w:r w:rsidRPr="00FA0083">
        <w:rPr>
          <w:rFonts w:ascii="Arial" w:hAnsi="Arial" w:cs="Arial"/>
          <w:sz w:val="24"/>
          <w:szCs w:val="24"/>
          <w:lang w:val="en-US"/>
        </w:rPr>
        <w:t xml:space="preserve">Determination of total </w:t>
      </w:r>
      <w:r>
        <w:rPr>
          <w:rFonts w:ascii="Arial" w:hAnsi="Arial" w:cs="Arial"/>
          <w:sz w:val="24"/>
          <w:szCs w:val="24"/>
          <w:lang w:val="en-US"/>
        </w:rPr>
        <w:t>phytosterols</w:t>
      </w:r>
      <w:r w:rsidRPr="00FA0083">
        <w:rPr>
          <w:rFonts w:ascii="Arial" w:hAnsi="Arial" w:cs="Arial"/>
          <w:sz w:val="24"/>
          <w:szCs w:val="24"/>
          <w:lang w:val="en-US"/>
        </w:rPr>
        <w:t xml:space="preserve"> content (</w:t>
      </w:r>
      <w:proofErr w:type="spellStart"/>
      <w:r w:rsidRPr="00FA0083">
        <w:rPr>
          <w:rFonts w:ascii="Arial" w:hAnsi="Arial" w:cs="Arial"/>
          <w:sz w:val="24"/>
          <w:szCs w:val="24"/>
          <w:lang w:val="en-US"/>
        </w:rPr>
        <w:t>T</w:t>
      </w:r>
      <w:r>
        <w:rPr>
          <w:rFonts w:ascii="Arial" w:hAnsi="Arial" w:cs="Arial"/>
          <w:sz w:val="24"/>
          <w:szCs w:val="24"/>
          <w:lang w:val="en-US"/>
        </w:rPr>
        <w:t>PS</w:t>
      </w:r>
      <w:r w:rsidRPr="00FA0083">
        <w:rPr>
          <w:rFonts w:ascii="Arial" w:hAnsi="Arial" w:cs="Arial"/>
          <w:sz w:val="24"/>
          <w:szCs w:val="24"/>
          <w:lang w:val="en-US"/>
        </w:rPr>
        <w:t>c</w:t>
      </w:r>
      <w:proofErr w:type="spellEnd"/>
      <w:r w:rsidRPr="00FA0083">
        <w:rPr>
          <w:rFonts w:ascii="Arial" w:hAnsi="Arial" w:cs="Arial"/>
          <w:sz w:val="24"/>
          <w:szCs w:val="24"/>
          <w:lang w:val="en-US"/>
        </w:rPr>
        <w:t>)</w:t>
      </w:r>
    </w:p>
    <w:p w14:paraId="1BD28A36" w14:textId="1FE5B27A" w:rsidR="00792AC1" w:rsidRPr="00792AC1" w:rsidRDefault="00792AC1" w:rsidP="00575D61">
      <w:pPr>
        <w:spacing w:after="0" w:line="360" w:lineRule="auto"/>
        <w:ind w:firstLine="708"/>
        <w:jc w:val="both"/>
        <w:rPr>
          <w:rFonts w:ascii="Arial" w:hAnsi="Arial" w:cs="Arial"/>
          <w:sz w:val="24"/>
          <w:szCs w:val="24"/>
        </w:rPr>
      </w:pPr>
      <w:proofErr w:type="spellStart"/>
      <w:r w:rsidRPr="00792AC1">
        <w:rPr>
          <w:rFonts w:ascii="Arial" w:hAnsi="Arial" w:cs="Arial"/>
          <w:sz w:val="24"/>
          <w:szCs w:val="24"/>
        </w:rPr>
        <w:t>T</w:t>
      </w:r>
      <w:r>
        <w:rPr>
          <w:rFonts w:ascii="Arial" w:hAnsi="Arial" w:cs="Arial"/>
          <w:sz w:val="24"/>
          <w:szCs w:val="24"/>
        </w:rPr>
        <w:t>PSc</w:t>
      </w:r>
      <w:proofErr w:type="spellEnd"/>
      <w:r w:rsidRPr="00792AC1">
        <w:rPr>
          <w:rFonts w:ascii="Arial" w:hAnsi="Arial" w:cs="Arial"/>
          <w:sz w:val="24"/>
          <w:szCs w:val="24"/>
        </w:rPr>
        <w:t xml:space="preserve"> was determined using the </w:t>
      </w:r>
      <w:r w:rsidR="00DD3B28">
        <w:rPr>
          <w:rFonts w:ascii="Arial" w:hAnsi="Arial" w:cs="Arial"/>
          <w:sz w:val="24"/>
          <w:szCs w:val="24"/>
        </w:rPr>
        <w:t>Liebermann-Burchard</w:t>
      </w:r>
      <w:r w:rsidRPr="00792AC1">
        <w:rPr>
          <w:rFonts w:ascii="Arial" w:hAnsi="Arial" w:cs="Arial"/>
          <w:sz w:val="24"/>
          <w:szCs w:val="24"/>
        </w:rPr>
        <w:t xml:space="preserve"> method </w:t>
      </w:r>
      <w:bookmarkStart w:id="2" w:name="_Hlk189222879"/>
      <w:r w:rsidR="004E2810">
        <w:rPr>
          <w:rFonts w:ascii="Arial" w:hAnsi="Arial" w:cs="Arial"/>
          <w:sz w:val="24"/>
          <w:szCs w:val="24"/>
          <w:lang w:val="pt-BR"/>
        </w:rPr>
        <w:fldChar w:fldCharType="begin" w:fldLock="1"/>
      </w:r>
      <w:r w:rsidR="00F21F86">
        <w:rPr>
          <w:rFonts w:ascii="Arial" w:hAnsi="Arial" w:cs="Arial"/>
          <w:sz w:val="24"/>
          <w:szCs w:val="24"/>
        </w:rPr>
        <w:instrText>ADDIN CSL_CITATION {"citationItems":[{"id":"ITEM-1","itemData":{"DOI":"10.1590/S0102-695X2013000500004","ISSN":"0102695X","abstract":"Acanthospermum hispidum DC., Asteraceae, is widely used in folk medicine in Brazil to treat respiratory diseases; this biological property has been attributed to its phytosterol content. This study evaluated the spectrophotometric assay method to quantify the total phytosterol content in raw materials and extracts from roots of A. hispidum. The procedure was based on the quantification at 625 nm after the Liebermann-Burchard reaction. The method was evaluated for linearity, repeatability, intermediate precision, accuracy and robustness. The date indicated that the procedure is a valid analytical tool for materials and herbal derivatives from A. hispidum. © 2013 Elsevier Editora Ltda. All rights reserved.","author":[{"dropping-particle":"","family":"Araújo","given":"Larissa B.D.C.","non-dropping-particle":"","parse-names":false,"suffix":""},{"dropping-particle":"","family":"Silva","given":"Sarah L.","non-dropping-particle":"","parse-names":false,"suffix":""},{"dropping-particle":"","family":"Galvão","given":"Marcos A.M.","non-dropping-particle":"","parse-names":false,"suffix":""},{"dropping-particle":"","family":"Ferreira","given":"Magda R.A.","non-dropping-particle":"","parse-names":false,"suffix":""},{"dropping-particle":"","family":"Araújo","given":"Evani L.","non-dropping-particle":"","parse-names":false,"suffix":""},{"dropping-particle":"","family":"Randau","given":"Karina P.","non-dropping-particle":"","parse-names":false,"suffix":""},{"dropping-particle":"","family":"Soares","given":"Luiz A.L.","non-dropping-particle":"","parse-names":false,"suffix":""}],"container-title":"Revista Brasileira de Farmacognosia","id":"ITEM-1","issue":"5","issued":{"date-parts":[["2013"]]},"page":"736-742","title":"Total phytosterol content in drug materials and extracts from roots of Acanthospermum hispidum by UV-VIS spectrophotometry","type":"article-journal","volume":"23"},"uris":["http://www.mendeley.com/documents/?uuid=2b076717-01d3-4d66-b576-dcaaed3ac112"]}],"mendeley":{"formattedCitation":"[3]","manualFormatting":"(Araújo et al., 2013a)","plainTextFormattedCitation":"[3]","previouslyFormattedCitation":"(L. B. D. C. Araújo et al., 2013)"},"properties":{"noteIndex":0},"schema":"https://github.com/citation-style-language/schema/raw/master/csl-citation.json"}</w:instrText>
      </w:r>
      <w:r w:rsidR="004E2810">
        <w:rPr>
          <w:rFonts w:ascii="Arial" w:hAnsi="Arial" w:cs="Arial"/>
          <w:sz w:val="24"/>
          <w:szCs w:val="24"/>
          <w:lang w:val="pt-BR"/>
        </w:rPr>
        <w:fldChar w:fldCharType="separate"/>
      </w:r>
      <w:r w:rsidR="004E2810" w:rsidRPr="00814899">
        <w:rPr>
          <w:rFonts w:ascii="Arial" w:hAnsi="Arial" w:cs="Arial"/>
          <w:noProof/>
          <w:sz w:val="24"/>
          <w:szCs w:val="24"/>
        </w:rPr>
        <w:t>(Araújo et al., 2013</w:t>
      </w:r>
      <w:r w:rsidR="002578B1" w:rsidRPr="00814899">
        <w:rPr>
          <w:rFonts w:ascii="Arial" w:hAnsi="Arial" w:cs="Arial"/>
          <w:noProof/>
          <w:sz w:val="24"/>
          <w:szCs w:val="24"/>
        </w:rPr>
        <w:t>a</w:t>
      </w:r>
      <w:r w:rsidR="004E2810" w:rsidRPr="00814899">
        <w:rPr>
          <w:rFonts w:ascii="Arial" w:hAnsi="Arial" w:cs="Arial"/>
          <w:noProof/>
          <w:sz w:val="24"/>
          <w:szCs w:val="24"/>
        </w:rPr>
        <w:t>)</w:t>
      </w:r>
      <w:r w:rsidR="004E2810">
        <w:rPr>
          <w:rFonts w:ascii="Arial" w:hAnsi="Arial" w:cs="Arial"/>
          <w:sz w:val="24"/>
          <w:szCs w:val="24"/>
          <w:lang w:val="pt-BR"/>
        </w:rPr>
        <w:fldChar w:fldCharType="end"/>
      </w:r>
      <w:bookmarkEnd w:id="2"/>
      <w:r w:rsidRPr="00792AC1">
        <w:rPr>
          <w:rFonts w:ascii="Arial" w:hAnsi="Arial" w:cs="Arial"/>
          <w:sz w:val="24"/>
          <w:szCs w:val="24"/>
        </w:rPr>
        <w:t>. An analytical standard of β-sitosterol was dissolved in chloroform to obtain the stock solution (10 mg/mL) used to construct the analytical curve. The Liebermann-Burchard reagent was prepared by pouring 50 mL of acetic anhydride into an amber flask in an ice bath and, after 30 min, 5 mL of sulfuric acid was carefully added to the acetic anhydride.</w:t>
      </w:r>
    </w:p>
    <w:p w14:paraId="770CF5B5" w14:textId="24D0525E" w:rsidR="00792AC1" w:rsidRPr="00792AC1" w:rsidRDefault="00792AC1" w:rsidP="00575D61">
      <w:pPr>
        <w:spacing w:after="0" w:line="360" w:lineRule="auto"/>
        <w:ind w:firstLine="708"/>
        <w:jc w:val="both"/>
        <w:rPr>
          <w:rFonts w:ascii="Arial" w:hAnsi="Arial" w:cs="Arial"/>
          <w:sz w:val="24"/>
          <w:szCs w:val="24"/>
        </w:rPr>
      </w:pPr>
      <w:r w:rsidRPr="00792AC1">
        <w:rPr>
          <w:rFonts w:ascii="Arial" w:hAnsi="Arial" w:cs="Arial"/>
          <w:sz w:val="24"/>
          <w:szCs w:val="24"/>
        </w:rPr>
        <w:t>To obtain the analytical curve (5, 30, 55, 80, 105</w:t>
      </w:r>
      <w:r w:rsidR="00DD3B28">
        <w:rPr>
          <w:rFonts w:ascii="Arial" w:hAnsi="Arial" w:cs="Arial"/>
          <w:sz w:val="24"/>
          <w:szCs w:val="24"/>
        </w:rPr>
        <w:t>,</w:t>
      </w:r>
      <w:r w:rsidRPr="00792AC1">
        <w:rPr>
          <w:rFonts w:ascii="Arial" w:hAnsi="Arial" w:cs="Arial"/>
          <w:sz w:val="24"/>
          <w:szCs w:val="24"/>
        </w:rPr>
        <w:t xml:space="preserve"> and 130 µg/mL), aliquots of the stock solution were diluted to 2.0 mL in a test tube with chloroform, and the whole was homogenized in a vortex. </w:t>
      </w:r>
      <w:proofErr w:type="spellStart"/>
      <w:r>
        <w:rPr>
          <w:rFonts w:ascii="Arial" w:hAnsi="Arial" w:cs="Arial"/>
          <w:sz w:val="24"/>
          <w:szCs w:val="24"/>
        </w:rPr>
        <w:t>SDCi</w:t>
      </w:r>
      <w:proofErr w:type="spellEnd"/>
      <w:r w:rsidRPr="00792AC1">
        <w:rPr>
          <w:rFonts w:ascii="Arial" w:hAnsi="Arial" w:cs="Arial"/>
          <w:sz w:val="24"/>
          <w:szCs w:val="24"/>
        </w:rPr>
        <w:t xml:space="preserve"> was dissolved in chloroform to 5 mg/</w:t>
      </w:r>
      <w:proofErr w:type="spellStart"/>
      <w:r w:rsidRPr="00792AC1">
        <w:rPr>
          <w:rFonts w:ascii="Arial" w:hAnsi="Arial" w:cs="Arial"/>
          <w:sz w:val="24"/>
          <w:szCs w:val="24"/>
        </w:rPr>
        <w:t>mL.</w:t>
      </w:r>
      <w:proofErr w:type="spellEnd"/>
    </w:p>
    <w:p w14:paraId="6AF0166B" w14:textId="754DDA75" w:rsidR="00792AC1" w:rsidRPr="00FA0083" w:rsidRDefault="00792AC1" w:rsidP="00575D61">
      <w:pPr>
        <w:spacing w:after="0" w:line="360" w:lineRule="auto"/>
        <w:ind w:firstLine="708"/>
        <w:jc w:val="both"/>
        <w:rPr>
          <w:rFonts w:ascii="Arial" w:hAnsi="Arial" w:cs="Arial"/>
          <w:sz w:val="24"/>
          <w:szCs w:val="24"/>
        </w:rPr>
      </w:pPr>
      <w:r>
        <w:rPr>
          <w:rFonts w:ascii="Arial" w:hAnsi="Arial" w:cs="Arial"/>
          <w:sz w:val="24"/>
          <w:szCs w:val="24"/>
        </w:rPr>
        <w:t>Aliquots (</w:t>
      </w:r>
      <w:r w:rsidRPr="00792AC1">
        <w:rPr>
          <w:rFonts w:ascii="Arial" w:hAnsi="Arial" w:cs="Arial"/>
          <w:sz w:val="24"/>
          <w:szCs w:val="24"/>
        </w:rPr>
        <w:t>200 µL</w:t>
      </w:r>
      <w:r>
        <w:rPr>
          <w:rFonts w:ascii="Arial" w:hAnsi="Arial" w:cs="Arial"/>
          <w:sz w:val="24"/>
          <w:szCs w:val="24"/>
        </w:rPr>
        <w:t>)</w:t>
      </w:r>
      <w:r w:rsidRPr="00792AC1">
        <w:rPr>
          <w:rFonts w:ascii="Arial" w:hAnsi="Arial" w:cs="Arial"/>
          <w:sz w:val="24"/>
          <w:szCs w:val="24"/>
        </w:rPr>
        <w:t xml:space="preserve"> of the working solutions of β-sitosterol or </w:t>
      </w:r>
      <w:proofErr w:type="spellStart"/>
      <w:r>
        <w:rPr>
          <w:rFonts w:ascii="Arial" w:hAnsi="Arial" w:cs="Arial"/>
          <w:sz w:val="24"/>
          <w:szCs w:val="24"/>
        </w:rPr>
        <w:t>SDCi</w:t>
      </w:r>
      <w:proofErr w:type="spellEnd"/>
      <w:r w:rsidRPr="00792AC1">
        <w:rPr>
          <w:rFonts w:ascii="Arial" w:hAnsi="Arial" w:cs="Arial"/>
          <w:sz w:val="24"/>
          <w:szCs w:val="24"/>
        </w:rPr>
        <w:t xml:space="preserve">, 1.8 mL of chloroform and 500 µL of Liebermann-Burchard reagent solution were added to test tubes. After homogenizing and incubating in the dark for 5 min at room temperature, the absorbance was measured at 625 nm using a Nova 1600UV spectrophotometer (Nova Instruments, Piracicaba, SP, Brazil). The experiments were carried out in independent triplicates, and the results are expressed as mean ± SD. </w:t>
      </w:r>
      <w:proofErr w:type="spellStart"/>
      <w:r w:rsidRPr="00792AC1">
        <w:rPr>
          <w:rFonts w:ascii="Arial" w:hAnsi="Arial" w:cs="Arial"/>
          <w:sz w:val="24"/>
          <w:szCs w:val="24"/>
        </w:rPr>
        <w:t>T</w:t>
      </w:r>
      <w:r w:rsidR="004E2810">
        <w:rPr>
          <w:rFonts w:ascii="Arial" w:hAnsi="Arial" w:cs="Arial"/>
          <w:sz w:val="24"/>
          <w:szCs w:val="24"/>
        </w:rPr>
        <w:t>PSc</w:t>
      </w:r>
      <w:proofErr w:type="spellEnd"/>
      <w:r w:rsidRPr="00792AC1">
        <w:rPr>
          <w:rFonts w:ascii="Arial" w:hAnsi="Arial" w:cs="Arial"/>
          <w:sz w:val="24"/>
          <w:szCs w:val="24"/>
        </w:rPr>
        <w:t xml:space="preserve"> was calculated using </w:t>
      </w:r>
      <w:r w:rsidRPr="004E2810">
        <w:rPr>
          <w:rFonts w:ascii="Arial" w:hAnsi="Arial" w:cs="Arial"/>
          <w:b/>
          <w:bCs/>
          <w:sz w:val="24"/>
          <w:szCs w:val="24"/>
        </w:rPr>
        <w:t xml:space="preserve">Equation </w:t>
      </w:r>
      <w:r w:rsidR="000A68B3">
        <w:rPr>
          <w:rFonts w:ascii="Arial" w:hAnsi="Arial" w:cs="Arial"/>
          <w:b/>
          <w:bCs/>
          <w:sz w:val="24"/>
          <w:szCs w:val="24"/>
        </w:rPr>
        <w:t>S</w:t>
      </w:r>
      <w:r w:rsidR="004E2810" w:rsidRPr="004E2810">
        <w:rPr>
          <w:rFonts w:ascii="Arial" w:hAnsi="Arial" w:cs="Arial"/>
          <w:b/>
          <w:bCs/>
          <w:sz w:val="24"/>
          <w:szCs w:val="24"/>
        </w:rPr>
        <w:t>3</w:t>
      </w:r>
      <w:r w:rsidRPr="00792AC1">
        <w:rPr>
          <w:rFonts w:ascii="Arial" w:hAnsi="Arial" w:cs="Arial"/>
          <w:sz w:val="24"/>
          <w:szCs w:val="24"/>
        </w:rPr>
        <w:t>:</w:t>
      </w:r>
    </w:p>
    <w:p w14:paraId="17AE7C7B" w14:textId="46C2B529" w:rsidR="004E2810" w:rsidRPr="00814899" w:rsidRDefault="004E2810" w:rsidP="00BB0045">
      <w:pPr>
        <w:pStyle w:val="PargrafodaLista"/>
        <w:spacing w:after="0" w:line="360" w:lineRule="auto"/>
        <w:ind w:left="-567"/>
        <w:jc w:val="center"/>
        <w:rPr>
          <w:rFonts w:ascii="Arial" w:hAnsi="Arial" w:cs="Arial"/>
          <w:sz w:val="24"/>
          <w:szCs w:val="24"/>
          <w:lang w:val="en-US"/>
        </w:rPr>
      </w:pPr>
      <m:oMath>
        <m:r>
          <w:rPr>
            <w:rFonts w:ascii="Cambria Math" w:hAnsi="Cambria Math" w:cs="Arial"/>
            <w:sz w:val="24"/>
            <w:szCs w:val="24"/>
          </w:rPr>
          <m:t>TPSc</m:t>
        </m:r>
        <m:d>
          <m:dPr>
            <m:ctrlPr>
              <w:rPr>
                <w:rFonts w:ascii="Cambria Math" w:hAnsi="Cambria Math" w:cs="Arial"/>
                <w:i/>
                <w:sz w:val="24"/>
                <w:szCs w:val="24"/>
              </w:rPr>
            </m:ctrlPr>
          </m:dPr>
          <m:e>
            <m:f>
              <m:fPr>
                <m:type m:val="lin"/>
                <m:ctrlPr>
                  <w:rPr>
                    <w:rFonts w:ascii="Cambria Math" w:hAnsi="Cambria Math" w:cs="Arial"/>
                    <w:i/>
                    <w:sz w:val="24"/>
                    <w:szCs w:val="24"/>
                  </w:rPr>
                </m:ctrlPr>
              </m:fPr>
              <m:num>
                <m:r>
                  <w:rPr>
                    <w:rFonts w:ascii="Cambria Math" w:hAnsi="Cambria Math" w:cs="Arial"/>
                    <w:sz w:val="24"/>
                    <w:szCs w:val="24"/>
                  </w:rPr>
                  <m:t>mg</m:t>
                </m:r>
              </m:num>
              <m:den>
                <m:r>
                  <w:rPr>
                    <w:rFonts w:ascii="Cambria Math" w:hAnsi="Cambria Math" w:cs="Arial"/>
                    <w:sz w:val="24"/>
                    <w:szCs w:val="24"/>
                  </w:rPr>
                  <m:t>g</m:t>
                </m:r>
              </m:den>
            </m:f>
          </m:e>
        </m:d>
        <m:r>
          <w:rPr>
            <w:rFonts w:ascii="Cambria Math" w:hAnsi="Cambria Math" w:cs="Arial"/>
            <w:sz w:val="24"/>
            <w:szCs w:val="24"/>
            <w:lang w:val="en-US"/>
          </w:rPr>
          <m:t>=</m:t>
        </m:r>
        <m:f>
          <m:fPr>
            <m:ctrlPr>
              <w:rPr>
                <w:rFonts w:ascii="Cambria Math" w:hAnsi="Cambria Math" w:cs="Arial"/>
                <w:i/>
                <w:sz w:val="24"/>
                <w:szCs w:val="24"/>
              </w:rPr>
            </m:ctrlPr>
          </m:fPr>
          <m:num>
            <m:r>
              <w:rPr>
                <w:rFonts w:ascii="Cambria Math" w:hAnsi="Cambria Math" w:cs="Arial"/>
                <w:sz w:val="24"/>
                <w:szCs w:val="24"/>
              </w:rPr>
              <m:t>CPS</m:t>
            </m:r>
          </m:num>
          <m:den>
            <m:r>
              <w:rPr>
                <w:rFonts w:ascii="Cambria Math" w:hAnsi="Cambria Math" w:cs="Arial"/>
                <w:sz w:val="24"/>
                <w:szCs w:val="24"/>
              </w:rPr>
              <m:t>C</m:t>
            </m:r>
            <m:r>
              <w:rPr>
                <w:rFonts w:ascii="Cambria Math" w:hAnsi="Cambria Math" w:cs="Arial"/>
                <w:sz w:val="24"/>
                <w:szCs w:val="24"/>
                <w:lang w:val="en-US"/>
              </w:rPr>
              <m:t xml:space="preserve">* </m:t>
            </m:r>
            <m:d>
              <m:dPr>
                <m:ctrlPr>
                  <w:rPr>
                    <w:rFonts w:ascii="Cambria Math" w:hAnsi="Cambria Math" w:cs="Arial"/>
                    <w:i/>
                    <w:sz w:val="24"/>
                    <w:szCs w:val="24"/>
                  </w:rPr>
                </m:ctrlPr>
              </m:dPr>
              <m:e>
                <m:r>
                  <w:rPr>
                    <w:rFonts w:ascii="Cambria Math" w:hAnsi="Cambria Math" w:cs="Arial"/>
                    <w:sz w:val="24"/>
                    <w:szCs w:val="24"/>
                    <w:lang w:val="en-US"/>
                  </w:rPr>
                  <m:t>1-</m:t>
                </m:r>
                <m:f>
                  <m:fPr>
                    <m:ctrlPr>
                      <w:rPr>
                        <w:rFonts w:ascii="Cambria Math" w:hAnsi="Cambria Math" w:cs="Arial"/>
                        <w:i/>
                        <w:sz w:val="24"/>
                        <w:szCs w:val="24"/>
                      </w:rPr>
                    </m:ctrlPr>
                  </m:fPr>
                  <m:num>
                    <m:r>
                      <w:rPr>
                        <w:rFonts w:ascii="Cambria Math" w:hAnsi="Cambria Math" w:cs="Arial"/>
                        <w:sz w:val="24"/>
                        <w:szCs w:val="24"/>
                      </w:rPr>
                      <m:t>Mc</m:t>
                    </m:r>
                  </m:num>
                  <m:den>
                    <m:r>
                      <w:rPr>
                        <w:rFonts w:ascii="Cambria Math" w:hAnsi="Cambria Math" w:cs="Arial"/>
                        <w:sz w:val="24"/>
                        <w:szCs w:val="24"/>
                        <w:lang w:val="en-US"/>
                      </w:rPr>
                      <m:t>100</m:t>
                    </m:r>
                  </m:den>
                </m:f>
              </m:e>
            </m:d>
          </m:den>
        </m:f>
        <m:r>
          <w:rPr>
            <w:rFonts w:ascii="Cambria Math" w:hAnsi="Cambria Math" w:cs="Arial"/>
            <w:sz w:val="24"/>
            <w:szCs w:val="24"/>
            <w:lang w:val="en-US"/>
          </w:rPr>
          <m:t>×</m:t>
        </m:r>
        <m:d>
          <m:dPr>
            <m:ctrlPr>
              <w:rPr>
                <w:rFonts w:ascii="Cambria Math" w:hAnsi="Cambria Math" w:cs="Arial"/>
                <w:i/>
                <w:sz w:val="24"/>
                <w:szCs w:val="24"/>
              </w:rPr>
            </m:ctrlPr>
          </m:dPr>
          <m:e>
            <m:r>
              <w:rPr>
                <w:rFonts w:ascii="Cambria Math" w:hAnsi="Cambria Math" w:cs="Arial"/>
                <w:sz w:val="24"/>
                <w:szCs w:val="24"/>
                <w:lang w:val="en-US"/>
              </w:rPr>
              <m:t>1+</m:t>
            </m:r>
            <m:f>
              <m:fPr>
                <m:ctrlPr>
                  <w:rPr>
                    <w:rFonts w:ascii="Cambria Math" w:hAnsi="Cambria Math" w:cs="Arial"/>
                    <w:i/>
                    <w:sz w:val="24"/>
                    <w:szCs w:val="24"/>
                  </w:rPr>
                </m:ctrlPr>
              </m:fPr>
              <m:num>
                <m:r>
                  <w:rPr>
                    <w:rFonts w:ascii="Cambria Math" w:hAnsi="Cambria Math" w:cs="Arial"/>
                    <w:sz w:val="24"/>
                    <w:szCs w:val="24"/>
                  </w:rPr>
                  <m:t>L</m:t>
                </m:r>
              </m:num>
              <m:den>
                <m:r>
                  <w:rPr>
                    <w:rFonts w:ascii="Cambria Math" w:hAnsi="Cambria Math" w:cs="Arial"/>
                    <w:sz w:val="24"/>
                    <w:szCs w:val="24"/>
                    <w:lang w:val="en-US"/>
                  </w:rPr>
                  <m:t>100</m:t>
                </m:r>
              </m:den>
            </m:f>
          </m:e>
        </m:d>
      </m:oMath>
      <w:r w:rsidRPr="00814899">
        <w:rPr>
          <w:rFonts w:ascii="Arial" w:hAnsi="Arial" w:cs="Arial"/>
          <w:sz w:val="24"/>
          <w:szCs w:val="24"/>
          <w:lang w:val="en-US"/>
        </w:rPr>
        <w:t xml:space="preserve">                        </w:t>
      </w:r>
      <w:r w:rsidRPr="00814899">
        <w:rPr>
          <w:rFonts w:ascii="Arial" w:hAnsi="Arial" w:cs="Arial"/>
          <w:b/>
          <w:bCs/>
          <w:sz w:val="24"/>
          <w:szCs w:val="24"/>
          <w:lang w:val="en-US"/>
        </w:rPr>
        <w:t>(</w:t>
      </w:r>
      <w:r w:rsidR="000A68B3" w:rsidRPr="00814899">
        <w:rPr>
          <w:rFonts w:ascii="Arial" w:hAnsi="Arial" w:cs="Arial"/>
          <w:b/>
          <w:bCs/>
          <w:sz w:val="24"/>
          <w:szCs w:val="24"/>
          <w:lang w:val="en-US"/>
        </w:rPr>
        <w:t>S</w:t>
      </w:r>
      <w:r w:rsidRPr="00814899">
        <w:rPr>
          <w:rFonts w:ascii="Arial" w:hAnsi="Arial" w:cs="Arial"/>
          <w:b/>
          <w:bCs/>
          <w:sz w:val="24"/>
          <w:szCs w:val="24"/>
          <w:lang w:val="en-US"/>
        </w:rPr>
        <w:t>3)</w:t>
      </w:r>
    </w:p>
    <w:p w14:paraId="1DA41365" w14:textId="097249B3" w:rsidR="004E2810" w:rsidRPr="00FA0083" w:rsidRDefault="004E2810" w:rsidP="00575D61">
      <w:pPr>
        <w:spacing w:after="0" w:line="360" w:lineRule="auto"/>
        <w:ind w:firstLine="708"/>
        <w:jc w:val="both"/>
        <w:rPr>
          <w:rFonts w:ascii="Arial" w:hAnsi="Arial" w:cs="Arial"/>
          <w:sz w:val="24"/>
          <w:szCs w:val="24"/>
        </w:rPr>
      </w:pPr>
      <w:r w:rsidRPr="00FA0083">
        <w:rPr>
          <w:rFonts w:ascii="Arial" w:hAnsi="Arial" w:cs="Arial"/>
          <w:sz w:val="24"/>
          <w:szCs w:val="24"/>
        </w:rPr>
        <w:t>Where</w:t>
      </w:r>
      <w:r>
        <w:rPr>
          <w:rFonts w:ascii="Arial" w:hAnsi="Arial" w:cs="Arial"/>
          <w:sz w:val="24"/>
          <w:szCs w:val="24"/>
        </w:rPr>
        <w:t>in</w:t>
      </w:r>
      <w:r w:rsidRPr="00FA0083">
        <w:rPr>
          <w:rFonts w:ascii="Arial" w:hAnsi="Arial" w:cs="Arial"/>
          <w:sz w:val="24"/>
          <w:szCs w:val="24"/>
        </w:rPr>
        <w:t>:</w:t>
      </w:r>
      <w:r>
        <w:rPr>
          <w:rFonts w:ascii="Arial" w:hAnsi="Arial" w:cs="Arial"/>
          <w:sz w:val="24"/>
          <w:szCs w:val="24"/>
        </w:rPr>
        <w:t xml:space="preserve"> </w:t>
      </w:r>
      <w:r w:rsidRPr="00FA0083">
        <w:rPr>
          <w:rFonts w:ascii="Arial" w:hAnsi="Arial" w:cs="Arial"/>
          <w:i/>
          <w:iCs/>
          <w:sz w:val="24"/>
          <w:szCs w:val="24"/>
        </w:rPr>
        <w:t>C</w:t>
      </w:r>
      <w:r>
        <w:rPr>
          <w:rFonts w:ascii="Arial" w:hAnsi="Arial" w:cs="Arial"/>
          <w:i/>
          <w:iCs/>
          <w:sz w:val="24"/>
          <w:szCs w:val="24"/>
        </w:rPr>
        <w:t>PS</w:t>
      </w:r>
      <w:r>
        <w:rPr>
          <w:rFonts w:ascii="Arial" w:hAnsi="Arial" w:cs="Arial"/>
          <w:sz w:val="24"/>
          <w:szCs w:val="24"/>
        </w:rPr>
        <w:t xml:space="preserve"> is the phytosterol</w:t>
      </w:r>
      <w:r w:rsidRPr="00FA0083">
        <w:rPr>
          <w:rFonts w:ascii="Arial" w:hAnsi="Arial" w:cs="Arial"/>
          <w:sz w:val="24"/>
          <w:szCs w:val="24"/>
        </w:rPr>
        <w:t xml:space="preserve"> concentration obtained using the standard curve (µg/mL); </w:t>
      </w:r>
      <w:r w:rsidRPr="00FA0083">
        <w:rPr>
          <w:rFonts w:ascii="Arial" w:hAnsi="Arial" w:cs="Arial"/>
          <w:i/>
          <w:iCs/>
          <w:sz w:val="24"/>
          <w:szCs w:val="24"/>
        </w:rPr>
        <w:t>C</w:t>
      </w:r>
      <w:r>
        <w:rPr>
          <w:rFonts w:ascii="Arial" w:hAnsi="Arial" w:cs="Arial"/>
          <w:sz w:val="24"/>
          <w:szCs w:val="24"/>
        </w:rPr>
        <w:t xml:space="preserve"> is the </w:t>
      </w:r>
      <w:proofErr w:type="spellStart"/>
      <w:r>
        <w:rPr>
          <w:rFonts w:ascii="Arial" w:hAnsi="Arial" w:cs="Arial"/>
          <w:sz w:val="24"/>
          <w:szCs w:val="24"/>
        </w:rPr>
        <w:t>SDCi</w:t>
      </w:r>
      <w:proofErr w:type="spellEnd"/>
      <w:r w:rsidRPr="00FA0083">
        <w:rPr>
          <w:rFonts w:ascii="Arial" w:hAnsi="Arial" w:cs="Arial"/>
          <w:sz w:val="24"/>
          <w:szCs w:val="24"/>
        </w:rPr>
        <w:t xml:space="preserve"> solution concentration (5 mg/mL);</w:t>
      </w:r>
      <w:r>
        <w:rPr>
          <w:rFonts w:ascii="Arial" w:hAnsi="Arial" w:cs="Arial"/>
          <w:sz w:val="24"/>
          <w:szCs w:val="24"/>
        </w:rPr>
        <w:t xml:space="preserve"> </w:t>
      </w:r>
      <w:r w:rsidRPr="00FA0083">
        <w:rPr>
          <w:rFonts w:ascii="Arial" w:hAnsi="Arial" w:cs="Arial"/>
          <w:i/>
          <w:iCs/>
          <w:sz w:val="24"/>
          <w:szCs w:val="24"/>
        </w:rPr>
        <w:t>Mc</w:t>
      </w:r>
      <w:r>
        <w:rPr>
          <w:rFonts w:ascii="Arial" w:hAnsi="Arial" w:cs="Arial"/>
          <w:sz w:val="24"/>
          <w:szCs w:val="24"/>
        </w:rPr>
        <w:t xml:space="preserve"> is the moisture content of </w:t>
      </w:r>
      <w:proofErr w:type="spellStart"/>
      <w:r>
        <w:rPr>
          <w:rFonts w:ascii="Arial" w:hAnsi="Arial" w:cs="Arial"/>
          <w:sz w:val="24"/>
          <w:szCs w:val="24"/>
        </w:rPr>
        <w:t>SDCi</w:t>
      </w:r>
      <w:proofErr w:type="spellEnd"/>
      <w:r w:rsidRPr="00FA0083">
        <w:rPr>
          <w:rFonts w:ascii="Arial" w:hAnsi="Arial" w:cs="Arial"/>
          <w:sz w:val="24"/>
          <w:szCs w:val="24"/>
        </w:rPr>
        <w:t xml:space="preserve"> (</w:t>
      </w:r>
      <w:r>
        <w:rPr>
          <w:rFonts w:ascii="Arial" w:hAnsi="Arial" w:cs="Arial"/>
          <w:sz w:val="24"/>
          <w:szCs w:val="24"/>
        </w:rPr>
        <w:t xml:space="preserve">i.e., </w:t>
      </w:r>
      <w:r w:rsidRPr="00792AC1">
        <w:rPr>
          <w:rFonts w:ascii="Arial" w:hAnsi="Arial" w:cs="Arial"/>
          <w:sz w:val="24"/>
          <w:szCs w:val="24"/>
        </w:rPr>
        <w:t>9,9 ± 0,34</w:t>
      </w:r>
      <w:r>
        <w:rPr>
          <w:rFonts w:ascii="Arial" w:hAnsi="Arial" w:cs="Arial"/>
          <w:sz w:val="24"/>
          <w:szCs w:val="24"/>
        </w:rPr>
        <w:t xml:space="preserve"> </w:t>
      </w:r>
      <w:r w:rsidRPr="00FA0083">
        <w:rPr>
          <w:rFonts w:ascii="Arial" w:hAnsi="Arial" w:cs="Arial"/>
          <w:sz w:val="24"/>
          <w:szCs w:val="24"/>
        </w:rPr>
        <w:t xml:space="preserve">%); </w:t>
      </w:r>
      <w:r>
        <w:rPr>
          <w:rFonts w:ascii="Arial" w:hAnsi="Arial" w:cs="Arial"/>
          <w:sz w:val="24"/>
          <w:szCs w:val="24"/>
        </w:rPr>
        <w:t xml:space="preserve">and </w:t>
      </w:r>
      <w:r w:rsidRPr="00FA0083">
        <w:rPr>
          <w:rFonts w:ascii="Arial" w:hAnsi="Arial" w:cs="Arial"/>
          <w:i/>
          <w:iCs/>
          <w:sz w:val="24"/>
          <w:szCs w:val="24"/>
        </w:rPr>
        <w:t>L</w:t>
      </w:r>
      <w:r w:rsidRPr="00FA0083">
        <w:rPr>
          <w:rFonts w:ascii="Arial" w:hAnsi="Arial" w:cs="Arial"/>
          <w:sz w:val="24"/>
          <w:szCs w:val="24"/>
        </w:rPr>
        <w:t xml:space="preserve"> </w:t>
      </w:r>
      <w:r>
        <w:rPr>
          <w:rFonts w:ascii="Arial" w:hAnsi="Arial" w:cs="Arial"/>
          <w:sz w:val="24"/>
          <w:szCs w:val="24"/>
        </w:rPr>
        <w:t>is the</w:t>
      </w:r>
      <w:r w:rsidRPr="00FA0083">
        <w:rPr>
          <w:rFonts w:ascii="Arial" w:hAnsi="Arial" w:cs="Arial"/>
          <w:sz w:val="24"/>
          <w:szCs w:val="24"/>
        </w:rPr>
        <w:t xml:space="preserve"> </w:t>
      </w:r>
      <w:r>
        <w:rPr>
          <w:rFonts w:ascii="Arial" w:hAnsi="Arial" w:cs="Arial"/>
          <w:sz w:val="24"/>
          <w:szCs w:val="24"/>
        </w:rPr>
        <w:t xml:space="preserve">theoretical </w:t>
      </w:r>
      <w:r w:rsidRPr="00FA0083">
        <w:rPr>
          <w:rFonts w:ascii="Arial" w:hAnsi="Arial" w:cs="Arial"/>
          <w:sz w:val="24"/>
          <w:szCs w:val="24"/>
        </w:rPr>
        <w:t xml:space="preserve">leucine content </w:t>
      </w:r>
      <w:r>
        <w:rPr>
          <w:rFonts w:ascii="Arial" w:hAnsi="Arial" w:cs="Arial"/>
          <w:sz w:val="24"/>
          <w:szCs w:val="24"/>
        </w:rPr>
        <w:t xml:space="preserve">in the </w:t>
      </w:r>
      <w:proofErr w:type="spellStart"/>
      <w:proofErr w:type="gramStart"/>
      <w:r>
        <w:rPr>
          <w:rFonts w:ascii="Arial" w:hAnsi="Arial" w:cs="Arial"/>
          <w:sz w:val="24"/>
          <w:szCs w:val="24"/>
        </w:rPr>
        <w:t>SDCi</w:t>
      </w:r>
      <w:proofErr w:type="spellEnd"/>
      <w:r w:rsidRPr="00FA0083">
        <w:rPr>
          <w:rFonts w:ascii="Arial" w:hAnsi="Arial" w:cs="Arial"/>
          <w:sz w:val="24"/>
          <w:szCs w:val="24"/>
        </w:rPr>
        <w:t>(</w:t>
      </w:r>
      <w:proofErr w:type="gramEnd"/>
      <w:r>
        <w:rPr>
          <w:rFonts w:ascii="Arial" w:hAnsi="Arial" w:cs="Arial"/>
          <w:sz w:val="24"/>
          <w:szCs w:val="24"/>
        </w:rPr>
        <w:t xml:space="preserve">i.e., 45 </w:t>
      </w:r>
      <w:r w:rsidRPr="00FA0083">
        <w:rPr>
          <w:rFonts w:ascii="Arial" w:hAnsi="Arial" w:cs="Arial"/>
          <w:sz w:val="24"/>
          <w:szCs w:val="24"/>
        </w:rPr>
        <w:t>%).</w:t>
      </w:r>
    </w:p>
    <w:p w14:paraId="7907F628" w14:textId="77777777" w:rsidR="003426EA" w:rsidRDefault="003426EA" w:rsidP="00575D61">
      <w:pPr>
        <w:spacing w:after="0" w:line="360" w:lineRule="auto"/>
        <w:jc w:val="both"/>
        <w:rPr>
          <w:rFonts w:ascii="Arial" w:hAnsi="Arial" w:cs="Arial"/>
          <w:sz w:val="24"/>
          <w:szCs w:val="24"/>
        </w:rPr>
      </w:pPr>
    </w:p>
    <w:p w14:paraId="37E8CD76" w14:textId="079A9EF7" w:rsidR="004E2810" w:rsidRPr="00732E79" w:rsidRDefault="004E2810" w:rsidP="00575D61">
      <w:pPr>
        <w:pStyle w:val="PargrafodaLista"/>
        <w:numPr>
          <w:ilvl w:val="0"/>
          <w:numId w:val="1"/>
        </w:numPr>
        <w:tabs>
          <w:tab w:val="left" w:pos="284"/>
        </w:tabs>
        <w:spacing w:after="0" w:line="360" w:lineRule="auto"/>
        <w:ind w:left="0" w:firstLine="0"/>
        <w:jc w:val="both"/>
        <w:rPr>
          <w:rFonts w:ascii="Arial" w:hAnsi="Arial" w:cs="Arial"/>
          <w:sz w:val="24"/>
          <w:szCs w:val="24"/>
          <w:lang w:val="en-US"/>
        </w:rPr>
      </w:pPr>
      <w:r w:rsidRPr="00732E79">
        <w:rPr>
          <w:rFonts w:ascii="Arial" w:hAnsi="Arial" w:cs="Arial"/>
          <w:sz w:val="24"/>
          <w:szCs w:val="24"/>
          <w:lang w:val="en-US"/>
        </w:rPr>
        <w:t xml:space="preserve">Assessing the antioxidant capacity of </w:t>
      </w:r>
      <w:proofErr w:type="spellStart"/>
      <w:r w:rsidRPr="00732E79">
        <w:rPr>
          <w:rFonts w:ascii="Arial" w:hAnsi="Arial" w:cs="Arial"/>
          <w:sz w:val="24"/>
          <w:szCs w:val="24"/>
          <w:lang w:val="en-US"/>
        </w:rPr>
        <w:t>SDCi</w:t>
      </w:r>
      <w:proofErr w:type="spellEnd"/>
    </w:p>
    <w:p w14:paraId="6AFD9480" w14:textId="6E9E3AA2" w:rsidR="004E2810" w:rsidRPr="00732E79" w:rsidRDefault="00732E79" w:rsidP="00575D61">
      <w:pPr>
        <w:pStyle w:val="PargrafodaLista"/>
        <w:numPr>
          <w:ilvl w:val="1"/>
          <w:numId w:val="1"/>
        </w:numPr>
        <w:tabs>
          <w:tab w:val="left" w:pos="284"/>
          <w:tab w:val="left" w:pos="426"/>
        </w:tabs>
        <w:spacing w:after="0" w:line="360" w:lineRule="auto"/>
        <w:ind w:left="0" w:firstLine="0"/>
        <w:jc w:val="both"/>
        <w:rPr>
          <w:rFonts w:ascii="Arial" w:hAnsi="Arial" w:cs="Arial"/>
          <w:sz w:val="24"/>
          <w:szCs w:val="24"/>
          <w:lang w:val="en-US"/>
        </w:rPr>
      </w:pPr>
      <w:r w:rsidRPr="00732E79">
        <w:rPr>
          <w:rFonts w:ascii="Arial" w:hAnsi="Arial" w:cs="Arial"/>
          <w:sz w:val="24"/>
          <w:szCs w:val="24"/>
          <w:lang w:val="en-US"/>
        </w:rPr>
        <w:t>Spectrophotometric analysis</w:t>
      </w:r>
    </w:p>
    <w:p w14:paraId="46B39A92" w14:textId="25D94666" w:rsidR="000A68B3" w:rsidRDefault="004E2810" w:rsidP="00575D61">
      <w:pPr>
        <w:spacing w:after="0" w:line="360" w:lineRule="auto"/>
        <w:ind w:firstLine="709"/>
        <w:jc w:val="both"/>
        <w:rPr>
          <w:rFonts w:ascii="Arial" w:hAnsi="Arial" w:cs="Arial"/>
          <w:sz w:val="24"/>
          <w:szCs w:val="24"/>
        </w:rPr>
      </w:pPr>
      <w:r w:rsidRPr="00732E79">
        <w:rPr>
          <w:rFonts w:ascii="Arial" w:hAnsi="Arial" w:cs="Arial"/>
          <w:sz w:val="24"/>
          <w:szCs w:val="24"/>
        </w:rPr>
        <w:t>The 2,2-diphenyl-1-picrylhydrazyl (DPPH</w:t>
      </w:r>
      <w:r w:rsidR="00814899" w:rsidRPr="006613AB">
        <w:rPr>
          <w:rFonts w:ascii="Arial" w:hAnsi="Arial" w:cs="Arial"/>
          <w:sz w:val="24"/>
          <w:szCs w:val="24"/>
        </w:rPr>
        <w:t>·</w:t>
      </w:r>
      <w:r w:rsidRPr="00732E79">
        <w:rPr>
          <w:rFonts w:ascii="Arial" w:hAnsi="Arial" w:cs="Arial"/>
          <w:sz w:val="24"/>
          <w:szCs w:val="24"/>
        </w:rPr>
        <w:t xml:space="preserve">) stable free radical scavenging method was used to assess the </w:t>
      </w:r>
      <w:r w:rsidR="00732E79" w:rsidRPr="00732E79">
        <w:rPr>
          <w:rFonts w:ascii="Arial" w:hAnsi="Arial" w:cs="Arial"/>
          <w:sz w:val="24"/>
          <w:szCs w:val="24"/>
        </w:rPr>
        <w:t>reducing</w:t>
      </w:r>
      <w:r w:rsidRPr="00732E79">
        <w:rPr>
          <w:rFonts w:ascii="Arial" w:hAnsi="Arial" w:cs="Arial"/>
          <w:sz w:val="24"/>
          <w:szCs w:val="24"/>
        </w:rPr>
        <w:t xml:space="preserve"> capacity of </w:t>
      </w:r>
      <w:r w:rsidR="00732E79">
        <w:rPr>
          <w:rFonts w:ascii="Arial" w:hAnsi="Arial" w:cs="Arial"/>
          <w:sz w:val="24"/>
          <w:szCs w:val="24"/>
        </w:rPr>
        <w:t xml:space="preserve">the </w:t>
      </w:r>
      <w:proofErr w:type="spellStart"/>
      <w:r w:rsidR="00732E79">
        <w:rPr>
          <w:rFonts w:ascii="Arial" w:hAnsi="Arial" w:cs="Arial"/>
          <w:sz w:val="24"/>
          <w:szCs w:val="24"/>
        </w:rPr>
        <w:t>SDCi</w:t>
      </w:r>
      <w:proofErr w:type="spellEnd"/>
      <w:r w:rsidRPr="00732E79">
        <w:rPr>
          <w:rFonts w:ascii="Arial" w:hAnsi="Arial" w:cs="Arial"/>
          <w:sz w:val="24"/>
          <w:szCs w:val="24"/>
        </w:rPr>
        <w:t xml:space="preserve"> </w:t>
      </w:r>
      <w:bookmarkStart w:id="3" w:name="_Hlk189226229"/>
      <w:r w:rsidRPr="00732E79">
        <w:rPr>
          <w:rFonts w:ascii="Arial" w:hAnsi="Arial" w:cs="Arial"/>
          <w:sz w:val="24"/>
          <w:szCs w:val="24"/>
        </w:rPr>
        <w:fldChar w:fldCharType="begin" w:fldLock="1"/>
      </w:r>
      <w:r w:rsidR="00F21F86">
        <w:rPr>
          <w:rFonts w:ascii="Arial" w:hAnsi="Arial" w:cs="Arial"/>
          <w:sz w:val="24"/>
          <w:szCs w:val="24"/>
        </w:rPr>
        <w:instrText>ADDIN CSL_CITATION {"citationItems":[{"id":"ITEM-1","itemData":{"DOI":"10.1016/S0023-6438(95)80008-5","ISSN":"00236438","abstract":"The antiradical activities of various antioxidants were determined using the free radical, 2,2-Diphenyl-1-picrylhydrazyl (DPPH*). In its radical form. DPPH* has an absorption band at 515 nm which dissappears upon reduction by an antiradical compound. Twenty compounds were reacted with the DPPH* and shown to follow one of three possible reaction kinetic types. Ascorbic acid, isoascorbic acid and isoeugenol reacted quickly with the DPPH* reaching a steady state immediately. Rosmarinic acid and δ-tocopherol reacted a little slower and reached a steady state within 30 min. The remaining compounds reacted more progressively with the DPPH* reaching a steady state from 1 to 6 h. Caffeic acid, gentisic acid and gallic acid showed the highest antiradical activities with a stoichiometry of 4 to 6 reduced DPPH* molecules per molecule of antioxidant. Vanillin, phenol, γ-resorcylic acid and vanillic acid were found to be poor antiradical compounds. The stoichiometry for the other 13 phenolic compounds varied from one to three reduced DPPH* molecules per molecule of antioxidant. Possible mechanisms are proposed to explain the experimental results. © 1995 Academic Press Limited.","author":[{"dropping-particle":"","family":"Brand-Williams","given":"W.","non-dropping-particle":"","parse-names":false,"suffix":""},{"dropping-particle":"","family":"Cuvelier","given":"M. E.","non-dropping-particle":"","parse-names":false,"suffix":""},{"dropping-particle":"","family":"Berset","given":"C.","non-dropping-particle":"","parse-names":false,"suffix":""}],"container-title":"LWT - Food Science and Technology","id":"ITEM-1","issue":"1","issued":{"date-parts":[["1995"]]},"page":"25-30","title":"Use of a free radical method to evaluate antioxidant activity","type":"article","volume":"28"},"uris":["http://www.mendeley.com/documents/?uuid=a9586f75-4cea-4568-9401-63b6e0fb5e39"]}],"mendeley":{"formattedCitation":"[4]","plainTextFormattedCitation":"[4]","previouslyFormattedCitation":"(Brand-Williams et al., 1995)"},"properties":{"noteIndex":0},"schema":"https://github.com/citation-style-language/schema/raw/master/csl-citation.json"}</w:instrText>
      </w:r>
      <w:r w:rsidRPr="00732E79">
        <w:rPr>
          <w:rFonts w:ascii="Arial" w:hAnsi="Arial" w:cs="Arial"/>
          <w:sz w:val="24"/>
          <w:szCs w:val="24"/>
        </w:rPr>
        <w:fldChar w:fldCharType="separate"/>
      </w:r>
      <w:r w:rsidR="00F21F86" w:rsidRPr="00F21F86">
        <w:rPr>
          <w:rFonts w:ascii="Arial" w:hAnsi="Arial" w:cs="Arial"/>
          <w:noProof/>
          <w:sz w:val="24"/>
          <w:szCs w:val="24"/>
        </w:rPr>
        <w:t>[4]</w:t>
      </w:r>
      <w:r w:rsidRPr="00732E79">
        <w:rPr>
          <w:rFonts w:ascii="Arial" w:hAnsi="Arial" w:cs="Arial"/>
          <w:sz w:val="24"/>
          <w:szCs w:val="24"/>
        </w:rPr>
        <w:fldChar w:fldCharType="end"/>
      </w:r>
      <w:bookmarkEnd w:id="3"/>
      <w:r w:rsidRPr="00732E79">
        <w:rPr>
          <w:rFonts w:ascii="Arial" w:hAnsi="Arial" w:cs="Arial"/>
          <w:sz w:val="24"/>
          <w:szCs w:val="24"/>
        </w:rPr>
        <w:t>, being adapted for use in 96-well</w:t>
      </w:r>
      <w:r w:rsidRPr="004E2810">
        <w:rPr>
          <w:rFonts w:ascii="Arial" w:hAnsi="Arial" w:cs="Arial"/>
          <w:sz w:val="24"/>
          <w:szCs w:val="24"/>
        </w:rPr>
        <w:t xml:space="preserve"> </w:t>
      </w:r>
      <w:r w:rsidRPr="004E2810">
        <w:rPr>
          <w:rFonts w:ascii="Arial" w:hAnsi="Arial" w:cs="Arial"/>
          <w:sz w:val="24"/>
          <w:szCs w:val="24"/>
        </w:rPr>
        <w:lastRenderedPageBreak/>
        <w:t>microplates</w:t>
      </w:r>
      <w:r>
        <w:rPr>
          <w:rFonts w:ascii="Arial" w:hAnsi="Arial" w:cs="Arial"/>
          <w:sz w:val="24"/>
          <w:szCs w:val="24"/>
        </w:rPr>
        <w:t xml:space="preserve"> as previously reported</w:t>
      </w:r>
      <w:r w:rsidRPr="004E2810">
        <w:rPr>
          <w:rFonts w:ascii="Arial" w:hAnsi="Arial" w:cs="Arial"/>
          <w:sz w:val="24"/>
          <w:szCs w:val="24"/>
        </w:rPr>
        <w:t xml:space="preserve"> </w:t>
      </w:r>
      <w:bookmarkStart w:id="4" w:name="_Hlk189226249"/>
      <w:r>
        <w:rPr>
          <w:rFonts w:ascii="Arial" w:hAnsi="Arial" w:cs="Arial"/>
          <w:sz w:val="24"/>
          <w:szCs w:val="24"/>
          <w:lang w:val="pt-BR"/>
        </w:rPr>
        <w:fldChar w:fldCharType="begin" w:fldLock="1"/>
      </w:r>
      <w:r w:rsidR="00F21F86">
        <w:rPr>
          <w:rFonts w:ascii="Arial" w:hAnsi="Arial" w:cs="Arial"/>
          <w:sz w:val="24"/>
          <w:szCs w:val="24"/>
        </w:rPr>
        <w:instrText>ADDIN CSL_CITATION {"citationItems":[{"id":"ITEM-1","itemData":{"DOI":"10.5433/2316-5200.2013v2n1p35","author":[{"dropping-particle":"","family":"Araújo","given":"Sthéfane Guimarães","non-dropping-particle":"","parse-names":false,"suffix":""},{"dropping-particle":"","family":"Pinto","given":"Maria Eduarda Amaral","non-dropping-particle":"","parse-names":false,"suffix":""},{"dropping-particle":"","family":"Silva","given":"Nathália Lucca","non-dropping-particle":"","parse-names":false,"suffix":""},{"dropping-particle":"dos","family":"Santos","given":"Flávio José Leite","non-dropping-particle":"","parse-names":false,"suffix":""},{"dropping-particle":"","family":"Castro","given":"Ana Hortência Fonsêca","non-dropping-particle":"","parse-names":false,"suffix":""},{"dropping-particle":"","family":"Lima","given":"Luciana Alves Rodrigues dos Santos","non-dropping-particle":"","parse-names":false,"suffix":""}],"container-title":"BBR - Biochemistry and Biotechnology Reports","id":"ITEM-1","issue":"1","issued":{"date-parts":[["2013"]]},"page":"35-43","title":"Atividades antioxidante e alelopática do extrato e frações obtidos de Rosmarinus officinalis","type":"article-journal","volume":"2"},"uris":["http://www.mendeley.com/documents/?uuid=5e66309d-7c07-4526-847d-3b40556cac90"]}],"mendeley":{"formattedCitation":"[5]","manualFormatting":"(Araújo et al., 2013b)","plainTextFormattedCitation":"[5]","previouslyFormattedCitation":"(S. G. Araújo et al., 2013)"},"properties":{"noteIndex":0},"schema":"https://github.com/citation-style-language/schema/raw/master/csl-citation.json"}</w:instrText>
      </w:r>
      <w:r>
        <w:rPr>
          <w:rFonts w:ascii="Arial" w:hAnsi="Arial" w:cs="Arial"/>
          <w:sz w:val="24"/>
          <w:szCs w:val="24"/>
          <w:lang w:val="pt-BR"/>
        </w:rPr>
        <w:fldChar w:fldCharType="separate"/>
      </w:r>
      <w:r w:rsidRPr="00814899">
        <w:rPr>
          <w:rFonts w:ascii="Arial" w:hAnsi="Arial" w:cs="Arial"/>
          <w:noProof/>
          <w:sz w:val="24"/>
          <w:szCs w:val="24"/>
        </w:rPr>
        <w:t>(Araújo et al., 2013</w:t>
      </w:r>
      <w:r w:rsidR="002578B1" w:rsidRPr="00814899">
        <w:rPr>
          <w:rFonts w:ascii="Arial" w:hAnsi="Arial" w:cs="Arial"/>
          <w:noProof/>
          <w:sz w:val="24"/>
          <w:szCs w:val="24"/>
        </w:rPr>
        <w:t>b</w:t>
      </w:r>
      <w:r w:rsidRPr="00814899">
        <w:rPr>
          <w:rFonts w:ascii="Arial" w:hAnsi="Arial" w:cs="Arial"/>
          <w:noProof/>
          <w:sz w:val="24"/>
          <w:szCs w:val="24"/>
        </w:rPr>
        <w:t>)</w:t>
      </w:r>
      <w:r>
        <w:rPr>
          <w:rFonts w:ascii="Arial" w:hAnsi="Arial" w:cs="Arial"/>
          <w:sz w:val="24"/>
          <w:szCs w:val="24"/>
          <w:lang w:val="pt-BR"/>
        </w:rPr>
        <w:fldChar w:fldCharType="end"/>
      </w:r>
      <w:bookmarkEnd w:id="4"/>
      <w:r w:rsidRPr="004E2810">
        <w:rPr>
          <w:rFonts w:ascii="Arial" w:hAnsi="Arial" w:cs="Arial"/>
          <w:sz w:val="24"/>
          <w:szCs w:val="24"/>
        </w:rPr>
        <w:t xml:space="preserve">. The </w:t>
      </w:r>
      <w:proofErr w:type="spellStart"/>
      <w:r w:rsidR="00732E79">
        <w:rPr>
          <w:rFonts w:ascii="Arial" w:hAnsi="Arial" w:cs="Arial"/>
          <w:sz w:val="24"/>
          <w:szCs w:val="24"/>
        </w:rPr>
        <w:t>SDCi</w:t>
      </w:r>
      <w:proofErr w:type="spellEnd"/>
      <w:r w:rsidRPr="004E2810">
        <w:rPr>
          <w:rFonts w:ascii="Arial" w:hAnsi="Arial" w:cs="Arial"/>
          <w:sz w:val="24"/>
          <w:szCs w:val="24"/>
        </w:rPr>
        <w:t xml:space="preserve"> was diluted with ethanol (70% </w:t>
      </w:r>
      <w:r>
        <w:rPr>
          <w:rFonts w:ascii="Arial" w:hAnsi="Arial" w:cs="Arial"/>
          <w:sz w:val="24"/>
          <w:szCs w:val="24"/>
        </w:rPr>
        <w:t>m/m</w:t>
      </w:r>
      <w:r w:rsidRPr="004E2810">
        <w:rPr>
          <w:rFonts w:ascii="Arial" w:hAnsi="Arial" w:cs="Arial"/>
          <w:sz w:val="24"/>
          <w:szCs w:val="24"/>
        </w:rPr>
        <w:t>) in a volumetric flask to 1, 10, 100, 250 and 500 µg/</w:t>
      </w:r>
      <w:proofErr w:type="spellStart"/>
      <w:r w:rsidRPr="004E2810">
        <w:rPr>
          <w:rFonts w:ascii="Arial" w:hAnsi="Arial" w:cs="Arial"/>
          <w:sz w:val="24"/>
          <w:szCs w:val="24"/>
        </w:rPr>
        <w:t>mL.</w:t>
      </w:r>
      <w:proofErr w:type="spellEnd"/>
      <w:r w:rsidRPr="004E2810">
        <w:rPr>
          <w:rFonts w:ascii="Arial" w:hAnsi="Arial" w:cs="Arial"/>
          <w:sz w:val="24"/>
          <w:szCs w:val="24"/>
        </w:rPr>
        <w:t xml:space="preserve"> The DPPH- solution (20 µg/mL) was prepared in ethanol (70% </w:t>
      </w:r>
      <w:r>
        <w:rPr>
          <w:rFonts w:ascii="Arial" w:hAnsi="Arial" w:cs="Arial"/>
          <w:sz w:val="24"/>
          <w:szCs w:val="24"/>
        </w:rPr>
        <w:t>m/m</w:t>
      </w:r>
      <w:r w:rsidRPr="004E2810">
        <w:rPr>
          <w:rFonts w:ascii="Arial" w:hAnsi="Arial" w:cs="Arial"/>
          <w:sz w:val="24"/>
          <w:szCs w:val="24"/>
        </w:rPr>
        <w:t>).</w:t>
      </w:r>
    </w:p>
    <w:p w14:paraId="4B035BD6" w14:textId="0421FD5A" w:rsidR="004E2810" w:rsidRDefault="004E2810" w:rsidP="00575D61">
      <w:pPr>
        <w:spacing w:after="0" w:line="360" w:lineRule="auto"/>
        <w:ind w:firstLine="709"/>
        <w:jc w:val="both"/>
        <w:rPr>
          <w:rFonts w:ascii="Arial" w:hAnsi="Arial" w:cs="Arial"/>
          <w:sz w:val="24"/>
          <w:szCs w:val="24"/>
        </w:rPr>
      </w:pPr>
      <w:r w:rsidRPr="004E2810">
        <w:rPr>
          <w:rFonts w:ascii="Arial" w:hAnsi="Arial" w:cs="Arial"/>
          <w:sz w:val="24"/>
          <w:szCs w:val="24"/>
        </w:rPr>
        <w:t>In each well of the microplate, 75 µL of the sample was pipetted, 150 µL of the DPPH</w:t>
      </w:r>
      <w:r w:rsidR="00814899" w:rsidRPr="006613AB">
        <w:rPr>
          <w:rFonts w:ascii="Arial" w:hAnsi="Arial" w:cs="Arial"/>
          <w:sz w:val="24"/>
          <w:szCs w:val="24"/>
        </w:rPr>
        <w:t>·</w:t>
      </w:r>
      <w:r w:rsidRPr="004E2810">
        <w:rPr>
          <w:rFonts w:ascii="Arial" w:hAnsi="Arial" w:cs="Arial"/>
          <w:sz w:val="24"/>
          <w:szCs w:val="24"/>
        </w:rPr>
        <w:t xml:space="preserve"> solution in the wells referring to the experiment</w:t>
      </w:r>
      <w:r w:rsidR="00DD3B28">
        <w:rPr>
          <w:rFonts w:ascii="Arial" w:hAnsi="Arial" w:cs="Arial"/>
          <w:sz w:val="24"/>
          <w:szCs w:val="24"/>
        </w:rPr>
        <w:t>,</w:t>
      </w:r>
      <w:r w:rsidRPr="004E2810">
        <w:rPr>
          <w:rFonts w:ascii="Arial" w:hAnsi="Arial" w:cs="Arial"/>
          <w:sz w:val="24"/>
          <w:szCs w:val="24"/>
        </w:rPr>
        <w:t xml:space="preserve"> and 150 µL of ethanol (70% </w:t>
      </w:r>
      <w:r>
        <w:rPr>
          <w:rFonts w:ascii="Arial" w:hAnsi="Arial" w:cs="Arial"/>
          <w:sz w:val="24"/>
          <w:szCs w:val="24"/>
        </w:rPr>
        <w:t>m/m</w:t>
      </w:r>
      <w:r w:rsidRPr="004E2810">
        <w:rPr>
          <w:rFonts w:ascii="Arial" w:hAnsi="Arial" w:cs="Arial"/>
          <w:sz w:val="24"/>
          <w:szCs w:val="24"/>
        </w:rPr>
        <w:t xml:space="preserve">) in the wells referring to the blank. After incubation for 30 min at room temperature and </w:t>
      </w:r>
      <w:r w:rsidR="00DD3B28">
        <w:rPr>
          <w:rFonts w:ascii="Arial" w:hAnsi="Arial" w:cs="Arial"/>
          <w:sz w:val="24"/>
          <w:szCs w:val="24"/>
        </w:rPr>
        <w:t>protection</w:t>
      </w:r>
      <w:r w:rsidRPr="004E2810">
        <w:rPr>
          <w:rFonts w:ascii="Arial" w:hAnsi="Arial" w:cs="Arial"/>
          <w:sz w:val="24"/>
          <w:szCs w:val="24"/>
        </w:rPr>
        <w:t xml:space="preserve"> from light, the absorbances were checked at 517 nm in a Power Wave XS2 </w:t>
      </w:r>
      <w:proofErr w:type="spellStart"/>
      <w:r w:rsidRPr="004E2810">
        <w:rPr>
          <w:rFonts w:ascii="Arial" w:hAnsi="Arial" w:cs="Arial"/>
          <w:sz w:val="24"/>
          <w:szCs w:val="24"/>
        </w:rPr>
        <w:t>Biotek</w:t>
      </w:r>
      <w:proofErr w:type="spellEnd"/>
      <w:r w:rsidRPr="004E2810">
        <w:rPr>
          <w:rFonts w:ascii="Arial" w:hAnsi="Arial" w:cs="Arial"/>
          <w:sz w:val="24"/>
          <w:szCs w:val="24"/>
        </w:rPr>
        <w:t xml:space="preserve"> microplate reader (MARSHALL SCIENTIFIC, HAMPTON, NH, USA). The experiments were carried out in independent triplicates and the results are expressed as mean ± SD. DPPH</w:t>
      </w:r>
      <w:r w:rsidR="00814899" w:rsidRPr="006613AB">
        <w:rPr>
          <w:rFonts w:ascii="Arial" w:hAnsi="Arial" w:cs="Arial"/>
          <w:sz w:val="24"/>
          <w:szCs w:val="24"/>
        </w:rPr>
        <w:t>·</w:t>
      </w:r>
      <w:r w:rsidRPr="004E2810">
        <w:rPr>
          <w:rFonts w:ascii="Arial" w:hAnsi="Arial" w:cs="Arial"/>
          <w:sz w:val="24"/>
          <w:szCs w:val="24"/>
        </w:rPr>
        <w:t xml:space="preserve"> inhibition (%) was calculated using </w:t>
      </w:r>
      <w:r w:rsidRPr="000A68B3">
        <w:rPr>
          <w:rFonts w:ascii="Arial" w:hAnsi="Arial" w:cs="Arial"/>
          <w:b/>
          <w:bCs/>
          <w:sz w:val="24"/>
          <w:szCs w:val="24"/>
        </w:rPr>
        <w:t xml:space="preserve">Equation </w:t>
      </w:r>
      <w:r w:rsidR="000A68B3">
        <w:rPr>
          <w:rFonts w:ascii="Arial" w:hAnsi="Arial" w:cs="Arial"/>
          <w:b/>
          <w:bCs/>
          <w:sz w:val="24"/>
          <w:szCs w:val="24"/>
        </w:rPr>
        <w:t>S</w:t>
      </w:r>
      <w:r w:rsidR="000A68B3" w:rsidRPr="000A68B3">
        <w:rPr>
          <w:rFonts w:ascii="Arial" w:hAnsi="Arial" w:cs="Arial"/>
          <w:b/>
          <w:bCs/>
          <w:sz w:val="24"/>
          <w:szCs w:val="24"/>
        </w:rPr>
        <w:t>4</w:t>
      </w:r>
      <w:r w:rsidRPr="004E2810">
        <w:rPr>
          <w:rFonts w:ascii="Arial" w:hAnsi="Arial" w:cs="Arial"/>
          <w:sz w:val="24"/>
          <w:szCs w:val="24"/>
        </w:rPr>
        <w:t>:</w:t>
      </w:r>
    </w:p>
    <w:p w14:paraId="3C056130" w14:textId="651CAD8F" w:rsidR="000A68B3" w:rsidRPr="00814899" w:rsidRDefault="000A68B3" w:rsidP="00BB0045">
      <w:pPr>
        <w:pStyle w:val="PargrafodaLista"/>
        <w:spacing w:line="360" w:lineRule="auto"/>
        <w:ind w:left="-567"/>
        <w:jc w:val="center"/>
        <w:rPr>
          <w:rFonts w:ascii="Arial" w:eastAsiaTheme="minorEastAsia" w:hAnsi="Arial" w:cs="Arial"/>
          <w:sz w:val="24"/>
          <w:szCs w:val="24"/>
          <w:lang w:val="en-US"/>
        </w:rPr>
      </w:pPr>
      <m:oMath>
        <m:r>
          <w:rPr>
            <w:rFonts w:ascii="Cambria Math" w:hAnsi="Cambria Math" w:cs="Arial"/>
            <w:sz w:val="24"/>
            <w:szCs w:val="24"/>
          </w:rPr>
          <m:t>DPPH</m:t>
        </m:r>
        <m:r>
          <m:rPr>
            <m:sty m:val="p"/>
          </m:rPr>
          <w:rPr>
            <w:rFonts w:ascii="Cambria Math" w:hAnsi="Cambria Math" w:cs="Arial"/>
            <w:sz w:val="24"/>
            <w:szCs w:val="24"/>
          </w:rPr>
          <m:t>·</m:t>
        </m:r>
        <m:r>
          <m:rPr>
            <m:sty m:val="p"/>
          </m:rPr>
          <w:rPr>
            <w:rFonts w:ascii="Cambria Math" w:hAnsi="Arial" w:cs="Arial"/>
            <w:sz w:val="24"/>
            <w:szCs w:val="24"/>
            <w:lang w:val="en-US"/>
          </w:rPr>
          <m:t xml:space="preserve"> </m:t>
        </m:r>
        <m:r>
          <w:rPr>
            <w:rFonts w:ascii="Cambria Math" w:hAnsi="Cambria Math" w:cs="Arial"/>
            <w:sz w:val="24"/>
            <w:szCs w:val="24"/>
          </w:rPr>
          <m:t>in</m:t>
        </m:r>
        <m:r>
          <w:rPr>
            <w:rFonts w:ascii="Cambria Math" w:hAnsi="Cambria Math" w:cs="Arial"/>
            <w:sz w:val="24"/>
            <w:szCs w:val="24"/>
            <w:lang w:val="en-US"/>
          </w:rPr>
          <m:t>h</m:t>
        </m:r>
        <m:r>
          <w:rPr>
            <w:rFonts w:ascii="Cambria Math" w:hAnsi="Cambria Math" w:cs="Arial"/>
            <w:sz w:val="24"/>
            <w:szCs w:val="24"/>
          </w:rPr>
          <m:t>ibition</m:t>
        </m:r>
        <m:r>
          <w:rPr>
            <w:rFonts w:ascii="Cambria Math" w:hAnsi="Cambria Math" w:cs="Arial"/>
            <w:sz w:val="24"/>
            <w:szCs w:val="24"/>
            <w:lang w:val="en-US"/>
          </w:rPr>
          <m:t xml:space="preserve"> (%)= </m:t>
        </m:r>
        <m:d>
          <m:dPr>
            <m:begChr m:val="["/>
            <m:endChr m:val="]"/>
            <m:ctrlPr>
              <w:rPr>
                <w:rFonts w:ascii="Cambria Math" w:hAnsi="Cambria Math" w:cs="Arial"/>
                <w:i/>
                <w:sz w:val="24"/>
                <w:szCs w:val="24"/>
              </w:rPr>
            </m:ctrlPr>
          </m:dPr>
          <m:e>
            <m:r>
              <w:rPr>
                <w:rFonts w:ascii="Cambria Math" w:hAnsi="Cambria Math" w:cs="Arial"/>
                <w:sz w:val="24"/>
                <w:szCs w:val="24"/>
                <w:lang w:val="en-US"/>
              </w:rPr>
              <m:t>1-</m:t>
            </m:r>
            <m:d>
              <m:dPr>
                <m:ctrlPr>
                  <w:rPr>
                    <w:rFonts w:ascii="Cambria Math" w:hAnsi="Cambria Math" w:cs="Arial"/>
                    <w:i/>
                    <w:sz w:val="24"/>
                    <w:szCs w:val="24"/>
                  </w:rPr>
                </m:ctrlPr>
              </m:dPr>
              <m:e>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Abs</m:t>
                        </m:r>
                      </m:e>
                      <m:sub>
                        <m:r>
                          <w:rPr>
                            <w:rFonts w:ascii="Cambria Math" w:hAnsi="Cambria Math" w:cs="Arial"/>
                            <w:sz w:val="24"/>
                            <w:szCs w:val="24"/>
                          </w:rPr>
                          <m:t>sample</m:t>
                        </m:r>
                      </m:sub>
                    </m:sSub>
                    <m:r>
                      <w:rPr>
                        <w:rFonts w:ascii="Cambria Math" w:hAnsi="Cambria Math" w:cs="Arial"/>
                        <w:sz w:val="24"/>
                        <w:szCs w:val="24"/>
                        <w:lang w:val="en-US"/>
                      </w:rPr>
                      <m:t>-</m:t>
                    </m:r>
                    <m:sSub>
                      <m:sSubPr>
                        <m:ctrlPr>
                          <w:rPr>
                            <w:rFonts w:ascii="Cambria Math" w:hAnsi="Cambria Math" w:cs="Arial"/>
                            <w:i/>
                            <w:sz w:val="24"/>
                            <w:szCs w:val="24"/>
                          </w:rPr>
                        </m:ctrlPr>
                      </m:sSubPr>
                      <m:e>
                        <m:r>
                          <w:rPr>
                            <w:rFonts w:ascii="Cambria Math" w:hAnsi="Cambria Math" w:cs="Arial"/>
                            <w:sz w:val="24"/>
                            <w:szCs w:val="24"/>
                          </w:rPr>
                          <m:t>Abs</m:t>
                        </m:r>
                      </m:e>
                      <m:sub>
                        <m:r>
                          <w:rPr>
                            <w:rFonts w:ascii="Cambria Math" w:hAnsi="Cambria Math" w:cs="Arial"/>
                            <w:sz w:val="24"/>
                            <w:szCs w:val="24"/>
                          </w:rPr>
                          <m:t>blank</m:t>
                        </m:r>
                      </m:sub>
                    </m:sSub>
                  </m:num>
                  <m:den>
                    <m:sSub>
                      <m:sSubPr>
                        <m:ctrlPr>
                          <w:rPr>
                            <w:rFonts w:ascii="Cambria Math" w:hAnsi="Cambria Math" w:cs="Arial"/>
                            <w:i/>
                            <w:sz w:val="24"/>
                            <w:szCs w:val="24"/>
                          </w:rPr>
                        </m:ctrlPr>
                      </m:sSubPr>
                      <m:e>
                        <m:r>
                          <w:rPr>
                            <w:rFonts w:ascii="Cambria Math" w:hAnsi="Cambria Math" w:cs="Arial"/>
                            <w:sz w:val="24"/>
                            <w:szCs w:val="24"/>
                          </w:rPr>
                          <m:t>Abs</m:t>
                        </m:r>
                      </m:e>
                      <m:sub>
                        <m:r>
                          <w:rPr>
                            <w:rFonts w:ascii="Cambria Math" w:hAnsi="Cambria Math" w:cs="Arial"/>
                            <w:sz w:val="24"/>
                            <w:szCs w:val="24"/>
                          </w:rPr>
                          <m:t>DPPH</m:t>
                        </m:r>
                      </m:sub>
                    </m:sSub>
                  </m:den>
                </m:f>
              </m:e>
            </m:d>
          </m:e>
        </m:d>
        <m:r>
          <w:rPr>
            <w:rFonts w:ascii="Cambria Math" w:hAnsi="Cambria Math" w:cs="Arial"/>
            <w:sz w:val="24"/>
            <w:szCs w:val="24"/>
            <w:lang w:val="en-US"/>
          </w:rPr>
          <m:t>×100</m:t>
        </m:r>
      </m:oMath>
      <w:r w:rsidRPr="00814899">
        <w:rPr>
          <w:rFonts w:ascii="Arial" w:eastAsiaTheme="minorEastAsia" w:hAnsi="Arial" w:cs="Arial"/>
          <w:sz w:val="24"/>
          <w:szCs w:val="24"/>
          <w:lang w:val="en-US"/>
        </w:rPr>
        <w:t xml:space="preserve">                </w:t>
      </w:r>
      <w:r w:rsidRPr="00814899">
        <w:rPr>
          <w:rFonts w:ascii="Arial" w:eastAsiaTheme="minorEastAsia" w:hAnsi="Arial" w:cs="Arial"/>
          <w:b/>
          <w:bCs/>
          <w:sz w:val="24"/>
          <w:szCs w:val="24"/>
          <w:lang w:val="en-US"/>
        </w:rPr>
        <w:t>(S4)</w:t>
      </w:r>
    </w:p>
    <w:p w14:paraId="62A43821" w14:textId="7F750E93" w:rsidR="004E2810" w:rsidRDefault="000A68B3" w:rsidP="00575D61">
      <w:pPr>
        <w:spacing w:after="0" w:line="360" w:lineRule="auto"/>
        <w:ind w:firstLine="709"/>
        <w:jc w:val="both"/>
        <w:rPr>
          <w:rFonts w:ascii="Arial" w:hAnsi="Arial" w:cs="Arial"/>
          <w:sz w:val="24"/>
          <w:szCs w:val="24"/>
        </w:rPr>
      </w:pPr>
      <w:r w:rsidRPr="000A68B3">
        <w:rPr>
          <w:rFonts w:ascii="Arial" w:hAnsi="Arial" w:cs="Arial"/>
          <w:sz w:val="24"/>
          <w:szCs w:val="24"/>
        </w:rPr>
        <w:t>Where</w:t>
      </w:r>
      <w:r>
        <w:rPr>
          <w:rFonts w:ascii="Arial" w:hAnsi="Arial" w:cs="Arial"/>
          <w:sz w:val="24"/>
          <w:szCs w:val="24"/>
        </w:rPr>
        <w:t>in</w:t>
      </w:r>
      <w:r w:rsidRPr="000A68B3">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Abs</w:t>
      </w:r>
      <w:r w:rsidRPr="000A68B3">
        <w:rPr>
          <w:rFonts w:ascii="Arial" w:hAnsi="Arial" w:cs="Arial"/>
          <w:sz w:val="24"/>
          <w:szCs w:val="24"/>
          <w:vertAlign w:val="subscript"/>
        </w:rPr>
        <w:t>sample</w:t>
      </w:r>
      <w:proofErr w:type="spellEnd"/>
      <w:r>
        <w:rPr>
          <w:rFonts w:ascii="Arial" w:hAnsi="Arial" w:cs="Arial"/>
          <w:sz w:val="24"/>
          <w:szCs w:val="24"/>
        </w:rPr>
        <w:t xml:space="preserve"> is the </w:t>
      </w:r>
      <w:r w:rsidRPr="000A68B3">
        <w:rPr>
          <w:rFonts w:ascii="Arial" w:hAnsi="Arial" w:cs="Arial"/>
          <w:sz w:val="24"/>
          <w:szCs w:val="24"/>
        </w:rPr>
        <w:t>absorbance of the sample</w:t>
      </w:r>
      <w:r>
        <w:rPr>
          <w:rFonts w:ascii="Arial" w:hAnsi="Arial" w:cs="Arial"/>
          <w:sz w:val="24"/>
          <w:szCs w:val="24"/>
        </w:rPr>
        <w:t xml:space="preserve"> solution</w:t>
      </w:r>
      <w:r w:rsidRPr="000A68B3">
        <w:rPr>
          <w:rFonts w:ascii="Arial" w:hAnsi="Arial" w:cs="Arial"/>
          <w:sz w:val="24"/>
          <w:szCs w:val="24"/>
        </w:rPr>
        <w:t xml:space="preserve">; </w:t>
      </w:r>
      <w:proofErr w:type="spellStart"/>
      <w:r>
        <w:rPr>
          <w:rFonts w:ascii="Arial" w:hAnsi="Arial" w:cs="Arial"/>
          <w:sz w:val="24"/>
          <w:szCs w:val="24"/>
        </w:rPr>
        <w:t>Abs</w:t>
      </w:r>
      <w:r>
        <w:rPr>
          <w:rFonts w:ascii="Arial" w:hAnsi="Arial" w:cs="Arial"/>
          <w:sz w:val="24"/>
          <w:szCs w:val="24"/>
          <w:vertAlign w:val="subscript"/>
        </w:rPr>
        <w:t>blank</w:t>
      </w:r>
      <w:proofErr w:type="spellEnd"/>
      <w:r>
        <w:rPr>
          <w:rFonts w:ascii="Arial" w:hAnsi="Arial" w:cs="Arial"/>
          <w:sz w:val="24"/>
          <w:szCs w:val="24"/>
        </w:rPr>
        <w:t xml:space="preserve"> is the </w:t>
      </w:r>
      <w:r w:rsidRPr="000A68B3">
        <w:rPr>
          <w:rFonts w:ascii="Arial" w:hAnsi="Arial" w:cs="Arial"/>
          <w:sz w:val="24"/>
          <w:szCs w:val="24"/>
        </w:rPr>
        <w:t xml:space="preserve">absorbance of the </w:t>
      </w:r>
      <w:r>
        <w:rPr>
          <w:rFonts w:ascii="Arial" w:hAnsi="Arial" w:cs="Arial"/>
          <w:sz w:val="24"/>
          <w:szCs w:val="24"/>
        </w:rPr>
        <w:t>blank solution</w:t>
      </w:r>
      <w:r w:rsidRPr="000A68B3">
        <w:rPr>
          <w:rFonts w:ascii="Arial" w:hAnsi="Arial" w:cs="Arial"/>
          <w:sz w:val="24"/>
          <w:szCs w:val="24"/>
        </w:rPr>
        <w:t>; and</w:t>
      </w:r>
      <w:r>
        <w:rPr>
          <w:rFonts w:ascii="Arial" w:hAnsi="Arial" w:cs="Arial"/>
          <w:sz w:val="24"/>
          <w:szCs w:val="24"/>
        </w:rPr>
        <w:t xml:space="preserve"> </w:t>
      </w:r>
      <w:proofErr w:type="spellStart"/>
      <w:r>
        <w:rPr>
          <w:rFonts w:ascii="Arial" w:hAnsi="Arial" w:cs="Arial"/>
          <w:sz w:val="24"/>
          <w:szCs w:val="24"/>
        </w:rPr>
        <w:t>Abs</w:t>
      </w:r>
      <w:r>
        <w:rPr>
          <w:rFonts w:ascii="Arial" w:hAnsi="Arial" w:cs="Arial"/>
          <w:sz w:val="24"/>
          <w:szCs w:val="24"/>
          <w:vertAlign w:val="subscript"/>
        </w:rPr>
        <w:t>DPPH</w:t>
      </w:r>
      <w:proofErr w:type="spellEnd"/>
      <w:r>
        <w:rPr>
          <w:rFonts w:ascii="Arial" w:hAnsi="Arial" w:cs="Arial"/>
          <w:sz w:val="24"/>
          <w:szCs w:val="24"/>
        </w:rPr>
        <w:t xml:space="preserve"> is the </w:t>
      </w:r>
      <w:r w:rsidRPr="000A68B3">
        <w:rPr>
          <w:rFonts w:ascii="Arial" w:hAnsi="Arial" w:cs="Arial"/>
          <w:sz w:val="24"/>
          <w:szCs w:val="24"/>
        </w:rPr>
        <w:t>absorbance of the DPPH</w:t>
      </w:r>
      <w:r w:rsidR="00814899" w:rsidRPr="006613AB">
        <w:rPr>
          <w:rFonts w:ascii="Arial" w:hAnsi="Arial" w:cs="Arial"/>
          <w:sz w:val="24"/>
          <w:szCs w:val="24"/>
        </w:rPr>
        <w:t>·</w:t>
      </w:r>
      <w:r w:rsidRPr="000A68B3">
        <w:rPr>
          <w:rFonts w:ascii="Arial" w:hAnsi="Arial" w:cs="Arial"/>
          <w:sz w:val="24"/>
          <w:szCs w:val="24"/>
        </w:rPr>
        <w:t xml:space="preserve"> solution. The half-maximal inhibitory concentration, i.e. (IC</w:t>
      </w:r>
      <w:r w:rsidRPr="000A68B3">
        <w:rPr>
          <w:rFonts w:ascii="Arial" w:hAnsi="Arial" w:cs="Arial"/>
          <w:sz w:val="24"/>
          <w:szCs w:val="24"/>
          <w:vertAlign w:val="subscript"/>
        </w:rPr>
        <w:t>50</w:t>
      </w:r>
      <w:r w:rsidRPr="000A68B3">
        <w:rPr>
          <w:rFonts w:ascii="Arial" w:hAnsi="Arial" w:cs="Arial"/>
          <w:sz w:val="24"/>
          <w:szCs w:val="24"/>
        </w:rPr>
        <w:t>), is the concentration of extract capable of decolorizing 50% of the DPPH</w:t>
      </w:r>
      <w:r w:rsidR="00814899" w:rsidRPr="006613AB">
        <w:rPr>
          <w:rFonts w:ascii="Arial" w:hAnsi="Arial" w:cs="Arial"/>
          <w:sz w:val="24"/>
          <w:szCs w:val="24"/>
        </w:rPr>
        <w:t>·</w:t>
      </w:r>
      <w:r w:rsidRPr="000A68B3">
        <w:rPr>
          <w:rFonts w:ascii="Arial" w:hAnsi="Arial" w:cs="Arial"/>
          <w:sz w:val="24"/>
          <w:szCs w:val="24"/>
        </w:rPr>
        <w:t xml:space="preserve"> solution </w:t>
      </w:r>
      <w:r>
        <w:rPr>
          <w:rFonts w:ascii="Arial" w:hAnsi="Arial" w:cs="Arial"/>
          <w:sz w:val="24"/>
          <w:szCs w:val="24"/>
        </w:rPr>
        <w:t xml:space="preserve">was determined </w:t>
      </w:r>
      <w:r w:rsidRPr="000A68B3">
        <w:rPr>
          <w:rFonts w:ascii="Arial" w:hAnsi="Arial" w:cs="Arial"/>
          <w:sz w:val="24"/>
          <w:szCs w:val="24"/>
        </w:rPr>
        <w:t xml:space="preserve">using </w:t>
      </w:r>
      <w:r w:rsidR="00DD3B28">
        <w:rPr>
          <w:rFonts w:ascii="Arial" w:hAnsi="Arial" w:cs="Arial"/>
          <w:sz w:val="24"/>
          <w:szCs w:val="24"/>
        </w:rPr>
        <w:t xml:space="preserve">the </w:t>
      </w:r>
      <w:r>
        <w:rPr>
          <w:rFonts w:ascii="Arial" w:hAnsi="Arial" w:cs="Arial"/>
          <w:sz w:val="24"/>
          <w:szCs w:val="24"/>
        </w:rPr>
        <w:t>probits method based on nonlinear regression</w:t>
      </w:r>
      <w:r w:rsidRPr="000A68B3">
        <w:rPr>
          <w:rFonts w:ascii="Arial" w:hAnsi="Arial" w:cs="Arial"/>
          <w:sz w:val="24"/>
          <w:szCs w:val="24"/>
        </w:rPr>
        <w:t xml:space="preserve"> </w:t>
      </w:r>
      <w:r>
        <w:rPr>
          <w:rFonts w:ascii="Arial" w:hAnsi="Arial" w:cs="Arial"/>
          <w:bCs/>
          <w:sz w:val="24"/>
          <w:szCs w:val="24"/>
          <w:lang w:val="pt-BR"/>
        </w:rPr>
        <w:fldChar w:fldCharType="begin" w:fldLock="1"/>
      </w:r>
      <w:r w:rsidR="00F21F86">
        <w:rPr>
          <w:rFonts w:ascii="Arial" w:hAnsi="Arial" w:cs="Arial"/>
          <w:bCs/>
          <w:sz w:val="24"/>
          <w:szCs w:val="24"/>
        </w:rPr>
        <w:instrText>ADDIN CSL_CITATION {"citationItems":[{"id":"ITEM-1","itemData":{"DOI":"10.1093/aesa/45.4.686","ISSN":"0013-8746","author":[{"dropping-particle":"","family":"Wadley","given":"F M","non-dropping-particle":"","parse-names":false,"suffix":""}],"container-title":"Annals of the Entomological Society of America","id":"ITEM-1","issue":"4","issued":{"date-parts":[["1952","12"]]},"page":"686","title":"Probit Analysis: a Statistical Treatment of the Sigmoid Response Curve","type":"article-journal","volume":"45"},"uris":["http://www.mendeley.com/documents/?uuid=2010a200-ade0-4f95-899c-f9ab0b89415e","http://www.mendeley.com/documents/?uuid=4732e0b0-64bd-431e-b328-9230a92618ab"]}],"mendeley":{"formattedCitation":"[6]","plainTextFormattedCitation":"[6]","previouslyFormattedCitation":"(Wadley, 1952)"},"properties":{"noteIndex":0},"schema":"https://github.com/citation-style-language/schema/raw/master/csl-citation.json"}</w:instrText>
      </w:r>
      <w:r>
        <w:rPr>
          <w:rFonts w:ascii="Arial" w:hAnsi="Arial" w:cs="Arial"/>
          <w:bCs/>
          <w:sz w:val="24"/>
          <w:szCs w:val="24"/>
          <w:lang w:val="pt-BR"/>
        </w:rPr>
        <w:fldChar w:fldCharType="separate"/>
      </w:r>
      <w:r w:rsidR="00F21F86" w:rsidRPr="00F21F86">
        <w:rPr>
          <w:rFonts w:ascii="Arial" w:hAnsi="Arial" w:cs="Arial"/>
          <w:bCs/>
          <w:noProof/>
          <w:sz w:val="24"/>
          <w:szCs w:val="24"/>
        </w:rPr>
        <w:t>[6]</w:t>
      </w:r>
      <w:r>
        <w:rPr>
          <w:rFonts w:ascii="Arial" w:hAnsi="Arial" w:cs="Arial"/>
          <w:bCs/>
          <w:sz w:val="24"/>
          <w:szCs w:val="24"/>
          <w:lang w:val="pt-BR"/>
        </w:rPr>
        <w:fldChar w:fldCharType="end"/>
      </w:r>
      <w:r w:rsidRPr="000A68B3">
        <w:rPr>
          <w:rFonts w:ascii="Arial" w:hAnsi="Arial" w:cs="Arial"/>
          <w:sz w:val="24"/>
          <w:szCs w:val="24"/>
        </w:rPr>
        <w:t>.</w:t>
      </w:r>
    </w:p>
    <w:p w14:paraId="0F85B13D" w14:textId="77777777" w:rsidR="004E2810" w:rsidRPr="00732E79" w:rsidRDefault="004E2810" w:rsidP="00575D61">
      <w:pPr>
        <w:spacing w:after="0" w:line="360" w:lineRule="auto"/>
        <w:jc w:val="both"/>
        <w:rPr>
          <w:rFonts w:ascii="Arial" w:hAnsi="Arial" w:cs="Arial"/>
          <w:sz w:val="24"/>
          <w:szCs w:val="24"/>
        </w:rPr>
      </w:pPr>
    </w:p>
    <w:p w14:paraId="6BD2F061" w14:textId="18581E99" w:rsidR="000A68B3" w:rsidRPr="00732E79" w:rsidRDefault="00732E79" w:rsidP="00575D61">
      <w:pPr>
        <w:pStyle w:val="PargrafodaLista"/>
        <w:numPr>
          <w:ilvl w:val="1"/>
          <w:numId w:val="1"/>
        </w:numPr>
        <w:tabs>
          <w:tab w:val="left" w:pos="142"/>
          <w:tab w:val="left" w:pos="284"/>
          <w:tab w:val="left" w:pos="567"/>
        </w:tabs>
        <w:spacing w:after="0" w:line="360" w:lineRule="auto"/>
        <w:ind w:left="0" w:firstLine="0"/>
        <w:jc w:val="both"/>
        <w:rPr>
          <w:rFonts w:ascii="Arial" w:hAnsi="Arial" w:cs="Arial"/>
          <w:sz w:val="24"/>
          <w:szCs w:val="24"/>
          <w:lang w:val="en-US"/>
        </w:rPr>
      </w:pPr>
      <w:r w:rsidRPr="00732E79">
        <w:rPr>
          <w:rFonts w:ascii="Arial" w:hAnsi="Arial" w:cs="Arial"/>
          <w:sz w:val="24"/>
          <w:szCs w:val="24"/>
          <w:lang w:val="en-US"/>
        </w:rPr>
        <w:t xml:space="preserve">Electrochemical assays </w:t>
      </w:r>
    </w:p>
    <w:p w14:paraId="6002A6A9" w14:textId="015622BA" w:rsidR="00732E79" w:rsidRPr="00732E79" w:rsidRDefault="00335352" w:rsidP="00575D61">
      <w:pPr>
        <w:spacing w:after="0" w:line="360" w:lineRule="auto"/>
        <w:ind w:firstLine="709"/>
        <w:jc w:val="both"/>
        <w:rPr>
          <w:rFonts w:ascii="Arial" w:hAnsi="Arial" w:cs="Arial"/>
          <w:sz w:val="24"/>
          <w:szCs w:val="24"/>
        </w:rPr>
      </w:pPr>
      <w:r>
        <w:rPr>
          <w:rFonts w:ascii="Arial" w:hAnsi="Arial" w:cs="Arial"/>
          <w:sz w:val="24"/>
          <w:szCs w:val="24"/>
        </w:rPr>
        <w:t>E</w:t>
      </w:r>
      <w:r w:rsidR="00732E79">
        <w:rPr>
          <w:rFonts w:ascii="Arial" w:hAnsi="Arial" w:cs="Arial"/>
          <w:sz w:val="24"/>
          <w:szCs w:val="24"/>
        </w:rPr>
        <w:t>valuati</w:t>
      </w:r>
      <w:r>
        <w:rPr>
          <w:rFonts w:ascii="Arial" w:hAnsi="Arial" w:cs="Arial"/>
          <w:sz w:val="24"/>
          <w:szCs w:val="24"/>
        </w:rPr>
        <w:t>ng</w:t>
      </w:r>
      <w:r w:rsidR="00732E79">
        <w:rPr>
          <w:rFonts w:ascii="Arial" w:hAnsi="Arial" w:cs="Arial"/>
          <w:sz w:val="24"/>
          <w:szCs w:val="24"/>
        </w:rPr>
        <w:t xml:space="preserve"> the </w:t>
      </w:r>
      <w:r w:rsidR="00732E79" w:rsidRPr="00732E79">
        <w:rPr>
          <w:rFonts w:ascii="Arial" w:hAnsi="Arial" w:cs="Arial"/>
          <w:sz w:val="24"/>
          <w:szCs w:val="24"/>
        </w:rPr>
        <w:t xml:space="preserve">profile and kinetics of </w:t>
      </w:r>
      <w:proofErr w:type="spellStart"/>
      <w:r w:rsidR="00732E79" w:rsidRPr="00732E79">
        <w:rPr>
          <w:rFonts w:ascii="Arial" w:hAnsi="Arial" w:cs="Arial"/>
          <w:sz w:val="24"/>
          <w:szCs w:val="24"/>
        </w:rPr>
        <w:t>oxirreduction</w:t>
      </w:r>
      <w:proofErr w:type="spellEnd"/>
      <w:r w:rsidR="00732E79" w:rsidRPr="00732E79">
        <w:rPr>
          <w:rFonts w:ascii="Arial" w:hAnsi="Arial" w:cs="Arial"/>
          <w:sz w:val="24"/>
          <w:szCs w:val="24"/>
        </w:rPr>
        <w:t xml:space="preserve"> of </w:t>
      </w:r>
      <w:proofErr w:type="spellStart"/>
      <w:r w:rsidR="00732E79" w:rsidRPr="00732E79">
        <w:rPr>
          <w:rFonts w:ascii="Arial" w:hAnsi="Arial" w:cs="Arial"/>
          <w:sz w:val="24"/>
          <w:szCs w:val="24"/>
        </w:rPr>
        <w:t>SDCi</w:t>
      </w:r>
      <w:proofErr w:type="spellEnd"/>
      <w:r w:rsidR="00732E79" w:rsidRPr="00732E79">
        <w:rPr>
          <w:rFonts w:ascii="Arial" w:hAnsi="Arial" w:cs="Arial"/>
          <w:sz w:val="24"/>
          <w:szCs w:val="24"/>
        </w:rPr>
        <w:t xml:space="preserve"> w</w:t>
      </w:r>
      <w:r>
        <w:rPr>
          <w:rFonts w:ascii="Arial" w:hAnsi="Arial" w:cs="Arial"/>
          <w:sz w:val="24"/>
          <w:szCs w:val="24"/>
        </w:rPr>
        <w:t>as</w:t>
      </w:r>
      <w:r w:rsidR="00732E79" w:rsidRPr="00732E79">
        <w:rPr>
          <w:rFonts w:ascii="Arial" w:hAnsi="Arial" w:cs="Arial"/>
          <w:sz w:val="24"/>
          <w:szCs w:val="24"/>
        </w:rPr>
        <w:t xml:space="preserve"> carried out </w:t>
      </w:r>
      <w:r w:rsidR="00732E79">
        <w:rPr>
          <w:rFonts w:ascii="Arial" w:hAnsi="Arial" w:cs="Arial"/>
          <w:sz w:val="24"/>
          <w:szCs w:val="24"/>
        </w:rPr>
        <w:t>by voltammetry</w:t>
      </w:r>
      <w:r>
        <w:rPr>
          <w:rFonts w:ascii="Arial" w:hAnsi="Arial" w:cs="Arial"/>
          <w:sz w:val="24"/>
          <w:szCs w:val="24"/>
        </w:rPr>
        <w:t xml:space="preserve">. </w:t>
      </w:r>
      <w:r w:rsidRPr="00335352">
        <w:rPr>
          <w:rFonts w:ascii="Arial" w:hAnsi="Arial" w:cs="Arial"/>
          <w:sz w:val="24"/>
          <w:szCs w:val="24"/>
        </w:rPr>
        <w:t xml:space="preserve">The apparatus used was </w:t>
      </w:r>
      <w:r w:rsidR="00DD3B28">
        <w:rPr>
          <w:rFonts w:ascii="Arial" w:hAnsi="Arial" w:cs="Arial"/>
          <w:sz w:val="24"/>
          <w:szCs w:val="24"/>
        </w:rPr>
        <w:t>an</w:t>
      </w:r>
      <w:r w:rsidRPr="00335352">
        <w:rPr>
          <w:rFonts w:ascii="Arial" w:hAnsi="Arial" w:cs="Arial"/>
          <w:sz w:val="24"/>
          <w:szCs w:val="24"/>
        </w:rPr>
        <w:t xml:space="preserve"> MSTAT 300</w:t>
      </w:r>
      <w:r>
        <w:rPr>
          <w:rFonts w:ascii="Arial" w:hAnsi="Arial" w:cs="Arial"/>
          <w:sz w:val="24"/>
          <w:szCs w:val="24"/>
        </w:rPr>
        <w:t xml:space="preserve"> </w:t>
      </w:r>
      <w:proofErr w:type="spellStart"/>
      <w:r>
        <w:rPr>
          <w:rFonts w:ascii="Arial" w:hAnsi="Arial" w:cs="Arial"/>
          <w:sz w:val="24"/>
          <w:szCs w:val="24"/>
        </w:rPr>
        <w:t>bi</w:t>
      </w:r>
      <w:r w:rsidRPr="00335352">
        <w:rPr>
          <w:rFonts w:ascii="Arial" w:hAnsi="Arial" w:cs="Arial"/>
          <w:sz w:val="24"/>
          <w:szCs w:val="24"/>
        </w:rPr>
        <w:t>potentiostat</w:t>
      </w:r>
      <w:proofErr w:type="spellEnd"/>
      <w:r w:rsidRPr="00335352">
        <w:rPr>
          <w:rFonts w:ascii="Arial" w:hAnsi="Arial" w:cs="Arial"/>
          <w:sz w:val="24"/>
          <w:szCs w:val="24"/>
        </w:rPr>
        <w:t>/</w:t>
      </w:r>
      <w:proofErr w:type="spellStart"/>
      <w:r w:rsidRPr="00335352">
        <w:rPr>
          <w:rFonts w:ascii="Arial" w:hAnsi="Arial" w:cs="Arial"/>
          <w:sz w:val="24"/>
          <w:szCs w:val="24"/>
        </w:rPr>
        <w:t>galvanostat</w:t>
      </w:r>
      <w:proofErr w:type="spellEnd"/>
      <w:r w:rsidRPr="00335352">
        <w:rPr>
          <w:rFonts w:ascii="Arial" w:hAnsi="Arial" w:cs="Arial"/>
          <w:sz w:val="24"/>
          <w:szCs w:val="24"/>
        </w:rPr>
        <w:t xml:space="preserve"> (</w:t>
      </w:r>
      <w:proofErr w:type="spellStart"/>
      <w:r w:rsidR="00B54CE1" w:rsidRPr="00B54CE1">
        <w:rPr>
          <w:rFonts w:ascii="Arial" w:hAnsi="Arial" w:cs="Arial"/>
          <w:sz w:val="24"/>
          <w:szCs w:val="24"/>
        </w:rPr>
        <w:t>Metrohm</w:t>
      </w:r>
      <w:proofErr w:type="spellEnd"/>
      <w:r w:rsidR="00B54CE1" w:rsidRPr="00B54CE1">
        <w:rPr>
          <w:rFonts w:ascii="Arial" w:hAnsi="Arial" w:cs="Arial"/>
          <w:sz w:val="24"/>
          <w:szCs w:val="24"/>
        </w:rPr>
        <w:t xml:space="preserve"> </w:t>
      </w:r>
      <w:proofErr w:type="spellStart"/>
      <w:r w:rsidR="00B54CE1" w:rsidRPr="00B54CE1">
        <w:rPr>
          <w:rFonts w:ascii="Arial" w:hAnsi="Arial" w:cs="Arial"/>
          <w:sz w:val="24"/>
          <w:szCs w:val="24"/>
        </w:rPr>
        <w:t>Brasil</w:t>
      </w:r>
      <w:proofErr w:type="spellEnd"/>
      <w:r w:rsidR="00B54CE1" w:rsidRPr="00B54CE1">
        <w:rPr>
          <w:rFonts w:ascii="Arial" w:hAnsi="Arial" w:cs="Arial"/>
          <w:sz w:val="24"/>
          <w:szCs w:val="24"/>
        </w:rPr>
        <w:t xml:space="preserve"> </w:t>
      </w:r>
      <w:proofErr w:type="spellStart"/>
      <w:r w:rsidR="00B54CE1" w:rsidRPr="00B54CE1">
        <w:rPr>
          <w:rFonts w:ascii="Arial" w:hAnsi="Arial" w:cs="Arial"/>
          <w:sz w:val="24"/>
          <w:szCs w:val="24"/>
        </w:rPr>
        <w:t>Instrumentação</w:t>
      </w:r>
      <w:proofErr w:type="spellEnd"/>
      <w:r w:rsidR="00B54CE1" w:rsidRPr="00B54CE1">
        <w:rPr>
          <w:rFonts w:ascii="Arial" w:hAnsi="Arial" w:cs="Arial"/>
          <w:sz w:val="24"/>
          <w:szCs w:val="24"/>
        </w:rPr>
        <w:t xml:space="preserve"> Analítica </w:t>
      </w:r>
      <w:proofErr w:type="spellStart"/>
      <w:r w:rsidR="00B54CE1" w:rsidRPr="00B54CE1">
        <w:rPr>
          <w:rFonts w:ascii="Arial" w:hAnsi="Arial" w:cs="Arial"/>
          <w:sz w:val="24"/>
          <w:szCs w:val="24"/>
        </w:rPr>
        <w:t>Ltda</w:t>
      </w:r>
      <w:proofErr w:type="spellEnd"/>
      <w:r>
        <w:rPr>
          <w:rFonts w:ascii="Arial" w:hAnsi="Arial" w:cs="Arial"/>
          <w:sz w:val="24"/>
          <w:szCs w:val="24"/>
        </w:rPr>
        <w:t xml:space="preserve">, </w:t>
      </w:r>
      <w:proofErr w:type="spellStart"/>
      <w:r>
        <w:rPr>
          <w:rFonts w:ascii="Arial" w:hAnsi="Arial" w:cs="Arial"/>
          <w:sz w:val="24"/>
          <w:szCs w:val="24"/>
        </w:rPr>
        <w:t>Contagem</w:t>
      </w:r>
      <w:proofErr w:type="spellEnd"/>
      <w:r>
        <w:rPr>
          <w:rFonts w:ascii="Arial" w:hAnsi="Arial" w:cs="Arial"/>
          <w:sz w:val="24"/>
          <w:szCs w:val="24"/>
        </w:rPr>
        <w:t>, MG, Brazil</w:t>
      </w:r>
      <w:r w:rsidRPr="00335352">
        <w:rPr>
          <w:rFonts w:ascii="Arial" w:hAnsi="Arial" w:cs="Arial"/>
          <w:sz w:val="24"/>
          <w:szCs w:val="24"/>
        </w:rPr>
        <w:t>) integrated with NOVA 2.1</w:t>
      </w:r>
      <w:r w:rsidRPr="00335352">
        <w:rPr>
          <w:rFonts w:ascii="Arial" w:hAnsi="Arial" w:cs="Arial"/>
          <w:sz w:val="24"/>
          <w:szCs w:val="24"/>
          <w:vertAlign w:val="superscript"/>
        </w:rPr>
        <w:t>®</w:t>
      </w:r>
      <w:r w:rsidRPr="00335352">
        <w:rPr>
          <w:rFonts w:ascii="Arial" w:hAnsi="Arial" w:cs="Arial"/>
          <w:sz w:val="24"/>
          <w:szCs w:val="24"/>
        </w:rPr>
        <w:t xml:space="preserve"> software</w:t>
      </w:r>
      <w:r>
        <w:rPr>
          <w:rFonts w:ascii="Arial" w:hAnsi="Arial" w:cs="Arial"/>
          <w:sz w:val="24"/>
          <w:szCs w:val="24"/>
        </w:rPr>
        <w:t xml:space="preserve">. The equipment comprises </w:t>
      </w:r>
      <w:r w:rsidR="00732E79" w:rsidRPr="00732E79">
        <w:rPr>
          <w:rFonts w:ascii="Arial" w:hAnsi="Arial" w:cs="Arial"/>
          <w:sz w:val="24"/>
          <w:szCs w:val="24"/>
        </w:rPr>
        <w:t xml:space="preserve">a 3 mL </w:t>
      </w:r>
      <w:proofErr w:type="spellStart"/>
      <w:r w:rsidR="00732E79" w:rsidRPr="00732E79">
        <w:rPr>
          <w:rFonts w:ascii="Arial" w:hAnsi="Arial" w:cs="Arial"/>
          <w:sz w:val="24"/>
          <w:szCs w:val="24"/>
        </w:rPr>
        <w:t>monocompartmental</w:t>
      </w:r>
      <w:proofErr w:type="spellEnd"/>
      <w:r w:rsidR="00732E79" w:rsidRPr="00732E79">
        <w:rPr>
          <w:rFonts w:ascii="Arial" w:hAnsi="Arial" w:cs="Arial"/>
          <w:sz w:val="24"/>
          <w:szCs w:val="24"/>
        </w:rPr>
        <w:t xml:space="preserve"> electrochemical cell</w:t>
      </w:r>
      <w:r>
        <w:rPr>
          <w:rFonts w:ascii="Arial" w:hAnsi="Arial" w:cs="Arial"/>
          <w:sz w:val="24"/>
          <w:szCs w:val="24"/>
        </w:rPr>
        <w:t xml:space="preserve"> and </w:t>
      </w:r>
      <w:r w:rsidR="00732E79" w:rsidRPr="00732E79">
        <w:rPr>
          <w:rFonts w:ascii="Arial" w:hAnsi="Arial" w:cs="Arial"/>
          <w:sz w:val="24"/>
          <w:szCs w:val="24"/>
        </w:rPr>
        <w:t>a three-electrode system consisting of a carbon paste electrode as the working electrode, a platinum (Pt) wire as the counter electrode and the Silver/Silver Chloride/Saturated Potassium Chloride (Ag/AgCl/</w:t>
      </w:r>
      <w:proofErr w:type="spellStart"/>
      <w:r w:rsidR="00732E79" w:rsidRPr="00732E79">
        <w:rPr>
          <w:rFonts w:ascii="Arial" w:hAnsi="Arial" w:cs="Arial"/>
          <w:sz w:val="24"/>
          <w:szCs w:val="24"/>
        </w:rPr>
        <w:t>KClsat</w:t>
      </w:r>
      <w:proofErr w:type="spellEnd"/>
      <w:r w:rsidR="00732E79" w:rsidRPr="00732E79">
        <w:rPr>
          <w:rFonts w:ascii="Arial" w:hAnsi="Arial" w:cs="Arial"/>
          <w:sz w:val="24"/>
          <w:szCs w:val="24"/>
        </w:rPr>
        <w:t>) electrode as the reference electrode</w:t>
      </w:r>
      <w:r w:rsidR="00B54CE1">
        <w:rPr>
          <w:rFonts w:ascii="Arial" w:hAnsi="Arial" w:cs="Arial"/>
          <w:sz w:val="24"/>
          <w:szCs w:val="24"/>
        </w:rPr>
        <w:t>.</w:t>
      </w:r>
    </w:p>
    <w:p w14:paraId="24AE7B5A" w14:textId="0DF9CC9F" w:rsidR="004E2810" w:rsidRDefault="00732E79" w:rsidP="00575D61">
      <w:pPr>
        <w:spacing w:after="0" w:line="360" w:lineRule="auto"/>
        <w:ind w:firstLine="709"/>
        <w:jc w:val="both"/>
        <w:rPr>
          <w:rFonts w:ascii="Arial" w:hAnsi="Arial" w:cs="Arial"/>
          <w:sz w:val="24"/>
          <w:szCs w:val="24"/>
        </w:rPr>
      </w:pPr>
      <w:r w:rsidRPr="00732E79">
        <w:rPr>
          <w:rFonts w:ascii="Arial" w:hAnsi="Arial" w:cs="Arial"/>
          <w:sz w:val="24"/>
          <w:szCs w:val="24"/>
        </w:rPr>
        <w:t xml:space="preserve">Before each reading, </w:t>
      </w:r>
      <w:r w:rsidR="00335352">
        <w:rPr>
          <w:rFonts w:ascii="Arial" w:hAnsi="Arial" w:cs="Arial"/>
          <w:sz w:val="24"/>
          <w:szCs w:val="24"/>
        </w:rPr>
        <w:t>five</w:t>
      </w:r>
      <w:r w:rsidRPr="00732E79">
        <w:rPr>
          <w:rFonts w:ascii="Arial" w:hAnsi="Arial" w:cs="Arial"/>
          <w:sz w:val="24"/>
          <w:szCs w:val="24"/>
        </w:rPr>
        <w:t xml:space="preserve"> Cyclic Voltammetry (CV) cycles were performed to activate the surface of the working electrode at a scan rate of 100 mV</w:t>
      </w:r>
      <w:r>
        <w:rPr>
          <w:rFonts w:ascii="Arial" w:hAnsi="Arial" w:cs="Arial"/>
          <w:sz w:val="24"/>
          <w:szCs w:val="24"/>
        </w:rPr>
        <w:t>/</w:t>
      </w:r>
      <w:r w:rsidRPr="00732E79">
        <w:rPr>
          <w:rFonts w:ascii="Arial" w:hAnsi="Arial" w:cs="Arial"/>
          <w:sz w:val="24"/>
          <w:szCs w:val="24"/>
        </w:rPr>
        <w:t xml:space="preserve">s. The experimental conditions for Differential Pulse Voltammetry (DPV) included a pulse of 2.6 mV, a scan rate of 10 mV/s and a potential range of 0.1 to 1.0 V; while Square Wave Voltammetry (SWV) used a pulse and frequency of 25 Hz, a scan rate of 50 mV/s and a potential range of 0 to 1.0 V. Both </w:t>
      </w:r>
      <w:proofErr w:type="spellStart"/>
      <w:r w:rsidR="00DD3B28">
        <w:rPr>
          <w:rFonts w:ascii="Arial" w:hAnsi="Arial" w:cs="Arial"/>
          <w:sz w:val="24"/>
          <w:szCs w:val="24"/>
        </w:rPr>
        <w:t>voltammetric</w:t>
      </w:r>
      <w:proofErr w:type="spellEnd"/>
      <w:r w:rsidRPr="00732E79">
        <w:rPr>
          <w:rFonts w:ascii="Arial" w:hAnsi="Arial" w:cs="Arial"/>
          <w:sz w:val="24"/>
          <w:szCs w:val="24"/>
        </w:rPr>
        <w:t xml:space="preserve"> tests were carried out with a pulse amplitude of 50 mV, using phosphate buffer solution (pH 7.0</w:t>
      </w:r>
      <w:r w:rsidR="00B54CE1">
        <w:rPr>
          <w:rFonts w:ascii="Arial" w:hAnsi="Arial" w:cs="Arial"/>
          <w:sz w:val="24"/>
          <w:szCs w:val="24"/>
        </w:rPr>
        <w:t>)</w:t>
      </w:r>
      <w:r w:rsidRPr="00732E79">
        <w:rPr>
          <w:rFonts w:ascii="Arial" w:hAnsi="Arial" w:cs="Arial"/>
          <w:sz w:val="24"/>
          <w:szCs w:val="24"/>
        </w:rPr>
        <w:t xml:space="preserve"> as the electrolyte solution. The </w:t>
      </w:r>
      <w:proofErr w:type="spellStart"/>
      <w:r w:rsidR="00B54CE1">
        <w:rPr>
          <w:rFonts w:ascii="Arial" w:hAnsi="Arial" w:cs="Arial"/>
          <w:sz w:val="24"/>
          <w:szCs w:val="24"/>
        </w:rPr>
        <w:t>SDCi</w:t>
      </w:r>
      <w:proofErr w:type="spellEnd"/>
      <w:r w:rsidR="00B54CE1">
        <w:rPr>
          <w:rFonts w:ascii="Arial" w:hAnsi="Arial" w:cs="Arial"/>
          <w:sz w:val="24"/>
          <w:szCs w:val="24"/>
        </w:rPr>
        <w:t xml:space="preserve"> was</w:t>
      </w:r>
      <w:r w:rsidRPr="00732E79">
        <w:rPr>
          <w:rFonts w:ascii="Arial" w:hAnsi="Arial" w:cs="Arial"/>
          <w:sz w:val="24"/>
          <w:szCs w:val="24"/>
        </w:rPr>
        <w:t xml:space="preserve"> solubilized in water at 1% (w/v)</w:t>
      </w:r>
      <w:r>
        <w:rPr>
          <w:rFonts w:ascii="Arial" w:hAnsi="Arial" w:cs="Arial"/>
          <w:sz w:val="24"/>
          <w:szCs w:val="24"/>
        </w:rPr>
        <w:t>.</w:t>
      </w:r>
    </w:p>
    <w:p w14:paraId="036B066D" w14:textId="444919F6" w:rsidR="00732E79" w:rsidRDefault="00732E79" w:rsidP="00575D61">
      <w:pPr>
        <w:spacing w:after="0" w:line="360" w:lineRule="auto"/>
        <w:ind w:firstLine="709"/>
        <w:jc w:val="both"/>
        <w:rPr>
          <w:rFonts w:ascii="Arial" w:hAnsi="Arial" w:cs="Arial"/>
          <w:sz w:val="24"/>
          <w:szCs w:val="24"/>
        </w:rPr>
      </w:pPr>
      <w:r w:rsidRPr="00732E79">
        <w:rPr>
          <w:rFonts w:ascii="Arial" w:hAnsi="Arial" w:cs="Arial"/>
          <w:sz w:val="24"/>
          <w:szCs w:val="24"/>
        </w:rPr>
        <w:t>The data generated was analyzed and processed using Origin 8</w:t>
      </w:r>
      <w:r w:rsidRPr="00B54CE1">
        <w:rPr>
          <w:rFonts w:ascii="Arial" w:hAnsi="Arial" w:cs="Arial"/>
          <w:sz w:val="24"/>
          <w:szCs w:val="24"/>
          <w:vertAlign w:val="superscript"/>
        </w:rPr>
        <w:t>®</w:t>
      </w:r>
      <w:r w:rsidRPr="00732E79">
        <w:rPr>
          <w:rFonts w:ascii="Arial" w:hAnsi="Arial" w:cs="Arial"/>
          <w:sz w:val="24"/>
          <w:szCs w:val="24"/>
        </w:rPr>
        <w:t xml:space="preserve"> software (</w:t>
      </w:r>
      <w:proofErr w:type="spellStart"/>
      <w:r w:rsidRPr="00732E79">
        <w:rPr>
          <w:rFonts w:ascii="Arial" w:hAnsi="Arial" w:cs="Arial"/>
          <w:sz w:val="24"/>
          <w:szCs w:val="24"/>
        </w:rPr>
        <w:t>OriginLab</w:t>
      </w:r>
      <w:proofErr w:type="spellEnd"/>
      <w:r w:rsidRPr="00732E79">
        <w:rPr>
          <w:rFonts w:ascii="Arial" w:hAnsi="Arial" w:cs="Arial"/>
          <w:sz w:val="24"/>
          <w:szCs w:val="24"/>
        </w:rPr>
        <w:t xml:space="preserve">, Northampton, Massachusetts, USA), which enabled the voltammograms to be drawn up. The electrochemical index (EI) </w:t>
      </w:r>
      <w:r w:rsidR="00B54CE1">
        <w:rPr>
          <w:rFonts w:ascii="Arial" w:hAnsi="Arial" w:cs="Arial"/>
          <w:sz w:val="24"/>
          <w:szCs w:val="24"/>
        </w:rPr>
        <w:t>was determined by summing</w:t>
      </w:r>
      <w:r w:rsidRPr="00732E79">
        <w:rPr>
          <w:rFonts w:ascii="Arial" w:hAnsi="Arial" w:cs="Arial"/>
          <w:sz w:val="24"/>
          <w:szCs w:val="24"/>
        </w:rPr>
        <w:t xml:space="preserve"> the ratios between the anodic peak current (</w:t>
      </w:r>
      <w:proofErr w:type="spellStart"/>
      <w:r w:rsidRPr="00732E79">
        <w:rPr>
          <w:rFonts w:ascii="Arial" w:hAnsi="Arial" w:cs="Arial"/>
          <w:sz w:val="24"/>
          <w:szCs w:val="24"/>
        </w:rPr>
        <w:t>Ipa</w:t>
      </w:r>
      <w:proofErr w:type="spellEnd"/>
      <w:r w:rsidRPr="00732E79">
        <w:rPr>
          <w:rFonts w:ascii="Arial" w:hAnsi="Arial" w:cs="Arial"/>
          <w:sz w:val="24"/>
          <w:szCs w:val="24"/>
        </w:rPr>
        <w:t>) and the anodic peak potential (</w:t>
      </w:r>
      <w:proofErr w:type="spellStart"/>
      <w:r w:rsidRPr="00732E79">
        <w:rPr>
          <w:rFonts w:ascii="Arial" w:hAnsi="Arial" w:cs="Arial"/>
          <w:sz w:val="24"/>
          <w:szCs w:val="24"/>
        </w:rPr>
        <w:t>Epa</w:t>
      </w:r>
      <w:proofErr w:type="spellEnd"/>
      <w:r w:rsidRPr="00732E79">
        <w:rPr>
          <w:rFonts w:ascii="Arial" w:hAnsi="Arial" w:cs="Arial"/>
          <w:sz w:val="24"/>
          <w:szCs w:val="24"/>
        </w:rPr>
        <w:t xml:space="preserve">) of the peaks that appear </w:t>
      </w:r>
      <w:r w:rsidRPr="00732E79">
        <w:rPr>
          <w:rFonts w:ascii="Arial" w:hAnsi="Arial" w:cs="Arial"/>
          <w:sz w:val="24"/>
          <w:szCs w:val="24"/>
        </w:rPr>
        <w:lastRenderedPageBreak/>
        <w:t xml:space="preserve">in the </w:t>
      </w:r>
      <w:r w:rsidR="00B54CE1" w:rsidRPr="00732E79">
        <w:rPr>
          <w:rFonts w:ascii="Arial" w:hAnsi="Arial" w:cs="Arial"/>
          <w:sz w:val="24"/>
          <w:szCs w:val="24"/>
        </w:rPr>
        <w:t>D</w:t>
      </w:r>
      <w:r w:rsidRPr="00732E79">
        <w:rPr>
          <w:rFonts w:ascii="Arial" w:hAnsi="Arial" w:cs="Arial"/>
          <w:sz w:val="24"/>
          <w:szCs w:val="24"/>
        </w:rPr>
        <w:t>P</w:t>
      </w:r>
      <w:r w:rsidR="00B54CE1" w:rsidRPr="00732E79">
        <w:rPr>
          <w:rFonts w:ascii="Arial" w:hAnsi="Arial" w:cs="Arial"/>
          <w:sz w:val="24"/>
          <w:szCs w:val="24"/>
        </w:rPr>
        <w:t>V</w:t>
      </w:r>
      <w:r w:rsidRPr="00732E79">
        <w:rPr>
          <w:rFonts w:ascii="Arial" w:hAnsi="Arial" w:cs="Arial"/>
          <w:sz w:val="24"/>
          <w:szCs w:val="24"/>
        </w:rPr>
        <w:t xml:space="preserve"> analysis </w:t>
      </w:r>
      <w:r w:rsidR="00B54CE1">
        <w:rPr>
          <w:rFonts w:ascii="Arial" w:hAnsi="Arial" w:cs="Arial"/>
          <w:sz w:val="24"/>
          <w:szCs w:val="24"/>
          <w:lang w:val="pt-BR"/>
        </w:rPr>
        <w:fldChar w:fldCharType="begin" w:fldLock="1"/>
      </w:r>
      <w:r w:rsidR="00F21F86">
        <w:rPr>
          <w:rFonts w:ascii="Arial" w:hAnsi="Arial" w:cs="Arial"/>
          <w:sz w:val="24"/>
          <w:szCs w:val="24"/>
        </w:rPr>
        <w:instrText>ADDIN CSL_CITATION {"citationItems":[{"id":"ITEM-1","itemData":{"DOI":"10.1016/j.bjp.2018.04.004","ISSN":"0102695X","abstract":"The prevention of chronic and degenerative diseases, is a health concern deeply associated with oxidative stress. Such progressive phenomena can be avoided through exogenous antioxidant intake, which set up a reductant cascade, mopping up damaging free radicals. Medicinal herbs are commonly associated with high antioxidant potential, and hence their health benefits. The commerce of dried herbal extracts movements a big portion of developing countries economy. The determination of medicinal herbs the antioxidant activity capacity is of utmost importance. The assessment of antioxidant activity in phytotherapics is mostly achieved by spectrophotometric assays, however colored substances can produce interferences that do not occur in electroanalytical methods. Therefore, the aim of this paper is to compare spectrophotometric and voltammetric techniques to evaluate antioxidant activity in herbal drugs such as: Ginkgo biloba L., Camellia sinensis (L.) Kuntze, Theaceae; Hypericum perforatum L., Hypericaceae; Aesculus hippocastanum L., Sapindaceae; Rosmarinus officinalis L., Lamiaceae; Morinda citrifolia L., Rubiaceae; Centella asiatica (L.) Urb., Apiaceae; Trifolium pratense L., Fabaceae; Crataegus oxyacantha L., Rosaceae; and Vaccinium macrocarpon Aiton, Ericaceae. The spectrophotometric methods employed were DPPH (2,2-diphenyl-1-picrylhydrazyl), ABTS (2,2′-azino-bis (3-ethylbenzothiazoline-6-sulfonic acid) and the Folin-Ciocalteu assays. The electroanalytical method used was voltammetry and it was developed a phenoloxidase based biosensor. The redox behavior observed for each herbal sample resulted in distinguishable voltammetric profiles. The highest electrochemical indexes were found to G. biloba and H. perforatum, corroborating to traditional spectrophotometric methods. Thus, the electroanalysis of herbal drugs, may be a promising tool for antioxidant potential assessment.","author":[{"dropping-particle":"","family":"Leite","given":"Karla Carneiro de Siqueira","non-dropping-particle":"","parse-names":false,"suffix":""},{"dropping-particle":"","family":"Garcia","given":"Luane Ferreira","non-dropping-particle":"","parse-names":false,"suffix":""},{"dropping-particle":"","family":"Lobón","given":"German Sanz","non-dropping-particle":"","parse-names":false,"suffix":""},{"dropping-particle":"","family":"Thomaz","given":"Douglas Vieira","non-dropping-particle":"","parse-names":false,"suffix":""},{"dropping-particle":"","family":"Moreno","given":"Emily Kussmaul Gonçalves","non-dropping-particle":"","parse-names":false,"suffix":""},{"dropping-particle":"de","family":"Carvalho","given":"Murilo Ferreira","non-dropping-particle":"","parse-names":false,"suffix":""},{"dropping-particle":"","family":"Rocha","given":"Matheus Lavorenti","non-dropping-particle":"","parse-names":false,"suffix":""},{"dropping-particle":"dos","family":"Santos","given":"Wallans Torres Pio","non-dropping-particle":"","parse-names":false,"suffix":""},{"dropping-particle":"","family":"Gil","given":"Eric de Souza","non-dropping-particle":"","parse-names":false,"suffix":""}],"container-title":"Brazilian Journal of Pharmacognosy","id":"ITEM-1","issue":"3","issued":{"date-parts":[["2018","5"]]},"page":"325-332","publisher":"Elsevier","title":"Antioxidant activity evaluation of dried herbal extracts: an electroanalytical approach","type":"article-journal","volume":"28"},"uris":["http://www.mendeley.com/documents/?uuid=2c8f0ce7-df99-45bb-b52f-330e3389efef"]}],"mendeley":{"formattedCitation":"[7]","plainTextFormattedCitation":"[7]","previouslyFormattedCitation":"(Leite et al., 2018)"},"properties":{"noteIndex":0},"schema":"https://github.com/citation-style-language/schema/raw/master/csl-citation.json"}</w:instrText>
      </w:r>
      <w:r w:rsidR="00B54CE1">
        <w:rPr>
          <w:rFonts w:ascii="Arial" w:hAnsi="Arial" w:cs="Arial"/>
          <w:sz w:val="24"/>
          <w:szCs w:val="24"/>
          <w:lang w:val="pt-BR"/>
        </w:rPr>
        <w:fldChar w:fldCharType="separate"/>
      </w:r>
      <w:r w:rsidR="00F21F86" w:rsidRPr="00F21F86">
        <w:rPr>
          <w:rFonts w:ascii="Arial" w:hAnsi="Arial" w:cs="Arial"/>
          <w:noProof/>
          <w:sz w:val="24"/>
          <w:szCs w:val="24"/>
        </w:rPr>
        <w:t>[7]</w:t>
      </w:r>
      <w:r w:rsidR="00B54CE1">
        <w:rPr>
          <w:rFonts w:ascii="Arial" w:hAnsi="Arial" w:cs="Arial"/>
          <w:sz w:val="24"/>
          <w:szCs w:val="24"/>
          <w:lang w:val="pt-BR"/>
        </w:rPr>
        <w:fldChar w:fldCharType="end"/>
      </w:r>
      <w:r w:rsidRPr="00732E79">
        <w:rPr>
          <w:rFonts w:ascii="Arial" w:hAnsi="Arial" w:cs="Arial"/>
          <w:sz w:val="24"/>
          <w:szCs w:val="24"/>
        </w:rPr>
        <w:t xml:space="preserve">. It should be noted that the lower the </w:t>
      </w:r>
      <w:proofErr w:type="spellStart"/>
      <w:r w:rsidRPr="00732E79">
        <w:rPr>
          <w:rFonts w:ascii="Arial" w:hAnsi="Arial" w:cs="Arial"/>
          <w:sz w:val="24"/>
          <w:szCs w:val="24"/>
        </w:rPr>
        <w:t>Epa</w:t>
      </w:r>
      <w:proofErr w:type="spellEnd"/>
      <w:r w:rsidRPr="00732E79">
        <w:rPr>
          <w:rFonts w:ascii="Arial" w:hAnsi="Arial" w:cs="Arial"/>
          <w:sz w:val="24"/>
          <w:szCs w:val="24"/>
        </w:rPr>
        <w:t xml:space="preserve">, the greater the electron donor capacity, and the higher the </w:t>
      </w:r>
      <w:proofErr w:type="spellStart"/>
      <w:r w:rsidRPr="00732E79">
        <w:rPr>
          <w:rFonts w:ascii="Arial" w:hAnsi="Arial" w:cs="Arial"/>
          <w:sz w:val="24"/>
          <w:szCs w:val="24"/>
        </w:rPr>
        <w:t>Ipa</w:t>
      </w:r>
      <w:proofErr w:type="spellEnd"/>
      <w:r w:rsidRPr="00732E79">
        <w:rPr>
          <w:rFonts w:ascii="Arial" w:hAnsi="Arial" w:cs="Arial"/>
          <w:sz w:val="24"/>
          <w:szCs w:val="24"/>
        </w:rPr>
        <w:t xml:space="preserve">, the greater the amount of electroactive species </w:t>
      </w:r>
      <w:r w:rsidR="00B54CE1">
        <w:rPr>
          <w:rFonts w:ascii="Arial" w:hAnsi="Arial" w:cs="Arial"/>
          <w:sz w:val="24"/>
          <w:szCs w:val="24"/>
          <w:lang w:val="pt-BR"/>
        </w:rPr>
        <w:fldChar w:fldCharType="begin" w:fldLock="1"/>
      </w:r>
      <w:r w:rsidR="00F21F86">
        <w:rPr>
          <w:rFonts w:ascii="Arial" w:hAnsi="Arial" w:cs="Arial"/>
          <w:sz w:val="24"/>
          <w:szCs w:val="24"/>
        </w:rPr>
        <w:instrText>ADDIN CSL_CITATION {"citationItems":[{"id":"ITEM-1","itemData":{"DOI":"10.1016/j.bjp.2018.04.004","ISSN":"0102695X","abstract":"The prevention of chronic and degenerative diseases, is a health concern deeply associated with oxidative stress. Such progressive phenomena can be avoided through exogenous antioxidant intake, which set up a reductant cascade, mopping up damaging free radicals. Medicinal herbs are commonly associated with high antioxidant potential, and hence their health benefits. The commerce of dried herbal extracts movements a big portion of developing countries economy. The determination of medicinal herbs the antioxidant activity capacity is of utmost importance. The assessment of antioxidant activity in phytotherapics is mostly achieved by spectrophotometric assays, however colored substances can produce interferences that do not occur in electroanalytical methods. Therefore, the aim of this paper is to compare spectrophotometric and voltammetric techniques to evaluate antioxidant activity in herbal drugs such as: Ginkgo biloba L., Camellia sinensis (L.) Kuntze, Theaceae; Hypericum perforatum L., Hypericaceae; Aesculus hippocastanum L., Sapindaceae; Rosmarinus officinalis L., Lamiaceae; Morinda citrifolia L., Rubiaceae; Centella asiatica (L.) Urb., Apiaceae; Trifolium pratense L., Fabaceae; Crataegus oxyacantha L., Rosaceae; and Vaccinium macrocarpon Aiton, Ericaceae. The spectrophotometric methods employed were DPPH (2,2-diphenyl-1-picrylhydrazyl), ABTS (2,2′-azino-bis (3-ethylbenzothiazoline-6-sulfonic acid) and the Folin-Ciocalteu assays. The electroanalytical method used was voltammetry and it was developed a phenoloxidase based biosensor. The redox behavior observed for each herbal sample resulted in distinguishable voltammetric profiles. The highest electrochemical indexes were found to G. biloba and H. perforatum, corroborating to traditional spectrophotometric methods. Thus, the electroanalysis of herbal drugs, may be a promising tool for antioxidant potential assessment.","author":[{"dropping-particle":"","family":"Leite","given":"Karla Carneiro de Siqueira","non-dropping-particle":"","parse-names":false,"suffix":""},{"dropping-particle":"","family":"Garcia","given":"Luane Ferreira","non-dropping-particle":"","parse-names":false,"suffix":""},{"dropping-particle":"","family":"Lobón","given":"German Sanz","non-dropping-particle":"","parse-names":false,"suffix":""},{"dropping-particle":"","family":"Thomaz","given":"Douglas Vieira","non-dropping-particle":"","parse-names":false,"suffix":""},{"dropping-particle":"","family":"Moreno","given":"Emily Kussmaul Gonçalves","non-dropping-particle":"","parse-names":false,"suffix":""},{"dropping-particle":"de","family":"Carvalho","given":"Murilo Ferreira","non-dropping-particle":"","parse-names":false,"suffix":""},{"dropping-particle":"","family":"Rocha","given":"Matheus Lavorenti","non-dropping-particle":"","parse-names":false,"suffix":""},{"dropping-particle":"dos","family":"Santos","given":"Wallans Torres Pio","non-dropping-particle":"","parse-names":false,"suffix":""},{"dropping-particle":"","family":"Gil","given":"Eric de Souza","non-dropping-particle":"","parse-names":false,"suffix":""}],"container-title":"Brazilian Journal of Pharmacognosy","id":"ITEM-1","issue":"3","issued":{"date-parts":[["2018","5"]]},"page":"325-332","publisher":"Elsevier","title":"Antioxidant activity evaluation of dried herbal extracts: an electroanalytical approach","type":"article-journal","volume":"28"},"uris":["http://www.mendeley.com/documents/?uuid=2c8f0ce7-df99-45bb-b52f-330e3389efef"]}],"mendeley":{"formattedCitation":"[7]","plainTextFormattedCitation":"[7]","previouslyFormattedCitation":"(Leite et al., 2018)"},"properties":{"noteIndex":0},"schema":"https://github.com/citation-style-language/schema/raw/master/csl-citation.json"}</w:instrText>
      </w:r>
      <w:r w:rsidR="00B54CE1">
        <w:rPr>
          <w:rFonts w:ascii="Arial" w:hAnsi="Arial" w:cs="Arial"/>
          <w:sz w:val="24"/>
          <w:szCs w:val="24"/>
          <w:lang w:val="pt-BR"/>
        </w:rPr>
        <w:fldChar w:fldCharType="separate"/>
      </w:r>
      <w:r w:rsidR="00F21F86" w:rsidRPr="00F21F86">
        <w:rPr>
          <w:rFonts w:ascii="Arial" w:hAnsi="Arial" w:cs="Arial"/>
          <w:noProof/>
          <w:sz w:val="24"/>
          <w:szCs w:val="24"/>
        </w:rPr>
        <w:t>[7]</w:t>
      </w:r>
      <w:r w:rsidR="00B54CE1">
        <w:rPr>
          <w:rFonts w:ascii="Arial" w:hAnsi="Arial" w:cs="Arial"/>
          <w:sz w:val="24"/>
          <w:szCs w:val="24"/>
          <w:lang w:val="pt-BR"/>
        </w:rPr>
        <w:fldChar w:fldCharType="end"/>
      </w:r>
      <w:r w:rsidRPr="00732E79">
        <w:rPr>
          <w:rFonts w:ascii="Arial" w:hAnsi="Arial" w:cs="Arial"/>
          <w:sz w:val="24"/>
          <w:szCs w:val="24"/>
        </w:rPr>
        <w:t>.</w:t>
      </w:r>
    </w:p>
    <w:p w14:paraId="004C24E2" w14:textId="77777777" w:rsidR="004E2810" w:rsidRPr="004E2810" w:rsidRDefault="004E2810" w:rsidP="00575D61">
      <w:pPr>
        <w:spacing w:after="0" w:line="360" w:lineRule="auto"/>
        <w:ind w:firstLine="360"/>
        <w:jc w:val="both"/>
        <w:rPr>
          <w:rFonts w:ascii="Arial" w:hAnsi="Arial" w:cs="Arial"/>
          <w:sz w:val="24"/>
          <w:szCs w:val="24"/>
        </w:rPr>
      </w:pPr>
    </w:p>
    <w:p w14:paraId="061B1C23" w14:textId="0FC4F42C" w:rsidR="003426EA" w:rsidRPr="00FA0083" w:rsidRDefault="003426EA" w:rsidP="00575D61">
      <w:pPr>
        <w:spacing w:after="0" w:line="360" w:lineRule="auto"/>
        <w:jc w:val="both"/>
        <w:rPr>
          <w:rFonts w:ascii="Arial" w:eastAsia="Times New Roman" w:hAnsi="Arial" w:cs="Arial"/>
          <w:b/>
          <w:bCs/>
          <w:sz w:val="24"/>
          <w:szCs w:val="24"/>
        </w:rPr>
      </w:pPr>
      <w:proofErr w:type="spellStart"/>
      <w:r w:rsidRPr="00FA0083">
        <w:rPr>
          <w:rFonts w:ascii="Arial" w:eastAsia="Times New Roman" w:hAnsi="Arial" w:cs="Arial"/>
          <w:b/>
          <w:sz w:val="24"/>
          <w:szCs w:val="24"/>
        </w:rPr>
        <w:t>Figura</w:t>
      </w:r>
      <w:proofErr w:type="spellEnd"/>
      <w:r w:rsidRPr="00FA0083">
        <w:rPr>
          <w:rFonts w:ascii="Arial" w:eastAsia="Times New Roman" w:hAnsi="Arial" w:cs="Arial"/>
          <w:b/>
          <w:sz w:val="24"/>
          <w:szCs w:val="24"/>
        </w:rPr>
        <w:t xml:space="preserve"> S1.</w:t>
      </w:r>
      <w:r w:rsidRPr="00FA0083">
        <w:rPr>
          <w:rFonts w:ascii="Arial" w:eastAsia="Times New Roman" w:hAnsi="Arial" w:cs="Arial"/>
          <w:sz w:val="24"/>
          <w:szCs w:val="24"/>
        </w:rPr>
        <w:t xml:space="preserve"> Chromatographic and spectral profiles of the spray-dried </w:t>
      </w:r>
      <w:r w:rsidRPr="00FA0083">
        <w:rPr>
          <w:rFonts w:ascii="Arial" w:eastAsia="Times New Roman" w:hAnsi="Arial" w:cs="Arial"/>
          <w:i/>
          <w:iCs/>
          <w:sz w:val="24"/>
          <w:szCs w:val="24"/>
        </w:rPr>
        <w:t xml:space="preserve">Celtis </w:t>
      </w:r>
      <w:proofErr w:type="spellStart"/>
      <w:r w:rsidRPr="00FA0083">
        <w:rPr>
          <w:rFonts w:ascii="Arial" w:eastAsia="Times New Roman" w:hAnsi="Arial" w:cs="Arial"/>
          <w:i/>
          <w:iCs/>
          <w:sz w:val="24"/>
          <w:szCs w:val="24"/>
        </w:rPr>
        <w:t>iguanae</w:t>
      </w:r>
      <w:r w:rsidRPr="00FA0083">
        <w:rPr>
          <w:rFonts w:ascii="Arial" w:eastAsia="Times New Roman" w:hAnsi="Arial" w:cs="Arial"/>
          <w:sz w:val="24"/>
          <w:szCs w:val="24"/>
        </w:rPr>
        <w:t>a</w:t>
      </w:r>
      <w:proofErr w:type="spellEnd"/>
      <w:r w:rsidRPr="00FA0083">
        <w:rPr>
          <w:rFonts w:ascii="Arial" w:eastAsia="Times New Roman" w:hAnsi="Arial" w:cs="Arial"/>
          <w:sz w:val="24"/>
          <w:szCs w:val="24"/>
        </w:rPr>
        <w:t xml:space="preserve"> hydroethanolic leaf extract (</w:t>
      </w:r>
      <w:proofErr w:type="spellStart"/>
      <w:r w:rsidRPr="00FA0083">
        <w:rPr>
          <w:rFonts w:ascii="Arial" w:eastAsia="Times New Roman" w:hAnsi="Arial" w:cs="Arial"/>
          <w:sz w:val="24"/>
          <w:szCs w:val="24"/>
        </w:rPr>
        <w:t>SDCi</w:t>
      </w:r>
      <w:proofErr w:type="spellEnd"/>
      <w:r w:rsidRPr="00FA0083">
        <w:rPr>
          <w:rFonts w:ascii="Arial" w:eastAsia="Times New Roman" w:hAnsi="Arial" w:cs="Arial"/>
          <w:sz w:val="24"/>
          <w:szCs w:val="24"/>
        </w:rPr>
        <w:t>)</w:t>
      </w:r>
    </w:p>
    <w:p w14:paraId="59132755" w14:textId="77777777" w:rsidR="003426EA" w:rsidRPr="00FA0083" w:rsidRDefault="003426EA" w:rsidP="00575D61">
      <w:pPr>
        <w:spacing w:after="0" w:line="360" w:lineRule="auto"/>
        <w:jc w:val="both"/>
        <w:rPr>
          <w:rFonts w:ascii="Arial" w:eastAsia="Times New Roman" w:hAnsi="Arial" w:cs="Arial"/>
          <w:iCs/>
          <w:sz w:val="24"/>
          <w:szCs w:val="24"/>
        </w:rPr>
      </w:pPr>
      <w:r w:rsidRPr="00FA0083">
        <w:rPr>
          <w:rFonts w:ascii="Arial" w:hAnsi="Arial" w:cs="Arial"/>
          <w:noProof/>
          <w:lang w:eastAsia="pt-BR"/>
        </w:rPr>
        <w:drawing>
          <wp:inline distT="0" distB="0" distL="0" distR="0" wp14:anchorId="6C3EE501" wp14:editId="43E4534B">
            <wp:extent cx="5762625" cy="2082800"/>
            <wp:effectExtent l="0" t="0" r="9525" b="0"/>
            <wp:docPr id="337443388"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2625" cy="2082800"/>
                    </a:xfrm>
                    <a:prstGeom prst="rect">
                      <a:avLst/>
                    </a:prstGeom>
                    <a:noFill/>
                    <a:ln>
                      <a:noFill/>
                    </a:ln>
                  </pic:spPr>
                </pic:pic>
              </a:graphicData>
            </a:graphic>
          </wp:inline>
        </w:drawing>
      </w:r>
    </w:p>
    <w:p w14:paraId="13A3986C" w14:textId="1AC9D21D" w:rsidR="003426EA" w:rsidRPr="00FA0083" w:rsidRDefault="003426EA" w:rsidP="00575D61">
      <w:pPr>
        <w:spacing w:after="0" w:line="360" w:lineRule="auto"/>
        <w:jc w:val="both"/>
        <w:rPr>
          <w:rFonts w:ascii="Arial" w:hAnsi="Arial" w:cs="Arial"/>
          <w:sz w:val="24"/>
          <w:szCs w:val="24"/>
        </w:rPr>
      </w:pPr>
      <w:r w:rsidRPr="00FA0083">
        <w:rPr>
          <w:rFonts w:ascii="Arial" w:eastAsia="Times New Roman" w:hAnsi="Arial" w:cs="Arial"/>
          <w:iCs/>
          <w:sz w:val="24"/>
          <w:szCs w:val="24"/>
        </w:rPr>
        <w:t xml:space="preserve">Mobile phase: ultrapure water acidified with 0.1% (v/v) formic acid (solvent A) and acetonitrile (solvent B). Injection volume 4 </w:t>
      </w:r>
      <w:proofErr w:type="spellStart"/>
      <w:r w:rsidRPr="00FA0083">
        <w:rPr>
          <w:rFonts w:ascii="Arial" w:eastAsia="Times New Roman" w:hAnsi="Arial" w:cs="Arial"/>
          <w:iCs/>
          <w:sz w:val="24"/>
          <w:szCs w:val="24"/>
        </w:rPr>
        <w:t>μL</w:t>
      </w:r>
      <w:proofErr w:type="spellEnd"/>
      <w:r w:rsidRPr="00FA0083">
        <w:rPr>
          <w:rFonts w:ascii="Arial" w:eastAsia="Times New Roman" w:hAnsi="Arial" w:cs="Arial"/>
          <w:iCs/>
          <w:sz w:val="24"/>
          <w:szCs w:val="24"/>
        </w:rPr>
        <w:t xml:space="preserve">; gradient elution mode (0-2 min - 3% B; 2-25 min - 3-25% B; 25-40 min - 25-80% B; 40-43 min - 80% B); flow rate 0.3 µL/min; C18 reverse phase column (150 mm x 2.2 mm, 2.6 </w:t>
      </w:r>
      <w:proofErr w:type="spellStart"/>
      <w:r w:rsidRPr="00FA0083">
        <w:rPr>
          <w:rFonts w:ascii="Arial" w:eastAsia="Times New Roman" w:hAnsi="Arial" w:cs="Arial"/>
          <w:iCs/>
          <w:sz w:val="24"/>
          <w:szCs w:val="24"/>
        </w:rPr>
        <w:t>μm</w:t>
      </w:r>
      <w:proofErr w:type="spellEnd"/>
      <w:r w:rsidRPr="00FA0083">
        <w:rPr>
          <w:rFonts w:ascii="Arial" w:eastAsia="Times New Roman" w:hAnsi="Arial" w:cs="Arial"/>
          <w:iCs/>
          <w:sz w:val="24"/>
          <w:szCs w:val="24"/>
        </w:rPr>
        <w:t>, 100Å) maintained at 50oC; Detection: 240-800 nm and in positive and negative ion modes (m/z 120-1200 and collision energy 45-65 V). * Contaminants/solvent clusters appearing in the analyses</w:t>
      </w:r>
    </w:p>
    <w:p w14:paraId="3495EA90" w14:textId="77777777" w:rsidR="003426EA" w:rsidRPr="00FA0083" w:rsidRDefault="003426EA" w:rsidP="00575D61">
      <w:pPr>
        <w:spacing w:after="0" w:line="360" w:lineRule="auto"/>
        <w:jc w:val="both"/>
        <w:rPr>
          <w:rFonts w:ascii="Arial" w:hAnsi="Arial" w:cs="Arial"/>
          <w:sz w:val="24"/>
          <w:szCs w:val="24"/>
        </w:rPr>
      </w:pPr>
    </w:p>
    <w:p w14:paraId="36A39AFC" w14:textId="0E4EC936" w:rsidR="003426EA" w:rsidRPr="00FA0083" w:rsidRDefault="003426EA" w:rsidP="00575D61">
      <w:pPr>
        <w:pBdr>
          <w:top w:val="nil"/>
          <w:left w:val="nil"/>
          <w:bottom w:val="nil"/>
          <w:right w:val="nil"/>
          <w:between w:val="nil"/>
        </w:pBdr>
        <w:spacing w:after="0" w:line="360" w:lineRule="auto"/>
        <w:jc w:val="both"/>
        <w:rPr>
          <w:rFonts w:ascii="Arial" w:eastAsia="Times New Roman" w:hAnsi="Arial" w:cs="Arial"/>
          <w:color w:val="000000"/>
          <w:sz w:val="24"/>
          <w:szCs w:val="24"/>
        </w:rPr>
      </w:pPr>
      <w:r w:rsidRPr="00FA0083">
        <w:rPr>
          <w:rFonts w:ascii="Arial" w:eastAsia="Times New Roman" w:hAnsi="Arial" w:cs="Arial"/>
          <w:b/>
          <w:bCs/>
          <w:color w:val="000000"/>
          <w:sz w:val="24"/>
          <w:szCs w:val="24"/>
        </w:rPr>
        <w:t>Figure S2.</w:t>
      </w:r>
      <w:r w:rsidRPr="00FA0083">
        <w:rPr>
          <w:rFonts w:ascii="Arial" w:eastAsia="Times New Roman" w:hAnsi="Arial" w:cs="Arial"/>
          <w:color w:val="000000"/>
          <w:sz w:val="24"/>
          <w:szCs w:val="24"/>
        </w:rPr>
        <w:t xml:space="preserve"> Differential pulse (a) and square wave (b) voltammograms of the spray-dried </w:t>
      </w:r>
      <w:r w:rsidRPr="00FA0083">
        <w:rPr>
          <w:rFonts w:ascii="Arial" w:eastAsia="Times New Roman" w:hAnsi="Arial" w:cs="Arial"/>
          <w:i/>
          <w:iCs/>
          <w:color w:val="000000"/>
          <w:sz w:val="24"/>
          <w:szCs w:val="24"/>
        </w:rPr>
        <w:t xml:space="preserve">Celtis </w:t>
      </w:r>
      <w:proofErr w:type="spellStart"/>
      <w:r w:rsidRPr="00FA0083">
        <w:rPr>
          <w:rFonts w:ascii="Arial" w:eastAsia="Times New Roman" w:hAnsi="Arial" w:cs="Arial"/>
          <w:i/>
          <w:iCs/>
          <w:color w:val="000000"/>
          <w:sz w:val="24"/>
          <w:szCs w:val="24"/>
        </w:rPr>
        <w:t>iguanaea</w:t>
      </w:r>
      <w:proofErr w:type="spellEnd"/>
      <w:r w:rsidRPr="00FA0083">
        <w:rPr>
          <w:rFonts w:ascii="Arial" w:eastAsia="Times New Roman" w:hAnsi="Arial" w:cs="Arial"/>
          <w:color w:val="000000"/>
          <w:sz w:val="24"/>
          <w:szCs w:val="24"/>
        </w:rPr>
        <w:t xml:space="preserve"> extract</w:t>
      </w:r>
    </w:p>
    <w:p w14:paraId="3D7D8AAA" w14:textId="77777777" w:rsidR="003426EA" w:rsidRPr="00FA0083" w:rsidRDefault="003426EA" w:rsidP="00575D61">
      <w:pPr>
        <w:pBdr>
          <w:top w:val="nil"/>
          <w:left w:val="nil"/>
          <w:bottom w:val="nil"/>
          <w:right w:val="nil"/>
          <w:between w:val="nil"/>
        </w:pBdr>
        <w:spacing w:after="0" w:line="360" w:lineRule="auto"/>
        <w:jc w:val="both"/>
        <w:rPr>
          <w:rFonts w:ascii="Arial" w:eastAsia="Times New Roman" w:hAnsi="Arial" w:cs="Arial"/>
          <w:color w:val="000000"/>
          <w:sz w:val="24"/>
          <w:szCs w:val="24"/>
        </w:rPr>
      </w:pPr>
      <w:r w:rsidRPr="00FA0083">
        <w:rPr>
          <w:rFonts w:ascii="Arial" w:eastAsia="Times New Roman" w:hAnsi="Arial" w:cs="Arial"/>
          <w:noProof/>
          <w:color w:val="000000"/>
          <w:sz w:val="24"/>
          <w:szCs w:val="24"/>
          <w:lang w:eastAsia="pt-BR"/>
        </w:rPr>
        <w:drawing>
          <wp:inline distT="0" distB="0" distL="0" distR="0" wp14:anchorId="143D82CA" wp14:editId="16CF297F">
            <wp:extent cx="5218430" cy="1810385"/>
            <wp:effectExtent l="0" t="0" r="1270" b="0"/>
            <wp:docPr id="114990864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8430" cy="1810385"/>
                    </a:xfrm>
                    <a:prstGeom prst="rect">
                      <a:avLst/>
                    </a:prstGeom>
                    <a:noFill/>
                  </pic:spPr>
                </pic:pic>
              </a:graphicData>
            </a:graphic>
          </wp:inline>
        </w:drawing>
      </w:r>
    </w:p>
    <w:p w14:paraId="258EE06E" w14:textId="0C89C203" w:rsidR="003426EA" w:rsidRPr="00FA0083" w:rsidRDefault="003426EA" w:rsidP="00575D61">
      <w:pPr>
        <w:spacing w:after="0" w:line="360" w:lineRule="auto"/>
        <w:jc w:val="both"/>
        <w:rPr>
          <w:rFonts w:ascii="Arial" w:hAnsi="Arial" w:cs="Arial"/>
          <w:b/>
          <w:bCs/>
          <w:sz w:val="24"/>
          <w:szCs w:val="24"/>
        </w:rPr>
      </w:pPr>
      <w:r w:rsidRPr="00FA0083">
        <w:rPr>
          <w:rFonts w:ascii="Arial" w:hAnsi="Arial" w:cs="Arial"/>
          <w:b/>
          <w:bCs/>
          <w:sz w:val="24"/>
          <w:szCs w:val="24"/>
        </w:rPr>
        <w:t>References</w:t>
      </w:r>
    </w:p>
    <w:p w14:paraId="30487D94" w14:textId="090242DA" w:rsidR="00F21F86" w:rsidRPr="00F21F86" w:rsidRDefault="003426EA" w:rsidP="00F21F86">
      <w:pPr>
        <w:widowControl w:val="0"/>
        <w:autoSpaceDE w:val="0"/>
        <w:autoSpaceDN w:val="0"/>
        <w:adjustRightInd w:val="0"/>
        <w:spacing w:after="0" w:line="360" w:lineRule="auto"/>
        <w:ind w:left="640" w:hanging="640"/>
        <w:rPr>
          <w:rFonts w:ascii="Arial" w:hAnsi="Arial" w:cs="Arial"/>
          <w:noProof/>
          <w:kern w:val="0"/>
          <w:sz w:val="24"/>
        </w:rPr>
      </w:pPr>
      <w:r w:rsidRPr="00FA0083">
        <w:rPr>
          <w:rFonts w:ascii="Arial" w:hAnsi="Arial" w:cs="Arial"/>
          <w:sz w:val="24"/>
          <w:szCs w:val="24"/>
        </w:rPr>
        <w:fldChar w:fldCharType="begin" w:fldLock="1"/>
      </w:r>
      <w:r w:rsidRPr="00FA0083">
        <w:rPr>
          <w:rFonts w:ascii="Arial" w:hAnsi="Arial" w:cs="Arial"/>
          <w:sz w:val="24"/>
          <w:szCs w:val="24"/>
        </w:rPr>
        <w:instrText xml:space="preserve">ADDIN Mendeley Bibliography CSL_BIBLIOGRAPHY </w:instrText>
      </w:r>
      <w:r w:rsidRPr="00FA0083">
        <w:rPr>
          <w:rFonts w:ascii="Arial" w:hAnsi="Arial" w:cs="Arial"/>
          <w:sz w:val="24"/>
          <w:szCs w:val="24"/>
        </w:rPr>
        <w:fldChar w:fldCharType="separate"/>
      </w:r>
      <w:r w:rsidR="00F21F86" w:rsidRPr="00F21F86">
        <w:rPr>
          <w:rFonts w:ascii="Arial" w:hAnsi="Arial" w:cs="Arial"/>
          <w:noProof/>
          <w:kern w:val="0"/>
          <w:sz w:val="24"/>
        </w:rPr>
        <w:t xml:space="preserve">1. </w:t>
      </w:r>
      <w:r w:rsidR="00F21F86" w:rsidRPr="00F21F86">
        <w:rPr>
          <w:rFonts w:ascii="Arial" w:hAnsi="Arial" w:cs="Arial"/>
          <w:noProof/>
          <w:kern w:val="0"/>
          <w:sz w:val="24"/>
        </w:rPr>
        <w:tab/>
        <w:t xml:space="preserve">Singleton, V.L.; Orthofer, R.; Lamuela-Raventós, R.M. Analysis of Total Phenols and Other Oxidation Substrates and Antioxidants by Means of Folin-Ciocalteu Reagent. </w:t>
      </w:r>
      <w:r w:rsidR="00F21F86" w:rsidRPr="00F21F86">
        <w:rPr>
          <w:rFonts w:ascii="Arial" w:hAnsi="Arial" w:cs="Arial"/>
          <w:i/>
          <w:iCs/>
          <w:noProof/>
          <w:kern w:val="0"/>
          <w:sz w:val="24"/>
        </w:rPr>
        <w:t>Methods Enzymol.</w:t>
      </w:r>
      <w:r w:rsidR="00F21F86" w:rsidRPr="00F21F86">
        <w:rPr>
          <w:rFonts w:ascii="Arial" w:hAnsi="Arial" w:cs="Arial"/>
          <w:noProof/>
          <w:kern w:val="0"/>
          <w:sz w:val="24"/>
        </w:rPr>
        <w:t xml:space="preserve"> </w:t>
      </w:r>
      <w:r w:rsidR="00F21F86" w:rsidRPr="00F21F86">
        <w:rPr>
          <w:rFonts w:ascii="Arial" w:hAnsi="Arial" w:cs="Arial"/>
          <w:b/>
          <w:bCs/>
          <w:noProof/>
          <w:kern w:val="0"/>
          <w:sz w:val="24"/>
        </w:rPr>
        <w:t>1999</w:t>
      </w:r>
      <w:r w:rsidR="00F21F86" w:rsidRPr="00F21F86">
        <w:rPr>
          <w:rFonts w:ascii="Arial" w:hAnsi="Arial" w:cs="Arial"/>
          <w:noProof/>
          <w:kern w:val="0"/>
          <w:sz w:val="24"/>
        </w:rPr>
        <w:t xml:space="preserve">, </w:t>
      </w:r>
      <w:r w:rsidR="00F21F86" w:rsidRPr="00F21F86">
        <w:rPr>
          <w:rFonts w:ascii="Arial" w:hAnsi="Arial" w:cs="Arial"/>
          <w:i/>
          <w:iCs/>
          <w:noProof/>
          <w:kern w:val="0"/>
          <w:sz w:val="24"/>
        </w:rPr>
        <w:t>299</w:t>
      </w:r>
      <w:r w:rsidR="00F21F86" w:rsidRPr="00F21F86">
        <w:rPr>
          <w:rFonts w:ascii="Arial" w:hAnsi="Arial" w:cs="Arial"/>
          <w:noProof/>
          <w:kern w:val="0"/>
          <w:sz w:val="24"/>
        </w:rPr>
        <w:t>, 152–178, doi:10.1016/S0076-6879(99)99017-1.</w:t>
      </w:r>
    </w:p>
    <w:p w14:paraId="68065960" w14:textId="77777777" w:rsidR="00F21F86" w:rsidRPr="00F21F86" w:rsidRDefault="00F21F86" w:rsidP="00F21F86">
      <w:pPr>
        <w:widowControl w:val="0"/>
        <w:autoSpaceDE w:val="0"/>
        <w:autoSpaceDN w:val="0"/>
        <w:adjustRightInd w:val="0"/>
        <w:spacing w:after="0" w:line="360" w:lineRule="auto"/>
        <w:ind w:left="640" w:hanging="640"/>
        <w:rPr>
          <w:rFonts w:ascii="Arial" w:hAnsi="Arial" w:cs="Arial"/>
          <w:noProof/>
          <w:kern w:val="0"/>
          <w:sz w:val="24"/>
        </w:rPr>
      </w:pPr>
      <w:r w:rsidRPr="00F21F86">
        <w:rPr>
          <w:rFonts w:ascii="Arial" w:hAnsi="Arial" w:cs="Arial"/>
          <w:noProof/>
          <w:kern w:val="0"/>
          <w:sz w:val="24"/>
        </w:rPr>
        <w:t xml:space="preserve">2. </w:t>
      </w:r>
      <w:r w:rsidRPr="00F21F86">
        <w:rPr>
          <w:rFonts w:ascii="Arial" w:hAnsi="Arial" w:cs="Arial"/>
          <w:noProof/>
          <w:kern w:val="0"/>
          <w:sz w:val="24"/>
        </w:rPr>
        <w:tab/>
        <w:t xml:space="preserve">Kosalec, I.; Pepeljnjak, S.; Bakmaz, M.; Vladimir-Knezević, S. Flavonoid Analysis and Antimicrobial Activity of Commercially Available Propolis  Products. </w:t>
      </w:r>
      <w:r w:rsidRPr="00F21F86">
        <w:rPr>
          <w:rFonts w:ascii="Arial" w:hAnsi="Arial" w:cs="Arial"/>
          <w:i/>
          <w:iCs/>
          <w:noProof/>
          <w:kern w:val="0"/>
          <w:sz w:val="24"/>
        </w:rPr>
        <w:t>Acta Pharm.</w:t>
      </w:r>
      <w:r w:rsidRPr="00F21F86">
        <w:rPr>
          <w:rFonts w:ascii="Arial" w:hAnsi="Arial" w:cs="Arial"/>
          <w:noProof/>
          <w:kern w:val="0"/>
          <w:sz w:val="24"/>
        </w:rPr>
        <w:t xml:space="preserve"> </w:t>
      </w:r>
      <w:r w:rsidRPr="00F21F86">
        <w:rPr>
          <w:rFonts w:ascii="Arial" w:hAnsi="Arial" w:cs="Arial"/>
          <w:b/>
          <w:bCs/>
          <w:noProof/>
          <w:kern w:val="0"/>
          <w:sz w:val="24"/>
        </w:rPr>
        <w:t>2005</w:t>
      </w:r>
      <w:r w:rsidRPr="00F21F86">
        <w:rPr>
          <w:rFonts w:ascii="Arial" w:hAnsi="Arial" w:cs="Arial"/>
          <w:noProof/>
          <w:kern w:val="0"/>
          <w:sz w:val="24"/>
        </w:rPr>
        <w:t xml:space="preserve">, </w:t>
      </w:r>
      <w:r w:rsidRPr="00F21F86">
        <w:rPr>
          <w:rFonts w:ascii="Arial" w:hAnsi="Arial" w:cs="Arial"/>
          <w:i/>
          <w:iCs/>
          <w:noProof/>
          <w:kern w:val="0"/>
          <w:sz w:val="24"/>
        </w:rPr>
        <w:t>55</w:t>
      </w:r>
      <w:r w:rsidRPr="00F21F86">
        <w:rPr>
          <w:rFonts w:ascii="Arial" w:hAnsi="Arial" w:cs="Arial"/>
          <w:noProof/>
          <w:kern w:val="0"/>
          <w:sz w:val="24"/>
        </w:rPr>
        <w:t>, 423–430.</w:t>
      </w:r>
    </w:p>
    <w:p w14:paraId="569FA412" w14:textId="77777777" w:rsidR="00F21F86" w:rsidRPr="00F21F86" w:rsidRDefault="00F21F86" w:rsidP="00F21F86">
      <w:pPr>
        <w:widowControl w:val="0"/>
        <w:autoSpaceDE w:val="0"/>
        <w:autoSpaceDN w:val="0"/>
        <w:adjustRightInd w:val="0"/>
        <w:spacing w:after="0" w:line="360" w:lineRule="auto"/>
        <w:ind w:left="640" w:hanging="640"/>
        <w:rPr>
          <w:rFonts w:ascii="Arial" w:hAnsi="Arial" w:cs="Arial"/>
          <w:noProof/>
          <w:kern w:val="0"/>
          <w:sz w:val="24"/>
        </w:rPr>
      </w:pPr>
      <w:r w:rsidRPr="00F21F86">
        <w:rPr>
          <w:rFonts w:ascii="Arial" w:hAnsi="Arial" w:cs="Arial"/>
          <w:noProof/>
          <w:kern w:val="0"/>
          <w:sz w:val="24"/>
        </w:rPr>
        <w:lastRenderedPageBreak/>
        <w:t xml:space="preserve">3. </w:t>
      </w:r>
      <w:r w:rsidRPr="00F21F86">
        <w:rPr>
          <w:rFonts w:ascii="Arial" w:hAnsi="Arial" w:cs="Arial"/>
          <w:noProof/>
          <w:kern w:val="0"/>
          <w:sz w:val="24"/>
        </w:rPr>
        <w:tab/>
        <w:t xml:space="preserve">Araújo, L.B.D.C.; Silva, S.L.; Galvão, M.A.M.; Ferreira, M.R.A.; Araújo, E.L.; Randau, K.P.; Soares, L.A.L. Total Phytosterol Content in Drug Materials and Extracts from Roots of Acanthospermum Hispidum by UV-VIS Spectrophotometry. </w:t>
      </w:r>
      <w:r w:rsidRPr="00F21F86">
        <w:rPr>
          <w:rFonts w:ascii="Arial" w:hAnsi="Arial" w:cs="Arial"/>
          <w:i/>
          <w:iCs/>
          <w:noProof/>
          <w:kern w:val="0"/>
          <w:sz w:val="24"/>
        </w:rPr>
        <w:t>Rev. Bras. Farmacogn.</w:t>
      </w:r>
      <w:r w:rsidRPr="00F21F86">
        <w:rPr>
          <w:rFonts w:ascii="Arial" w:hAnsi="Arial" w:cs="Arial"/>
          <w:noProof/>
          <w:kern w:val="0"/>
          <w:sz w:val="24"/>
        </w:rPr>
        <w:t xml:space="preserve"> </w:t>
      </w:r>
      <w:r w:rsidRPr="00F21F86">
        <w:rPr>
          <w:rFonts w:ascii="Arial" w:hAnsi="Arial" w:cs="Arial"/>
          <w:b/>
          <w:bCs/>
          <w:noProof/>
          <w:kern w:val="0"/>
          <w:sz w:val="24"/>
        </w:rPr>
        <w:t>2013</w:t>
      </w:r>
      <w:r w:rsidRPr="00F21F86">
        <w:rPr>
          <w:rFonts w:ascii="Arial" w:hAnsi="Arial" w:cs="Arial"/>
          <w:noProof/>
          <w:kern w:val="0"/>
          <w:sz w:val="24"/>
        </w:rPr>
        <w:t xml:space="preserve">, </w:t>
      </w:r>
      <w:r w:rsidRPr="00F21F86">
        <w:rPr>
          <w:rFonts w:ascii="Arial" w:hAnsi="Arial" w:cs="Arial"/>
          <w:i/>
          <w:iCs/>
          <w:noProof/>
          <w:kern w:val="0"/>
          <w:sz w:val="24"/>
        </w:rPr>
        <w:t>23</w:t>
      </w:r>
      <w:r w:rsidRPr="00F21F86">
        <w:rPr>
          <w:rFonts w:ascii="Arial" w:hAnsi="Arial" w:cs="Arial"/>
          <w:noProof/>
          <w:kern w:val="0"/>
          <w:sz w:val="24"/>
        </w:rPr>
        <w:t>, 736–742, doi:10.1590/S0102-695X2013000500004.</w:t>
      </w:r>
    </w:p>
    <w:p w14:paraId="45662B78" w14:textId="77777777" w:rsidR="00F21F86" w:rsidRPr="00F21F86" w:rsidRDefault="00F21F86" w:rsidP="00F21F86">
      <w:pPr>
        <w:widowControl w:val="0"/>
        <w:autoSpaceDE w:val="0"/>
        <w:autoSpaceDN w:val="0"/>
        <w:adjustRightInd w:val="0"/>
        <w:spacing w:after="0" w:line="360" w:lineRule="auto"/>
        <w:ind w:left="640" w:hanging="640"/>
        <w:rPr>
          <w:rFonts w:ascii="Arial" w:hAnsi="Arial" w:cs="Arial"/>
          <w:noProof/>
          <w:kern w:val="0"/>
          <w:sz w:val="24"/>
        </w:rPr>
      </w:pPr>
      <w:r w:rsidRPr="00F21F86">
        <w:rPr>
          <w:rFonts w:ascii="Arial" w:hAnsi="Arial" w:cs="Arial"/>
          <w:noProof/>
          <w:kern w:val="0"/>
          <w:sz w:val="24"/>
        </w:rPr>
        <w:t xml:space="preserve">4. </w:t>
      </w:r>
      <w:r w:rsidRPr="00F21F86">
        <w:rPr>
          <w:rFonts w:ascii="Arial" w:hAnsi="Arial" w:cs="Arial"/>
          <w:noProof/>
          <w:kern w:val="0"/>
          <w:sz w:val="24"/>
        </w:rPr>
        <w:tab/>
        <w:t xml:space="preserve">Brand-Williams, W.; Cuvelier, M.E.; Berset, C. Use of a Free Radical Method to Evaluate Antioxidant Activity. </w:t>
      </w:r>
      <w:r w:rsidRPr="00F21F86">
        <w:rPr>
          <w:rFonts w:ascii="Arial" w:hAnsi="Arial" w:cs="Arial"/>
          <w:i/>
          <w:iCs/>
          <w:noProof/>
          <w:kern w:val="0"/>
          <w:sz w:val="24"/>
        </w:rPr>
        <w:t>LWT - Food Sci. Technol.</w:t>
      </w:r>
      <w:r w:rsidRPr="00F21F86">
        <w:rPr>
          <w:rFonts w:ascii="Arial" w:hAnsi="Arial" w:cs="Arial"/>
          <w:noProof/>
          <w:kern w:val="0"/>
          <w:sz w:val="24"/>
        </w:rPr>
        <w:t xml:space="preserve"> 1995, </w:t>
      </w:r>
      <w:r w:rsidRPr="00F21F86">
        <w:rPr>
          <w:rFonts w:ascii="Arial" w:hAnsi="Arial" w:cs="Arial"/>
          <w:i/>
          <w:iCs/>
          <w:noProof/>
          <w:kern w:val="0"/>
          <w:sz w:val="24"/>
        </w:rPr>
        <w:t>28</w:t>
      </w:r>
      <w:r w:rsidRPr="00F21F86">
        <w:rPr>
          <w:rFonts w:ascii="Arial" w:hAnsi="Arial" w:cs="Arial"/>
          <w:noProof/>
          <w:kern w:val="0"/>
          <w:sz w:val="24"/>
        </w:rPr>
        <w:t>, 25–30.</w:t>
      </w:r>
    </w:p>
    <w:p w14:paraId="7B9E67C4" w14:textId="77777777" w:rsidR="00F21F86" w:rsidRPr="00F21F86" w:rsidRDefault="00F21F86" w:rsidP="00F21F86">
      <w:pPr>
        <w:widowControl w:val="0"/>
        <w:autoSpaceDE w:val="0"/>
        <w:autoSpaceDN w:val="0"/>
        <w:adjustRightInd w:val="0"/>
        <w:spacing w:after="0" w:line="360" w:lineRule="auto"/>
        <w:ind w:left="640" w:hanging="640"/>
        <w:rPr>
          <w:rFonts w:ascii="Arial" w:hAnsi="Arial" w:cs="Arial"/>
          <w:noProof/>
          <w:kern w:val="0"/>
          <w:sz w:val="24"/>
        </w:rPr>
      </w:pPr>
      <w:r w:rsidRPr="00F21F86">
        <w:rPr>
          <w:rFonts w:ascii="Arial" w:hAnsi="Arial" w:cs="Arial"/>
          <w:noProof/>
          <w:kern w:val="0"/>
          <w:sz w:val="24"/>
        </w:rPr>
        <w:t xml:space="preserve">5. </w:t>
      </w:r>
      <w:r w:rsidRPr="00F21F86">
        <w:rPr>
          <w:rFonts w:ascii="Arial" w:hAnsi="Arial" w:cs="Arial"/>
          <w:noProof/>
          <w:kern w:val="0"/>
          <w:sz w:val="24"/>
        </w:rPr>
        <w:tab/>
        <w:t xml:space="preserve">Araújo, S.G.; Pinto, M.E.A.; Silva, N.L.; Santos, F.J.L. dos; Castro, A.H.F.; Lima, L.A.R. dos S. Atividades Antioxidante e Alelopática Do Extrato e Frações Obtidos de Rosmarinus Officinalis. </w:t>
      </w:r>
      <w:r w:rsidRPr="00F21F86">
        <w:rPr>
          <w:rFonts w:ascii="Arial" w:hAnsi="Arial" w:cs="Arial"/>
          <w:i/>
          <w:iCs/>
          <w:noProof/>
          <w:kern w:val="0"/>
          <w:sz w:val="24"/>
        </w:rPr>
        <w:t>BBR - Biochem. Biotechnol. Reports</w:t>
      </w:r>
      <w:r w:rsidRPr="00F21F86">
        <w:rPr>
          <w:rFonts w:ascii="Arial" w:hAnsi="Arial" w:cs="Arial"/>
          <w:noProof/>
          <w:kern w:val="0"/>
          <w:sz w:val="24"/>
        </w:rPr>
        <w:t xml:space="preserve"> </w:t>
      </w:r>
      <w:r w:rsidRPr="00F21F86">
        <w:rPr>
          <w:rFonts w:ascii="Arial" w:hAnsi="Arial" w:cs="Arial"/>
          <w:b/>
          <w:bCs/>
          <w:noProof/>
          <w:kern w:val="0"/>
          <w:sz w:val="24"/>
        </w:rPr>
        <w:t>2013</w:t>
      </w:r>
      <w:r w:rsidRPr="00F21F86">
        <w:rPr>
          <w:rFonts w:ascii="Arial" w:hAnsi="Arial" w:cs="Arial"/>
          <w:noProof/>
          <w:kern w:val="0"/>
          <w:sz w:val="24"/>
        </w:rPr>
        <w:t xml:space="preserve">, </w:t>
      </w:r>
      <w:r w:rsidRPr="00F21F86">
        <w:rPr>
          <w:rFonts w:ascii="Arial" w:hAnsi="Arial" w:cs="Arial"/>
          <w:i/>
          <w:iCs/>
          <w:noProof/>
          <w:kern w:val="0"/>
          <w:sz w:val="24"/>
        </w:rPr>
        <w:t>2</w:t>
      </w:r>
      <w:r w:rsidRPr="00F21F86">
        <w:rPr>
          <w:rFonts w:ascii="Arial" w:hAnsi="Arial" w:cs="Arial"/>
          <w:noProof/>
          <w:kern w:val="0"/>
          <w:sz w:val="24"/>
        </w:rPr>
        <w:t>, 35–43, doi:10.5433/2316-5200.2013v2n1p35.</w:t>
      </w:r>
    </w:p>
    <w:p w14:paraId="06FFCDDB" w14:textId="77777777" w:rsidR="00F21F86" w:rsidRPr="00F21F86" w:rsidRDefault="00F21F86" w:rsidP="00F21F86">
      <w:pPr>
        <w:widowControl w:val="0"/>
        <w:autoSpaceDE w:val="0"/>
        <w:autoSpaceDN w:val="0"/>
        <w:adjustRightInd w:val="0"/>
        <w:spacing w:after="0" w:line="360" w:lineRule="auto"/>
        <w:ind w:left="640" w:hanging="640"/>
        <w:rPr>
          <w:rFonts w:ascii="Arial" w:hAnsi="Arial" w:cs="Arial"/>
          <w:noProof/>
          <w:kern w:val="0"/>
          <w:sz w:val="24"/>
        </w:rPr>
      </w:pPr>
      <w:r w:rsidRPr="00F21F86">
        <w:rPr>
          <w:rFonts w:ascii="Arial" w:hAnsi="Arial" w:cs="Arial"/>
          <w:noProof/>
          <w:kern w:val="0"/>
          <w:sz w:val="24"/>
        </w:rPr>
        <w:t xml:space="preserve">6. </w:t>
      </w:r>
      <w:r w:rsidRPr="00F21F86">
        <w:rPr>
          <w:rFonts w:ascii="Arial" w:hAnsi="Arial" w:cs="Arial"/>
          <w:noProof/>
          <w:kern w:val="0"/>
          <w:sz w:val="24"/>
        </w:rPr>
        <w:tab/>
        <w:t xml:space="preserve">Wadley, F.M. Probit Analysis: A Statistical Treatment of the Sigmoid Response Curve. </w:t>
      </w:r>
      <w:r w:rsidRPr="00F21F86">
        <w:rPr>
          <w:rFonts w:ascii="Arial" w:hAnsi="Arial" w:cs="Arial"/>
          <w:i/>
          <w:iCs/>
          <w:noProof/>
          <w:kern w:val="0"/>
          <w:sz w:val="24"/>
        </w:rPr>
        <w:t>Ann. Entomol. Soc. Am.</w:t>
      </w:r>
      <w:r w:rsidRPr="00F21F86">
        <w:rPr>
          <w:rFonts w:ascii="Arial" w:hAnsi="Arial" w:cs="Arial"/>
          <w:noProof/>
          <w:kern w:val="0"/>
          <w:sz w:val="24"/>
        </w:rPr>
        <w:t xml:space="preserve"> </w:t>
      </w:r>
      <w:r w:rsidRPr="00F21F86">
        <w:rPr>
          <w:rFonts w:ascii="Arial" w:hAnsi="Arial" w:cs="Arial"/>
          <w:b/>
          <w:bCs/>
          <w:noProof/>
          <w:kern w:val="0"/>
          <w:sz w:val="24"/>
        </w:rPr>
        <w:t>1952</w:t>
      </w:r>
      <w:r w:rsidRPr="00F21F86">
        <w:rPr>
          <w:rFonts w:ascii="Arial" w:hAnsi="Arial" w:cs="Arial"/>
          <w:noProof/>
          <w:kern w:val="0"/>
          <w:sz w:val="24"/>
        </w:rPr>
        <w:t xml:space="preserve">, </w:t>
      </w:r>
      <w:r w:rsidRPr="00F21F86">
        <w:rPr>
          <w:rFonts w:ascii="Arial" w:hAnsi="Arial" w:cs="Arial"/>
          <w:i/>
          <w:iCs/>
          <w:noProof/>
          <w:kern w:val="0"/>
          <w:sz w:val="24"/>
        </w:rPr>
        <w:t>45</w:t>
      </w:r>
      <w:r w:rsidRPr="00F21F86">
        <w:rPr>
          <w:rFonts w:ascii="Arial" w:hAnsi="Arial" w:cs="Arial"/>
          <w:noProof/>
          <w:kern w:val="0"/>
          <w:sz w:val="24"/>
        </w:rPr>
        <w:t>, 686, doi:10.1093/aesa/45.4.686.</w:t>
      </w:r>
    </w:p>
    <w:p w14:paraId="1E890395" w14:textId="77777777" w:rsidR="00F21F86" w:rsidRPr="00F21F86" w:rsidRDefault="00F21F86" w:rsidP="00F21F86">
      <w:pPr>
        <w:widowControl w:val="0"/>
        <w:autoSpaceDE w:val="0"/>
        <w:autoSpaceDN w:val="0"/>
        <w:adjustRightInd w:val="0"/>
        <w:spacing w:after="0" w:line="360" w:lineRule="auto"/>
        <w:ind w:left="640" w:hanging="640"/>
        <w:rPr>
          <w:rFonts w:ascii="Arial" w:hAnsi="Arial" w:cs="Arial"/>
          <w:noProof/>
          <w:sz w:val="24"/>
        </w:rPr>
      </w:pPr>
      <w:r w:rsidRPr="00F21F86">
        <w:rPr>
          <w:rFonts w:ascii="Arial" w:hAnsi="Arial" w:cs="Arial"/>
          <w:noProof/>
          <w:kern w:val="0"/>
          <w:sz w:val="24"/>
        </w:rPr>
        <w:t xml:space="preserve">7. </w:t>
      </w:r>
      <w:r w:rsidRPr="00F21F86">
        <w:rPr>
          <w:rFonts w:ascii="Arial" w:hAnsi="Arial" w:cs="Arial"/>
          <w:noProof/>
          <w:kern w:val="0"/>
          <w:sz w:val="24"/>
        </w:rPr>
        <w:tab/>
        <w:t xml:space="preserve">Leite, K.C. de S.; Garcia, L.F.; Lobón, G.S.; Thomaz, D.V.; Moreno, E.K.G.; Carvalho, M.F. de; Rocha, M.L.; Santos, W.T.P. dos; Gil, E. de S. Antioxidant Activity Evaluation of Dried Herbal Extracts: An Electroanalytical Approach. </w:t>
      </w:r>
      <w:r w:rsidRPr="00F21F86">
        <w:rPr>
          <w:rFonts w:ascii="Arial" w:hAnsi="Arial" w:cs="Arial"/>
          <w:i/>
          <w:iCs/>
          <w:noProof/>
          <w:kern w:val="0"/>
          <w:sz w:val="24"/>
        </w:rPr>
        <w:t>Brazilian J. Pharmacogn.</w:t>
      </w:r>
      <w:r w:rsidRPr="00F21F86">
        <w:rPr>
          <w:rFonts w:ascii="Arial" w:hAnsi="Arial" w:cs="Arial"/>
          <w:noProof/>
          <w:kern w:val="0"/>
          <w:sz w:val="24"/>
        </w:rPr>
        <w:t xml:space="preserve"> </w:t>
      </w:r>
      <w:r w:rsidRPr="00F21F86">
        <w:rPr>
          <w:rFonts w:ascii="Arial" w:hAnsi="Arial" w:cs="Arial"/>
          <w:b/>
          <w:bCs/>
          <w:noProof/>
          <w:kern w:val="0"/>
          <w:sz w:val="24"/>
        </w:rPr>
        <w:t>2018</w:t>
      </w:r>
      <w:r w:rsidRPr="00F21F86">
        <w:rPr>
          <w:rFonts w:ascii="Arial" w:hAnsi="Arial" w:cs="Arial"/>
          <w:noProof/>
          <w:kern w:val="0"/>
          <w:sz w:val="24"/>
        </w:rPr>
        <w:t xml:space="preserve">, </w:t>
      </w:r>
      <w:r w:rsidRPr="00F21F86">
        <w:rPr>
          <w:rFonts w:ascii="Arial" w:hAnsi="Arial" w:cs="Arial"/>
          <w:i/>
          <w:iCs/>
          <w:noProof/>
          <w:kern w:val="0"/>
          <w:sz w:val="24"/>
        </w:rPr>
        <w:t>28</w:t>
      </w:r>
      <w:r w:rsidRPr="00F21F86">
        <w:rPr>
          <w:rFonts w:ascii="Arial" w:hAnsi="Arial" w:cs="Arial"/>
          <w:noProof/>
          <w:kern w:val="0"/>
          <w:sz w:val="24"/>
        </w:rPr>
        <w:t>, 325–332, doi:10.1016/j.bjp.2018.04.004.</w:t>
      </w:r>
    </w:p>
    <w:p w14:paraId="2B360044" w14:textId="3416C5AA" w:rsidR="003426EA" w:rsidRPr="00FA0083" w:rsidRDefault="003426EA" w:rsidP="00575D61">
      <w:pPr>
        <w:spacing w:after="0" w:line="360" w:lineRule="auto"/>
        <w:jc w:val="both"/>
        <w:rPr>
          <w:rFonts w:ascii="Arial" w:hAnsi="Arial" w:cs="Arial"/>
          <w:sz w:val="24"/>
          <w:szCs w:val="24"/>
        </w:rPr>
      </w:pPr>
      <w:r w:rsidRPr="00FA0083">
        <w:rPr>
          <w:rFonts w:ascii="Arial" w:hAnsi="Arial" w:cs="Arial"/>
          <w:sz w:val="24"/>
          <w:szCs w:val="24"/>
        </w:rPr>
        <w:fldChar w:fldCharType="end"/>
      </w:r>
    </w:p>
    <w:sectPr w:rsidR="003426EA" w:rsidRPr="00FA0083" w:rsidSect="003426EA">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851CD8"/>
    <w:multiLevelType w:val="multilevel"/>
    <w:tmpl w:val="1670219C"/>
    <w:lvl w:ilvl="0">
      <w:start w:val="1"/>
      <w:numFmt w:val="decimal"/>
      <w:lvlText w:val="%1."/>
      <w:lvlJc w:val="left"/>
      <w:pPr>
        <w:ind w:left="720" w:hanging="360"/>
      </w:pPr>
      <w:rPr>
        <w:rFonts w:eastAsiaTheme="minorHAnsi"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753550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6EA"/>
    <w:rsid w:val="000A68B3"/>
    <w:rsid w:val="002578B1"/>
    <w:rsid w:val="002634F9"/>
    <w:rsid w:val="002D06CF"/>
    <w:rsid w:val="00335352"/>
    <w:rsid w:val="003426EA"/>
    <w:rsid w:val="004D083B"/>
    <w:rsid w:val="004E2810"/>
    <w:rsid w:val="00575D61"/>
    <w:rsid w:val="005819F1"/>
    <w:rsid w:val="007064EF"/>
    <w:rsid w:val="00732E79"/>
    <w:rsid w:val="00747A3D"/>
    <w:rsid w:val="00792AC1"/>
    <w:rsid w:val="007A2724"/>
    <w:rsid w:val="007A7808"/>
    <w:rsid w:val="00814899"/>
    <w:rsid w:val="00973CEE"/>
    <w:rsid w:val="009E50EF"/>
    <w:rsid w:val="00A03B65"/>
    <w:rsid w:val="00B54CE1"/>
    <w:rsid w:val="00BB0045"/>
    <w:rsid w:val="00C67A9E"/>
    <w:rsid w:val="00C95C69"/>
    <w:rsid w:val="00D64D00"/>
    <w:rsid w:val="00D767DE"/>
    <w:rsid w:val="00DD3B28"/>
    <w:rsid w:val="00DF0521"/>
    <w:rsid w:val="00F21F86"/>
    <w:rsid w:val="00F30ADB"/>
    <w:rsid w:val="00FA0083"/>
    <w:rsid w:val="00FA13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CBDA2"/>
  <w15:chartTrackingRefBased/>
  <w15:docId w15:val="{79394C1F-86B0-44BB-B105-5937E95C5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6EA"/>
    <w:rPr>
      <w:lang w:val="en-US"/>
    </w:rPr>
  </w:style>
  <w:style w:type="paragraph" w:styleId="Ttulo1">
    <w:name w:val="heading 1"/>
    <w:basedOn w:val="Normal"/>
    <w:next w:val="Normal"/>
    <w:link w:val="Ttulo1Char"/>
    <w:uiPriority w:val="9"/>
    <w:qFormat/>
    <w:rsid w:val="003426EA"/>
    <w:pPr>
      <w:keepNext/>
      <w:keepLines/>
      <w:spacing w:before="360" w:after="80"/>
      <w:outlineLvl w:val="0"/>
    </w:pPr>
    <w:rPr>
      <w:rFonts w:asciiTheme="majorHAnsi" w:eastAsiaTheme="majorEastAsia" w:hAnsiTheme="majorHAnsi" w:cstheme="majorBidi"/>
      <w:color w:val="2F5496" w:themeColor="accent1" w:themeShade="BF"/>
      <w:sz w:val="40"/>
      <w:szCs w:val="40"/>
      <w:lang w:val="pt-BR"/>
    </w:rPr>
  </w:style>
  <w:style w:type="paragraph" w:styleId="Ttulo2">
    <w:name w:val="heading 2"/>
    <w:basedOn w:val="Normal"/>
    <w:next w:val="Normal"/>
    <w:link w:val="Ttulo2Char"/>
    <w:uiPriority w:val="9"/>
    <w:semiHidden/>
    <w:unhideWhenUsed/>
    <w:qFormat/>
    <w:rsid w:val="003426EA"/>
    <w:pPr>
      <w:keepNext/>
      <w:keepLines/>
      <w:spacing w:before="160" w:after="80"/>
      <w:outlineLvl w:val="1"/>
    </w:pPr>
    <w:rPr>
      <w:rFonts w:asciiTheme="majorHAnsi" w:eastAsiaTheme="majorEastAsia" w:hAnsiTheme="majorHAnsi" w:cstheme="majorBidi"/>
      <w:color w:val="2F5496" w:themeColor="accent1" w:themeShade="BF"/>
      <w:sz w:val="32"/>
      <w:szCs w:val="32"/>
      <w:lang w:val="pt-BR"/>
    </w:rPr>
  </w:style>
  <w:style w:type="paragraph" w:styleId="Ttulo3">
    <w:name w:val="heading 3"/>
    <w:basedOn w:val="Normal"/>
    <w:next w:val="Normal"/>
    <w:link w:val="Ttulo3Char"/>
    <w:uiPriority w:val="9"/>
    <w:semiHidden/>
    <w:unhideWhenUsed/>
    <w:qFormat/>
    <w:rsid w:val="003426EA"/>
    <w:pPr>
      <w:keepNext/>
      <w:keepLines/>
      <w:spacing w:before="160" w:after="80"/>
      <w:outlineLvl w:val="2"/>
    </w:pPr>
    <w:rPr>
      <w:rFonts w:eastAsiaTheme="majorEastAsia" w:cstheme="majorBidi"/>
      <w:color w:val="2F5496" w:themeColor="accent1" w:themeShade="BF"/>
      <w:sz w:val="28"/>
      <w:szCs w:val="28"/>
      <w:lang w:val="pt-BR"/>
    </w:rPr>
  </w:style>
  <w:style w:type="paragraph" w:styleId="Ttulo4">
    <w:name w:val="heading 4"/>
    <w:basedOn w:val="Normal"/>
    <w:next w:val="Normal"/>
    <w:link w:val="Ttulo4Char"/>
    <w:uiPriority w:val="9"/>
    <w:semiHidden/>
    <w:unhideWhenUsed/>
    <w:qFormat/>
    <w:rsid w:val="003426EA"/>
    <w:pPr>
      <w:keepNext/>
      <w:keepLines/>
      <w:spacing w:before="80" w:after="40"/>
      <w:outlineLvl w:val="3"/>
    </w:pPr>
    <w:rPr>
      <w:rFonts w:eastAsiaTheme="majorEastAsia" w:cstheme="majorBidi"/>
      <w:i/>
      <w:iCs/>
      <w:color w:val="2F5496" w:themeColor="accent1" w:themeShade="BF"/>
      <w:lang w:val="pt-BR"/>
    </w:rPr>
  </w:style>
  <w:style w:type="paragraph" w:styleId="Ttulo5">
    <w:name w:val="heading 5"/>
    <w:basedOn w:val="Normal"/>
    <w:next w:val="Normal"/>
    <w:link w:val="Ttulo5Char"/>
    <w:uiPriority w:val="9"/>
    <w:semiHidden/>
    <w:unhideWhenUsed/>
    <w:qFormat/>
    <w:rsid w:val="003426EA"/>
    <w:pPr>
      <w:keepNext/>
      <w:keepLines/>
      <w:spacing w:before="80" w:after="40"/>
      <w:outlineLvl w:val="4"/>
    </w:pPr>
    <w:rPr>
      <w:rFonts w:eastAsiaTheme="majorEastAsia" w:cstheme="majorBidi"/>
      <w:color w:val="2F5496" w:themeColor="accent1" w:themeShade="BF"/>
      <w:lang w:val="pt-BR"/>
    </w:rPr>
  </w:style>
  <w:style w:type="paragraph" w:styleId="Ttulo6">
    <w:name w:val="heading 6"/>
    <w:basedOn w:val="Normal"/>
    <w:next w:val="Normal"/>
    <w:link w:val="Ttulo6Char"/>
    <w:uiPriority w:val="9"/>
    <w:semiHidden/>
    <w:unhideWhenUsed/>
    <w:qFormat/>
    <w:rsid w:val="003426EA"/>
    <w:pPr>
      <w:keepNext/>
      <w:keepLines/>
      <w:spacing w:before="40" w:after="0"/>
      <w:outlineLvl w:val="5"/>
    </w:pPr>
    <w:rPr>
      <w:rFonts w:eastAsiaTheme="majorEastAsia" w:cstheme="majorBidi"/>
      <w:i/>
      <w:iCs/>
      <w:color w:val="595959" w:themeColor="text1" w:themeTint="A6"/>
      <w:lang w:val="pt-BR"/>
    </w:rPr>
  </w:style>
  <w:style w:type="paragraph" w:styleId="Ttulo7">
    <w:name w:val="heading 7"/>
    <w:basedOn w:val="Normal"/>
    <w:next w:val="Normal"/>
    <w:link w:val="Ttulo7Char"/>
    <w:uiPriority w:val="9"/>
    <w:semiHidden/>
    <w:unhideWhenUsed/>
    <w:qFormat/>
    <w:rsid w:val="003426EA"/>
    <w:pPr>
      <w:keepNext/>
      <w:keepLines/>
      <w:spacing w:before="40" w:after="0"/>
      <w:outlineLvl w:val="6"/>
    </w:pPr>
    <w:rPr>
      <w:rFonts w:eastAsiaTheme="majorEastAsia" w:cstheme="majorBidi"/>
      <w:color w:val="595959" w:themeColor="text1" w:themeTint="A6"/>
      <w:lang w:val="pt-BR"/>
    </w:rPr>
  </w:style>
  <w:style w:type="paragraph" w:styleId="Ttulo8">
    <w:name w:val="heading 8"/>
    <w:basedOn w:val="Normal"/>
    <w:next w:val="Normal"/>
    <w:link w:val="Ttulo8Char"/>
    <w:uiPriority w:val="9"/>
    <w:semiHidden/>
    <w:unhideWhenUsed/>
    <w:qFormat/>
    <w:rsid w:val="003426EA"/>
    <w:pPr>
      <w:keepNext/>
      <w:keepLines/>
      <w:spacing w:after="0"/>
      <w:outlineLvl w:val="7"/>
    </w:pPr>
    <w:rPr>
      <w:rFonts w:eastAsiaTheme="majorEastAsia" w:cstheme="majorBidi"/>
      <w:i/>
      <w:iCs/>
      <w:color w:val="272727" w:themeColor="text1" w:themeTint="D8"/>
      <w:lang w:val="pt-BR"/>
    </w:rPr>
  </w:style>
  <w:style w:type="paragraph" w:styleId="Ttulo9">
    <w:name w:val="heading 9"/>
    <w:basedOn w:val="Normal"/>
    <w:next w:val="Normal"/>
    <w:link w:val="Ttulo9Char"/>
    <w:uiPriority w:val="9"/>
    <w:semiHidden/>
    <w:unhideWhenUsed/>
    <w:qFormat/>
    <w:rsid w:val="003426EA"/>
    <w:pPr>
      <w:keepNext/>
      <w:keepLines/>
      <w:spacing w:after="0"/>
      <w:outlineLvl w:val="8"/>
    </w:pPr>
    <w:rPr>
      <w:rFonts w:eastAsiaTheme="majorEastAsia" w:cstheme="majorBidi"/>
      <w:color w:val="272727" w:themeColor="text1" w:themeTint="D8"/>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426EA"/>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3426EA"/>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3426EA"/>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3426EA"/>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3426EA"/>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3426E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426E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426E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426EA"/>
    <w:rPr>
      <w:rFonts w:eastAsiaTheme="majorEastAsia" w:cstheme="majorBidi"/>
      <w:color w:val="272727" w:themeColor="text1" w:themeTint="D8"/>
    </w:rPr>
  </w:style>
  <w:style w:type="paragraph" w:styleId="Ttulo">
    <w:name w:val="Title"/>
    <w:basedOn w:val="Normal"/>
    <w:next w:val="Normal"/>
    <w:link w:val="TtuloChar"/>
    <w:uiPriority w:val="10"/>
    <w:qFormat/>
    <w:rsid w:val="003426EA"/>
    <w:pPr>
      <w:spacing w:after="80" w:line="240" w:lineRule="auto"/>
      <w:contextualSpacing/>
    </w:pPr>
    <w:rPr>
      <w:rFonts w:asciiTheme="majorHAnsi" w:eastAsiaTheme="majorEastAsia" w:hAnsiTheme="majorHAnsi" w:cstheme="majorBidi"/>
      <w:spacing w:val="-10"/>
      <w:kern w:val="28"/>
      <w:sz w:val="56"/>
      <w:szCs w:val="56"/>
      <w:lang w:val="pt-BR"/>
    </w:rPr>
  </w:style>
  <w:style w:type="character" w:customStyle="1" w:styleId="TtuloChar">
    <w:name w:val="Título Char"/>
    <w:basedOn w:val="Fontepargpadro"/>
    <w:link w:val="Ttulo"/>
    <w:uiPriority w:val="10"/>
    <w:rsid w:val="003426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426EA"/>
    <w:pPr>
      <w:numPr>
        <w:ilvl w:val="1"/>
      </w:numPr>
    </w:pPr>
    <w:rPr>
      <w:rFonts w:eastAsiaTheme="majorEastAsia" w:cstheme="majorBidi"/>
      <w:color w:val="595959" w:themeColor="text1" w:themeTint="A6"/>
      <w:spacing w:val="15"/>
      <w:sz w:val="28"/>
      <w:szCs w:val="28"/>
      <w:lang w:val="pt-BR"/>
    </w:rPr>
  </w:style>
  <w:style w:type="character" w:customStyle="1" w:styleId="SubttuloChar">
    <w:name w:val="Subtítulo Char"/>
    <w:basedOn w:val="Fontepargpadro"/>
    <w:link w:val="Subttulo"/>
    <w:uiPriority w:val="11"/>
    <w:rsid w:val="003426E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426EA"/>
    <w:pPr>
      <w:spacing w:before="160"/>
      <w:jc w:val="center"/>
    </w:pPr>
    <w:rPr>
      <w:i/>
      <w:iCs/>
      <w:color w:val="404040" w:themeColor="text1" w:themeTint="BF"/>
      <w:lang w:val="pt-BR"/>
    </w:rPr>
  </w:style>
  <w:style w:type="character" w:customStyle="1" w:styleId="CitaoChar">
    <w:name w:val="Citação Char"/>
    <w:basedOn w:val="Fontepargpadro"/>
    <w:link w:val="Citao"/>
    <w:uiPriority w:val="29"/>
    <w:rsid w:val="003426EA"/>
    <w:rPr>
      <w:i/>
      <w:iCs/>
      <w:color w:val="404040" w:themeColor="text1" w:themeTint="BF"/>
    </w:rPr>
  </w:style>
  <w:style w:type="paragraph" w:styleId="PargrafodaLista">
    <w:name w:val="List Paragraph"/>
    <w:basedOn w:val="Normal"/>
    <w:uiPriority w:val="34"/>
    <w:qFormat/>
    <w:rsid w:val="003426EA"/>
    <w:pPr>
      <w:ind w:left="720"/>
      <w:contextualSpacing/>
    </w:pPr>
    <w:rPr>
      <w:lang w:val="pt-BR"/>
    </w:rPr>
  </w:style>
  <w:style w:type="character" w:styleId="nfaseIntensa">
    <w:name w:val="Intense Emphasis"/>
    <w:basedOn w:val="Fontepargpadro"/>
    <w:uiPriority w:val="21"/>
    <w:qFormat/>
    <w:rsid w:val="003426EA"/>
    <w:rPr>
      <w:i/>
      <w:iCs/>
      <w:color w:val="2F5496" w:themeColor="accent1" w:themeShade="BF"/>
    </w:rPr>
  </w:style>
  <w:style w:type="paragraph" w:styleId="CitaoIntensa">
    <w:name w:val="Intense Quote"/>
    <w:basedOn w:val="Normal"/>
    <w:next w:val="Normal"/>
    <w:link w:val="CitaoIntensaChar"/>
    <w:uiPriority w:val="30"/>
    <w:qFormat/>
    <w:rsid w:val="003426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pt-BR"/>
    </w:rPr>
  </w:style>
  <w:style w:type="character" w:customStyle="1" w:styleId="CitaoIntensaChar">
    <w:name w:val="Citação Intensa Char"/>
    <w:basedOn w:val="Fontepargpadro"/>
    <w:link w:val="CitaoIntensa"/>
    <w:uiPriority w:val="30"/>
    <w:rsid w:val="003426EA"/>
    <w:rPr>
      <w:i/>
      <w:iCs/>
      <w:color w:val="2F5496" w:themeColor="accent1" w:themeShade="BF"/>
    </w:rPr>
  </w:style>
  <w:style w:type="character" w:styleId="RefernciaIntensa">
    <w:name w:val="Intense Reference"/>
    <w:basedOn w:val="Fontepargpadro"/>
    <w:uiPriority w:val="32"/>
    <w:qFormat/>
    <w:rsid w:val="003426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39FD6-A940-44C3-A19C-6083B8482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Pages>
  <Words>1953</Words>
  <Characters>30009</Characters>
  <Application>Microsoft Office Word</Application>
  <DocSecurity>0</DocSecurity>
  <Lines>250</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2025-02-06T11:50:00Z</dcterms:created>
  <dcterms:modified xsi:type="dcterms:W3CDTF">2025-06-03T16:51:00Z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2ae60440-d61b-347d-9c0d-e9ce680062f0</vt:lpwstr>
  </property>
  <property fmtid="{D5CDD505-2E9C-101B-9397-08002B2CF9AE}" pid="4" name="Mendeley Citation Style_1">
    <vt:lpwstr>http://www.zotero.org/styles/plants</vt:lpwstr>
  </property>
  <property fmtid="{D5CDD505-2E9C-101B-9397-08002B2CF9AE}" pid="5" name="Mendeley Recent Style Id 0_1">
    <vt:lpwstr>http://www.zotero.org/styles/american-sociological-association</vt:lpwstr>
  </property>
  <property fmtid="{D5CDD505-2E9C-101B-9397-08002B2CF9AE}" pid="6" name="Mendeley Recent Style Name 0_1">
    <vt:lpwstr>American Sociological Association 6th/7th edition</vt:lpwstr>
  </property>
  <property fmtid="{D5CDD505-2E9C-101B-9397-08002B2CF9AE}" pid="7" name="Mendeley Recent Style Id 1_1">
    <vt:lpwstr>http://www.zotero.org/styles/beverages</vt:lpwstr>
  </property>
  <property fmtid="{D5CDD505-2E9C-101B-9397-08002B2CF9AE}" pid="8" name="Mendeley Recent Style Name 1_1">
    <vt:lpwstr>Beverages</vt:lpwstr>
  </property>
  <property fmtid="{D5CDD505-2E9C-101B-9397-08002B2CF9AE}" pid="9" name="Mendeley Recent Style Id 2_1">
    <vt:lpwstr>http://www.zotero.org/styles/brazilian-journal-of-microbiology</vt:lpwstr>
  </property>
  <property fmtid="{D5CDD505-2E9C-101B-9397-08002B2CF9AE}" pid="10" name="Mendeley Recent Style Name 2_1">
    <vt:lpwstr>Brazilian Journal of Microbiology</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http://www.zotero.org/styles/journal-of-ethnopharmacology</vt:lpwstr>
  </property>
  <property fmtid="{D5CDD505-2E9C-101B-9397-08002B2CF9AE}" pid="18" name="Mendeley Recent Style Name 6_1">
    <vt:lpwstr>Journal of Ethnopharmacology</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http://www.zotero.org/styles/plants</vt:lpwstr>
  </property>
  <property fmtid="{D5CDD505-2E9C-101B-9397-08002B2CF9AE}" pid="22" name="Mendeley Recent Style Name 8_1">
    <vt:lpwstr>Plants</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GrammarlyDocumentId">
    <vt:lpwstr>182f3371f5324b69d0b3e309782bab95dc0cadf3017c2d063ac9cc20e9b1c861</vt:lpwstr>
  </property>
</Properties>
</file>