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15CE0" w14:textId="3E08C1AD" w:rsidR="004319B9" w:rsidRPr="00855FA1" w:rsidRDefault="00362732" w:rsidP="00855FA1">
      <w:pPr>
        <w:pStyle w:val="Heading1"/>
        <w:jc w:val="center"/>
        <w:rPr>
          <w:lang w:val="en-GB"/>
        </w:rPr>
      </w:pPr>
      <w:r w:rsidRPr="00855FA1">
        <w:rPr>
          <w:lang w:val="en-GB"/>
        </w:rPr>
        <w:t>Supplementary</w:t>
      </w:r>
      <w:r w:rsidR="00855FA1" w:rsidRPr="00855FA1">
        <w:rPr>
          <w:lang w:val="en-GB"/>
        </w:rPr>
        <w:t xml:space="preserve"> material</w:t>
      </w:r>
    </w:p>
    <w:p w14:paraId="0F083391" w14:textId="77777777" w:rsidR="007B7050" w:rsidRPr="005A1CD7" w:rsidRDefault="007B7050" w:rsidP="007B7050">
      <w:pPr>
        <w:pStyle w:val="Heading1"/>
        <w:jc w:val="center"/>
        <w:rPr>
          <w:lang w:val="en-GB"/>
        </w:rPr>
      </w:pPr>
      <w:r w:rsidRPr="005A1CD7">
        <w:rPr>
          <w:lang w:val="en-GB"/>
        </w:rPr>
        <w:t xml:space="preserve">Bicarbazole-benzophenone based twisted donor-acceptor derivatives as </w:t>
      </w:r>
      <w:r>
        <w:rPr>
          <w:lang w:val="en-GB"/>
        </w:rPr>
        <w:t>potential blue</w:t>
      </w:r>
      <w:r w:rsidRPr="005A1CD7">
        <w:rPr>
          <w:lang w:val="en-GB"/>
        </w:rPr>
        <w:t xml:space="preserve"> emitters for OLEDs</w:t>
      </w:r>
    </w:p>
    <w:p w14:paraId="48AF01AA" w14:textId="77777777" w:rsidR="007B7050" w:rsidRPr="005A1CD7" w:rsidRDefault="007B7050" w:rsidP="007B7050">
      <w:pPr>
        <w:jc w:val="center"/>
        <w:rPr>
          <w:rFonts w:cs="Times New Roman"/>
          <w:bCs/>
          <w:color w:val="0D0D0D" w:themeColor="text1" w:themeTint="F2"/>
          <w:szCs w:val="24"/>
          <w:lang w:val="en-GB"/>
        </w:rPr>
      </w:pP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Iram Siddiqui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1,</w:t>
      </w:r>
      <w:r w:rsidRPr="005A1CD7">
        <w:rPr>
          <w:rFonts w:cs="Times New Roman"/>
          <w:bCs/>
          <w:szCs w:val="24"/>
          <w:vertAlign w:val="superscript"/>
          <w:lang w:val="en-GB"/>
        </w:rPr>
        <w:t>§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 xml:space="preserve"> 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Prakalp Gautam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1,</w:t>
      </w:r>
      <w:r w:rsidRPr="005A1CD7">
        <w:rPr>
          <w:rFonts w:cs="Times New Roman"/>
          <w:bCs/>
          <w:szCs w:val="24"/>
          <w:vertAlign w:val="superscript"/>
          <w:lang w:val="en-GB"/>
        </w:rPr>
        <w:t>§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 Dovydas Blazevicius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2,</w:t>
      </w:r>
      <w:r w:rsidRPr="005A1CD7">
        <w:rPr>
          <w:rFonts w:cs="Times New Roman"/>
          <w:bCs/>
          <w:szCs w:val="24"/>
          <w:vertAlign w:val="superscript"/>
          <w:lang w:val="en-GB"/>
        </w:rPr>
        <w:t>§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 Jayakumar Jayachandran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1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 Sushanta Lenka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1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 Daiva Tavgeniene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2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 xml:space="preserve">, </w:t>
      </w:r>
      <w:r>
        <w:rPr>
          <w:color w:val="000000"/>
          <w:lang w:val="en-US"/>
        </w:rPr>
        <w:t>Ernestas Zaleckas</w:t>
      </w:r>
      <w:r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3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, Saulius Grigalevicius*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 xml:space="preserve">2 </w:t>
      </w:r>
      <w:r w:rsidRPr="005A1CD7">
        <w:rPr>
          <w:rFonts w:cs="Times New Roman"/>
          <w:bCs/>
          <w:color w:val="0D0D0D" w:themeColor="text1" w:themeTint="F2"/>
          <w:szCs w:val="24"/>
          <w:lang w:val="en-GB"/>
        </w:rPr>
        <w:t>and Jwo-Huei Jou*</w:t>
      </w:r>
      <w:r w:rsidRPr="005A1CD7">
        <w:rPr>
          <w:rFonts w:cs="Times New Roman"/>
          <w:bCs/>
          <w:color w:val="0D0D0D" w:themeColor="text1" w:themeTint="F2"/>
          <w:szCs w:val="24"/>
          <w:vertAlign w:val="superscript"/>
          <w:lang w:val="en-GB"/>
        </w:rPr>
        <w:t>1</w:t>
      </w:r>
    </w:p>
    <w:p w14:paraId="7CDFB53D" w14:textId="77777777" w:rsidR="007B7050" w:rsidRPr="005A1CD7" w:rsidRDefault="007B7050" w:rsidP="007B7050">
      <w:pPr>
        <w:jc w:val="center"/>
        <w:rPr>
          <w:rFonts w:cs="Times New Roman"/>
          <w:bCs/>
          <w:szCs w:val="24"/>
          <w:lang w:val="en-GB"/>
        </w:rPr>
      </w:pPr>
      <w:r w:rsidRPr="005A1CD7">
        <w:rPr>
          <w:rFonts w:cs="Times New Roman"/>
          <w:bCs/>
          <w:szCs w:val="24"/>
          <w:vertAlign w:val="superscript"/>
          <w:lang w:val="en-GB"/>
        </w:rPr>
        <w:t>1</w:t>
      </w:r>
      <w:r w:rsidRPr="005A1CD7">
        <w:rPr>
          <w:rFonts w:cs="Times New Roman"/>
          <w:bCs/>
          <w:szCs w:val="24"/>
          <w:lang w:val="en-GB"/>
        </w:rPr>
        <w:t xml:space="preserve"> Department of Materials Science and Engineering, National Tsing Hua University, Hsinchu 30044, Taiwan; </w:t>
      </w:r>
      <w:hyperlink r:id="rId11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iramsidd29@gmail.com</w:t>
        </w:r>
      </w:hyperlink>
      <w:r w:rsidRPr="005A1CD7">
        <w:rPr>
          <w:rFonts w:cs="Times New Roman"/>
          <w:bCs/>
          <w:szCs w:val="24"/>
          <w:lang w:val="en-GB"/>
        </w:rPr>
        <w:t xml:space="preserve"> (I.S.); </w:t>
      </w:r>
      <w:hyperlink r:id="rId12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prakalpgautam@gmail.com</w:t>
        </w:r>
      </w:hyperlink>
      <w:r w:rsidRPr="005A1CD7">
        <w:rPr>
          <w:rFonts w:cs="Times New Roman"/>
          <w:bCs/>
          <w:szCs w:val="24"/>
          <w:lang w:val="en-GB"/>
        </w:rPr>
        <w:t xml:space="preserve"> (P.G.); </w:t>
      </w:r>
      <w:hyperlink r:id="rId13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jayakumar@mx.nthu.edu.tw</w:t>
        </w:r>
      </w:hyperlink>
      <w:r w:rsidRPr="005A1CD7">
        <w:rPr>
          <w:rFonts w:cs="Times New Roman"/>
          <w:bCs/>
          <w:szCs w:val="24"/>
          <w:lang w:val="en-GB"/>
        </w:rPr>
        <w:t xml:space="preserve"> (J.J.); </w:t>
      </w:r>
      <w:hyperlink r:id="rId14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sushantalenka1@gmail.com</w:t>
        </w:r>
      </w:hyperlink>
      <w:r w:rsidRPr="005A1CD7">
        <w:rPr>
          <w:rFonts w:cs="Times New Roman"/>
          <w:bCs/>
          <w:szCs w:val="24"/>
          <w:lang w:val="en-GB"/>
        </w:rPr>
        <w:t xml:space="preserve"> (S.L.)</w:t>
      </w:r>
    </w:p>
    <w:p w14:paraId="2D38E73D" w14:textId="77777777" w:rsidR="007B7050" w:rsidRDefault="007B7050" w:rsidP="007B7050">
      <w:pPr>
        <w:jc w:val="center"/>
        <w:rPr>
          <w:rFonts w:cs="Times New Roman"/>
          <w:bCs/>
          <w:szCs w:val="24"/>
          <w:lang w:val="en-GB"/>
        </w:rPr>
      </w:pPr>
      <w:r w:rsidRPr="005A1CD7">
        <w:rPr>
          <w:rFonts w:cs="Times New Roman"/>
          <w:bCs/>
          <w:szCs w:val="24"/>
          <w:vertAlign w:val="superscript"/>
          <w:lang w:val="en-GB"/>
        </w:rPr>
        <w:t>2</w:t>
      </w:r>
      <w:r w:rsidRPr="005A1CD7">
        <w:rPr>
          <w:rFonts w:cs="Times New Roman"/>
          <w:bCs/>
          <w:szCs w:val="24"/>
          <w:lang w:val="en-GB"/>
        </w:rPr>
        <w:t xml:space="preserve"> Department of Polymer Chemistry and Technology, Kaunas University of Technology, Radvilenu plentas 19, Kaunas, LT50254, Lithuania; </w:t>
      </w:r>
      <w:hyperlink r:id="rId15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dovydas.blazevicius@ktu.lt</w:t>
        </w:r>
      </w:hyperlink>
      <w:r w:rsidRPr="005A1CD7">
        <w:rPr>
          <w:rFonts w:cs="Times New Roman"/>
          <w:bCs/>
          <w:szCs w:val="24"/>
          <w:lang w:val="en-GB"/>
        </w:rPr>
        <w:t xml:space="preserve"> (D.B.); </w:t>
      </w:r>
      <w:hyperlink r:id="rId16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daiva.tavgeniene@ktu.lt</w:t>
        </w:r>
      </w:hyperlink>
      <w:r w:rsidRPr="005A1CD7">
        <w:rPr>
          <w:rFonts w:cs="Times New Roman"/>
          <w:bCs/>
          <w:szCs w:val="24"/>
          <w:lang w:val="en-GB"/>
        </w:rPr>
        <w:t xml:space="preserve"> (D.T.)</w:t>
      </w:r>
    </w:p>
    <w:p w14:paraId="7B0BCF38" w14:textId="77777777" w:rsidR="007B7050" w:rsidRPr="005A1CD7" w:rsidRDefault="007B7050" w:rsidP="007B7050">
      <w:pPr>
        <w:jc w:val="center"/>
        <w:rPr>
          <w:rFonts w:cs="Times New Roman"/>
          <w:bCs/>
          <w:szCs w:val="24"/>
          <w:lang w:val="en-GB"/>
        </w:rPr>
      </w:pPr>
      <w:r w:rsidRPr="005A1CD7">
        <w:rPr>
          <w:rFonts w:cs="Times New Roman"/>
          <w:bCs/>
          <w:szCs w:val="24"/>
          <w:vertAlign w:val="superscript"/>
          <w:lang w:val="en-GB"/>
        </w:rPr>
        <w:t>2</w:t>
      </w:r>
      <w:r>
        <w:rPr>
          <w:rFonts w:cs="Times New Roman"/>
          <w:bCs/>
          <w:szCs w:val="24"/>
          <w:lang w:val="en-GB"/>
        </w:rPr>
        <w:t xml:space="preserve"> </w:t>
      </w:r>
      <w:r w:rsidRPr="00DF560C">
        <w:rPr>
          <w:rFonts w:cs="Times New Roman"/>
          <w:szCs w:val="24"/>
          <w:lang w:val="en-GB"/>
        </w:rPr>
        <w:t>Vytautas Magnus University, Agriculture Academy, Department of Agricultural Engineering and Safety, Studentu str. 11, LT-53361, Akademija, Kaunas distr., Lithuania</w:t>
      </w:r>
      <w:r>
        <w:rPr>
          <w:rFonts w:cs="Times New Roman"/>
          <w:szCs w:val="24"/>
          <w:lang w:val="en-GB"/>
        </w:rPr>
        <w:t xml:space="preserve">; </w:t>
      </w:r>
      <w:hyperlink r:id="rId17" w:history="1">
        <w:r w:rsidRPr="001602FC">
          <w:rPr>
            <w:rStyle w:val="Hyperlink"/>
            <w:rFonts w:cs="Times New Roman"/>
            <w:color w:val="0D0D0D" w:themeColor="text1" w:themeTint="F2"/>
            <w:szCs w:val="24"/>
            <w:u w:val="none"/>
            <w:lang w:val="en-GB"/>
          </w:rPr>
          <w:t>ernestas.zaleckas@vdu.lt</w:t>
        </w:r>
      </w:hyperlink>
      <w:r w:rsidRPr="001602FC">
        <w:rPr>
          <w:rFonts w:cs="Times New Roman"/>
          <w:color w:val="0D0D0D" w:themeColor="text1" w:themeTint="F2"/>
          <w:szCs w:val="24"/>
          <w:lang w:val="en-GB"/>
        </w:rPr>
        <w:t xml:space="preserve"> (E</w:t>
      </w:r>
      <w:r>
        <w:rPr>
          <w:rFonts w:cs="Times New Roman"/>
          <w:szCs w:val="24"/>
          <w:lang w:val="en-GB"/>
        </w:rPr>
        <w:t>.Z.).</w:t>
      </w:r>
    </w:p>
    <w:p w14:paraId="0F19A32A" w14:textId="77777777" w:rsidR="007B7050" w:rsidRPr="005A1CD7" w:rsidRDefault="007B7050" w:rsidP="007B7050">
      <w:pPr>
        <w:jc w:val="center"/>
        <w:rPr>
          <w:rFonts w:cs="Times New Roman"/>
          <w:bCs/>
          <w:szCs w:val="24"/>
          <w:lang w:val="en-GB"/>
        </w:rPr>
      </w:pPr>
      <w:r w:rsidRPr="005A1CD7">
        <w:rPr>
          <w:rFonts w:cs="Times New Roman"/>
          <w:bCs/>
          <w:szCs w:val="24"/>
          <w:lang w:val="en-GB"/>
        </w:rPr>
        <w:t xml:space="preserve">* Correspondence: </w:t>
      </w:r>
      <w:hyperlink r:id="rId18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saulius.grigalevicius@ktu.lt</w:t>
        </w:r>
      </w:hyperlink>
      <w:r w:rsidRPr="005A1CD7">
        <w:rPr>
          <w:rFonts w:cs="Times New Roman"/>
          <w:bCs/>
          <w:szCs w:val="24"/>
          <w:lang w:val="en-GB"/>
        </w:rPr>
        <w:t xml:space="preserve"> (S.G.); </w:t>
      </w:r>
      <w:hyperlink r:id="rId19" w:history="1">
        <w:r w:rsidRPr="005A1CD7">
          <w:rPr>
            <w:rStyle w:val="Hyperlink"/>
            <w:rFonts w:cs="Times New Roman"/>
            <w:bCs/>
            <w:color w:val="auto"/>
            <w:szCs w:val="24"/>
            <w:u w:val="none"/>
            <w:lang w:val="en-GB"/>
          </w:rPr>
          <w:t>jjou@mx.nthu.edu.tw</w:t>
        </w:r>
      </w:hyperlink>
      <w:r w:rsidRPr="005A1CD7">
        <w:rPr>
          <w:rFonts w:cs="Times New Roman"/>
          <w:bCs/>
          <w:szCs w:val="24"/>
          <w:lang w:val="en-GB"/>
        </w:rPr>
        <w:t xml:space="preserve"> (J.-H.J.) </w:t>
      </w:r>
    </w:p>
    <w:p w14:paraId="659533A2" w14:textId="77777777" w:rsidR="007B7050" w:rsidRPr="005A1CD7" w:rsidRDefault="007B7050" w:rsidP="007B7050">
      <w:pPr>
        <w:jc w:val="center"/>
        <w:rPr>
          <w:rFonts w:cs="Times New Roman"/>
          <w:bCs/>
          <w:szCs w:val="24"/>
          <w:lang w:val="en-GB"/>
        </w:rPr>
      </w:pPr>
      <w:r w:rsidRPr="005A1CD7">
        <w:rPr>
          <w:rFonts w:cs="Times New Roman"/>
          <w:bCs/>
          <w:szCs w:val="24"/>
          <w:lang w:val="en-GB"/>
        </w:rPr>
        <w:t>§ These authors contributed equally to this work.</w:t>
      </w:r>
    </w:p>
    <w:p w14:paraId="7437F48B" w14:textId="77777777" w:rsidR="007B7050" w:rsidRDefault="007B7050" w:rsidP="00855FA1">
      <w:pPr>
        <w:jc w:val="left"/>
        <w:rPr>
          <w:rFonts w:cs="Times New Roman"/>
          <w:bCs/>
          <w:szCs w:val="24"/>
          <w:lang w:val="en-GB"/>
        </w:rPr>
      </w:pPr>
    </w:p>
    <w:p w14:paraId="13AC42DA" w14:textId="77777777" w:rsidR="007B7050" w:rsidRDefault="007B7050" w:rsidP="00855FA1">
      <w:pPr>
        <w:jc w:val="left"/>
        <w:rPr>
          <w:rFonts w:cs="Times New Roman"/>
          <w:bCs/>
          <w:szCs w:val="24"/>
          <w:lang w:val="en-GB"/>
        </w:rPr>
      </w:pPr>
    </w:p>
    <w:p w14:paraId="3304C93F" w14:textId="21AD6299" w:rsidR="00855FA1" w:rsidRPr="00855FA1" w:rsidRDefault="00855FA1" w:rsidP="00855FA1">
      <w:pPr>
        <w:jc w:val="left"/>
        <w:rPr>
          <w:rFonts w:cs="Times New Roman"/>
          <w:bCs/>
          <w:szCs w:val="24"/>
          <w:lang w:val="en-GB"/>
        </w:rPr>
      </w:pPr>
      <w:r w:rsidRPr="00855FA1">
        <w:rPr>
          <w:rFonts w:cs="Times New Roman"/>
          <w:bCs/>
          <w:szCs w:val="24"/>
          <w:lang w:val="en-GB"/>
        </w:rPr>
        <w:t>Table of Contents</w:t>
      </w:r>
    </w:p>
    <w:p w14:paraId="79A215B7" w14:textId="28D39292" w:rsidR="00855FA1" w:rsidRPr="00855FA1" w:rsidRDefault="00B276C9" w:rsidP="00855FA1">
      <w:pPr>
        <w:pStyle w:val="ListParagraph"/>
        <w:numPr>
          <w:ilvl w:val="0"/>
          <w:numId w:val="3"/>
        </w:numPr>
        <w:jc w:val="left"/>
        <w:rPr>
          <w:rFonts w:cs="Times New Roman"/>
          <w:bCs/>
          <w:szCs w:val="24"/>
          <w:lang w:val="en-GB"/>
        </w:rPr>
      </w:pPr>
      <w:r>
        <w:rPr>
          <w:rFonts w:cs="Times New Roman"/>
          <w:bCs/>
          <w:szCs w:val="24"/>
          <w:lang w:val="en-GB"/>
        </w:rPr>
        <w:t>Thermogravimetric analysis</w:t>
      </w:r>
    </w:p>
    <w:p w14:paraId="12B2E286" w14:textId="78A12483" w:rsidR="00B276C9" w:rsidRPr="00E02B8C" w:rsidRDefault="00B276C9" w:rsidP="00E02B8C">
      <w:pPr>
        <w:pStyle w:val="ListParagraph"/>
        <w:numPr>
          <w:ilvl w:val="0"/>
          <w:numId w:val="3"/>
        </w:numPr>
        <w:jc w:val="left"/>
        <w:rPr>
          <w:rFonts w:cs="Times New Roman"/>
          <w:bCs/>
          <w:szCs w:val="24"/>
          <w:lang w:val="en-GB"/>
        </w:rPr>
      </w:pPr>
      <w:r>
        <w:rPr>
          <w:rFonts w:cs="Times New Roman"/>
          <w:bCs/>
          <w:szCs w:val="24"/>
          <w:lang w:val="en-GB"/>
        </w:rPr>
        <w:t>U</w:t>
      </w:r>
      <w:r w:rsidR="009E325B">
        <w:rPr>
          <w:rFonts w:cs="Times New Roman"/>
          <w:bCs/>
          <w:szCs w:val="24"/>
          <w:lang w:val="en-GB"/>
        </w:rPr>
        <w:t>ltraviolet</w:t>
      </w:r>
      <w:r>
        <w:rPr>
          <w:rFonts w:cs="Times New Roman"/>
          <w:bCs/>
          <w:szCs w:val="24"/>
          <w:lang w:val="en-GB"/>
        </w:rPr>
        <w:t>-</w:t>
      </w:r>
      <w:r w:rsidR="009E325B">
        <w:rPr>
          <w:rFonts w:cs="Times New Roman"/>
          <w:bCs/>
          <w:szCs w:val="24"/>
          <w:lang w:val="en-GB"/>
        </w:rPr>
        <w:t>v</w:t>
      </w:r>
      <w:r>
        <w:rPr>
          <w:rFonts w:cs="Times New Roman"/>
          <w:bCs/>
          <w:szCs w:val="24"/>
          <w:lang w:val="en-GB"/>
        </w:rPr>
        <w:t>is</w:t>
      </w:r>
      <w:r w:rsidR="009E325B">
        <w:rPr>
          <w:rFonts w:cs="Times New Roman"/>
          <w:bCs/>
          <w:szCs w:val="24"/>
          <w:lang w:val="en-GB"/>
        </w:rPr>
        <w:t>ible</w:t>
      </w:r>
      <w:r>
        <w:rPr>
          <w:rFonts w:cs="Times New Roman"/>
          <w:bCs/>
          <w:szCs w:val="24"/>
          <w:lang w:val="en-GB"/>
        </w:rPr>
        <w:t xml:space="preserve"> absor</w:t>
      </w:r>
      <w:r w:rsidR="009E325B">
        <w:rPr>
          <w:rFonts w:cs="Times New Roman"/>
          <w:bCs/>
          <w:szCs w:val="24"/>
          <w:lang w:val="en-GB"/>
        </w:rPr>
        <w:t>ption</w:t>
      </w:r>
      <w:r>
        <w:rPr>
          <w:rFonts w:cs="Times New Roman"/>
          <w:bCs/>
          <w:szCs w:val="24"/>
          <w:lang w:val="en-GB"/>
        </w:rPr>
        <w:t xml:space="preserve"> bands and Tauc plots</w:t>
      </w:r>
    </w:p>
    <w:p w14:paraId="55402BC1" w14:textId="7BDD7B2D" w:rsidR="00B276C9" w:rsidRPr="00855FA1" w:rsidRDefault="00B276C9" w:rsidP="00855FA1">
      <w:pPr>
        <w:pStyle w:val="ListParagraph"/>
        <w:numPr>
          <w:ilvl w:val="0"/>
          <w:numId w:val="3"/>
        </w:numPr>
        <w:jc w:val="left"/>
        <w:rPr>
          <w:rFonts w:cs="Times New Roman"/>
          <w:bCs/>
          <w:szCs w:val="24"/>
          <w:lang w:val="en-GB"/>
        </w:rPr>
      </w:pPr>
      <w:r>
        <w:rPr>
          <w:rFonts w:cs="Times New Roman"/>
          <w:bCs/>
          <w:szCs w:val="24"/>
          <w:lang w:val="en-GB"/>
        </w:rPr>
        <w:t>Triplet energy</w:t>
      </w:r>
    </w:p>
    <w:p w14:paraId="71A3E43D" w14:textId="528D72AC" w:rsidR="003A44F3" w:rsidRDefault="00855FA1" w:rsidP="00B276C9">
      <w:pPr>
        <w:pStyle w:val="ListParagraph"/>
        <w:numPr>
          <w:ilvl w:val="0"/>
          <w:numId w:val="3"/>
        </w:numPr>
        <w:jc w:val="left"/>
        <w:rPr>
          <w:rFonts w:cs="Times New Roman"/>
          <w:bCs/>
          <w:szCs w:val="24"/>
          <w:lang w:val="en-GB"/>
        </w:rPr>
      </w:pPr>
      <w:r w:rsidRPr="00855FA1">
        <w:rPr>
          <w:rFonts w:cs="Times New Roman"/>
          <w:bCs/>
          <w:szCs w:val="24"/>
          <w:lang w:val="en-GB"/>
        </w:rPr>
        <w:t>Electroluminescence</w:t>
      </w:r>
    </w:p>
    <w:p w14:paraId="17750348" w14:textId="7F0BAFFA" w:rsidR="007B7050" w:rsidRDefault="007B7050">
      <w:pPr>
        <w:spacing w:after="200"/>
        <w:ind w:firstLine="0"/>
        <w:jc w:val="left"/>
        <w:rPr>
          <w:rFonts w:cs="Times New Roman"/>
          <w:bCs/>
          <w:szCs w:val="24"/>
          <w:lang w:val="en-GB"/>
        </w:rPr>
      </w:pPr>
      <w:r>
        <w:rPr>
          <w:rFonts w:cs="Times New Roman"/>
          <w:bCs/>
          <w:szCs w:val="24"/>
          <w:lang w:val="en-GB"/>
        </w:rPr>
        <w:br w:type="page"/>
      </w:r>
    </w:p>
    <w:p w14:paraId="039EC610" w14:textId="4F312EAB" w:rsidR="003A44F3" w:rsidRDefault="003A44F3" w:rsidP="00B276C9">
      <w:pPr>
        <w:pStyle w:val="Heading1"/>
        <w:numPr>
          <w:ilvl w:val="0"/>
          <w:numId w:val="4"/>
        </w:numPr>
        <w:rPr>
          <w:lang w:val="en-GB"/>
        </w:rPr>
      </w:pPr>
      <w:r>
        <w:rPr>
          <w:lang w:val="en-GB"/>
        </w:rPr>
        <w:lastRenderedPageBreak/>
        <w:t>Thermogravimetric analysis</w:t>
      </w:r>
    </w:p>
    <w:p w14:paraId="4FB6E83B" w14:textId="03798105" w:rsidR="003A44F3" w:rsidRDefault="003A44F3" w:rsidP="003A44F3">
      <w:pPr>
        <w:ind w:firstLine="0"/>
        <w:jc w:val="center"/>
        <w:rPr>
          <w:rFonts w:cs="Times New Roman"/>
          <w:bCs/>
          <w:szCs w:val="24"/>
          <w:lang w:val="en-GB"/>
        </w:rPr>
      </w:pPr>
      <w:r w:rsidRPr="003A44F3">
        <w:rPr>
          <w:rFonts w:cs="Times New Roman"/>
          <w:bCs/>
          <w:noProof/>
          <w:szCs w:val="24"/>
          <w:lang w:val="en-GB" w:eastAsia="en-GB"/>
        </w:rPr>
        <w:drawing>
          <wp:inline distT="0" distB="0" distL="0" distR="0" wp14:anchorId="67575BD4" wp14:editId="3FE1BA31">
            <wp:extent cx="5982679" cy="3436620"/>
            <wp:effectExtent l="0" t="0" r="0" b="0"/>
            <wp:docPr id="8" name="Picture 7" descr="A black background with re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381AEF8-121F-46DD-91A5-10DB9E775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lack background with red lines&#10;&#10;Description automatically generated">
                      <a:extLst>
                        <a:ext uri="{FF2B5EF4-FFF2-40B4-BE49-F238E27FC236}">
                          <a16:creationId xmlns:a16="http://schemas.microsoft.com/office/drawing/2014/main" id="{A381AEF8-121F-46DD-91A5-10DB9E775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992" r="3631"/>
                    <a:stretch/>
                  </pic:blipFill>
                  <pic:spPr bwMode="auto">
                    <a:xfrm>
                      <a:off x="0" y="0"/>
                      <a:ext cx="5986268" cy="343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59709" w14:textId="778AA7D9" w:rsidR="003A44F3" w:rsidRDefault="003A44F3" w:rsidP="003A44F3">
      <w:pPr>
        <w:ind w:firstLine="0"/>
        <w:jc w:val="center"/>
        <w:rPr>
          <w:rFonts w:cs="Times New Roman"/>
          <w:bCs/>
          <w:szCs w:val="24"/>
          <w:lang w:val="en-GB"/>
        </w:rPr>
      </w:pPr>
      <w:r w:rsidRPr="003A44F3">
        <w:rPr>
          <w:rFonts w:cs="Times New Roman"/>
          <w:b/>
          <w:szCs w:val="24"/>
          <w:lang w:val="en-GB"/>
        </w:rPr>
        <w:t>Figure S1.</w:t>
      </w:r>
      <w:r>
        <w:rPr>
          <w:rFonts w:cs="Times New Roman"/>
          <w:bCs/>
          <w:szCs w:val="24"/>
          <w:lang w:val="en-GB"/>
        </w:rPr>
        <w:t xml:space="preserve"> Data of thermogravimetric analysis of the compounds DB37 – DB41 and DB44.</w:t>
      </w:r>
      <w:r w:rsidR="00961B33">
        <w:rPr>
          <w:rFonts w:cs="Times New Roman"/>
          <w:bCs/>
          <w:szCs w:val="24"/>
          <w:lang w:val="en-GB"/>
        </w:rPr>
        <w:t xml:space="preserve"> Heating rate: 10 </w:t>
      </w:r>
      <w:r w:rsidR="00961B33">
        <w:rPr>
          <w:rFonts w:cs="Times New Roman"/>
          <w:bCs/>
          <w:szCs w:val="24"/>
          <w:vertAlign w:val="superscript"/>
          <w:lang w:val="en-GB"/>
        </w:rPr>
        <w:t>o</w:t>
      </w:r>
      <w:r w:rsidR="00961B33">
        <w:rPr>
          <w:rFonts w:cs="Times New Roman"/>
          <w:bCs/>
          <w:szCs w:val="24"/>
          <w:lang w:val="en-GB"/>
        </w:rPr>
        <w:t>C/min.</w:t>
      </w:r>
    </w:p>
    <w:p w14:paraId="1B24E5F7" w14:textId="77777777" w:rsidR="00B276C9" w:rsidRPr="00961B33" w:rsidRDefault="00B276C9" w:rsidP="003A44F3">
      <w:pPr>
        <w:ind w:firstLine="0"/>
        <w:jc w:val="center"/>
        <w:rPr>
          <w:rFonts w:cs="Times New Roman"/>
          <w:bCs/>
          <w:szCs w:val="24"/>
          <w:lang w:val="en-GB"/>
        </w:rPr>
      </w:pPr>
    </w:p>
    <w:p w14:paraId="4507A430" w14:textId="2F5EEEFB" w:rsidR="00314FA1" w:rsidRPr="00FD20B1" w:rsidRDefault="00314FA1" w:rsidP="00FD20B1">
      <w:pPr>
        <w:pStyle w:val="Heading1"/>
        <w:numPr>
          <w:ilvl w:val="0"/>
          <w:numId w:val="4"/>
        </w:numPr>
        <w:rPr>
          <w:lang w:val="en-GB"/>
        </w:rPr>
      </w:pPr>
      <w:r>
        <w:rPr>
          <w:lang w:val="en-GB"/>
        </w:rPr>
        <w:t>UV-Vis absorption bands and Tauc plots</w:t>
      </w:r>
    </w:p>
    <w:p w14:paraId="2910B7F3" w14:textId="0B9ECECB" w:rsidR="00FD20B1" w:rsidRDefault="00FD20B1" w:rsidP="00314FA1">
      <w:pPr>
        <w:ind w:firstLine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D7A5F9B" wp14:editId="3F4C63B1">
            <wp:extent cx="6260500" cy="3368040"/>
            <wp:effectExtent l="0" t="0" r="0" b="0"/>
            <wp:docPr id="624213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36" cy="33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6F60" w14:textId="50E05742" w:rsidR="00314FA1" w:rsidRDefault="00314FA1" w:rsidP="00314FA1">
      <w:pPr>
        <w:ind w:firstLine="0"/>
        <w:jc w:val="center"/>
        <w:rPr>
          <w:rFonts w:cs="Times New Roman"/>
          <w:bCs/>
          <w:szCs w:val="24"/>
          <w:lang w:val="en-GB"/>
        </w:rPr>
      </w:pPr>
      <w:r w:rsidRPr="003A44F3">
        <w:rPr>
          <w:rFonts w:cs="Times New Roman"/>
          <w:b/>
          <w:szCs w:val="24"/>
          <w:lang w:val="en-GB"/>
        </w:rPr>
        <w:t>Figure S</w:t>
      </w:r>
      <w:r>
        <w:rPr>
          <w:rFonts w:cs="Times New Roman"/>
          <w:b/>
          <w:szCs w:val="24"/>
          <w:lang w:val="en-GB"/>
        </w:rPr>
        <w:t>2</w:t>
      </w:r>
      <w:r w:rsidRPr="003A44F3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Cs/>
          <w:szCs w:val="24"/>
          <w:lang w:val="en-GB"/>
        </w:rPr>
        <w:t xml:space="preserve"> </w:t>
      </w:r>
      <w:r w:rsidRPr="00314FA1">
        <w:rPr>
          <w:rFonts w:cs="Times New Roman"/>
          <w:bCs/>
          <w:szCs w:val="24"/>
          <w:lang w:val="en-GB"/>
        </w:rPr>
        <w:t>Ultraviolet-visible absorbance spectra and tauc plots (inset) of the compounds DB37 – DB41 and DB44.</w:t>
      </w:r>
    </w:p>
    <w:p w14:paraId="18330242" w14:textId="77777777" w:rsidR="00B276C9" w:rsidRDefault="00B276C9" w:rsidP="00B276C9">
      <w:pPr>
        <w:ind w:firstLine="0"/>
        <w:rPr>
          <w:rFonts w:cs="Times New Roman"/>
          <w:bCs/>
          <w:szCs w:val="24"/>
          <w:lang w:val="en-GB"/>
        </w:rPr>
      </w:pPr>
    </w:p>
    <w:p w14:paraId="4AB5FB9B" w14:textId="6D5AB34F" w:rsidR="003F6EEB" w:rsidRDefault="003F6EEB" w:rsidP="00B276C9">
      <w:pPr>
        <w:pStyle w:val="Heading1"/>
        <w:numPr>
          <w:ilvl w:val="0"/>
          <w:numId w:val="4"/>
        </w:numPr>
        <w:rPr>
          <w:lang w:val="en-GB"/>
        </w:rPr>
      </w:pPr>
      <w:r>
        <w:rPr>
          <w:lang w:val="en-GB"/>
        </w:rPr>
        <w:t>Triplet energy</w:t>
      </w:r>
    </w:p>
    <w:p w14:paraId="5AF29CDB" w14:textId="747D5AE2" w:rsidR="003F6EEB" w:rsidRDefault="00946C1B" w:rsidP="00946C1B">
      <w:pPr>
        <w:ind w:firstLine="0"/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ED5B88A" wp14:editId="36EE2954">
            <wp:extent cx="5379720" cy="3329940"/>
            <wp:effectExtent l="0" t="0" r="0" b="0"/>
            <wp:docPr id="1558321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-1" r="8468" b="-1392"/>
                    <a:stretch/>
                  </pic:blipFill>
                  <pic:spPr bwMode="auto">
                    <a:xfrm>
                      <a:off x="0" y="0"/>
                      <a:ext cx="5379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A01EC" w14:textId="4E7BC88E" w:rsidR="002A0C11" w:rsidRDefault="002A0C11" w:rsidP="002A0C11">
      <w:pPr>
        <w:ind w:firstLine="0"/>
        <w:jc w:val="center"/>
        <w:rPr>
          <w:rFonts w:cs="Times New Roman"/>
          <w:bCs/>
          <w:szCs w:val="24"/>
          <w:lang w:val="en-GB"/>
        </w:rPr>
      </w:pPr>
      <w:r w:rsidRPr="003A44F3">
        <w:rPr>
          <w:rFonts w:cs="Times New Roman"/>
          <w:b/>
          <w:szCs w:val="24"/>
          <w:lang w:val="en-GB"/>
        </w:rPr>
        <w:t>Figure S</w:t>
      </w:r>
      <w:r w:rsidR="00E02B8C">
        <w:rPr>
          <w:rFonts w:cs="Times New Roman"/>
          <w:b/>
          <w:szCs w:val="24"/>
          <w:lang w:val="en-GB"/>
        </w:rPr>
        <w:t>3</w:t>
      </w:r>
      <w:r w:rsidRPr="003A44F3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Cs/>
          <w:szCs w:val="24"/>
          <w:lang w:val="en-GB"/>
        </w:rPr>
        <w:t xml:space="preserve"> </w:t>
      </w:r>
      <w:r w:rsidRPr="002A0C11">
        <w:rPr>
          <w:rFonts w:cs="Times New Roman"/>
          <w:bCs/>
          <w:szCs w:val="24"/>
          <w:lang w:val="en-GB"/>
        </w:rPr>
        <w:t xml:space="preserve">LTPL spectra of the </w:t>
      </w:r>
      <w:r w:rsidR="00645970" w:rsidRPr="002A0C11">
        <w:rPr>
          <w:rFonts w:cs="Times New Roman"/>
          <w:bCs/>
          <w:szCs w:val="24"/>
          <w:lang w:val="en-GB"/>
        </w:rPr>
        <w:t>derivatives DB</w:t>
      </w:r>
      <w:r>
        <w:rPr>
          <w:rFonts w:cs="Times New Roman"/>
          <w:bCs/>
          <w:szCs w:val="24"/>
          <w:lang w:val="en-GB"/>
        </w:rPr>
        <w:t>37</w:t>
      </w:r>
      <w:r w:rsidRPr="002A0C11">
        <w:rPr>
          <w:rFonts w:cs="Times New Roman"/>
          <w:bCs/>
          <w:szCs w:val="24"/>
          <w:lang w:val="en-GB"/>
        </w:rPr>
        <w:t>, DB</w:t>
      </w:r>
      <w:r>
        <w:rPr>
          <w:rFonts w:cs="Times New Roman"/>
          <w:bCs/>
          <w:szCs w:val="24"/>
          <w:lang w:val="en-GB"/>
        </w:rPr>
        <w:t>38, DB39, DB40, DB41</w:t>
      </w:r>
      <w:r w:rsidRPr="002A0C11">
        <w:rPr>
          <w:rFonts w:cs="Times New Roman"/>
          <w:bCs/>
          <w:szCs w:val="24"/>
          <w:lang w:val="en-GB"/>
        </w:rPr>
        <w:t xml:space="preserve"> and DB</w:t>
      </w:r>
      <w:r>
        <w:rPr>
          <w:rFonts w:cs="Times New Roman"/>
          <w:bCs/>
          <w:szCs w:val="24"/>
          <w:lang w:val="en-GB"/>
        </w:rPr>
        <w:t>44</w:t>
      </w:r>
      <w:r w:rsidRPr="002A0C11">
        <w:rPr>
          <w:rFonts w:cs="Times New Roman"/>
          <w:bCs/>
          <w:szCs w:val="24"/>
          <w:lang w:val="en-GB"/>
        </w:rPr>
        <w:t xml:space="preserve"> at 77K of the compounds.</w:t>
      </w:r>
    </w:p>
    <w:p w14:paraId="0EAB8AD3" w14:textId="34A6AF06" w:rsidR="00B60D3D" w:rsidRPr="003B0555" w:rsidRDefault="00B60D3D" w:rsidP="003B0555">
      <w:pPr>
        <w:pStyle w:val="Heading1"/>
        <w:numPr>
          <w:ilvl w:val="0"/>
          <w:numId w:val="4"/>
        </w:numPr>
        <w:rPr>
          <w:lang w:val="en-GB"/>
        </w:rPr>
      </w:pPr>
      <w:r>
        <w:rPr>
          <w:lang w:val="en-GB"/>
        </w:rPr>
        <w:t>Electroluminescent properties</w:t>
      </w:r>
    </w:p>
    <w:p w14:paraId="1AA505D2" w14:textId="2DC451D1" w:rsidR="003B0555" w:rsidRDefault="003B0555" w:rsidP="00B60D3D">
      <w:pPr>
        <w:ind w:firstLine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1BFB319" wp14:editId="0F1A4A9A">
            <wp:extent cx="6111240" cy="3520440"/>
            <wp:effectExtent l="0" t="0" r="0" b="0"/>
            <wp:docPr id="832805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51F8" w14:textId="3F6F8138" w:rsidR="00B60D3D" w:rsidRDefault="00B60D3D" w:rsidP="00CF33F7">
      <w:pPr>
        <w:jc w:val="center"/>
        <w:rPr>
          <w:lang w:val="en-GB"/>
        </w:rPr>
      </w:pPr>
      <w:r w:rsidRPr="00AE4A27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E02B8C">
        <w:rPr>
          <w:b/>
          <w:bCs/>
          <w:lang w:val="en-GB"/>
        </w:rPr>
        <w:t>4</w:t>
      </w:r>
      <w:r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5413A2">
        <w:rPr>
          <w:lang w:val="en-GB"/>
        </w:rPr>
        <w:t>The electroluminescent (EL) properties of the device with emitter DB</w:t>
      </w:r>
      <w:r>
        <w:rPr>
          <w:lang w:val="en-GB"/>
        </w:rPr>
        <w:t>37</w:t>
      </w:r>
      <w:r w:rsidRPr="005413A2">
        <w:rPr>
          <w:lang w:val="en-GB"/>
        </w:rPr>
        <w:t xml:space="preserve"> doped in</w:t>
      </w:r>
      <w:r>
        <w:rPr>
          <w:lang w:val="en-GB"/>
        </w:rPr>
        <w:t xml:space="preserve"> </w:t>
      </w:r>
      <w:r w:rsidRPr="005413A2">
        <w:rPr>
          <w:lang w:val="en-GB"/>
        </w:rPr>
        <w:t>CBP host</w:t>
      </w:r>
      <w:r>
        <w:rPr>
          <w:lang w:val="en-GB"/>
        </w:rPr>
        <w:t xml:space="preserve"> </w:t>
      </w:r>
      <w:r w:rsidRPr="005413A2">
        <w:rPr>
          <w:lang w:val="en-GB"/>
        </w:rPr>
        <w:t>matrix at varying concentrations showing (a) EL spectra, (b) current density–voltage, (c)</w:t>
      </w:r>
      <w:r>
        <w:rPr>
          <w:lang w:val="en-GB"/>
        </w:rPr>
        <w:t xml:space="preserve"> </w:t>
      </w:r>
      <w:r w:rsidRPr="005413A2">
        <w:rPr>
          <w:lang w:val="en-GB"/>
        </w:rPr>
        <w:lastRenderedPageBreak/>
        <w:t>luminance–voltage, (d) power efficacy–luminance, and (e) current efficacy–luminance</w:t>
      </w:r>
      <w:r>
        <w:rPr>
          <w:lang w:val="en-GB"/>
        </w:rPr>
        <w:t xml:space="preserve"> </w:t>
      </w:r>
      <w:r w:rsidRPr="005413A2">
        <w:rPr>
          <w:lang w:val="en-GB"/>
        </w:rPr>
        <w:t>characteristics.</w:t>
      </w:r>
    </w:p>
    <w:p w14:paraId="094CAE57" w14:textId="7697E437" w:rsidR="00CF33F7" w:rsidRDefault="00CF33F7" w:rsidP="00257B71">
      <w:pPr>
        <w:ind w:firstLine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1256F5C" wp14:editId="085229F7">
            <wp:extent cx="5527169" cy="3076769"/>
            <wp:effectExtent l="0" t="0" r="0" b="9525"/>
            <wp:docPr id="5796849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1" cy="30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F27A" w14:textId="7B0791E1" w:rsidR="00257B71" w:rsidRDefault="00257B71" w:rsidP="00CF33F7">
      <w:pPr>
        <w:jc w:val="center"/>
        <w:rPr>
          <w:lang w:val="en-GB"/>
        </w:rPr>
      </w:pPr>
      <w:r w:rsidRPr="00AE4A27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E02B8C">
        <w:rPr>
          <w:b/>
          <w:bCs/>
          <w:lang w:val="en-GB"/>
        </w:rPr>
        <w:t>5</w:t>
      </w:r>
      <w:r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5413A2">
        <w:rPr>
          <w:lang w:val="en-GB"/>
        </w:rPr>
        <w:t>The electroluminescent (EL) properties of the device with emitter DB</w:t>
      </w:r>
      <w:r>
        <w:rPr>
          <w:lang w:val="en-GB"/>
        </w:rPr>
        <w:t>38</w:t>
      </w:r>
      <w:r w:rsidRPr="005413A2">
        <w:rPr>
          <w:lang w:val="en-GB"/>
        </w:rPr>
        <w:t xml:space="preserve"> doped in</w:t>
      </w:r>
      <w:r>
        <w:rPr>
          <w:lang w:val="en-GB"/>
        </w:rPr>
        <w:t xml:space="preserve"> </w:t>
      </w:r>
      <w:r w:rsidRPr="005413A2">
        <w:rPr>
          <w:lang w:val="en-GB"/>
        </w:rPr>
        <w:t>CBP host</w:t>
      </w:r>
      <w:r>
        <w:rPr>
          <w:lang w:val="en-GB"/>
        </w:rPr>
        <w:t xml:space="preserve"> </w:t>
      </w:r>
      <w:r w:rsidRPr="005413A2">
        <w:rPr>
          <w:lang w:val="en-GB"/>
        </w:rPr>
        <w:t>matrix at varying concentrations showing (a) EL spectra, (b) current density–voltage, (c)</w:t>
      </w:r>
      <w:r>
        <w:rPr>
          <w:lang w:val="en-GB"/>
        </w:rPr>
        <w:t xml:space="preserve"> </w:t>
      </w:r>
      <w:r w:rsidRPr="005413A2">
        <w:rPr>
          <w:lang w:val="en-GB"/>
        </w:rPr>
        <w:t>luminance–voltage, (d) power efficacy–luminance, and (e) current efficacy–luminance</w:t>
      </w:r>
      <w:r>
        <w:rPr>
          <w:lang w:val="en-GB"/>
        </w:rPr>
        <w:t xml:space="preserve"> </w:t>
      </w:r>
      <w:r w:rsidRPr="005413A2">
        <w:rPr>
          <w:lang w:val="en-GB"/>
        </w:rPr>
        <w:t>characteristics.</w:t>
      </w:r>
    </w:p>
    <w:p w14:paraId="08944848" w14:textId="59B9EC58" w:rsidR="00CF33F7" w:rsidRDefault="00CF33F7" w:rsidP="00257B71">
      <w:pPr>
        <w:ind w:firstLine="0"/>
        <w:rPr>
          <w:lang w:val="en-GB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0824FDCD" wp14:editId="55204668">
            <wp:extent cx="5375740" cy="3116857"/>
            <wp:effectExtent l="0" t="0" r="0" b="7620"/>
            <wp:docPr id="6064859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90" cy="31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A3CDFF" w14:textId="77777777" w:rsidR="00CF33F7" w:rsidRDefault="00CF33F7" w:rsidP="00257B71">
      <w:pPr>
        <w:ind w:firstLine="0"/>
        <w:rPr>
          <w:lang w:val="en-GB"/>
        </w:rPr>
      </w:pPr>
    </w:p>
    <w:p w14:paraId="5962FD0C" w14:textId="45772425" w:rsidR="00257B71" w:rsidRDefault="00257B71" w:rsidP="00CF33F7">
      <w:pPr>
        <w:jc w:val="center"/>
        <w:rPr>
          <w:lang w:val="en-GB"/>
        </w:rPr>
      </w:pPr>
      <w:r w:rsidRPr="00AE4A27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E02B8C">
        <w:rPr>
          <w:b/>
          <w:bCs/>
          <w:lang w:val="en-GB"/>
        </w:rPr>
        <w:t>6</w:t>
      </w:r>
      <w:r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5413A2">
        <w:rPr>
          <w:lang w:val="en-GB"/>
        </w:rPr>
        <w:t>The electroluminescent (EL) properties of the device with emitter DB</w:t>
      </w:r>
      <w:r>
        <w:rPr>
          <w:lang w:val="en-GB"/>
        </w:rPr>
        <w:t>40</w:t>
      </w:r>
      <w:r w:rsidRPr="005413A2">
        <w:rPr>
          <w:lang w:val="en-GB"/>
        </w:rPr>
        <w:t xml:space="preserve"> doped in</w:t>
      </w:r>
      <w:r>
        <w:rPr>
          <w:lang w:val="en-GB"/>
        </w:rPr>
        <w:t xml:space="preserve"> </w:t>
      </w:r>
      <w:r w:rsidRPr="005413A2">
        <w:rPr>
          <w:lang w:val="en-GB"/>
        </w:rPr>
        <w:t>CBP host</w:t>
      </w:r>
      <w:r>
        <w:rPr>
          <w:lang w:val="en-GB"/>
        </w:rPr>
        <w:t xml:space="preserve"> </w:t>
      </w:r>
      <w:r w:rsidRPr="005413A2">
        <w:rPr>
          <w:lang w:val="en-GB"/>
        </w:rPr>
        <w:t>matrix at varying concentrations showing (a) EL spectra, (b) current density–voltage, (c)</w:t>
      </w:r>
      <w:r>
        <w:rPr>
          <w:lang w:val="en-GB"/>
        </w:rPr>
        <w:t xml:space="preserve"> </w:t>
      </w:r>
      <w:r w:rsidRPr="005413A2">
        <w:rPr>
          <w:lang w:val="en-GB"/>
        </w:rPr>
        <w:t>luminance–voltage, (d) power efficacy–luminance, and (e) current efficacy–luminance</w:t>
      </w:r>
      <w:r>
        <w:rPr>
          <w:lang w:val="en-GB"/>
        </w:rPr>
        <w:t xml:space="preserve"> </w:t>
      </w:r>
      <w:r w:rsidRPr="005413A2">
        <w:rPr>
          <w:lang w:val="en-GB"/>
        </w:rPr>
        <w:t>characteristics.</w:t>
      </w:r>
    </w:p>
    <w:p w14:paraId="75044EBB" w14:textId="5660B991" w:rsidR="00CF33F7" w:rsidRDefault="00CF33F7" w:rsidP="00257B71">
      <w:pPr>
        <w:ind w:firstLine="0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FE0C0E0" wp14:editId="72F2C9B6">
            <wp:extent cx="5915890" cy="3433132"/>
            <wp:effectExtent l="0" t="0" r="0" b="0"/>
            <wp:docPr id="18865292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07" cy="34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55C9" w14:textId="0A843292" w:rsidR="00257B71" w:rsidRDefault="00257B71" w:rsidP="00CF33F7">
      <w:pPr>
        <w:jc w:val="center"/>
        <w:rPr>
          <w:lang w:val="en-GB"/>
        </w:rPr>
      </w:pPr>
      <w:r w:rsidRPr="00AE4A27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E02B8C">
        <w:rPr>
          <w:b/>
          <w:bCs/>
          <w:lang w:val="en-GB"/>
        </w:rPr>
        <w:t>7</w:t>
      </w:r>
      <w:r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5413A2">
        <w:rPr>
          <w:lang w:val="en-GB"/>
        </w:rPr>
        <w:t>The electroluminescent (EL) properties of the device with emitter DB</w:t>
      </w:r>
      <w:r>
        <w:rPr>
          <w:lang w:val="en-GB"/>
        </w:rPr>
        <w:t>41</w:t>
      </w:r>
      <w:r w:rsidRPr="005413A2">
        <w:rPr>
          <w:lang w:val="en-GB"/>
        </w:rPr>
        <w:t xml:space="preserve"> doped in</w:t>
      </w:r>
      <w:r>
        <w:rPr>
          <w:lang w:val="en-GB"/>
        </w:rPr>
        <w:t xml:space="preserve"> </w:t>
      </w:r>
      <w:r w:rsidRPr="005413A2">
        <w:rPr>
          <w:lang w:val="en-GB"/>
        </w:rPr>
        <w:t>CBP host</w:t>
      </w:r>
      <w:r>
        <w:rPr>
          <w:lang w:val="en-GB"/>
        </w:rPr>
        <w:t xml:space="preserve"> </w:t>
      </w:r>
      <w:r w:rsidRPr="005413A2">
        <w:rPr>
          <w:lang w:val="en-GB"/>
        </w:rPr>
        <w:t>matrix at varying concentrations showing (a) EL spectra, (b) current density–voltage, (c)</w:t>
      </w:r>
      <w:r>
        <w:rPr>
          <w:lang w:val="en-GB"/>
        </w:rPr>
        <w:t xml:space="preserve"> </w:t>
      </w:r>
      <w:r w:rsidRPr="005413A2">
        <w:rPr>
          <w:lang w:val="en-GB"/>
        </w:rPr>
        <w:t>luminance–voltage, (d) power efficacy–luminance, and (e) current efficacy–luminance</w:t>
      </w:r>
      <w:r>
        <w:rPr>
          <w:lang w:val="en-GB"/>
        </w:rPr>
        <w:t xml:space="preserve"> </w:t>
      </w:r>
      <w:r w:rsidRPr="005413A2">
        <w:rPr>
          <w:lang w:val="en-GB"/>
        </w:rPr>
        <w:t>characteristics.</w:t>
      </w:r>
    </w:p>
    <w:p w14:paraId="2DADC1A2" w14:textId="6BBB42FA" w:rsidR="00CF33F7" w:rsidRDefault="00CF33F7" w:rsidP="00257B71">
      <w:pPr>
        <w:ind w:firstLine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A5050E2" wp14:editId="269547C8">
            <wp:extent cx="6103620" cy="3535680"/>
            <wp:effectExtent l="0" t="0" r="0" b="0"/>
            <wp:docPr id="19446449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5E2F" w14:textId="40832974" w:rsidR="00B60D3D" w:rsidRPr="00855FA1" w:rsidRDefault="00257B71" w:rsidP="00B276C9">
      <w:pPr>
        <w:jc w:val="center"/>
        <w:rPr>
          <w:lang w:val="en-GB"/>
        </w:rPr>
      </w:pPr>
      <w:r w:rsidRPr="00AE4A27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S</w:t>
      </w:r>
      <w:r w:rsidR="00E02B8C">
        <w:rPr>
          <w:b/>
          <w:bCs/>
          <w:lang w:val="en-GB"/>
        </w:rPr>
        <w:t>8</w:t>
      </w:r>
      <w:r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5413A2">
        <w:rPr>
          <w:lang w:val="en-GB"/>
        </w:rPr>
        <w:t>The electroluminescent (EL) properties of the device with emitter DB</w:t>
      </w:r>
      <w:r>
        <w:rPr>
          <w:lang w:val="en-GB"/>
        </w:rPr>
        <w:t>44</w:t>
      </w:r>
      <w:r w:rsidRPr="005413A2">
        <w:rPr>
          <w:lang w:val="en-GB"/>
        </w:rPr>
        <w:t xml:space="preserve"> doped in</w:t>
      </w:r>
      <w:r>
        <w:rPr>
          <w:lang w:val="en-GB"/>
        </w:rPr>
        <w:t xml:space="preserve"> </w:t>
      </w:r>
      <w:r w:rsidRPr="005413A2">
        <w:rPr>
          <w:lang w:val="en-GB"/>
        </w:rPr>
        <w:t>CBP host</w:t>
      </w:r>
      <w:r>
        <w:rPr>
          <w:lang w:val="en-GB"/>
        </w:rPr>
        <w:t xml:space="preserve"> </w:t>
      </w:r>
      <w:r w:rsidRPr="005413A2">
        <w:rPr>
          <w:lang w:val="en-GB"/>
        </w:rPr>
        <w:t>matrix at varying concentrations showing (a) EL spectra, (b) current density–voltage, (c)</w:t>
      </w:r>
      <w:r>
        <w:rPr>
          <w:lang w:val="en-GB"/>
        </w:rPr>
        <w:t xml:space="preserve"> </w:t>
      </w:r>
      <w:r w:rsidRPr="005413A2">
        <w:rPr>
          <w:lang w:val="en-GB"/>
        </w:rPr>
        <w:t>luminance–voltage, (d) power efficacy–luminance, and (e) current efficacy–luminance</w:t>
      </w:r>
      <w:r>
        <w:rPr>
          <w:lang w:val="en-GB"/>
        </w:rPr>
        <w:t xml:space="preserve"> </w:t>
      </w:r>
      <w:r w:rsidRPr="005413A2">
        <w:rPr>
          <w:lang w:val="en-GB"/>
        </w:rPr>
        <w:t>characteristics.</w:t>
      </w:r>
    </w:p>
    <w:sectPr w:rsidR="00B60D3D" w:rsidRPr="00855FA1" w:rsidSect="009A27AA">
      <w:endnotePr>
        <w:numFmt w:val="decimal"/>
      </w:endnotePr>
      <w:type w:val="continuous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A712F" w14:textId="77777777" w:rsidR="00A974FF" w:rsidRDefault="00A974FF" w:rsidP="00A6578D">
      <w:pPr>
        <w:spacing w:after="0" w:line="240" w:lineRule="auto"/>
      </w:pPr>
      <w:r>
        <w:separator/>
      </w:r>
    </w:p>
  </w:endnote>
  <w:endnote w:type="continuationSeparator" w:id="0">
    <w:p w14:paraId="69961AF7" w14:textId="77777777" w:rsidR="00A974FF" w:rsidRDefault="00A974FF" w:rsidP="00A65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CC82D" w14:textId="77777777" w:rsidR="00A974FF" w:rsidRDefault="00A974FF" w:rsidP="00A6578D">
      <w:pPr>
        <w:spacing w:after="0" w:line="240" w:lineRule="auto"/>
      </w:pPr>
      <w:r>
        <w:separator/>
      </w:r>
    </w:p>
  </w:footnote>
  <w:footnote w:type="continuationSeparator" w:id="0">
    <w:p w14:paraId="02B24A5B" w14:textId="77777777" w:rsidR="00A974FF" w:rsidRDefault="00A974FF" w:rsidP="00A65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034A6"/>
    <w:multiLevelType w:val="multilevel"/>
    <w:tmpl w:val="815E6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3F32F91"/>
    <w:multiLevelType w:val="hybridMultilevel"/>
    <w:tmpl w:val="0D444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A12D6"/>
    <w:multiLevelType w:val="hybridMultilevel"/>
    <w:tmpl w:val="DB46B784"/>
    <w:lvl w:ilvl="0" w:tplc="C7767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44D1FDF"/>
    <w:multiLevelType w:val="hybridMultilevel"/>
    <w:tmpl w:val="5FB2BD12"/>
    <w:lvl w:ilvl="0" w:tplc="8258D1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1296"/>
  <w:hyphenationZone w:val="396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C1"/>
    <w:rsid w:val="00006175"/>
    <w:rsid w:val="00010261"/>
    <w:rsid w:val="000116EE"/>
    <w:rsid w:val="000125DA"/>
    <w:rsid w:val="000127F8"/>
    <w:rsid w:val="000218FD"/>
    <w:rsid w:val="00021A69"/>
    <w:rsid w:val="00022604"/>
    <w:rsid w:val="00022D03"/>
    <w:rsid w:val="000230A3"/>
    <w:rsid w:val="00023512"/>
    <w:rsid w:val="00024E68"/>
    <w:rsid w:val="00024E72"/>
    <w:rsid w:val="00025F5D"/>
    <w:rsid w:val="000418B3"/>
    <w:rsid w:val="0005071B"/>
    <w:rsid w:val="00057037"/>
    <w:rsid w:val="000615CD"/>
    <w:rsid w:val="00081CD6"/>
    <w:rsid w:val="0009319A"/>
    <w:rsid w:val="00094920"/>
    <w:rsid w:val="00094D1E"/>
    <w:rsid w:val="000957FA"/>
    <w:rsid w:val="000968AD"/>
    <w:rsid w:val="000A09ED"/>
    <w:rsid w:val="000A6882"/>
    <w:rsid w:val="000B06BA"/>
    <w:rsid w:val="000B4EC4"/>
    <w:rsid w:val="000C6DE4"/>
    <w:rsid w:val="000D227F"/>
    <w:rsid w:val="000D5951"/>
    <w:rsid w:val="000D59BB"/>
    <w:rsid w:val="000D6B06"/>
    <w:rsid w:val="000D7626"/>
    <w:rsid w:val="000E291A"/>
    <w:rsid w:val="000E3E46"/>
    <w:rsid w:val="000F3F8F"/>
    <w:rsid w:val="001034A6"/>
    <w:rsid w:val="001068C3"/>
    <w:rsid w:val="00117F38"/>
    <w:rsid w:val="00120767"/>
    <w:rsid w:val="00121DE1"/>
    <w:rsid w:val="001221AF"/>
    <w:rsid w:val="00124F90"/>
    <w:rsid w:val="00132054"/>
    <w:rsid w:val="00135893"/>
    <w:rsid w:val="0013687A"/>
    <w:rsid w:val="00142C55"/>
    <w:rsid w:val="00146C96"/>
    <w:rsid w:val="0014787C"/>
    <w:rsid w:val="0015255A"/>
    <w:rsid w:val="001571A9"/>
    <w:rsid w:val="00162B1A"/>
    <w:rsid w:val="001669CE"/>
    <w:rsid w:val="00174680"/>
    <w:rsid w:val="001769CC"/>
    <w:rsid w:val="00176A79"/>
    <w:rsid w:val="00191F14"/>
    <w:rsid w:val="00193912"/>
    <w:rsid w:val="00196838"/>
    <w:rsid w:val="001B031D"/>
    <w:rsid w:val="001B6AD6"/>
    <w:rsid w:val="001B7009"/>
    <w:rsid w:val="001B7F44"/>
    <w:rsid w:val="001C374B"/>
    <w:rsid w:val="001D2BC4"/>
    <w:rsid w:val="001D6159"/>
    <w:rsid w:val="001E2BEA"/>
    <w:rsid w:val="001E36A0"/>
    <w:rsid w:val="001E5B25"/>
    <w:rsid w:val="001F7910"/>
    <w:rsid w:val="00206C0E"/>
    <w:rsid w:val="00210E8D"/>
    <w:rsid w:val="00212250"/>
    <w:rsid w:val="002167F1"/>
    <w:rsid w:val="0022283E"/>
    <w:rsid w:val="00223C9E"/>
    <w:rsid w:val="0024762C"/>
    <w:rsid w:val="00257B71"/>
    <w:rsid w:val="00267D32"/>
    <w:rsid w:val="00272763"/>
    <w:rsid w:val="002809DD"/>
    <w:rsid w:val="002869F9"/>
    <w:rsid w:val="002A0C11"/>
    <w:rsid w:val="002C18DF"/>
    <w:rsid w:val="002C3986"/>
    <w:rsid w:val="002C7285"/>
    <w:rsid w:val="002D2043"/>
    <w:rsid w:val="002D2639"/>
    <w:rsid w:val="002E0539"/>
    <w:rsid w:val="002F628A"/>
    <w:rsid w:val="002F7D92"/>
    <w:rsid w:val="00314FA1"/>
    <w:rsid w:val="00315437"/>
    <w:rsid w:val="003200C7"/>
    <w:rsid w:val="00322DE9"/>
    <w:rsid w:val="00326E99"/>
    <w:rsid w:val="00333526"/>
    <w:rsid w:val="00344C3B"/>
    <w:rsid w:val="00353122"/>
    <w:rsid w:val="00362732"/>
    <w:rsid w:val="00362BDC"/>
    <w:rsid w:val="00383728"/>
    <w:rsid w:val="0038422C"/>
    <w:rsid w:val="003846E2"/>
    <w:rsid w:val="00392347"/>
    <w:rsid w:val="00396D39"/>
    <w:rsid w:val="003A1E28"/>
    <w:rsid w:val="003A44F3"/>
    <w:rsid w:val="003A4635"/>
    <w:rsid w:val="003A5DAA"/>
    <w:rsid w:val="003B010B"/>
    <w:rsid w:val="003B0555"/>
    <w:rsid w:val="003B1C54"/>
    <w:rsid w:val="003B3D0E"/>
    <w:rsid w:val="003C173E"/>
    <w:rsid w:val="003C2573"/>
    <w:rsid w:val="003D293F"/>
    <w:rsid w:val="003D38E2"/>
    <w:rsid w:val="003E26A6"/>
    <w:rsid w:val="003E2BCE"/>
    <w:rsid w:val="003F0442"/>
    <w:rsid w:val="003F3A1C"/>
    <w:rsid w:val="003F3A1F"/>
    <w:rsid w:val="003F6EEB"/>
    <w:rsid w:val="004015C4"/>
    <w:rsid w:val="00403CFE"/>
    <w:rsid w:val="00403EFA"/>
    <w:rsid w:val="004049BE"/>
    <w:rsid w:val="004056FD"/>
    <w:rsid w:val="00425BD4"/>
    <w:rsid w:val="004319B9"/>
    <w:rsid w:val="00431A40"/>
    <w:rsid w:val="00431E14"/>
    <w:rsid w:val="00432A23"/>
    <w:rsid w:val="004558E4"/>
    <w:rsid w:val="0046032D"/>
    <w:rsid w:val="004619F7"/>
    <w:rsid w:val="0046285B"/>
    <w:rsid w:val="0047168B"/>
    <w:rsid w:val="00471B39"/>
    <w:rsid w:val="00472511"/>
    <w:rsid w:val="00472E81"/>
    <w:rsid w:val="004758A8"/>
    <w:rsid w:val="00483088"/>
    <w:rsid w:val="00486F14"/>
    <w:rsid w:val="004926C2"/>
    <w:rsid w:val="004A5271"/>
    <w:rsid w:val="004B593C"/>
    <w:rsid w:val="004C059A"/>
    <w:rsid w:val="004C09E3"/>
    <w:rsid w:val="004C4350"/>
    <w:rsid w:val="004C5B37"/>
    <w:rsid w:val="004D07AC"/>
    <w:rsid w:val="004D10F9"/>
    <w:rsid w:val="004D17B2"/>
    <w:rsid w:val="004D2CDB"/>
    <w:rsid w:val="004D2DC5"/>
    <w:rsid w:val="004E67BD"/>
    <w:rsid w:val="004E6A44"/>
    <w:rsid w:val="004E7168"/>
    <w:rsid w:val="004E7435"/>
    <w:rsid w:val="004F2D7C"/>
    <w:rsid w:val="0050413D"/>
    <w:rsid w:val="0051113A"/>
    <w:rsid w:val="00511399"/>
    <w:rsid w:val="00511A63"/>
    <w:rsid w:val="00520BFF"/>
    <w:rsid w:val="005252AC"/>
    <w:rsid w:val="00526DAF"/>
    <w:rsid w:val="00536198"/>
    <w:rsid w:val="0055351E"/>
    <w:rsid w:val="005568AA"/>
    <w:rsid w:val="00564809"/>
    <w:rsid w:val="0056647E"/>
    <w:rsid w:val="005664D1"/>
    <w:rsid w:val="0056763E"/>
    <w:rsid w:val="00574189"/>
    <w:rsid w:val="00576D88"/>
    <w:rsid w:val="00582301"/>
    <w:rsid w:val="0058260A"/>
    <w:rsid w:val="005A3150"/>
    <w:rsid w:val="005B1498"/>
    <w:rsid w:val="005B27BC"/>
    <w:rsid w:val="005C03EC"/>
    <w:rsid w:val="005C0A2C"/>
    <w:rsid w:val="005C10A0"/>
    <w:rsid w:val="005C78CF"/>
    <w:rsid w:val="005D1B98"/>
    <w:rsid w:val="005E2DC8"/>
    <w:rsid w:val="005E6416"/>
    <w:rsid w:val="005F372A"/>
    <w:rsid w:val="005F3E84"/>
    <w:rsid w:val="005F56FC"/>
    <w:rsid w:val="006033BF"/>
    <w:rsid w:val="00606E3C"/>
    <w:rsid w:val="00612654"/>
    <w:rsid w:val="0061540B"/>
    <w:rsid w:val="00621566"/>
    <w:rsid w:val="00623E43"/>
    <w:rsid w:val="00626747"/>
    <w:rsid w:val="00630EBE"/>
    <w:rsid w:val="00645970"/>
    <w:rsid w:val="006624BD"/>
    <w:rsid w:val="0066408A"/>
    <w:rsid w:val="00664FA7"/>
    <w:rsid w:val="00666C34"/>
    <w:rsid w:val="0066702A"/>
    <w:rsid w:val="006719B1"/>
    <w:rsid w:val="00673E2E"/>
    <w:rsid w:val="00677D75"/>
    <w:rsid w:val="00683B74"/>
    <w:rsid w:val="00683CDE"/>
    <w:rsid w:val="006863FC"/>
    <w:rsid w:val="006A0AF9"/>
    <w:rsid w:val="006A2FA1"/>
    <w:rsid w:val="006A50B2"/>
    <w:rsid w:val="006B1E9B"/>
    <w:rsid w:val="006C0664"/>
    <w:rsid w:val="006C408C"/>
    <w:rsid w:val="006C684D"/>
    <w:rsid w:val="006D0B28"/>
    <w:rsid w:val="006E1045"/>
    <w:rsid w:val="006F0B1E"/>
    <w:rsid w:val="006F0DD7"/>
    <w:rsid w:val="006F13DE"/>
    <w:rsid w:val="006F31EE"/>
    <w:rsid w:val="00702B00"/>
    <w:rsid w:val="00704302"/>
    <w:rsid w:val="00713838"/>
    <w:rsid w:val="00717423"/>
    <w:rsid w:val="00733D9D"/>
    <w:rsid w:val="00733FAB"/>
    <w:rsid w:val="00733FD0"/>
    <w:rsid w:val="0073664E"/>
    <w:rsid w:val="00737ABA"/>
    <w:rsid w:val="00744826"/>
    <w:rsid w:val="0074681F"/>
    <w:rsid w:val="00746859"/>
    <w:rsid w:val="00747118"/>
    <w:rsid w:val="00747384"/>
    <w:rsid w:val="007556B4"/>
    <w:rsid w:val="00760CA3"/>
    <w:rsid w:val="0076186D"/>
    <w:rsid w:val="007646DB"/>
    <w:rsid w:val="00770F1E"/>
    <w:rsid w:val="00771879"/>
    <w:rsid w:val="00784AF9"/>
    <w:rsid w:val="00785A7E"/>
    <w:rsid w:val="00787979"/>
    <w:rsid w:val="00787C47"/>
    <w:rsid w:val="007923CD"/>
    <w:rsid w:val="007A1DD6"/>
    <w:rsid w:val="007A5CB5"/>
    <w:rsid w:val="007B2EF5"/>
    <w:rsid w:val="007B6279"/>
    <w:rsid w:val="007B7050"/>
    <w:rsid w:val="007C0C69"/>
    <w:rsid w:val="007C62D3"/>
    <w:rsid w:val="007D2C3D"/>
    <w:rsid w:val="007D3778"/>
    <w:rsid w:val="007D6846"/>
    <w:rsid w:val="007E413E"/>
    <w:rsid w:val="007E6602"/>
    <w:rsid w:val="0081715E"/>
    <w:rsid w:val="00817C76"/>
    <w:rsid w:val="008201DB"/>
    <w:rsid w:val="00823CA0"/>
    <w:rsid w:val="008306D4"/>
    <w:rsid w:val="00831863"/>
    <w:rsid w:val="00842011"/>
    <w:rsid w:val="00842380"/>
    <w:rsid w:val="008458A9"/>
    <w:rsid w:val="0085092D"/>
    <w:rsid w:val="00855FA1"/>
    <w:rsid w:val="0087342E"/>
    <w:rsid w:val="00875F34"/>
    <w:rsid w:val="00876A86"/>
    <w:rsid w:val="00885B28"/>
    <w:rsid w:val="00896213"/>
    <w:rsid w:val="008A048B"/>
    <w:rsid w:val="008A2521"/>
    <w:rsid w:val="008A2B79"/>
    <w:rsid w:val="008A485A"/>
    <w:rsid w:val="008B15A2"/>
    <w:rsid w:val="008B1FD1"/>
    <w:rsid w:val="008B6FFD"/>
    <w:rsid w:val="008C002D"/>
    <w:rsid w:val="008C1406"/>
    <w:rsid w:val="008C618F"/>
    <w:rsid w:val="008D25ED"/>
    <w:rsid w:val="008E7C19"/>
    <w:rsid w:val="008F2A64"/>
    <w:rsid w:val="009012D5"/>
    <w:rsid w:val="00905D56"/>
    <w:rsid w:val="00910F12"/>
    <w:rsid w:val="009120B6"/>
    <w:rsid w:val="00920FD5"/>
    <w:rsid w:val="0092203A"/>
    <w:rsid w:val="00923DDB"/>
    <w:rsid w:val="00933676"/>
    <w:rsid w:val="0093373D"/>
    <w:rsid w:val="00934262"/>
    <w:rsid w:val="00942925"/>
    <w:rsid w:val="00942AB7"/>
    <w:rsid w:val="00943C89"/>
    <w:rsid w:val="009451D8"/>
    <w:rsid w:val="00946C1B"/>
    <w:rsid w:val="0095264B"/>
    <w:rsid w:val="009560E5"/>
    <w:rsid w:val="00961B33"/>
    <w:rsid w:val="00962512"/>
    <w:rsid w:val="0096498D"/>
    <w:rsid w:val="00972293"/>
    <w:rsid w:val="009726B8"/>
    <w:rsid w:val="00973A5C"/>
    <w:rsid w:val="00975906"/>
    <w:rsid w:val="00976EF1"/>
    <w:rsid w:val="009831C2"/>
    <w:rsid w:val="00987D9A"/>
    <w:rsid w:val="0099443E"/>
    <w:rsid w:val="00994B6D"/>
    <w:rsid w:val="009A27AA"/>
    <w:rsid w:val="009A2E2D"/>
    <w:rsid w:val="009A3F12"/>
    <w:rsid w:val="009A5431"/>
    <w:rsid w:val="009B0A05"/>
    <w:rsid w:val="009B1692"/>
    <w:rsid w:val="009B465A"/>
    <w:rsid w:val="009B4A31"/>
    <w:rsid w:val="009B5F37"/>
    <w:rsid w:val="009C0576"/>
    <w:rsid w:val="009C05D8"/>
    <w:rsid w:val="009C3082"/>
    <w:rsid w:val="009C3590"/>
    <w:rsid w:val="009C5345"/>
    <w:rsid w:val="009C57AF"/>
    <w:rsid w:val="009D0824"/>
    <w:rsid w:val="009D121B"/>
    <w:rsid w:val="009E325B"/>
    <w:rsid w:val="009E7A37"/>
    <w:rsid w:val="009F009A"/>
    <w:rsid w:val="00A04957"/>
    <w:rsid w:val="00A06336"/>
    <w:rsid w:val="00A075F6"/>
    <w:rsid w:val="00A077AC"/>
    <w:rsid w:val="00A10CFA"/>
    <w:rsid w:val="00A26651"/>
    <w:rsid w:val="00A27A93"/>
    <w:rsid w:val="00A33D2F"/>
    <w:rsid w:val="00A367E5"/>
    <w:rsid w:val="00A37B6C"/>
    <w:rsid w:val="00A47934"/>
    <w:rsid w:val="00A54318"/>
    <w:rsid w:val="00A62487"/>
    <w:rsid w:val="00A6578D"/>
    <w:rsid w:val="00A90A70"/>
    <w:rsid w:val="00A91295"/>
    <w:rsid w:val="00A974FF"/>
    <w:rsid w:val="00AA552F"/>
    <w:rsid w:val="00AB5893"/>
    <w:rsid w:val="00AB5944"/>
    <w:rsid w:val="00AB5F1C"/>
    <w:rsid w:val="00AC7657"/>
    <w:rsid w:val="00AE0EB1"/>
    <w:rsid w:val="00AE19F8"/>
    <w:rsid w:val="00AE6E0C"/>
    <w:rsid w:val="00AE7181"/>
    <w:rsid w:val="00AF6DFC"/>
    <w:rsid w:val="00B00EC7"/>
    <w:rsid w:val="00B0215F"/>
    <w:rsid w:val="00B03256"/>
    <w:rsid w:val="00B06501"/>
    <w:rsid w:val="00B16F3D"/>
    <w:rsid w:val="00B17215"/>
    <w:rsid w:val="00B276C9"/>
    <w:rsid w:val="00B439E8"/>
    <w:rsid w:val="00B44262"/>
    <w:rsid w:val="00B471AB"/>
    <w:rsid w:val="00B51CB8"/>
    <w:rsid w:val="00B573FF"/>
    <w:rsid w:val="00B60D3D"/>
    <w:rsid w:val="00B616AE"/>
    <w:rsid w:val="00B63C2E"/>
    <w:rsid w:val="00B65E30"/>
    <w:rsid w:val="00B700D1"/>
    <w:rsid w:val="00B746E2"/>
    <w:rsid w:val="00B80D67"/>
    <w:rsid w:val="00B81EC8"/>
    <w:rsid w:val="00B82DA6"/>
    <w:rsid w:val="00B94686"/>
    <w:rsid w:val="00B94E34"/>
    <w:rsid w:val="00BA0033"/>
    <w:rsid w:val="00BA43FB"/>
    <w:rsid w:val="00BB39B7"/>
    <w:rsid w:val="00BC4F7B"/>
    <w:rsid w:val="00BC5299"/>
    <w:rsid w:val="00BD2B29"/>
    <w:rsid w:val="00BD4716"/>
    <w:rsid w:val="00BD5341"/>
    <w:rsid w:val="00BE54BA"/>
    <w:rsid w:val="00BE77AF"/>
    <w:rsid w:val="00BF2EDB"/>
    <w:rsid w:val="00BF48B9"/>
    <w:rsid w:val="00BF7BC9"/>
    <w:rsid w:val="00C07291"/>
    <w:rsid w:val="00C11A42"/>
    <w:rsid w:val="00C12837"/>
    <w:rsid w:val="00C35DFE"/>
    <w:rsid w:val="00C35FFE"/>
    <w:rsid w:val="00C43AB1"/>
    <w:rsid w:val="00C43E8F"/>
    <w:rsid w:val="00C46D97"/>
    <w:rsid w:val="00C46DA2"/>
    <w:rsid w:val="00C50A44"/>
    <w:rsid w:val="00C56FD2"/>
    <w:rsid w:val="00C57D4C"/>
    <w:rsid w:val="00C61EFF"/>
    <w:rsid w:val="00C628EE"/>
    <w:rsid w:val="00C64880"/>
    <w:rsid w:val="00C76DAC"/>
    <w:rsid w:val="00C81196"/>
    <w:rsid w:val="00C86FCD"/>
    <w:rsid w:val="00C8768C"/>
    <w:rsid w:val="00C946A6"/>
    <w:rsid w:val="00CA76CC"/>
    <w:rsid w:val="00CB00CA"/>
    <w:rsid w:val="00CB284D"/>
    <w:rsid w:val="00CB321E"/>
    <w:rsid w:val="00CB48B0"/>
    <w:rsid w:val="00CC3CC5"/>
    <w:rsid w:val="00CC66DE"/>
    <w:rsid w:val="00CD2643"/>
    <w:rsid w:val="00CD3787"/>
    <w:rsid w:val="00CE519C"/>
    <w:rsid w:val="00CE712A"/>
    <w:rsid w:val="00CE73BB"/>
    <w:rsid w:val="00CE7B9F"/>
    <w:rsid w:val="00CF3158"/>
    <w:rsid w:val="00CF33F7"/>
    <w:rsid w:val="00D00AA2"/>
    <w:rsid w:val="00D05929"/>
    <w:rsid w:val="00D07680"/>
    <w:rsid w:val="00D101C2"/>
    <w:rsid w:val="00D20C61"/>
    <w:rsid w:val="00D21289"/>
    <w:rsid w:val="00D225BD"/>
    <w:rsid w:val="00D23497"/>
    <w:rsid w:val="00D256E5"/>
    <w:rsid w:val="00D353CD"/>
    <w:rsid w:val="00D37399"/>
    <w:rsid w:val="00D37B62"/>
    <w:rsid w:val="00D43042"/>
    <w:rsid w:val="00D468A8"/>
    <w:rsid w:val="00D640BE"/>
    <w:rsid w:val="00D65B1A"/>
    <w:rsid w:val="00D66319"/>
    <w:rsid w:val="00D73978"/>
    <w:rsid w:val="00D7423A"/>
    <w:rsid w:val="00D7760B"/>
    <w:rsid w:val="00D87A5F"/>
    <w:rsid w:val="00D91785"/>
    <w:rsid w:val="00D91EFA"/>
    <w:rsid w:val="00D92A62"/>
    <w:rsid w:val="00D93CAE"/>
    <w:rsid w:val="00D94B35"/>
    <w:rsid w:val="00DA1835"/>
    <w:rsid w:val="00DB7844"/>
    <w:rsid w:val="00DC5044"/>
    <w:rsid w:val="00DD1FEF"/>
    <w:rsid w:val="00DD3FA2"/>
    <w:rsid w:val="00DE3FCB"/>
    <w:rsid w:val="00DE6FDD"/>
    <w:rsid w:val="00DE7315"/>
    <w:rsid w:val="00DF0181"/>
    <w:rsid w:val="00DF2E9D"/>
    <w:rsid w:val="00E02B8C"/>
    <w:rsid w:val="00E06728"/>
    <w:rsid w:val="00E07FF0"/>
    <w:rsid w:val="00E10EF2"/>
    <w:rsid w:val="00E1652C"/>
    <w:rsid w:val="00E173E0"/>
    <w:rsid w:val="00E177C9"/>
    <w:rsid w:val="00E22CF3"/>
    <w:rsid w:val="00E42754"/>
    <w:rsid w:val="00E46DC1"/>
    <w:rsid w:val="00E4727A"/>
    <w:rsid w:val="00E627D1"/>
    <w:rsid w:val="00E72B02"/>
    <w:rsid w:val="00E73639"/>
    <w:rsid w:val="00E81FEB"/>
    <w:rsid w:val="00E850D3"/>
    <w:rsid w:val="00E8590E"/>
    <w:rsid w:val="00E93F89"/>
    <w:rsid w:val="00E959AC"/>
    <w:rsid w:val="00E97BF4"/>
    <w:rsid w:val="00EA303D"/>
    <w:rsid w:val="00EA3EE6"/>
    <w:rsid w:val="00EA64C9"/>
    <w:rsid w:val="00EB4D02"/>
    <w:rsid w:val="00EB6026"/>
    <w:rsid w:val="00EC0809"/>
    <w:rsid w:val="00EC2CCE"/>
    <w:rsid w:val="00EC2DB6"/>
    <w:rsid w:val="00EC48B6"/>
    <w:rsid w:val="00EE3D6F"/>
    <w:rsid w:val="00EF05D1"/>
    <w:rsid w:val="00F0530F"/>
    <w:rsid w:val="00F05F61"/>
    <w:rsid w:val="00F12E25"/>
    <w:rsid w:val="00F1548D"/>
    <w:rsid w:val="00F310BD"/>
    <w:rsid w:val="00F31482"/>
    <w:rsid w:val="00F32E4B"/>
    <w:rsid w:val="00F334E6"/>
    <w:rsid w:val="00F46606"/>
    <w:rsid w:val="00F56817"/>
    <w:rsid w:val="00F63D3E"/>
    <w:rsid w:val="00F647AE"/>
    <w:rsid w:val="00F7226C"/>
    <w:rsid w:val="00F751BB"/>
    <w:rsid w:val="00F8233A"/>
    <w:rsid w:val="00F8632B"/>
    <w:rsid w:val="00F87B99"/>
    <w:rsid w:val="00F917FF"/>
    <w:rsid w:val="00F93CDB"/>
    <w:rsid w:val="00F94B12"/>
    <w:rsid w:val="00F96572"/>
    <w:rsid w:val="00FA32E6"/>
    <w:rsid w:val="00FA59AE"/>
    <w:rsid w:val="00FB6761"/>
    <w:rsid w:val="00FC14C5"/>
    <w:rsid w:val="00FD06DB"/>
    <w:rsid w:val="00FD20B1"/>
    <w:rsid w:val="00FD5019"/>
    <w:rsid w:val="00FD5925"/>
    <w:rsid w:val="00FE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C6BD1"/>
  <w15:docId w15:val="{99EBD931-85C8-4744-8FFB-E306F40F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037"/>
    <w:pPr>
      <w:spacing w:after="120"/>
      <w:ind w:firstLine="567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3F6EEB"/>
    <w:pPr>
      <w:spacing w:before="120" w:line="240" w:lineRule="auto"/>
      <w:ind w:firstLine="0"/>
      <w:outlineLvl w:val="0"/>
    </w:pPr>
    <w:rPr>
      <w:rFonts w:eastAsia="Times New Roman" w:cs="Times New Roman"/>
      <w:b/>
      <w:bCs/>
      <w:kern w:val="36"/>
      <w:sz w:val="28"/>
      <w:szCs w:val="48"/>
      <w:lang w:eastAsia="lt-L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F3D"/>
    <w:pPr>
      <w:keepNext/>
      <w:keepLines/>
      <w:spacing w:before="120"/>
      <w:outlineLvl w:val="1"/>
    </w:pPr>
    <w:rPr>
      <w:rFonts w:eastAsiaTheme="majorEastAsia" w:cstheme="majorBidi"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6EEB"/>
    <w:rPr>
      <w:rFonts w:ascii="Times New Roman" w:eastAsia="Times New Roman" w:hAnsi="Times New Roman" w:cs="Times New Roman"/>
      <w:b/>
      <w:bCs/>
      <w:kern w:val="36"/>
      <w:sz w:val="28"/>
      <w:szCs w:val="48"/>
      <w:lang w:eastAsia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578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57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578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D10F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3842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22C"/>
  </w:style>
  <w:style w:type="paragraph" w:styleId="Footer">
    <w:name w:val="footer"/>
    <w:basedOn w:val="Normal"/>
    <w:link w:val="FooterChar"/>
    <w:uiPriority w:val="99"/>
    <w:unhideWhenUsed/>
    <w:rsid w:val="003842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22C"/>
  </w:style>
  <w:style w:type="character" w:styleId="Hyperlink">
    <w:name w:val="Hyperlink"/>
    <w:basedOn w:val="DefaultParagraphFont"/>
    <w:uiPriority w:val="99"/>
    <w:unhideWhenUsed/>
    <w:rsid w:val="006624B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24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24B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22CF3"/>
    <w:rPr>
      <w:color w:val="666666"/>
    </w:rPr>
  </w:style>
  <w:style w:type="character" w:customStyle="1" w:styleId="Heading2Char">
    <w:name w:val="Heading 2 Char"/>
    <w:basedOn w:val="DefaultParagraphFont"/>
    <w:link w:val="Heading2"/>
    <w:uiPriority w:val="9"/>
    <w:rsid w:val="00B16F3D"/>
    <w:rPr>
      <w:rFonts w:ascii="Times New Roman" w:eastAsiaTheme="majorEastAsia" w:hAnsi="Times New Roman" w:cstheme="majorBidi"/>
      <w:i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yakumar@mx.nthu.edu.tw" TargetMode="External"/><Relationship Id="rId18" Type="http://schemas.openxmlformats.org/officeDocument/2006/relationships/hyperlink" Target="mailto:saulius.grigalevicius@ktu.lt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mailto:prakalpgautam@gmail.com" TargetMode="External"/><Relationship Id="rId17" Type="http://schemas.openxmlformats.org/officeDocument/2006/relationships/hyperlink" Target="mailto:ernestas.zaleckas@vdu.lt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daiva.tavgeniene@ktu.lt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amsidd29@gmail.com" TargetMode="Externa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mailto:dovydas.blazevicius@ktu.lt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jou@mx.nthu.edu.t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hantalenka1@gmail.co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D3B0146-8D3F-49C2-8C4D-00FB403E4E0B}">
  <we:reference id="wa104382081" version="1.55.1.0" store="lt-LT" storeType="OMEX"/>
  <we:alternateReferences>
    <we:reference id="wa104382081" version="1.55.1.0" store="" storeType="OMEX"/>
  </we:alternateReferences>
  <we:properties>
    <we:property name="MENDELEY_CITATIONS" value="[{&quot;citationID&quot;:&quot;MENDELEY_CITATION_516694e1-61b5-47fa-8c9d-b164ed1b190b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&quot;,&quot;citationItems&quot;:[{&quot;id&quot;:&quot;64f87ff7-383c-35fd-91df-a2b75fa339fc&quot;,&quot;itemData&quot;:{&quot;type&quot;:&quot;article-journal&quot;,&quot;id&quot;:&quot;64f87ff7-383c-35fd-91df-a2b75fa339fc&quot;,&quot;title&quot;:&quot;Hole-transporting [3,3′]bicarbazolyl-based polymers and well-defined model compounds&quot;,&quot;author&quot;:[{&quot;family&quot;:&quot;Vaitkeviciene&quot;,&quot;given&quot;:&quot;V.&quot;,&quot;parse-names&quot;:false,&quot;dropping-particle&quot;:&quot;&quot;,&quot;non-dropping-particle&quot;:&quot;&quot;},{&quot;family&quot;:&quot;Grigalevicius&quot;,&quot;given&quot;:&quot;S.&quot;,&quot;parse-names&quot;:false,&quot;dropping-particle&quot;:&quot;&quot;,&quot;non-dropping-particle&quot;:&quot;&quot;},{&quot;family&quot;:&quot;Grazulevicius&quot;,&quot;given&quot;:&quot;J.V.&quot;,&quot;parse-names&quot;:false,&quot;dropping-particle&quot;:&quot;&quot;,&quot;non-dropping-particle&quot;:&quot;&quot;},{&quot;family&quot;:&quot;Jankauskas&quot;,&quot;given&quot;:&quot;V.&quot;,&quot;parse-names&quot;:false,&quot;dropping-particle&quot;:&quot;&quot;,&quot;non-dropping-particle&quot;:&quot;&quot;},{&quot;family&quot;:&quot;Syromyatnikov&quot;,&quot;given&quot;:&quot;V.G.&quot;,&quot;parse-names&quot;:false,&quot;dropping-particle&quot;:&quot;&quot;,&quot;non-dropping-particle&quot;:&quot;&quot;}],&quot;container-title&quot;:&quot;European Polymer Journal&quot;,&quot;container-title-short&quot;:&quot;Eur Polym J&quot;,&quot;DOI&quot;:&quot;10.1016/j.eurpolymj.2006.06.023&quot;,&quot;ISSN&quot;:&quot;00143057&quot;,&quot;issued&quot;:{&quot;date-parts&quot;:[[2006,10]]},&quot;page&quot;:&quot;2254-2260&quot;,&quot;issue&quot;:&quot;10&quot;,&quot;volume&quot;:&quot;42&quot;},&quot;isTemporary&quot;:false}]},{&quot;citationID&quot;:&quot;MENDELEY_CITATION_bdc09e55-7b52-41f7-9aeb-21b84e6ff033&quot;,&quot;properties&quot;:{&quot;noteIndex&quot;:0},&quot;isEdited&quot;:false,&quot;manualOverride&quot;:{&quot;isManuallyOverridden&quot;:false,&quot;citeprocText&quot;:&quot;[2]&quot;,&quot;manualOverrideText&quot;:&quot;&quot;},&quot;citationItems&quot;:[{&quot;id&quot;:&quot;6688ce95-372b-35fe-88f3-20d735d6f833&quot;,&quot;itemData&quot;:{&quot;type&quot;:&quot;article-journal&quot;,&quot;id&quot;:&quot;6688ce95-372b-35fe-88f3-20d735d6f833&quot;,&quot;title&quot;:&quot;Bifunctional Bicarbazole-Benzophenone-Based Twisted Donor–Acceptor–Donor Derivatives for Deep-Blue and Green OLEDs&quot;,&quot;author&quot;:[{&quot;family&quot;:&quot;Gautam&quot;,&quot;given&quot;:&quot;Prakalp&quot;,&quot;parse-names&quot;:false,&quot;dropping-particle&quot;:&quot;&quot;,&quot;non-dropping-particle&quot;:&quot;&quot;},{&quot;family&quot;:&quot;Shahnawaz&quot;,&quot;given&quot;:&quot;&quot;,&quot;parse-names&quot;:false,&quot;dropping-particle&quot;:&quot;&quot;,&quot;non-dropping-particle&quot;:&quot;&quot;},{&quot;family&quot;:&quot;Siddiqui&quot;,&quot;given&quot;:&quot;Iram&quot;,&quot;parse-names&quot;:false,&quot;dropping-particle&quot;:&quot;&quot;,&quot;non-dropping-particle&quot;:&quot;&quot;},{&quot;family&quot;:&quot;Blazevicius&quot;,&quot;given&quot;:&quot;Dovydas&quot;,&quot;parse-names&quot;:false,&quot;dropping-particle&quot;:&quot;&quot;,&quot;non-dropping-particle&quot;:&quot;&quot;},{&quot;family&quot;:&quot;Krucaite&quot;,&quot;given&quot;:&quot;Gintare&quot;,&quot;parse-names&quot;:false,&quot;dropping-particle&quot;:&quot;&quot;,&quot;non-dropping-particle&quot;:&quot;&quot;},{&quot;family&quot;:&quot;Tavgeniene&quot;,&quot;given&quot;:&quot;Daiva&quot;,&quot;parse-names&quot;:false,&quot;dropping-particle&quot;:&quot;&quot;,&quot;non-dropping-particle&quot;:&quot;&quot;},{&quot;family&quot;:&quot;Jou&quot;,&quot;given&quot;:&quot;Jwo-Huei&quot;,&quot;parse-names&quot;:false,&quot;dropping-particle&quot;:&quot;&quot;,&quot;non-dropping-particle&quot;:&quot;&quot;},{&quot;family&quot;:&quot;Grigalevicius&quot;,&quot;given&quot;:&quot;Saulius&quot;,&quot;parse-names&quot;:false,&quot;dropping-particle&quot;:&quot;&quot;,&quot;non-dropping-particle&quot;:&quot;&quot;}],&quot;container-title&quot;:&quot;Nanomaterials&quot;,&quot;DOI&quot;:&quot;10.3390/nano13081408&quot;,&quot;ISSN&quot;:&quot;2079-4991&quot;,&quot;issued&quot;:{&quot;date-parts&quot;:[[2023,4,19]]},&quot;page&quot;:&quot;1408&quot;,&quot;abstract&quot;:&quot;&lt;p&gt;Organic light-emitting diodes (OLEDs) have played a vital role in showing tremendous technological advancements for a better lifestyle, due to their display and lighting technologies in smartphones, tablets, television, and automotive industries. Undoubtedly, OLED is a mainstream technology and, inspired by its advancements, we have designed and synthesized the bicarbazole-benzophenone-based twisted donor–acceptor–donor (D-A-D) derivatives, namely DB13, DB24, DB34, and DB43, as bi-functional materials. These materials possess high decomposition temperatures (&amp;gt;360 °C) and glass transition temperatures (~125 °C), a high photoluminescence quantum yield (&amp;gt;60%), wide bandgap (&amp;gt;3.2 eV), and short decay time. Owing to their properties, the materials were utilized as blue emitters as well as host materials for deep-blue and green OLEDs, respectively. In terms of the blue OLEDs, the emitter DB13-based device outperformed others by showing a maximum EQE of 4.0%, which is close to the theoretical limit of fluorescent materials for a deep-blue emission (CIEy = 0.09). The same material also displayed a maximum power efficacy of 45 lm/W as a host material doped with a phosphorescent emitter Ir(ppy)3. Furthermore, the materials were also utilized as hosts with a TADF green emitter (4CzIPN) and the device based on DB34 displayed a maximum EQE of 11%, which may be attributed to the high quantum yield (69%) of the host DB34. Therefore, the bi-functional materials that are easily synthesized, economical, and possess excellent characteristics are expected to be useful in various cost-effective and high-performance OLED applications, especially in displays.&lt;/p&gt;&quot;,&quot;issue&quot;:&quot;8&quot;,&quot;volume&quot;:&quot;13&quot;,&quot;container-title-short&quot;:&quot;&quot;},&quot;isTemporary&quot;:false}],&quot;citationTag&quot;:&quot;MENDELEY_CITATION_v3_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&quot;},{&quot;citationID&quot;:&quot;MENDELEY_CITATION_44aa1394-0ede-44fa-b657-d8761257cf43&quot;,&quot;properties&quot;:{&quot;noteIndex&quot;:0},&quot;isEdited&quot;:false,&quot;manualOverride&quot;:{&quot;isManuallyOverridden&quot;:false,&quot;citeprocText&quot;:&quot;[2]&quot;,&quot;manualOverrideText&quot;:&quot;&quot;},&quot;citationItems&quot;:[{&quot;id&quot;:&quot;6688ce95-372b-35fe-88f3-20d735d6f833&quot;,&quot;itemData&quot;:{&quot;type&quot;:&quot;article-journal&quot;,&quot;id&quot;:&quot;6688ce95-372b-35fe-88f3-20d735d6f833&quot;,&quot;title&quot;:&quot;Bifunctional Bicarbazole-Benzophenone-Based Twisted Donor–Acceptor–Donor Derivatives for Deep-Blue and Green OLEDs&quot;,&quot;author&quot;:[{&quot;family&quot;:&quot;Gautam&quot;,&quot;given&quot;:&quot;Prakalp&quot;,&quot;parse-names&quot;:false,&quot;dropping-particle&quot;:&quot;&quot;,&quot;non-dropping-particle&quot;:&quot;&quot;},{&quot;family&quot;:&quot;Shahnawaz&quot;,&quot;given&quot;:&quot;&quot;,&quot;parse-names&quot;:false,&quot;dropping-particle&quot;:&quot;&quot;,&quot;non-dropping-particle&quot;:&quot;&quot;},{&quot;family&quot;:&quot;Siddiqui&quot;,&quot;given&quot;:&quot;Iram&quot;,&quot;parse-names&quot;:false,&quot;dropping-particle&quot;:&quot;&quot;,&quot;non-dropping-particle&quot;:&quot;&quot;},{&quot;family&quot;:&quot;Blazevicius&quot;,&quot;given&quot;:&quot;Dovydas&quot;,&quot;parse-names&quot;:false,&quot;dropping-particle&quot;:&quot;&quot;,&quot;non-dropping-particle&quot;:&quot;&quot;},{&quot;family&quot;:&quot;Krucaite&quot;,&quot;given&quot;:&quot;Gintare&quot;,&quot;parse-names&quot;:false,&quot;dropping-particle&quot;:&quot;&quot;,&quot;non-dropping-particle&quot;:&quot;&quot;},{&quot;family&quot;:&quot;Tavgeniene&quot;,&quot;given&quot;:&quot;Daiva&quot;,&quot;parse-names&quot;:false,&quot;dropping-particle&quot;:&quot;&quot;,&quot;non-dropping-particle&quot;:&quot;&quot;},{&quot;family&quot;:&quot;Jou&quot;,&quot;given&quot;:&quot;Jwo-Huei&quot;,&quot;parse-names&quot;:false,&quot;dropping-particle&quot;:&quot;&quot;,&quot;non-dropping-particle&quot;:&quot;&quot;},{&quot;family&quot;:&quot;Grigalevicius&quot;,&quot;given&quot;:&quot;Saulius&quot;,&quot;parse-names&quot;:false,&quot;dropping-particle&quot;:&quot;&quot;,&quot;non-dropping-particle&quot;:&quot;&quot;}],&quot;container-title&quot;:&quot;Nanomaterials&quot;,&quot;DOI&quot;:&quot;10.3390/nano13081408&quot;,&quot;ISSN&quot;:&quot;2079-4991&quot;,&quot;issued&quot;:{&quot;date-parts&quot;:[[2023,4,19]]},&quot;page&quot;:&quot;1408&quot;,&quot;abstract&quot;:&quot;&lt;p&gt;Organic light-emitting diodes (OLEDs) have played a vital role in showing tremendous technological advancements for a better lifestyle, due to their display and lighting technologies in smartphones, tablets, television, and automotive industries. Undoubtedly, OLED is a mainstream technology and, inspired by its advancements, we have designed and synthesized the bicarbazole-benzophenone-based twisted donor–acceptor–donor (D-A-D) derivatives, namely DB13, DB24, DB34, and DB43, as bi-functional materials. These materials possess high decomposition temperatures (&amp;gt;360 °C) and glass transition temperatures (~125 °C), a high photoluminescence quantum yield (&amp;gt;60%), wide bandgap (&amp;gt;3.2 eV), and short decay time. Owing to their properties, the materials were utilized as blue emitters as well as host materials for deep-blue and green OLEDs, respectively. In terms of the blue OLEDs, the emitter DB13-based device outperformed others by showing a maximum EQE of 4.0%, which is close to the theoretical limit of fluorescent materials for a deep-blue emission (CIEy = 0.09). The same material also displayed a maximum power efficacy of 45 lm/W as a host material doped with a phosphorescent emitter Ir(ppy)3. Furthermore, the materials were also utilized as hosts with a TADF green emitter (4CzIPN) and the device based on DB34 displayed a maximum EQE of 11%, which may be attributed to the high quantum yield (69%) of the host DB34. Therefore, the bi-functional materials that are easily synthesized, economical, and possess excellent characteristics are expected to be useful in various cost-effective and high-performance OLED applications, especially in displays.&lt;/p&gt;&quot;,&quot;issue&quot;:&quot;8&quot;,&quot;volume&quot;:&quot;13&quot;,&quot;container-title-short&quot;:&quot;&quot;},&quot;isTemporary&quot;:false}],&quot;citationTag&quot;:&quot;MENDELEY_CITATION_v3_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&quot;},{&quot;citationID&quot;:&quot;MENDELEY_CITATION_6a236dfc-19bc-4339-beed-2c17c398458a&quot;,&quot;properties&quot;:{&quot;noteIndex&quot;:0},&quot;isEdited&quot;:false,&quot;manualOverride&quot;:{&quot;isManuallyOverridden&quot;:false,&quot;citeprocText&quot;:&quot;[2]&quot;,&quot;manualOverrideText&quot;:&quot;&quot;},&quot;citationItems&quot;:[{&quot;id&quot;:&quot;6688ce95-372b-35fe-88f3-20d735d6f833&quot;,&quot;itemData&quot;:{&quot;type&quot;:&quot;article-journal&quot;,&quot;id&quot;:&quot;6688ce95-372b-35fe-88f3-20d735d6f833&quot;,&quot;title&quot;:&quot;Bifunctional Bicarbazole-Benzophenone-Based Twisted Donor–Acceptor–Donor Derivatives for Deep-Blue and Green OLEDs&quot;,&quot;author&quot;:[{&quot;family&quot;:&quot;Gautam&quot;,&quot;given&quot;:&quot;Prakalp&quot;,&quot;parse-names&quot;:false,&quot;dropping-particle&quot;:&quot;&quot;,&quot;non-dropping-particle&quot;:&quot;&quot;},{&quot;family&quot;:&quot;Shahnawaz&quot;,&quot;given&quot;:&quot;&quot;,&quot;parse-names&quot;:false,&quot;dropping-particle&quot;:&quot;&quot;,&quot;non-dropping-particle&quot;:&quot;&quot;},{&quot;family&quot;:&quot;Siddiqui&quot;,&quot;given&quot;:&quot;Iram&quot;,&quot;parse-names&quot;:false,&quot;dropping-particle&quot;:&quot;&quot;,&quot;non-dropping-particle&quot;:&quot;&quot;},{&quot;family&quot;:&quot;Blazevicius&quot;,&quot;given&quot;:&quot;Dovydas&quot;,&quot;parse-names&quot;:false,&quot;dropping-particle&quot;:&quot;&quot;,&quot;non-dropping-particle&quot;:&quot;&quot;},{&quot;family&quot;:&quot;Krucaite&quot;,&quot;given&quot;:&quot;Gintare&quot;,&quot;parse-names&quot;:false,&quot;dropping-particle&quot;:&quot;&quot;,&quot;non-dropping-particle&quot;:&quot;&quot;},{&quot;family&quot;:&quot;Tavgeniene&quot;,&quot;given&quot;:&quot;Daiva&quot;,&quot;parse-names&quot;:false,&quot;dropping-particle&quot;:&quot;&quot;,&quot;non-dropping-particle&quot;:&quot;&quot;},{&quot;family&quot;:&quot;Jou&quot;,&quot;given&quot;:&quot;Jwo-Huei&quot;,&quot;parse-names&quot;:false,&quot;dropping-particle&quot;:&quot;&quot;,&quot;non-dropping-particle&quot;:&quot;&quot;},{&quot;family&quot;:&quot;Grigalevicius&quot;,&quot;given&quot;:&quot;Saulius&quot;,&quot;parse-names&quot;:false,&quot;dropping-particle&quot;:&quot;&quot;,&quot;non-dropping-particle&quot;:&quot;&quot;}],&quot;container-title&quot;:&quot;Nanomaterials&quot;,&quot;DOI&quot;:&quot;10.3390/nano13081408&quot;,&quot;ISSN&quot;:&quot;2079-4991&quot;,&quot;issued&quot;:{&quot;date-parts&quot;:[[2023,4,19]]},&quot;page&quot;:&quot;1408&quot;,&quot;abstract&quot;:&quot;&lt;p&gt;Organic light-emitting diodes (OLEDs) have played a vital role in showing tremendous technological advancements for a better lifestyle, due to their display and lighting technologies in smartphones, tablets, television, and automotive industries. Undoubtedly, OLED is a mainstream technology and, inspired by its advancements, we have designed and synthesized the bicarbazole-benzophenone-based twisted donor–acceptor–donor (D-A-D) derivatives, namely DB13, DB24, DB34, and DB43, as bi-functional materials. These materials possess high decomposition temperatures (&amp;gt;360 °C) and glass transition temperatures (~125 °C), a high photoluminescence quantum yield (&amp;gt;60%), wide bandgap (&amp;gt;3.2 eV), and short decay time. Owing to their properties, the materials were utilized as blue emitters as well as host materials for deep-blue and green OLEDs, respectively. In terms of the blue OLEDs, the emitter DB13-based device outperformed others by showing a maximum EQE of 4.0%, which is close to the theoretical limit of fluorescent materials for a deep-blue emission (CIEy = 0.09). The same material also displayed a maximum power efficacy of 45 lm/W as a host material doped with a phosphorescent emitter Ir(ppy)3. Furthermore, the materials were also utilized as hosts with a TADF green emitter (4CzIPN) and the device based on DB34 displayed a maximum EQE of 11%, which may be attributed to the high quantum yield (69%) of the host DB34. Therefore, the bi-functional materials that are easily synthesized, economical, and possess excellent characteristics are expected to be useful in various cost-effective and high-performance OLED applications, especially in displays.&lt;/p&gt;&quot;,&quot;issue&quot;:&quot;8&quot;,&quot;volume&quot;:&quot;13&quot;,&quot;container-title-short&quot;:&quot;&quot;},&quot;isTemporary&quot;:false}],&quot;citationTag&quot;:&quot;MENDELEY_CITATION_v3_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&quot;}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8F06D0E044DEE4BB24CDD558B04F0C1" ma:contentTypeVersion="9" ma:contentTypeDescription="Kurkite naują dokumentą." ma:contentTypeScope="" ma:versionID="9881e98732563ae81d0b8e9e962cbc31">
  <xsd:schema xmlns:xsd="http://www.w3.org/2001/XMLSchema" xmlns:xs="http://www.w3.org/2001/XMLSchema" xmlns:p="http://schemas.microsoft.com/office/2006/metadata/properties" xmlns:ns3="71a4d8a0-4b08-4fbe-aaff-74ae057870b7" targetNamespace="http://schemas.microsoft.com/office/2006/metadata/properties" ma:root="true" ma:fieldsID="425f94b3598b81309925183eb60ec267" ns3:_="">
    <xsd:import namespace="71a4d8a0-4b08-4fbe-aaff-74ae057870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4d8a0-4b08-4fbe-aaff-74ae05787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88026-6053-449F-9B34-486E1276E4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AC443F-6389-4840-BFED-11C57D5CC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4d8a0-4b08-4fbe-aaff-74ae05787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0FBC64-2DA6-4515-86F9-DE85CCA90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CF9B0-F2A9-4281-89C8-45EED78F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Saulius Grigalevičius</cp:lastModifiedBy>
  <cp:revision>6</cp:revision>
  <dcterms:created xsi:type="dcterms:W3CDTF">2024-01-18T15:53:00Z</dcterms:created>
  <dcterms:modified xsi:type="dcterms:W3CDTF">2024-02-24T14:03:00Z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0x010100F8F06D0E044DEE4BB24CDD558B04F0C1</vt:lpwstr>
  </property>
</Properties>
</file>