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423BC" w14:textId="77777777" w:rsidR="005B0091" w:rsidRDefault="00000000">
      <w:pPr>
        <w:jc w:val="center"/>
        <w:rPr>
          <w:rFonts w:ascii="Times New Roman" w:hAnsi="Times New Roman" w:cs="Times New Roman"/>
          <w:b/>
          <w:bCs/>
          <w:sz w:val="32"/>
          <w:szCs w:val="32"/>
        </w:rPr>
      </w:pPr>
      <w:r>
        <w:rPr>
          <w:rFonts w:ascii="Times New Roman" w:hAnsi="Times New Roman" w:cs="Times New Roman"/>
          <w:b/>
          <w:bCs/>
          <w:sz w:val="32"/>
          <w:szCs w:val="32"/>
        </w:rPr>
        <w:t>Supplementary information</w:t>
      </w:r>
    </w:p>
    <w:p w14:paraId="02EBAE4E" w14:textId="77777777" w:rsidR="005B0091" w:rsidRDefault="005B0091">
      <w:pPr>
        <w:jc w:val="center"/>
        <w:rPr>
          <w:rFonts w:ascii="Times New Roman" w:hAnsi="Times New Roman" w:cs="Times New Roman"/>
          <w:b/>
          <w:bCs/>
          <w:szCs w:val="21"/>
        </w:rPr>
      </w:pPr>
    </w:p>
    <w:p w14:paraId="268A92FF" w14:textId="77777777" w:rsidR="005B0091" w:rsidRDefault="00000000">
      <w:pPr>
        <w:pStyle w:val="MDPI12title"/>
        <w:rPr>
          <w:bCs/>
        </w:rPr>
      </w:pPr>
      <w:bookmarkStart w:id="0" w:name="_Hlk141543922"/>
      <w:r>
        <w:rPr>
          <w:rFonts w:hint="eastAsia"/>
          <w:bCs/>
        </w:rPr>
        <w:t>Regulation of Bimetallic</w:t>
      </w:r>
      <w:r>
        <w:rPr>
          <w:rFonts w:eastAsia="宋体" w:hint="eastAsia"/>
          <w:bCs/>
          <w:lang w:eastAsia="zh-CN"/>
        </w:rPr>
        <w:t xml:space="preserve"> </w:t>
      </w:r>
      <w:r>
        <w:rPr>
          <w:rFonts w:hint="eastAsia"/>
          <w:bCs/>
        </w:rPr>
        <w:t>Coordination Centers in  MOF Catalyst for Electrochemical CO</w:t>
      </w:r>
      <w:r>
        <w:rPr>
          <w:rFonts w:hint="eastAsia"/>
          <w:bCs/>
          <w:vertAlign w:val="subscript"/>
        </w:rPr>
        <w:t>2</w:t>
      </w:r>
      <w:r>
        <w:rPr>
          <w:rFonts w:hint="eastAsia"/>
          <w:bCs/>
        </w:rPr>
        <w:t xml:space="preserve"> Reduction to </w:t>
      </w:r>
      <w:proofErr w:type="spellStart"/>
      <w:r>
        <w:rPr>
          <w:rFonts w:hint="eastAsia"/>
          <w:bCs/>
        </w:rPr>
        <w:t>Formate</w:t>
      </w:r>
      <w:bookmarkEnd w:id="0"/>
      <w:proofErr w:type="spellEnd"/>
    </w:p>
    <w:p w14:paraId="2D35FE02" w14:textId="77777777" w:rsidR="005B0091" w:rsidRDefault="00000000">
      <w:pPr>
        <w:pStyle w:val="MDPI13authornames"/>
      </w:pPr>
      <w:bookmarkStart w:id="1" w:name="_Hlk143082020"/>
      <w:r>
        <w:t xml:space="preserve">Rui Yang </w:t>
      </w:r>
      <w:r>
        <w:rPr>
          <w:vertAlign w:val="superscript"/>
        </w:rPr>
        <w:t>†</w:t>
      </w:r>
      <w:r>
        <w:t xml:space="preserve">, Qun Hang </w:t>
      </w:r>
      <w:r>
        <w:rPr>
          <w:vertAlign w:val="superscript"/>
        </w:rPr>
        <w:t>†</w:t>
      </w:r>
      <w:r>
        <w:t xml:space="preserve">, </w:t>
      </w:r>
      <w:proofErr w:type="spellStart"/>
      <w:r>
        <w:t>Xuelan</w:t>
      </w:r>
      <w:proofErr w:type="spellEnd"/>
      <w:r>
        <w:t xml:space="preserve"> Sha, Beibei Gao and Juan Peng *</w:t>
      </w:r>
    </w:p>
    <w:p w14:paraId="0B5E5424" w14:textId="77777777" w:rsidR="005B0091" w:rsidRDefault="00000000">
      <w:pPr>
        <w:pStyle w:val="MDPI16affiliation"/>
        <w:ind w:left="0" w:firstLine="0"/>
      </w:pPr>
      <w:bookmarkStart w:id="2" w:name="_Hlk143081963"/>
      <w:bookmarkEnd w:id="1"/>
      <w:r>
        <w:t>State Key Laboratory of High-Efficiency Utilization of Coal and Green Chemical Engineering, College of Chemistry and Chemical Engineering, Ningxia University, Yinchuan 750021, China; yangrui2023@163.com (R.Y.); huangqun2023@163.com (Q.H.); shaxuelan2023@163.com (X.S.); gaobeibei2023@163.com (B.G.).</w:t>
      </w:r>
    </w:p>
    <w:p w14:paraId="3CCEB282" w14:textId="77777777" w:rsidR="005B0091" w:rsidRDefault="00000000">
      <w:pPr>
        <w:pStyle w:val="MDPI16affiliation"/>
        <w:ind w:left="0" w:firstLine="0"/>
      </w:pPr>
      <w:r>
        <w:rPr>
          <w:b/>
          <w:bCs/>
        </w:rPr>
        <w:t xml:space="preserve">* </w:t>
      </w:r>
      <w:r>
        <w:t>Correspondence: pengjuan@nxu.edu.cn</w:t>
      </w:r>
      <w:bookmarkEnd w:id="2"/>
      <w:r>
        <w:t xml:space="preserve"> </w:t>
      </w:r>
    </w:p>
    <w:p w14:paraId="60A2FF5D" w14:textId="77777777" w:rsidR="005B0091" w:rsidRDefault="00000000">
      <w:pPr>
        <w:pStyle w:val="MDPI16affiliation"/>
        <w:ind w:left="0" w:firstLine="0"/>
      </w:pPr>
      <w:r>
        <w:t xml:space="preserve">† These authors contributed equally to this work.  </w:t>
      </w:r>
    </w:p>
    <w:p w14:paraId="682B8054" w14:textId="77777777" w:rsidR="005B0091" w:rsidRDefault="00000000">
      <w:pPr>
        <w:widowControl/>
        <w:jc w:val="left"/>
        <w:rPr>
          <w:rFonts w:ascii="Times New Roman" w:hAnsi="Times New Roman" w:cs="Times New Roman"/>
          <w:szCs w:val="21"/>
        </w:rPr>
      </w:pPr>
      <w:r>
        <w:rPr>
          <w:rFonts w:ascii="Times New Roman" w:hAnsi="Times New Roman" w:cs="Times New Roman"/>
          <w:szCs w:val="21"/>
        </w:rPr>
        <w:br w:type="page"/>
      </w:r>
    </w:p>
    <w:p w14:paraId="67E705C8" w14:textId="77777777" w:rsidR="005B0091" w:rsidRDefault="00000000">
      <w:pPr>
        <w:rPr>
          <w:rFonts w:ascii="Times New Roman" w:hAnsi="Times New Roman" w:cs="Times New Roman"/>
          <w:b/>
          <w:bCs/>
          <w:szCs w:val="21"/>
        </w:rPr>
      </w:pPr>
      <w:r>
        <w:rPr>
          <w:rFonts w:ascii="Times New Roman" w:hAnsi="Times New Roman" w:cs="Times New Roman"/>
          <w:b/>
          <w:bCs/>
          <w:szCs w:val="21"/>
        </w:rPr>
        <w:lastRenderedPageBreak/>
        <w:t xml:space="preserve">Chemicals and Reagents </w:t>
      </w:r>
    </w:p>
    <w:p w14:paraId="24D5BFBF" w14:textId="77777777" w:rsidR="005B0091" w:rsidRDefault="005B0091">
      <w:pPr>
        <w:rPr>
          <w:rFonts w:ascii="Times New Roman" w:hAnsi="Times New Roman" w:cs="Times New Roman"/>
          <w:szCs w:val="21"/>
        </w:rPr>
      </w:pPr>
    </w:p>
    <w:p w14:paraId="3729C00E" w14:textId="77777777" w:rsidR="005B0091" w:rsidRDefault="00000000">
      <w:pPr>
        <w:ind w:firstLineChars="200" w:firstLine="420"/>
        <w:rPr>
          <w:rFonts w:ascii="Times New Roman" w:hAnsi="Times New Roman" w:cs="Times New Roman"/>
          <w:szCs w:val="21"/>
        </w:rPr>
      </w:pPr>
      <w:r>
        <w:rPr>
          <w:rFonts w:ascii="Times New Roman" w:hAnsi="Times New Roman" w:cs="Times New Roman"/>
          <w:szCs w:val="21"/>
        </w:rPr>
        <w:t>The following reagents were purchased and used in this work without further purification: bismuth nitrate pentahydrate (Bi(NO</w:t>
      </w:r>
      <w:r>
        <w:rPr>
          <w:rFonts w:ascii="Times New Roman" w:hAnsi="Times New Roman" w:cs="Times New Roman"/>
          <w:szCs w:val="21"/>
          <w:vertAlign w:val="subscript"/>
        </w:rPr>
        <w:t>3</w:t>
      </w:r>
      <w:r>
        <w:rPr>
          <w:rFonts w:ascii="Times New Roman" w:hAnsi="Times New Roman" w:cs="Times New Roman"/>
          <w:szCs w:val="21"/>
        </w:rPr>
        <w:t>)</w:t>
      </w:r>
      <w:r>
        <w:rPr>
          <w:rFonts w:ascii="Times New Roman" w:hAnsi="Times New Roman" w:cs="Times New Roman"/>
          <w:szCs w:val="21"/>
          <w:vertAlign w:val="subscript"/>
        </w:rPr>
        <w:t>3</w:t>
      </w:r>
      <w:r>
        <w:rPr>
          <w:rFonts w:ascii="Times New Roman" w:hAnsi="Times New Roman" w:cs="Times New Roman"/>
          <w:szCs w:val="21"/>
        </w:rPr>
        <w:t>·5H</w:t>
      </w:r>
      <w:r>
        <w:rPr>
          <w:rFonts w:ascii="Times New Roman" w:hAnsi="Times New Roman" w:cs="Times New Roman"/>
          <w:szCs w:val="21"/>
          <w:vertAlign w:val="subscript"/>
        </w:rPr>
        <w:t>2</w:t>
      </w:r>
      <w:r>
        <w:rPr>
          <w:rFonts w:ascii="Times New Roman" w:hAnsi="Times New Roman" w:cs="Times New Roman"/>
          <w:szCs w:val="21"/>
        </w:rPr>
        <w:t>O, purity≥99%) was purchased from Tianjin Damao Chemical Reagent Factory. The organic reagent 3-amino-1H-1,2,4-triazole-5-carboxylic acid (H</w:t>
      </w:r>
      <w:r>
        <w:rPr>
          <w:rFonts w:ascii="Times New Roman" w:hAnsi="Times New Roman" w:cs="Times New Roman"/>
          <w:szCs w:val="21"/>
          <w:vertAlign w:val="subscript"/>
        </w:rPr>
        <w:t>2</w:t>
      </w:r>
      <w:r>
        <w:rPr>
          <w:rFonts w:ascii="Times New Roman" w:hAnsi="Times New Roman" w:cs="Times New Roman"/>
          <w:szCs w:val="21"/>
        </w:rPr>
        <w:t xml:space="preserve">atzc, purity ≥95%) was obtained from Sinopharm Chemical Reagent </w:t>
      </w:r>
      <w:r>
        <w:rPr>
          <w:rFonts w:ascii="Times New Roman" w:hAnsi="Times New Roman" w:cs="Times New Roman" w:hint="eastAsia"/>
          <w:szCs w:val="21"/>
        </w:rPr>
        <w:t>Co., Ltd</w:t>
      </w:r>
      <w:r>
        <w:rPr>
          <w:rFonts w:ascii="Times New Roman" w:hAnsi="Times New Roman" w:cs="Times New Roman"/>
          <w:szCs w:val="21"/>
        </w:rPr>
        <w:t>. Indium trichloride tetrahydrate (InCl</w:t>
      </w:r>
      <w:r>
        <w:rPr>
          <w:rFonts w:ascii="Times New Roman" w:hAnsi="Times New Roman" w:cs="Times New Roman"/>
          <w:szCs w:val="21"/>
          <w:vertAlign w:val="subscript"/>
        </w:rPr>
        <w:t>3</w:t>
      </w:r>
      <w:r>
        <w:rPr>
          <w:rFonts w:ascii="Times New Roman" w:hAnsi="Times New Roman" w:cs="Times New Roman"/>
          <w:szCs w:val="21"/>
        </w:rPr>
        <w:t>·4H</w:t>
      </w:r>
      <w:r>
        <w:rPr>
          <w:rFonts w:ascii="Times New Roman" w:hAnsi="Times New Roman" w:cs="Times New Roman"/>
          <w:szCs w:val="21"/>
          <w:vertAlign w:val="subscript"/>
        </w:rPr>
        <w:t>2</w:t>
      </w:r>
      <w:r>
        <w:rPr>
          <w:rFonts w:ascii="Times New Roman" w:hAnsi="Times New Roman" w:cs="Times New Roman"/>
          <w:szCs w:val="21"/>
        </w:rPr>
        <w:t>O, purity≥99.99%), tin tetrachloride pentahydrate (SnCl</w:t>
      </w:r>
      <w:r>
        <w:rPr>
          <w:rFonts w:ascii="Times New Roman" w:hAnsi="Times New Roman" w:cs="Times New Roman"/>
          <w:szCs w:val="21"/>
          <w:vertAlign w:val="subscript"/>
        </w:rPr>
        <w:t>4</w:t>
      </w:r>
      <w:r>
        <w:rPr>
          <w:rFonts w:ascii="Times New Roman" w:hAnsi="Times New Roman" w:cs="Times New Roman"/>
          <w:szCs w:val="21"/>
        </w:rPr>
        <w:t>·5H</w:t>
      </w:r>
      <w:r>
        <w:rPr>
          <w:rFonts w:ascii="Times New Roman" w:hAnsi="Times New Roman" w:cs="Times New Roman"/>
          <w:szCs w:val="21"/>
          <w:vertAlign w:val="subscript"/>
        </w:rPr>
        <w:t>2</w:t>
      </w:r>
      <w:r>
        <w:rPr>
          <w:rFonts w:ascii="Times New Roman" w:hAnsi="Times New Roman" w:cs="Times New Roman"/>
          <w:szCs w:val="21"/>
        </w:rPr>
        <w:t>O, purity ≥99%) and hydrated zinc sulfate (ZnSO</w:t>
      </w:r>
      <w:r>
        <w:rPr>
          <w:rFonts w:ascii="Times New Roman" w:hAnsi="Times New Roman" w:cs="Times New Roman"/>
          <w:szCs w:val="21"/>
          <w:vertAlign w:val="subscript"/>
        </w:rPr>
        <w:t>4</w:t>
      </w:r>
      <w:r>
        <w:rPr>
          <w:rFonts w:ascii="Times New Roman" w:hAnsi="Times New Roman" w:cs="Times New Roman"/>
          <w:szCs w:val="21"/>
        </w:rPr>
        <w:t>·xH</w:t>
      </w:r>
      <w:r>
        <w:rPr>
          <w:rFonts w:ascii="Times New Roman" w:hAnsi="Times New Roman" w:cs="Times New Roman"/>
          <w:szCs w:val="21"/>
          <w:vertAlign w:val="subscript"/>
        </w:rPr>
        <w:t>2</w:t>
      </w:r>
      <w:r>
        <w:rPr>
          <w:rFonts w:ascii="Times New Roman" w:hAnsi="Times New Roman" w:cs="Times New Roman"/>
          <w:szCs w:val="21"/>
        </w:rPr>
        <w:t xml:space="preserve">O, purity&gt;95%) were purchased from </w:t>
      </w:r>
      <w:r>
        <w:rPr>
          <w:rFonts w:ascii="Times New Roman" w:hAnsi="Times New Roman" w:cs="Times New Roman" w:hint="eastAsia"/>
          <w:szCs w:val="21"/>
        </w:rPr>
        <w:t>Shanghai Macklin Biochemical Co., Ltd</w:t>
      </w:r>
      <w:r>
        <w:rPr>
          <w:rFonts w:ascii="Times New Roman" w:hAnsi="Times New Roman" w:cs="Times New Roman"/>
          <w:szCs w:val="21"/>
        </w:rPr>
        <w:t xml:space="preserve">. </w:t>
      </w:r>
      <w:proofErr w:type="spellStart"/>
      <w:r>
        <w:rPr>
          <w:rFonts w:ascii="Times New Roman" w:hAnsi="Times New Roman" w:cs="Times New Roman"/>
          <w:szCs w:val="21"/>
        </w:rPr>
        <w:t>Nafion</w:t>
      </w:r>
      <w:proofErr w:type="spellEnd"/>
      <w:r>
        <w:rPr>
          <w:rFonts w:ascii="Times New Roman" w:hAnsi="Times New Roman" w:cs="Times New Roman"/>
          <w:szCs w:val="21"/>
        </w:rPr>
        <w:t xml:space="preserve"> solution (5.0wt %) was obtained from </w:t>
      </w:r>
      <w:r>
        <w:rPr>
          <w:rFonts w:ascii="Times New Roman" w:hAnsi="Times New Roman" w:cs="Times New Roman" w:hint="eastAsia"/>
          <w:szCs w:val="21"/>
        </w:rPr>
        <w:t>Shanghai Aladdin Biochemical Technology Co., Ltd</w:t>
      </w:r>
      <w:r>
        <w:rPr>
          <w:rFonts w:ascii="Times New Roman" w:hAnsi="Times New Roman" w:cs="Times New Roman"/>
          <w:szCs w:val="21"/>
        </w:rPr>
        <w:t>. Potassium bicarbonate (KHCO</w:t>
      </w:r>
      <w:r>
        <w:rPr>
          <w:rFonts w:ascii="Times New Roman" w:hAnsi="Times New Roman" w:cs="Times New Roman"/>
          <w:szCs w:val="21"/>
          <w:vertAlign w:val="subscript"/>
        </w:rPr>
        <w:t>3</w:t>
      </w:r>
      <w:r>
        <w:rPr>
          <w:rFonts w:ascii="Times New Roman" w:hAnsi="Times New Roman" w:cs="Times New Roman"/>
          <w:szCs w:val="21"/>
        </w:rPr>
        <w:t>, purity≥99.5%) was purchased from</w:t>
      </w:r>
      <w:r>
        <w:rPr>
          <w:szCs w:val="21"/>
        </w:rPr>
        <w:t xml:space="preserve"> </w:t>
      </w:r>
      <w:r>
        <w:rPr>
          <w:rFonts w:ascii="Times New Roman" w:hAnsi="Times New Roman" w:cs="Times New Roman"/>
          <w:szCs w:val="21"/>
        </w:rPr>
        <w:t>Sinopharm Chemical Reagent Co., Ltd. Deionized water (18.24 MΩ cm</w:t>
      </w:r>
      <w:r>
        <w:rPr>
          <w:rFonts w:ascii="Times New Roman" w:hAnsi="Times New Roman" w:cs="Times New Roman"/>
          <w:szCs w:val="21"/>
          <w:vertAlign w:val="superscript"/>
        </w:rPr>
        <w:t>−1</w:t>
      </w:r>
      <w:r>
        <w:rPr>
          <w:rFonts w:ascii="Times New Roman" w:hAnsi="Times New Roman" w:cs="Times New Roman"/>
          <w:szCs w:val="21"/>
        </w:rPr>
        <w:t>) was produced by the laboratory special ultra-pure water machine.</w:t>
      </w:r>
    </w:p>
    <w:p w14:paraId="57B99F5E" w14:textId="77777777" w:rsidR="005B0091" w:rsidRDefault="005B0091">
      <w:pPr>
        <w:rPr>
          <w:rFonts w:ascii="Times New Roman" w:hAnsi="Times New Roman" w:cs="Times New Roman"/>
          <w:szCs w:val="21"/>
        </w:rPr>
      </w:pPr>
    </w:p>
    <w:p w14:paraId="0723C187" w14:textId="77777777" w:rsidR="005B0091" w:rsidRDefault="00000000">
      <w:pPr>
        <w:rPr>
          <w:rFonts w:ascii="Times New Roman" w:hAnsi="Times New Roman" w:cs="Times New Roman"/>
          <w:b/>
          <w:bCs/>
          <w:szCs w:val="21"/>
        </w:rPr>
      </w:pPr>
      <w:r>
        <w:rPr>
          <w:rFonts w:ascii="Times New Roman" w:hAnsi="Times New Roman" w:cs="Times New Roman"/>
          <w:b/>
          <w:bCs/>
          <w:szCs w:val="21"/>
        </w:rPr>
        <w:t xml:space="preserve">Characterization and measurement </w:t>
      </w:r>
    </w:p>
    <w:p w14:paraId="01C40C7F" w14:textId="77777777" w:rsidR="005B0091" w:rsidRDefault="005B0091">
      <w:pPr>
        <w:rPr>
          <w:rFonts w:ascii="Times New Roman" w:hAnsi="Times New Roman" w:cs="Times New Roman"/>
          <w:b/>
          <w:bCs/>
          <w:szCs w:val="21"/>
        </w:rPr>
      </w:pPr>
    </w:p>
    <w:p w14:paraId="59201D4E" w14:textId="77777777" w:rsidR="005B0091" w:rsidRDefault="00000000">
      <w:pPr>
        <w:ind w:firstLineChars="200" w:firstLine="420"/>
        <w:rPr>
          <w:rFonts w:ascii="Times New Roman" w:hAnsi="Times New Roman" w:cs="Times New Roman"/>
          <w:sz w:val="24"/>
          <w:szCs w:val="24"/>
        </w:rPr>
      </w:pPr>
      <w:r>
        <w:rPr>
          <w:rFonts w:ascii="Times New Roman" w:hAnsi="Times New Roman" w:cs="Times New Roman"/>
          <w:szCs w:val="21"/>
        </w:rPr>
        <w:t xml:space="preserve">The transmission electron microscope (TEM) images were captured using a Japanese JEOL JEM-F200 microscope operating at 100 kV. Multiple high-resolution TEM images were obtained using a JED-2300T microscope with an acceleration voltage of 200 kV. High-angle toroidal dark-field scanning transmission electron microscopy (HAADF-STEM) images were acquired using FEITEM at 200 kV. Kα ray diffraction (XRD) characterization was performed on a Rigaku 9 kW XRD diffractometer. Kα ray photoelectron spectroscopy (XPS) analysis was conducted using the </w:t>
      </w:r>
      <w:proofErr w:type="spellStart"/>
      <w:r>
        <w:rPr>
          <w:rFonts w:ascii="Times New Roman" w:hAnsi="Times New Roman" w:cs="Times New Roman"/>
          <w:szCs w:val="21"/>
        </w:rPr>
        <w:t>Thermo</w:t>
      </w:r>
      <w:proofErr w:type="spellEnd"/>
      <w:r>
        <w:rPr>
          <w:rFonts w:ascii="Times New Roman" w:hAnsi="Times New Roman" w:cs="Times New Roman"/>
          <w:szCs w:val="21"/>
        </w:rPr>
        <w:t xml:space="preserve"> Scientific K-Alpha instrument, and the corresponding binding energies of Bi 4f and O 1s peaks were calibrated. The nitrogen adsorption-desorption isothermal curve was obtained at 100°C using Tristar II 3020. The amount of each sample used in the test was 72 mg. Two cycles of gas desorption were performed before the nitrogen adsorption experiment. The electrodes were characterized directly prior to the electrocatalytic reaction occurring. After the electrocatalytic reaction, the electrode was cleaned with deionized water to remove surface electrolyte and then characterized after drying.</w:t>
      </w:r>
      <w:r>
        <w:rPr>
          <w:rFonts w:ascii="Times New Roman" w:hAnsi="Times New Roman" w:cs="Times New Roman"/>
          <w:sz w:val="24"/>
          <w:szCs w:val="24"/>
        </w:rPr>
        <w:br w:type="page"/>
      </w:r>
    </w:p>
    <w:p w14:paraId="401129E2" w14:textId="77777777" w:rsidR="005B0091" w:rsidRDefault="00000000">
      <w:pPr>
        <w:ind w:firstLineChars="200" w:firstLine="420"/>
        <w:jc w:val="center"/>
        <w:rPr>
          <w:rFonts w:ascii="Times New Roman" w:hAnsi="Times New Roman" w:cs="Times New Roman"/>
          <w:szCs w:val="21"/>
        </w:rPr>
      </w:pPr>
      <w:r>
        <w:rPr>
          <w:rFonts w:ascii="Times New Roman" w:hAnsi="Times New Roman" w:cs="Times New Roman"/>
          <w:noProof/>
          <w:szCs w:val="21"/>
        </w:rPr>
        <w:lastRenderedPageBreak/>
        <w:drawing>
          <wp:inline distT="0" distB="0" distL="0" distR="0" wp14:anchorId="10633212" wp14:editId="4884885F">
            <wp:extent cx="4589145" cy="3296920"/>
            <wp:effectExtent l="0" t="0" r="1905" b="0"/>
            <wp:docPr id="285116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16854"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92047" cy="3298910"/>
                    </a:xfrm>
                    <a:prstGeom prst="rect">
                      <a:avLst/>
                    </a:prstGeom>
                  </pic:spPr>
                </pic:pic>
              </a:graphicData>
            </a:graphic>
          </wp:inline>
        </w:drawing>
      </w:r>
    </w:p>
    <w:p w14:paraId="6D8086D6" w14:textId="77777777" w:rsidR="005B0091" w:rsidRDefault="00000000">
      <w:pPr>
        <w:pStyle w:val="a"/>
        <w:jc w:val="both"/>
        <w:rPr>
          <w:sz w:val="21"/>
        </w:rPr>
      </w:pPr>
      <w:r>
        <w:rPr>
          <w:sz w:val="21"/>
        </w:rPr>
        <w:t>Figure S1. SEM images of (a) Bi-MOF,</w:t>
      </w:r>
      <w:r>
        <w:rPr>
          <w:rFonts w:hint="eastAsia"/>
          <w:sz w:val="21"/>
        </w:rPr>
        <w:t xml:space="preserve"> </w:t>
      </w:r>
      <w:r>
        <w:rPr>
          <w:sz w:val="21"/>
        </w:rPr>
        <w:t xml:space="preserve">(b) </w:t>
      </w:r>
      <w:proofErr w:type="spellStart"/>
      <w:r>
        <w:rPr>
          <w:sz w:val="21"/>
        </w:rPr>
        <w:t>BiZn</w:t>
      </w:r>
      <w:proofErr w:type="spellEnd"/>
      <w:r>
        <w:rPr>
          <w:sz w:val="21"/>
        </w:rPr>
        <w:t>-MOF,</w:t>
      </w:r>
      <w:r>
        <w:rPr>
          <w:rFonts w:hint="eastAsia"/>
          <w:sz w:val="21"/>
        </w:rPr>
        <w:t xml:space="preserve"> </w:t>
      </w:r>
      <w:r>
        <w:rPr>
          <w:sz w:val="21"/>
        </w:rPr>
        <w:t>(c) BiIn-MOF</w:t>
      </w:r>
      <w:r>
        <w:rPr>
          <w:rFonts w:hint="eastAsia"/>
          <w:sz w:val="21"/>
        </w:rPr>
        <w:t xml:space="preserve"> and </w:t>
      </w:r>
      <w:r>
        <w:rPr>
          <w:sz w:val="21"/>
        </w:rPr>
        <w:t xml:space="preserve">(d) </w:t>
      </w:r>
      <w:proofErr w:type="spellStart"/>
      <w:r>
        <w:rPr>
          <w:sz w:val="21"/>
        </w:rPr>
        <w:t>BiSn</w:t>
      </w:r>
      <w:proofErr w:type="spellEnd"/>
      <w:r>
        <w:rPr>
          <w:sz w:val="21"/>
        </w:rPr>
        <w:t>-MOF.</w:t>
      </w:r>
    </w:p>
    <w:p w14:paraId="76C1A15F" w14:textId="77777777" w:rsidR="005B0091" w:rsidRDefault="005B0091">
      <w:pPr>
        <w:pStyle w:val="a"/>
        <w:jc w:val="both"/>
        <w:rPr>
          <w:bCs/>
          <w:sz w:val="21"/>
        </w:rPr>
      </w:pPr>
    </w:p>
    <w:p w14:paraId="7D58AD6C" w14:textId="77777777" w:rsidR="005B0091" w:rsidRDefault="00000000">
      <w:pPr>
        <w:pStyle w:val="a"/>
        <w:spacing w:line="240" w:lineRule="auto"/>
        <w:jc w:val="center"/>
        <w:rPr>
          <w:bCs/>
          <w:sz w:val="21"/>
        </w:rPr>
      </w:pPr>
      <w:r>
        <w:rPr>
          <w:bCs/>
          <w:noProof/>
          <w:sz w:val="21"/>
        </w:rPr>
        <w:drawing>
          <wp:inline distT="0" distB="0" distL="0" distR="0" wp14:anchorId="1F708852" wp14:editId="3B2A632B">
            <wp:extent cx="2924175" cy="2492375"/>
            <wp:effectExtent l="0" t="0" r="0" b="3175"/>
            <wp:docPr id="1113326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6190"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9016" cy="2496970"/>
                    </a:xfrm>
                    <a:prstGeom prst="rect">
                      <a:avLst/>
                    </a:prstGeom>
                  </pic:spPr>
                </pic:pic>
              </a:graphicData>
            </a:graphic>
          </wp:inline>
        </w:drawing>
      </w:r>
    </w:p>
    <w:p w14:paraId="4E020870" w14:textId="77777777" w:rsidR="005B0091" w:rsidRDefault="00000000">
      <w:pPr>
        <w:pStyle w:val="a"/>
        <w:jc w:val="center"/>
        <w:rPr>
          <w:sz w:val="21"/>
        </w:rPr>
      </w:pPr>
      <w:r>
        <w:rPr>
          <w:sz w:val="21"/>
        </w:rPr>
        <w:t>Figure S2.</w:t>
      </w:r>
      <w:r>
        <w:rPr>
          <w:rFonts w:hint="eastAsia"/>
          <w:sz w:val="21"/>
        </w:rPr>
        <w:t xml:space="preserve"> </w:t>
      </w:r>
      <w:r>
        <w:rPr>
          <w:sz w:val="21"/>
        </w:rPr>
        <w:t xml:space="preserve">Nitrogen adsorption-desorption isotherm curves of </w:t>
      </w:r>
      <w:proofErr w:type="spellStart"/>
      <w:r>
        <w:rPr>
          <w:sz w:val="21"/>
        </w:rPr>
        <w:t>BiZn</w:t>
      </w:r>
      <w:proofErr w:type="spellEnd"/>
      <w:r>
        <w:rPr>
          <w:sz w:val="21"/>
        </w:rPr>
        <w:t>-MOF samples.</w:t>
      </w:r>
    </w:p>
    <w:p w14:paraId="3F0A826F" w14:textId="77777777" w:rsidR="005B0091" w:rsidRDefault="005B0091">
      <w:pPr>
        <w:pStyle w:val="a"/>
        <w:jc w:val="both"/>
        <w:rPr>
          <w:bCs/>
          <w:sz w:val="21"/>
        </w:rPr>
      </w:pPr>
    </w:p>
    <w:p w14:paraId="113ABCAF" w14:textId="77777777" w:rsidR="005B0091" w:rsidRDefault="005B0091">
      <w:pPr>
        <w:pStyle w:val="a"/>
        <w:jc w:val="both"/>
        <w:rPr>
          <w:bCs/>
          <w:sz w:val="21"/>
        </w:rPr>
      </w:pPr>
    </w:p>
    <w:p w14:paraId="15654FAE" w14:textId="77777777" w:rsidR="005B0091" w:rsidRDefault="00000000">
      <w:pPr>
        <w:pStyle w:val="a"/>
        <w:spacing w:line="240" w:lineRule="auto"/>
        <w:jc w:val="center"/>
        <w:rPr>
          <w:sz w:val="21"/>
        </w:rPr>
      </w:pPr>
      <w:r>
        <w:rPr>
          <w:noProof/>
          <w:sz w:val="21"/>
        </w:rPr>
        <w:lastRenderedPageBreak/>
        <w:drawing>
          <wp:inline distT="0" distB="0" distL="0" distR="0" wp14:anchorId="642B36FF" wp14:editId="68E9AE53">
            <wp:extent cx="4408805" cy="2019300"/>
            <wp:effectExtent l="0" t="0" r="0" b="0"/>
            <wp:docPr id="17841542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54265"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9142" cy="2024419"/>
                    </a:xfrm>
                    <a:prstGeom prst="rect">
                      <a:avLst/>
                    </a:prstGeom>
                  </pic:spPr>
                </pic:pic>
              </a:graphicData>
            </a:graphic>
          </wp:inline>
        </w:drawing>
      </w:r>
    </w:p>
    <w:p w14:paraId="6AAE9256" w14:textId="77777777" w:rsidR="005B0091" w:rsidRDefault="00000000">
      <w:pPr>
        <w:pStyle w:val="a"/>
        <w:jc w:val="center"/>
        <w:rPr>
          <w:sz w:val="21"/>
        </w:rPr>
      </w:pPr>
      <w:r>
        <w:rPr>
          <w:sz w:val="21"/>
        </w:rPr>
        <w:t xml:space="preserve">Figure S3. EDX spectra of </w:t>
      </w:r>
      <w:proofErr w:type="spellStart"/>
      <w:r>
        <w:rPr>
          <w:sz w:val="21"/>
        </w:rPr>
        <w:t>BiZn</w:t>
      </w:r>
      <w:proofErr w:type="spellEnd"/>
      <w:r>
        <w:rPr>
          <w:sz w:val="21"/>
        </w:rPr>
        <w:t>-MOF catalyst.</w:t>
      </w:r>
    </w:p>
    <w:p w14:paraId="4630DC10" w14:textId="77777777" w:rsidR="005B0091" w:rsidRDefault="005B0091">
      <w:pPr>
        <w:pStyle w:val="a"/>
        <w:spacing w:line="240" w:lineRule="auto"/>
        <w:jc w:val="center"/>
        <w:rPr>
          <w:sz w:val="21"/>
        </w:rPr>
      </w:pPr>
    </w:p>
    <w:p w14:paraId="5B771E17" w14:textId="77777777" w:rsidR="005B0091" w:rsidRDefault="00000000">
      <w:pPr>
        <w:pStyle w:val="a"/>
        <w:spacing w:line="240" w:lineRule="auto"/>
        <w:jc w:val="center"/>
        <w:rPr>
          <w:sz w:val="21"/>
        </w:rPr>
      </w:pPr>
      <w:r>
        <w:rPr>
          <w:noProof/>
          <w:sz w:val="21"/>
        </w:rPr>
        <w:drawing>
          <wp:inline distT="0" distB="0" distL="0" distR="0" wp14:anchorId="67D19040" wp14:editId="6D97C8E1">
            <wp:extent cx="4236085" cy="5009515"/>
            <wp:effectExtent l="0" t="0" r="0" b="635"/>
            <wp:docPr id="6065165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516536"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1009" cy="5015073"/>
                    </a:xfrm>
                    <a:prstGeom prst="rect">
                      <a:avLst/>
                    </a:prstGeom>
                  </pic:spPr>
                </pic:pic>
              </a:graphicData>
            </a:graphic>
          </wp:inline>
        </w:drawing>
      </w:r>
    </w:p>
    <w:p w14:paraId="03CA2EC0" w14:textId="77777777" w:rsidR="005B0091" w:rsidRDefault="00000000">
      <w:pPr>
        <w:pStyle w:val="a"/>
        <w:spacing w:line="240" w:lineRule="auto"/>
        <w:jc w:val="both"/>
        <w:rPr>
          <w:sz w:val="21"/>
        </w:rPr>
      </w:pPr>
      <w:r>
        <w:rPr>
          <w:sz w:val="21"/>
        </w:rPr>
        <w:t xml:space="preserve">Figure S4. CV curves of (a) </w:t>
      </w:r>
      <w:proofErr w:type="spellStart"/>
      <w:r>
        <w:rPr>
          <w:sz w:val="21"/>
        </w:rPr>
        <w:t>BiZn</w:t>
      </w:r>
      <w:proofErr w:type="spellEnd"/>
      <w:r>
        <w:rPr>
          <w:sz w:val="21"/>
        </w:rPr>
        <w:t xml:space="preserve">-MOF, (b) Bi-MOF, (c) BiIn-MOF, and (d) </w:t>
      </w:r>
      <w:proofErr w:type="spellStart"/>
      <w:r>
        <w:rPr>
          <w:sz w:val="21"/>
        </w:rPr>
        <w:t>BiSn</w:t>
      </w:r>
      <w:proofErr w:type="spellEnd"/>
      <w:r>
        <w:rPr>
          <w:sz w:val="21"/>
        </w:rPr>
        <w:t xml:space="preserve">-MOF in the potential range from 0.27 V to 0.53 V at different scanning rates (20-100 mV/s). (e) Linear fitting graph of current density difference △j with sweep speed (red, black, blue and orange represent </w:t>
      </w:r>
      <w:proofErr w:type="spellStart"/>
      <w:r>
        <w:rPr>
          <w:sz w:val="21"/>
        </w:rPr>
        <w:t>BiZn</w:t>
      </w:r>
      <w:proofErr w:type="spellEnd"/>
      <w:r>
        <w:rPr>
          <w:sz w:val="21"/>
        </w:rPr>
        <w:t xml:space="preserve">-MOF, BiIn-MOF, </w:t>
      </w:r>
      <w:proofErr w:type="spellStart"/>
      <w:r>
        <w:rPr>
          <w:sz w:val="21"/>
        </w:rPr>
        <w:t>BiSn</w:t>
      </w:r>
      <w:proofErr w:type="spellEnd"/>
      <w:r>
        <w:rPr>
          <w:sz w:val="21"/>
        </w:rPr>
        <w:t xml:space="preserve">-MOF and Bi-MOF, respectively). </w:t>
      </w:r>
    </w:p>
    <w:p w14:paraId="7E703FC8" w14:textId="77777777" w:rsidR="005B0091" w:rsidRDefault="00000000">
      <w:pPr>
        <w:pStyle w:val="a"/>
        <w:spacing w:line="240" w:lineRule="auto"/>
        <w:jc w:val="center"/>
        <w:rPr>
          <w:sz w:val="21"/>
        </w:rPr>
      </w:pPr>
      <w:r>
        <w:rPr>
          <w:noProof/>
          <w:sz w:val="21"/>
        </w:rPr>
        <w:lastRenderedPageBreak/>
        <w:drawing>
          <wp:inline distT="0" distB="0" distL="0" distR="0" wp14:anchorId="73025393" wp14:editId="3B4D27B6">
            <wp:extent cx="4166870" cy="3535680"/>
            <wp:effectExtent l="0" t="0" r="5080" b="7620"/>
            <wp:docPr id="19161756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175614"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85234" cy="3551856"/>
                    </a:xfrm>
                    <a:prstGeom prst="rect">
                      <a:avLst/>
                    </a:prstGeom>
                  </pic:spPr>
                </pic:pic>
              </a:graphicData>
            </a:graphic>
          </wp:inline>
        </w:drawing>
      </w:r>
    </w:p>
    <w:p w14:paraId="334BD92A" w14:textId="77777777" w:rsidR="005B0091" w:rsidRDefault="00000000">
      <w:pPr>
        <w:pStyle w:val="a"/>
        <w:jc w:val="both"/>
        <w:rPr>
          <w:color w:val="FF0000"/>
          <w:sz w:val="21"/>
        </w:rPr>
      </w:pPr>
      <w:bookmarkStart w:id="3" w:name="_Hlk142548876"/>
      <w:r>
        <w:rPr>
          <w:sz w:val="21"/>
        </w:rPr>
        <w:t>Figure S5</w:t>
      </w:r>
      <w:bookmarkEnd w:id="3"/>
      <w:r>
        <w:rPr>
          <w:sz w:val="21"/>
        </w:rPr>
        <w:t>.</w:t>
      </w:r>
      <w:r>
        <w:rPr>
          <w:rFonts w:hint="eastAsia"/>
          <w:sz w:val="21"/>
        </w:rPr>
        <w:t xml:space="preserve"> </w:t>
      </w:r>
      <w:r>
        <w:rPr>
          <w:sz w:val="21"/>
        </w:rPr>
        <w:t xml:space="preserve">(a) </w:t>
      </w:r>
      <w:r>
        <w:rPr>
          <w:rFonts w:hint="eastAsia"/>
          <w:sz w:val="21"/>
        </w:rPr>
        <w:t xml:space="preserve">Electrochemical impedance </w:t>
      </w:r>
      <w:r>
        <w:rPr>
          <w:sz w:val="21"/>
        </w:rPr>
        <w:t>s</w:t>
      </w:r>
      <w:r>
        <w:rPr>
          <w:rFonts w:hint="eastAsia"/>
          <w:sz w:val="21"/>
        </w:rPr>
        <w:t>pectroscopy</w:t>
      </w:r>
      <w:r>
        <w:rPr>
          <w:sz w:val="21"/>
        </w:rPr>
        <w:t xml:space="preserve"> of </w:t>
      </w:r>
      <w:proofErr w:type="spellStart"/>
      <w:r>
        <w:rPr>
          <w:rFonts w:hint="eastAsia"/>
          <w:sz w:val="21"/>
        </w:rPr>
        <w:t>BiZn</w:t>
      </w:r>
      <w:proofErr w:type="spellEnd"/>
      <w:r>
        <w:rPr>
          <w:rFonts w:hint="eastAsia"/>
          <w:sz w:val="21"/>
        </w:rPr>
        <w:t>-MOF</w:t>
      </w:r>
      <w:r>
        <w:rPr>
          <w:sz w:val="21"/>
        </w:rPr>
        <w:t xml:space="preserve">, </w:t>
      </w:r>
      <w:r>
        <w:rPr>
          <w:rFonts w:hint="eastAsia"/>
          <w:sz w:val="21"/>
        </w:rPr>
        <w:t>BiIn-MOF,</w:t>
      </w:r>
      <w:r>
        <w:rPr>
          <w:sz w:val="21"/>
        </w:rPr>
        <w:t xml:space="preserve"> </w:t>
      </w:r>
      <w:proofErr w:type="spellStart"/>
      <w:r>
        <w:rPr>
          <w:rFonts w:hint="eastAsia"/>
          <w:sz w:val="21"/>
        </w:rPr>
        <w:t>BiSn</w:t>
      </w:r>
      <w:proofErr w:type="spellEnd"/>
      <w:r>
        <w:rPr>
          <w:rFonts w:hint="eastAsia"/>
          <w:sz w:val="21"/>
        </w:rPr>
        <w:t>-MOF</w:t>
      </w:r>
      <w:r>
        <w:rPr>
          <w:sz w:val="21"/>
        </w:rPr>
        <w:t xml:space="preserve"> and Bi-MOF.</w:t>
      </w:r>
      <w:r>
        <w:rPr>
          <w:rFonts w:hint="eastAsia"/>
          <w:sz w:val="21"/>
        </w:rPr>
        <w:t xml:space="preserve"> (b)</w:t>
      </w:r>
      <w:r>
        <w:rPr>
          <w:sz w:val="21"/>
        </w:rPr>
        <w:t xml:space="preserve"> Tafel slope</w:t>
      </w:r>
      <w:r>
        <w:rPr>
          <w:rFonts w:hint="eastAsia"/>
          <w:sz w:val="21"/>
        </w:rPr>
        <w:t xml:space="preserve"> </w:t>
      </w:r>
      <w:r>
        <w:rPr>
          <w:sz w:val="21"/>
        </w:rPr>
        <w:t xml:space="preserve">of </w:t>
      </w:r>
      <w:proofErr w:type="spellStart"/>
      <w:r>
        <w:rPr>
          <w:sz w:val="21"/>
        </w:rPr>
        <w:t>BiZn</w:t>
      </w:r>
      <w:proofErr w:type="spellEnd"/>
      <w:r>
        <w:rPr>
          <w:sz w:val="21"/>
        </w:rPr>
        <w:t xml:space="preserve">-MOF, BiIn-MOF and </w:t>
      </w:r>
      <w:proofErr w:type="spellStart"/>
      <w:r>
        <w:rPr>
          <w:sz w:val="21"/>
        </w:rPr>
        <w:t>BiSn</w:t>
      </w:r>
      <w:proofErr w:type="spellEnd"/>
      <w:r>
        <w:rPr>
          <w:sz w:val="21"/>
        </w:rPr>
        <w:t>-MOF.</w:t>
      </w:r>
      <w:r>
        <w:rPr>
          <w:rFonts w:hint="eastAsia"/>
          <w:sz w:val="21"/>
        </w:rPr>
        <w:t xml:space="preserve"> (c) Zn 2p</w:t>
      </w:r>
      <w:r>
        <w:rPr>
          <w:sz w:val="21"/>
        </w:rPr>
        <w:t xml:space="preserve"> XPS spectr</w:t>
      </w:r>
      <w:r>
        <w:rPr>
          <w:rFonts w:hint="eastAsia"/>
          <w:sz w:val="21"/>
        </w:rPr>
        <w:t>um</w:t>
      </w:r>
      <w:r>
        <w:rPr>
          <w:sz w:val="21"/>
        </w:rPr>
        <w:t>.</w:t>
      </w:r>
      <w:r>
        <w:rPr>
          <w:rFonts w:hint="eastAsia"/>
          <w:sz w:val="21"/>
        </w:rPr>
        <w:t xml:space="preserve"> (</w:t>
      </w:r>
      <w:r>
        <w:rPr>
          <w:sz w:val="21"/>
        </w:rPr>
        <w:t>d</w:t>
      </w:r>
      <w:r>
        <w:rPr>
          <w:rFonts w:hint="eastAsia"/>
          <w:sz w:val="21"/>
        </w:rPr>
        <w:t>) N 1s</w:t>
      </w:r>
      <w:r>
        <w:rPr>
          <w:sz w:val="21"/>
        </w:rPr>
        <w:t xml:space="preserve"> XPS spectr</w:t>
      </w:r>
      <w:r>
        <w:rPr>
          <w:rFonts w:hint="eastAsia"/>
          <w:sz w:val="21"/>
        </w:rPr>
        <w:t>um</w:t>
      </w:r>
      <w:r>
        <w:rPr>
          <w:sz w:val="21"/>
        </w:rPr>
        <w:t>.</w:t>
      </w:r>
    </w:p>
    <w:p w14:paraId="7FD6DD52" w14:textId="77777777" w:rsidR="005B0091" w:rsidRDefault="00000000">
      <w:pPr>
        <w:pStyle w:val="MDPI31text"/>
        <w:spacing w:line="240" w:lineRule="auto"/>
        <w:ind w:left="0" w:firstLine="0"/>
        <w:jc w:val="center"/>
        <w:rPr>
          <w:b/>
          <w:bCs/>
        </w:rPr>
      </w:pPr>
      <w:bookmarkStart w:id="4" w:name="_Ref142520776"/>
      <w:r>
        <w:rPr>
          <w:b/>
          <w:bCs/>
          <w:noProof/>
          <w:snapToGrid/>
        </w:rPr>
        <w:drawing>
          <wp:inline distT="0" distB="0" distL="0" distR="0" wp14:anchorId="19F94DF5" wp14:editId="0C306582">
            <wp:extent cx="4176395" cy="3425825"/>
            <wp:effectExtent l="0" t="0" r="0" b="3175"/>
            <wp:docPr id="14755109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510981"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91970" cy="3438466"/>
                    </a:xfrm>
                    <a:prstGeom prst="rect">
                      <a:avLst/>
                    </a:prstGeom>
                  </pic:spPr>
                </pic:pic>
              </a:graphicData>
            </a:graphic>
          </wp:inline>
        </w:drawing>
      </w:r>
    </w:p>
    <w:p w14:paraId="70F5946A" w14:textId="77777777" w:rsidR="005B0091" w:rsidRDefault="00000000">
      <w:pPr>
        <w:pStyle w:val="a"/>
        <w:jc w:val="both"/>
        <w:rPr>
          <w:color w:val="FF0000"/>
          <w:sz w:val="21"/>
        </w:rPr>
      </w:pPr>
      <w:r>
        <w:rPr>
          <w:bCs/>
          <w:sz w:val="21"/>
        </w:rPr>
        <w:t xml:space="preserve">Figure </w:t>
      </w:r>
      <w:bookmarkEnd w:id="4"/>
      <w:r>
        <w:rPr>
          <w:rFonts w:eastAsia="宋体" w:hint="eastAsia"/>
          <w:bCs/>
          <w:sz w:val="21"/>
        </w:rPr>
        <w:t>S6</w:t>
      </w:r>
      <w:r>
        <w:rPr>
          <w:bCs/>
          <w:sz w:val="21"/>
        </w:rPr>
        <w:t>. C</w:t>
      </w:r>
      <w:r>
        <w:rPr>
          <w:rFonts w:hint="eastAsia"/>
          <w:bCs/>
          <w:sz w:val="21"/>
        </w:rPr>
        <w:t xml:space="preserve">hronoamperometric responses of (a) </w:t>
      </w:r>
      <w:proofErr w:type="spellStart"/>
      <w:r>
        <w:rPr>
          <w:rFonts w:hint="eastAsia"/>
          <w:bCs/>
          <w:sz w:val="21"/>
        </w:rPr>
        <w:t>BiZn</w:t>
      </w:r>
      <w:proofErr w:type="spellEnd"/>
      <w:r>
        <w:rPr>
          <w:rFonts w:hint="eastAsia"/>
          <w:bCs/>
          <w:sz w:val="21"/>
        </w:rPr>
        <w:t xml:space="preserve">-MOF, (b) BiIn-MOF, (c) </w:t>
      </w:r>
      <w:proofErr w:type="spellStart"/>
      <w:r>
        <w:rPr>
          <w:rFonts w:hint="eastAsia"/>
          <w:bCs/>
          <w:sz w:val="21"/>
        </w:rPr>
        <w:t>BiSn</w:t>
      </w:r>
      <w:proofErr w:type="spellEnd"/>
      <w:r>
        <w:rPr>
          <w:rFonts w:hint="eastAsia"/>
          <w:bCs/>
          <w:sz w:val="21"/>
        </w:rPr>
        <w:t>-MOF at different working potentials as indicated for 1 h</w:t>
      </w:r>
      <w:r>
        <w:rPr>
          <w:bCs/>
          <w:sz w:val="21"/>
        </w:rPr>
        <w:t xml:space="preserve">. </w:t>
      </w:r>
      <w:r>
        <w:rPr>
          <w:rFonts w:hint="eastAsia"/>
          <w:bCs/>
          <w:sz w:val="21"/>
        </w:rPr>
        <w:t xml:space="preserve">(d) </w:t>
      </w:r>
      <w:r>
        <w:rPr>
          <w:bCs/>
          <w:sz w:val="21"/>
        </w:rPr>
        <w:t xml:space="preserve">Long-term stability of </w:t>
      </w:r>
      <w:proofErr w:type="spellStart"/>
      <w:r>
        <w:rPr>
          <w:bCs/>
          <w:sz w:val="21"/>
        </w:rPr>
        <w:t>BiZn</w:t>
      </w:r>
      <w:proofErr w:type="spellEnd"/>
      <w:r>
        <w:rPr>
          <w:bCs/>
          <w:sz w:val="21"/>
        </w:rPr>
        <w:t>-MOF at -0.9</w:t>
      </w:r>
      <w:r>
        <w:rPr>
          <w:rFonts w:hint="eastAsia"/>
          <w:bCs/>
          <w:sz w:val="21"/>
        </w:rPr>
        <w:t xml:space="preserve"> </w:t>
      </w:r>
      <w:r>
        <w:rPr>
          <w:bCs/>
          <w:sz w:val="21"/>
        </w:rPr>
        <w:t>V (vs. RHE) potential and FE corresponding to HCOO</w:t>
      </w:r>
      <w:r>
        <w:rPr>
          <w:bCs/>
          <w:sz w:val="21"/>
          <w:vertAlign w:val="superscript"/>
        </w:rPr>
        <w:t>-</w:t>
      </w:r>
      <w:r>
        <w:rPr>
          <w:bCs/>
          <w:sz w:val="21"/>
        </w:rPr>
        <w:t>.</w:t>
      </w:r>
      <w:r>
        <w:rPr>
          <w:rFonts w:eastAsia="宋体" w:hint="eastAsia"/>
          <w:bCs/>
          <w:sz w:val="21"/>
        </w:rPr>
        <w:t xml:space="preserve"> </w:t>
      </w:r>
    </w:p>
    <w:p w14:paraId="184B89A4" w14:textId="77777777" w:rsidR="005B0091" w:rsidRDefault="00000000">
      <w:pPr>
        <w:pStyle w:val="a"/>
        <w:spacing w:line="240" w:lineRule="auto"/>
        <w:jc w:val="center"/>
        <w:rPr>
          <w:sz w:val="21"/>
        </w:rPr>
      </w:pPr>
      <w:r>
        <w:rPr>
          <w:noProof/>
          <w:sz w:val="21"/>
        </w:rPr>
        <w:lastRenderedPageBreak/>
        <w:drawing>
          <wp:inline distT="0" distB="0" distL="0" distR="0" wp14:anchorId="37B2D3DD" wp14:editId="6276A27F">
            <wp:extent cx="5022850" cy="3074035"/>
            <wp:effectExtent l="0" t="0" r="6350" b="0"/>
            <wp:docPr id="11453262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26222" name="图片 8"/>
                    <pic:cNvPicPr>
                      <a:picLocks noChangeAspect="1"/>
                    </pic:cNvPicPr>
                  </pic:nvPicPr>
                  <pic:blipFill>
                    <a:blip r:embed="rId11" cstate="print">
                      <a:extLst>
                        <a:ext uri="{28A0092B-C50C-407E-A947-70E740481C1C}">
                          <a14:useLocalDpi xmlns:a14="http://schemas.microsoft.com/office/drawing/2010/main" val="0"/>
                        </a:ext>
                      </a:extLst>
                    </a:blip>
                    <a:srcRect r="4757"/>
                    <a:stretch>
                      <a:fillRect/>
                    </a:stretch>
                  </pic:blipFill>
                  <pic:spPr>
                    <a:xfrm>
                      <a:off x="0" y="0"/>
                      <a:ext cx="5023412" cy="3074035"/>
                    </a:xfrm>
                    <a:prstGeom prst="rect">
                      <a:avLst/>
                    </a:prstGeom>
                    <a:ln>
                      <a:noFill/>
                    </a:ln>
                  </pic:spPr>
                </pic:pic>
              </a:graphicData>
            </a:graphic>
          </wp:inline>
        </w:drawing>
      </w:r>
    </w:p>
    <w:p w14:paraId="24EC180B" w14:textId="77777777" w:rsidR="005B0091" w:rsidRDefault="00000000">
      <w:pPr>
        <w:pStyle w:val="a"/>
        <w:jc w:val="both"/>
        <w:rPr>
          <w:sz w:val="21"/>
        </w:rPr>
      </w:pPr>
      <w:r>
        <w:rPr>
          <w:sz w:val="21"/>
        </w:rPr>
        <w:t>Figure</w:t>
      </w:r>
      <w:r>
        <w:rPr>
          <w:rFonts w:hint="eastAsia"/>
          <w:sz w:val="21"/>
        </w:rPr>
        <w:t xml:space="preserve"> </w:t>
      </w:r>
      <w:r>
        <w:rPr>
          <w:sz w:val="21"/>
        </w:rPr>
        <w:t>S</w:t>
      </w:r>
      <w:r>
        <w:rPr>
          <w:rFonts w:hint="eastAsia"/>
          <w:sz w:val="21"/>
        </w:rPr>
        <w:t>7</w:t>
      </w:r>
      <w:r>
        <w:rPr>
          <w:sz w:val="21"/>
        </w:rPr>
        <w:t>.</w:t>
      </w:r>
      <w:r>
        <w:rPr>
          <w:rFonts w:hint="eastAsia"/>
          <w:sz w:val="21"/>
        </w:rPr>
        <w:t xml:space="preserve"> Characterization of </w:t>
      </w:r>
      <w:proofErr w:type="spellStart"/>
      <w:r>
        <w:rPr>
          <w:rFonts w:hint="eastAsia"/>
          <w:sz w:val="21"/>
        </w:rPr>
        <w:t>BiZn</w:t>
      </w:r>
      <w:proofErr w:type="spellEnd"/>
      <w:r>
        <w:rPr>
          <w:rFonts w:hint="eastAsia"/>
          <w:sz w:val="21"/>
        </w:rPr>
        <w:t xml:space="preserve">-MOF </w:t>
      </w:r>
      <w:r>
        <w:rPr>
          <w:sz w:val="21"/>
        </w:rPr>
        <w:t>after 13 hours of electrolysis:</w:t>
      </w:r>
      <w:r>
        <w:rPr>
          <w:rFonts w:hint="eastAsia"/>
          <w:sz w:val="21"/>
        </w:rPr>
        <w:t xml:space="preserve"> (a) </w:t>
      </w:r>
      <w:r>
        <w:rPr>
          <w:sz w:val="21"/>
        </w:rPr>
        <w:t>EDX</w:t>
      </w:r>
      <w:r>
        <w:rPr>
          <w:rFonts w:hint="eastAsia"/>
          <w:sz w:val="21"/>
        </w:rPr>
        <w:t xml:space="preserve"> image</w:t>
      </w:r>
      <w:r>
        <w:rPr>
          <w:sz w:val="21"/>
        </w:rPr>
        <w:t xml:space="preserve"> and</w:t>
      </w:r>
      <w:r>
        <w:rPr>
          <w:rFonts w:hint="eastAsia"/>
          <w:sz w:val="21"/>
        </w:rPr>
        <w:t xml:space="preserve"> (b</w:t>
      </w:r>
      <w:r>
        <w:rPr>
          <w:sz w:val="21"/>
        </w:rPr>
        <w:t>-</w:t>
      </w:r>
      <w:r>
        <w:rPr>
          <w:rFonts w:hint="eastAsia"/>
          <w:sz w:val="21"/>
        </w:rPr>
        <w:t xml:space="preserve">f) </w:t>
      </w:r>
      <w:r>
        <w:rPr>
          <w:sz w:val="21"/>
        </w:rPr>
        <w:t>e</w:t>
      </w:r>
      <w:r>
        <w:rPr>
          <w:rFonts w:hint="eastAsia"/>
          <w:sz w:val="21"/>
        </w:rPr>
        <w:t>lemental mapping image (blue, purple, yellow, green and red represent C, N, O, Zn and Bi</w:t>
      </w:r>
      <w:r>
        <w:rPr>
          <w:sz w:val="21"/>
        </w:rPr>
        <w:t>,</w:t>
      </w:r>
      <w:r>
        <w:rPr>
          <w:rFonts w:hint="eastAsia"/>
          <w:sz w:val="21"/>
        </w:rPr>
        <w:t xml:space="preserve"> respectively</w:t>
      </w:r>
      <w:r>
        <w:rPr>
          <w:sz w:val="21"/>
        </w:rPr>
        <w:t>).</w:t>
      </w:r>
    </w:p>
    <w:sectPr w:rsidR="005B00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E1MzNiZjAyYWRkNDhmMWI4ZWJlMDY3OGNiMjZiMzgifQ=="/>
  </w:docVars>
  <w:rsids>
    <w:rsidRoot w:val="00D4328A"/>
    <w:rsid w:val="000222C7"/>
    <w:rsid w:val="000347CF"/>
    <w:rsid w:val="00036A78"/>
    <w:rsid w:val="00052996"/>
    <w:rsid w:val="000B537E"/>
    <w:rsid w:val="00195567"/>
    <w:rsid w:val="001A40B8"/>
    <w:rsid w:val="001B7C4F"/>
    <w:rsid w:val="001F2CB6"/>
    <w:rsid w:val="001F6AD0"/>
    <w:rsid w:val="00233673"/>
    <w:rsid w:val="00233D1D"/>
    <w:rsid w:val="00235517"/>
    <w:rsid w:val="002A62B6"/>
    <w:rsid w:val="002D6606"/>
    <w:rsid w:val="002F6881"/>
    <w:rsid w:val="00311FE9"/>
    <w:rsid w:val="003256BF"/>
    <w:rsid w:val="00350D95"/>
    <w:rsid w:val="003532E0"/>
    <w:rsid w:val="003639E9"/>
    <w:rsid w:val="003923A9"/>
    <w:rsid w:val="003C5FBE"/>
    <w:rsid w:val="003D2E22"/>
    <w:rsid w:val="0041301F"/>
    <w:rsid w:val="00453CDF"/>
    <w:rsid w:val="00467F6F"/>
    <w:rsid w:val="004918F1"/>
    <w:rsid w:val="004B22FB"/>
    <w:rsid w:val="004D386D"/>
    <w:rsid w:val="004E6910"/>
    <w:rsid w:val="0052660A"/>
    <w:rsid w:val="00582334"/>
    <w:rsid w:val="00585CFF"/>
    <w:rsid w:val="0059085F"/>
    <w:rsid w:val="005B0091"/>
    <w:rsid w:val="005D3C9B"/>
    <w:rsid w:val="006B371A"/>
    <w:rsid w:val="006C3023"/>
    <w:rsid w:val="006D2403"/>
    <w:rsid w:val="006E723C"/>
    <w:rsid w:val="007037C7"/>
    <w:rsid w:val="00742E9E"/>
    <w:rsid w:val="007519C3"/>
    <w:rsid w:val="0077180A"/>
    <w:rsid w:val="007F1BC8"/>
    <w:rsid w:val="007F4DFF"/>
    <w:rsid w:val="0080018A"/>
    <w:rsid w:val="008012A5"/>
    <w:rsid w:val="00832A9E"/>
    <w:rsid w:val="00832AF9"/>
    <w:rsid w:val="00832B61"/>
    <w:rsid w:val="00843917"/>
    <w:rsid w:val="008A6D9B"/>
    <w:rsid w:val="008B222D"/>
    <w:rsid w:val="009027C2"/>
    <w:rsid w:val="00914067"/>
    <w:rsid w:val="009409D7"/>
    <w:rsid w:val="00943453"/>
    <w:rsid w:val="00954EB6"/>
    <w:rsid w:val="009856AD"/>
    <w:rsid w:val="009D5DB6"/>
    <w:rsid w:val="009D77C3"/>
    <w:rsid w:val="00A352EC"/>
    <w:rsid w:val="00AB6144"/>
    <w:rsid w:val="00AD1A2A"/>
    <w:rsid w:val="00B1721A"/>
    <w:rsid w:val="00B2610C"/>
    <w:rsid w:val="00B33700"/>
    <w:rsid w:val="00B533B8"/>
    <w:rsid w:val="00B543FC"/>
    <w:rsid w:val="00B73F3E"/>
    <w:rsid w:val="00BF6321"/>
    <w:rsid w:val="00C7758D"/>
    <w:rsid w:val="00C83C58"/>
    <w:rsid w:val="00CB4D7E"/>
    <w:rsid w:val="00CC4462"/>
    <w:rsid w:val="00CF61F3"/>
    <w:rsid w:val="00CF7829"/>
    <w:rsid w:val="00D069ED"/>
    <w:rsid w:val="00D160FC"/>
    <w:rsid w:val="00D4328A"/>
    <w:rsid w:val="00D526CC"/>
    <w:rsid w:val="00D6391C"/>
    <w:rsid w:val="00DA5B27"/>
    <w:rsid w:val="00DE1332"/>
    <w:rsid w:val="00E0259F"/>
    <w:rsid w:val="00E04FD9"/>
    <w:rsid w:val="00E07CAE"/>
    <w:rsid w:val="00E10530"/>
    <w:rsid w:val="00E93046"/>
    <w:rsid w:val="00EA2985"/>
    <w:rsid w:val="00ED78EB"/>
    <w:rsid w:val="00EE1553"/>
    <w:rsid w:val="00F0403F"/>
    <w:rsid w:val="00F21185"/>
    <w:rsid w:val="00F35435"/>
    <w:rsid w:val="00F400F7"/>
    <w:rsid w:val="00F612E6"/>
    <w:rsid w:val="00F729A7"/>
    <w:rsid w:val="00F73836"/>
    <w:rsid w:val="00F76B30"/>
    <w:rsid w:val="00FA6B7F"/>
    <w:rsid w:val="085C6CB2"/>
    <w:rsid w:val="15CB391F"/>
    <w:rsid w:val="15F41A3D"/>
    <w:rsid w:val="2A3C58B9"/>
    <w:rsid w:val="2DB41B52"/>
    <w:rsid w:val="36F6488E"/>
    <w:rsid w:val="4B207620"/>
    <w:rsid w:val="70DD5B9B"/>
    <w:rsid w:val="71974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B2BA13"/>
  <w15:docId w15:val="{62767ED5-F47A-4C0E-ACC2-F37B3828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Pr>
      <w:rFonts w:asciiTheme="majorHAnsi" w:eastAsia="黑体" w:hAnsiTheme="majorHAnsi" w:cstheme="majorBidi"/>
      <w:sz w:val="20"/>
      <w:szCs w:val="20"/>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itle">
    <w:name w:val="Title"/>
    <w:basedOn w:val="Normal"/>
    <w:next w:val="Normal"/>
    <w:link w:val="TitleChar"/>
    <w:qFormat/>
    <w:pPr>
      <w:spacing w:before="240" w:after="60" w:line="360" w:lineRule="exact"/>
      <w:ind w:firstLineChars="200" w:firstLine="200"/>
      <w:jc w:val="center"/>
      <w:outlineLvl w:val="0"/>
    </w:pPr>
    <w:rPr>
      <w:rFonts w:ascii="Times New Roman" w:eastAsiaTheme="majorEastAsia" w:hAnsi="Times New Roman" w:cstheme="majorBidi"/>
      <w:b/>
      <w:bCs/>
      <w:sz w:val="32"/>
      <w:szCs w:val="32"/>
    </w:rPr>
  </w:style>
  <w:style w:type="table" w:styleId="TableGrid">
    <w:name w:val="Table Grid"/>
    <w:basedOn w:val="TableNormal"/>
    <w:uiPriority w:val="9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qFormat/>
    <w:rPr>
      <w:rFonts w:ascii="Times New Roman" w:eastAsiaTheme="majorEastAsia" w:hAnsi="Times New Roman" w:cstheme="majorBidi"/>
      <w:b/>
      <w:bCs/>
      <w:sz w:val="32"/>
      <w:szCs w:val="32"/>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a">
    <w:name w:val="图注"/>
    <w:basedOn w:val="Normal"/>
    <w:link w:val="a0"/>
    <w:qFormat/>
    <w:pPr>
      <w:spacing w:line="360" w:lineRule="exact"/>
      <w:jc w:val="left"/>
    </w:pPr>
    <w:rPr>
      <w:rFonts w:ascii="Times New Roman" w:eastAsia="黑体" w:hAnsi="Times New Roman" w:cs="Times New Roman"/>
      <w:sz w:val="18"/>
      <w:szCs w:val="21"/>
    </w:rPr>
  </w:style>
  <w:style w:type="character" w:customStyle="1" w:styleId="a0">
    <w:name w:val="图注 字符"/>
    <w:basedOn w:val="DefaultParagraphFont"/>
    <w:link w:val="a"/>
    <w:qFormat/>
    <w:rPr>
      <w:rFonts w:ascii="Times New Roman" w:eastAsia="黑体" w:hAnsi="Times New Roman" w:cs="Times New Roman"/>
      <w:sz w:val="18"/>
      <w:szCs w:val="21"/>
    </w:rPr>
  </w:style>
  <w:style w:type="paragraph" w:customStyle="1" w:styleId="MDPI13authornames">
    <w:name w:val="MDPI_1.3_authornames"/>
    <w:next w:val="Normal"/>
    <w:qFormat/>
    <w:pPr>
      <w:adjustRightInd w:val="0"/>
      <w:snapToGrid w:val="0"/>
      <w:spacing w:after="360" w:line="260" w:lineRule="atLeast"/>
    </w:pPr>
    <w:rPr>
      <w:rFonts w:ascii="Palatino Linotype" w:eastAsia="Times New Roman" w:hAnsi="Palatino Linotype" w:cs="Times New Roman"/>
      <w:b/>
      <w:color w:val="000000"/>
      <w:szCs w:val="22"/>
      <w:lang w:eastAsia="de-DE" w:bidi="en-US"/>
    </w:rPr>
  </w:style>
  <w:style w:type="paragraph" w:customStyle="1" w:styleId="MDPI31text">
    <w:name w:val="MDPI_3.1_text"/>
    <w:qFormat/>
    <w:pPr>
      <w:adjustRightInd w:val="0"/>
      <w:snapToGrid w:val="0"/>
      <w:spacing w:line="228" w:lineRule="auto"/>
      <w:ind w:left="2608" w:firstLine="425"/>
      <w:jc w:val="both"/>
    </w:pPr>
    <w:rPr>
      <w:rFonts w:ascii="Palatino Linotype" w:eastAsia="Times New Roman" w:hAnsi="Palatino Linotype" w:cs="Times New Roman"/>
      <w:snapToGrid w:val="0"/>
      <w:color w:val="000000"/>
      <w:szCs w:val="22"/>
      <w:lang w:eastAsia="de-DE" w:bidi="en-US"/>
    </w:rPr>
  </w:style>
  <w:style w:type="paragraph" w:customStyle="1" w:styleId="MDPI51figurecaption">
    <w:name w:val="MDPI_5.1_figure_caption"/>
    <w:qFormat/>
    <w:pPr>
      <w:adjustRightInd w:val="0"/>
      <w:snapToGrid w:val="0"/>
      <w:spacing w:before="120" w:after="240" w:line="228" w:lineRule="auto"/>
      <w:ind w:left="2608"/>
      <w:jc w:val="both"/>
    </w:pPr>
    <w:rPr>
      <w:rFonts w:ascii="Palatino Linotype" w:eastAsia="Times New Roman" w:hAnsi="Palatino Linotype" w:cs="Times New Roman"/>
      <w:color w:val="000000"/>
      <w:sz w:val="18"/>
      <w:lang w:eastAsia="de-DE" w:bidi="en-US"/>
    </w:rPr>
  </w:style>
  <w:style w:type="paragraph" w:customStyle="1" w:styleId="MDPI12title">
    <w:name w:val="MDPI_1.2_title"/>
    <w:next w:val="Normal"/>
    <w:qFormat/>
    <w:pPr>
      <w:adjustRightInd w:val="0"/>
      <w:snapToGrid w:val="0"/>
      <w:spacing w:after="240" w:line="240" w:lineRule="atLeast"/>
    </w:pPr>
    <w:rPr>
      <w:rFonts w:ascii="Palatino Linotype" w:eastAsia="Times New Roman" w:hAnsi="Palatino Linotype" w:cs="Times New Roman"/>
      <w:b/>
      <w:snapToGrid w:val="0"/>
      <w:color w:val="000000"/>
      <w:sz w:val="36"/>
      <w:lang w:eastAsia="de-DE" w:bidi="en-US"/>
    </w:rPr>
  </w:style>
  <w:style w:type="paragraph" w:customStyle="1" w:styleId="MDPI16affiliation">
    <w:name w:val="MDPI_1.6_affiliation"/>
    <w:qFormat/>
    <w:pPr>
      <w:adjustRightInd w:val="0"/>
      <w:snapToGrid w:val="0"/>
      <w:spacing w:line="200" w:lineRule="atLeast"/>
      <w:ind w:left="2806" w:hanging="198"/>
    </w:pPr>
    <w:rPr>
      <w:rFonts w:ascii="Palatino Linotype" w:eastAsia="Times New Roman" w:hAnsi="Palatino Linotype" w:cs="Times New Roman"/>
      <w:color w:val="000000"/>
      <w:sz w:val="16"/>
      <w:szCs w:val="18"/>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CA5719-44D7-4416-8EE4-B46E3E02A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527</Words>
  <Characters>3301</Characters>
  <Application>Microsoft Office Word</Application>
  <DocSecurity>0</DocSecurity>
  <Lines>67</Lines>
  <Paragraphs>17</Paragraphs>
  <ScaleCrop>false</ScaleCrop>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NXU_Lib</dc:creator>
  <cp:lastModifiedBy>MDPI</cp:lastModifiedBy>
  <cp:revision>2</cp:revision>
  <dcterms:created xsi:type="dcterms:W3CDTF">2023-08-20T10:56:00Z</dcterms:created>
  <dcterms:modified xsi:type="dcterms:W3CDTF">2023-08-20T10:56:00Z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1A103C93F0C441C1B7963C021A952561_13</vt:lpwstr>
  </property>
</Properties>
</file>