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EC2" w:rsidRPr="00593F87" w:rsidRDefault="007C1EC2" w:rsidP="007C1EC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593F87">
        <w:rPr>
          <w:rFonts w:asciiTheme="majorBidi" w:hAnsiTheme="majorBidi" w:cstheme="majorBidi"/>
          <w:b/>
          <w:bCs/>
          <w:sz w:val="20"/>
          <w:szCs w:val="20"/>
        </w:rPr>
        <w:t xml:space="preserve">Table4- Comparison of therapeutic approaches based on angiography in CAD patients with or without positive familial history </w:t>
      </w:r>
    </w:p>
    <w:tbl>
      <w:tblPr>
        <w:tblW w:w="86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8"/>
        <w:gridCol w:w="1276"/>
        <w:gridCol w:w="1134"/>
        <w:gridCol w:w="992"/>
        <w:gridCol w:w="1843"/>
        <w:gridCol w:w="1701"/>
      </w:tblGrid>
      <w:tr w:rsidR="007C1EC2" w:rsidRPr="006E4F5A" w:rsidTr="00732C47">
        <w:trPr>
          <w:cantSplit/>
          <w:trHeight w:val="321"/>
        </w:trPr>
        <w:tc>
          <w:tcPr>
            <w:tcW w:w="1668" w:type="dxa"/>
            <w:vMerge w:val="restart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7C1EC2" w:rsidRPr="006E4F5A" w:rsidRDefault="007C1EC2" w:rsidP="00732C47">
            <w:pPr>
              <w:autoSpaceDE w:val="0"/>
              <w:autoSpaceDN w:val="0"/>
              <w:adjustRightInd w:val="0"/>
              <w:spacing w:after="0" w:line="320" w:lineRule="atLeast"/>
              <w:ind w:right="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No. of major </w:t>
            </w:r>
            <w:proofErr w:type="spellStart"/>
            <w:r w:rsidRPr="006E4F5A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epicardial</w:t>
            </w:r>
            <w:proofErr w:type="spellEnd"/>
            <w:r w:rsidRPr="006E4F5A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coronary artery</w:t>
            </w:r>
          </w:p>
        </w:tc>
        <w:tc>
          <w:tcPr>
            <w:tcW w:w="1276" w:type="dxa"/>
            <w:vMerge w:val="restart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7C1EC2" w:rsidRPr="006E4F5A" w:rsidRDefault="007C1EC2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All Patients</w:t>
            </w:r>
          </w:p>
          <w:p w:rsidR="007C1EC2" w:rsidRPr="006E4F5A" w:rsidRDefault="007C1EC2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n=300</w:t>
            </w:r>
          </w:p>
        </w:tc>
        <w:tc>
          <w:tcPr>
            <w:tcW w:w="1134" w:type="dxa"/>
            <w:vMerge w:val="restart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7C1EC2" w:rsidRPr="006E4F5A" w:rsidRDefault="007C1EC2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Negative FH</w:t>
            </w:r>
          </w:p>
          <w:p w:rsidR="007C1EC2" w:rsidRPr="006E4F5A" w:rsidRDefault="007C1EC2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n= 180</w:t>
            </w:r>
          </w:p>
        </w:tc>
        <w:tc>
          <w:tcPr>
            <w:tcW w:w="992" w:type="dxa"/>
            <w:vMerge w:val="restart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7C1EC2" w:rsidRPr="006E4F5A" w:rsidRDefault="007C1EC2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Positive FH</w:t>
            </w:r>
          </w:p>
          <w:p w:rsidR="007C1EC2" w:rsidRPr="006E4F5A" w:rsidRDefault="007C1EC2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n= 120</w:t>
            </w:r>
          </w:p>
        </w:tc>
        <w:tc>
          <w:tcPr>
            <w:tcW w:w="1843" w:type="dxa"/>
            <w:vMerge w:val="restart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7C1EC2" w:rsidRDefault="007C1EC2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Unadjusted OR  </w:t>
            </w:r>
          </w:p>
          <w:p w:rsidR="007C1EC2" w:rsidRPr="006E4F5A" w:rsidRDefault="007C1EC2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(95% CI); P Value</w:t>
            </w:r>
          </w:p>
        </w:tc>
        <w:tc>
          <w:tcPr>
            <w:tcW w:w="1701" w:type="dxa"/>
            <w:vMerge w:val="restart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7C1EC2" w:rsidRDefault="007C1EC2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Adjusted* OR  </w:t>
            </w:r>
          </w:p>
          <w:p w:rsidR="007C1EC2" w:rsidRPr="006E4F5A" w:rsidRDefault="007C1EC2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(95% CI); P Value</w:t>
            </w:r>
          </w:p>
        </w:tc>
      </w:tr>
      <w:tr w:rsidR="007C1EC2" w:rsidRPr="006E4F5A" w:rsidTr="00732C47">
        <w:trPr>
          <w:cantSplit/>
          <w:trHeight w:val="208"/>
        </w:trPr>
        <w:tc>
          <w:tcPr>
            <w:tcW w:w="1668" w:type="dxa"/>
            <w:vMerge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7C1EC2" w:rsidRPr="006E4F5A" w:rsidRDefault="007C1EC2" w:rsidP="00732C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7C1EC2" w:rsidRPr="006E4F5A" w:rsidRDefault="007C1EC2" w:rsidP="00732C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7C1EC2" w:rsidRPr="006E4F5A" w:rsidRDefault="007C1EC2" w:rsidP="00732C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7C1EC2" w:rsidRPr="006E4F5A" w:rsidRDefault="007C1EC2" w:rsidP="00732C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7C1EC2" w:rsidRPr="006E4F5A" w:rsidRDefault="007C1EC2" w:rsidP="00732C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7C1EC2" w:rsidRPr="006E4F5A" w:rsidRDefault="007C1EC2" w:rsidP="00732C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7C1EC2" w:rsidRPr="006E4F5A" w:rsidTr="00732C47">
        <w:trPr>
          <w:cantSplit/>
          <w:trHeight w:val="304"/>
        </w:trPr>
        <w:tc>
          <w:tcPr>
            <w:tcW w:w="1668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7C1EC2" w:rsidRPr="00593F87" w:rsidRDefault="007C1EC2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93F8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MFU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7C1EC2" w:rsidRPr="00593F87" w:rsidRDefault="007C1EC2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93F8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114 (38.0%)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7C1EC2" w:rsidRPr="00593F87" w:rsidRDefault="007C1EC2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93F8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80 (44.4%)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7C1EC2" w:rsidRPr="00593F87" w:rsidRDefault="007C1EC2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93F8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34 (28.3%)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7C1EC2" w:rsidRPr="00593F87" w:rsidRDefault="007C1EC2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93F8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Reference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7C1EC2" w:rsidRPr="00593F87" w:rsidRDefault="007C1EC2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93F8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Reference</w:t>
            </w:r>
          </w:p>
        </w:tc>
      </w:tr>
      <w:tr w:rsidR="007C1EC2" w:rsidRPr="006E4F5A" w:rsidTr="00732C47">
        <w:trPr>
          <w:cantSplit/>
          <w:trHeight w:val="348"/>
        </w:trPr>
        <w:tc>
          <w:tcPr>
            <w:tcW w:w="1668" w:type="dxa"/>
            <w:shd w:val="clear" w:color="auto" w:fill="FFFFFF"/>
            <w:vAlign w:val="center"/>
          </w:tcPr>
          <w:p w:rsidR="007C1EC2" w:rsidRPr="00593F87" w:rsidRDefault="007C1EC2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93F8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CABG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7C1EC2" w:rsidRPr="00593F87" w:rsidRDefault="007C1EC2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93F8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43 (14.3%)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C1EC2" w:rsidRPr="00593F87" w:rsidRDefault="007C1EC2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93F8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21 (11.7%)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C1EC2" w:rsidRPr="00593F87" w:rsidRDefault="007C1EC2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93F8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22 (27.5%)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C1EC2" w:rsidRPr="00593F87" w:rsidRDefault="007C1EC2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93F8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2.46 (1.20-5.06); P=0.014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C1EC2" w:rsidRPr="00593F87" w:rsidRDefault="007C1EC2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93F8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2.41 (1.12-5.18) P= 0.024</w:t>
            </w:r>
          </w:p>
        </w:tc>
      </w:tr>
      <w:tr w:rsidR="007C1EC2" w:rsidRPr="006E4F5A" w:rsidTr="00732C47">
        <w:trPr>
          <w:cantSplit/>
          <w:trHeight w:val="348"/>
        </w:trPr>
        <w:tc>
          <w:tcPr>
            <w:tcW w:w="1668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7C1EC2" w:rsidRPr="00593F87" w:rsidRDefault="007C1EC2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93F8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PCI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7C1EC2" w:rsidRPr="00593F87" w:rsidRDefault="007C1EC2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93F8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143 (47.7%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7C1EC2" w:rsidRPr="00593F87" w:rsidRDefault="007C1EC2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93F8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79 (43.9%)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7C1EC2" w:rsidRPr="00593F87" w:rsidRDefault="007C1EC2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93F8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64 (53.3%)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7C1EC2" w:rsidRDefault="007C1EC2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93F8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1.90 (1.134-3.20); </w:t>
            </w:r>
          </w:p>
          <w:p w:rsidR="007C1EC2" w:rsidRPr="00593F87" w:rsidRDefault="007C1EC2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93F8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P=0.015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7C1EC2" w:rsidRDefault="007C1EC2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93F8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1.75 (1.01-3.05) </w:t>
            </w:r>
          </w:p>
          <w:p w:rsidR="007C1EC2" w:rsidRPr="00593F87" w:rsidRDefault="007C1EC2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93F87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P= 0.046</w:t>
            </w:r>
          </w:p>
        </w:tc>
      </w:tr>
    </w:tbl>
    <w:p w:rsidR="007C1EC2" w:rsidRPr="006E4F5A" w:rsidRDefault="007C1EC2" w:rsidP="007C1EC2">
      <w:pPr>
        <w:autoSpaceDE w:val="0"/>
        <w:autoSpaceDN w:val="0"/>
        <w:adjustRightInd w:val="0"/>
        <w:spacing w:after="0" w:line="240" w:lineRule="auto"/>
        <w:ind w:right="113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MFU: Medical follow-up, CABG: </w:t>
      </w:r>
      <w:r w:rsidRPr="00593F87">
        <w:rPr>
          <w:rFonts w:ascii="Times New Roman" w:hAnsi="Times New Roman" w:cs="Times New Roman"/>
          <w:sz w:val="20"/>
          <w:szCs w:val="20"/>
        </w:rPr>
        <w:t>Coronary Artery Bypass Grafting</w:t>
      </w:r>
      <w:r>
        <w:rPr>
          <w:rFonts w:ascii="Times New Roman" w:hAnsi="Times New Roman" w:cs="Times New Roman"/>
          <w:sz w:val="20"/>
          <w:szCs w:val="20"/>
        </w:rPr>
        <w:t xml:space="preserve">, PCI: Percutaneous coronary artery intervention, </w:t>
      </w:r>
      <w:r w:rsidRPr="006E4F5A">
        <w:rPr>
          <w:rFonts w:ascii="Times New Roman" w:hAnsi="Times New Roman" w:cs="Times New Roman"/>
          <w:sz w:val="20"/>
          <w:szCs w:val="20"/>
        </w:rPr>
        <w:t xml:space="preserve">CI: confidence interval, FH: family history, </w:t>
      </w:r>
      <w:proofErr w:type="gramStart"/>
      <w:r w:rsidRPr="006E4F5A">
        <w:rPr>
          <w:rFonts w:ascii="Times New Roman" w:hAnsi="Times New Roman" w:cs="Times New Roman"/>
          <w:sz w:val="20"/>
          <w:szCs w:val="20"/>
        </w:rPr>
        <w:t>OR:</w:t>
      </w:r>
      <w:proofErr w:type="gramEnd"/>
      <w:r w:rsidRPr="006E4F5A">
        <w:rPr>
          <w:rFonts w:ascii="Times New Roman" w:hAnsi="Times New Roman" w:cs="Times New Roman"/>
          <w:sz w:val="20"/>
          <w:szCs w:val="20"/>
        </w:rPr>
        <w:t xml:space="preserve"> odds ratio. *Adjusted for age, sex, history of hypercholesterolemia, history of diabetes mellitus, history of hypertension, current cigarette smoking.</w:t>
      </w:r>
    </w:p>
    <w:p w:rsidR="00C2442E" w:rsidRPr="007C1EC2" w:rsidRDefault="00C2442E" w:rsidP="007C1EC2">
      <w:bookmarkStart w:id="0" w:name="_GoBack"/>
      <w:bookmarkEnd w:id="0"/>
    </w:p>
    <w:sectPr w:rsidR="00C2442E" w:rsidRPr="007C1E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60B"/>
    <w:rsid w:val="000C260B"/>
    <w:rsid w:val="003F242D"/>
    <w:rsid w:val="007C1EC2"/>
    <w:rsid w:val="008861AD"/>
    <w:rsid w:val="00C2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894832-06F7-401E-9BE9-D9FC61425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1E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istTable1Light1">
    <w:name w:val="List Table 1 Light1"/>
    <w:basedOn w:val="TableNormal"/>
    <w:uiPriority w:val="46"/>
    <w:rsid w:val="000C26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Grid">
    <w:name w:val="Table Grid"/>
    <w:basedOn w:val="TableNormal"/>
    <w:uiPriority w:val="39"/>
    <w:rsid w:val="003F2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</dc:creator>
  <cp:keywords/>
  <dc:description/>
  <cp:lastModifiedBy>Amin</cp:lastModifiedBy>
  <cp:revision>2</cp:revision>
  <dcterms:created xsi:type="dcterms:W3CDTF">2023-06-27T11:55:00Z</dcterms:created>
  <dcterms:modified xsi:type="dcterms:W3CDTF">2023-06-27T11:55:00Z</dcterms:modified>
</cp:coreProperties>
</file>