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1AD" w:rsidRPr="00593F87" w:rsidRDefault="008861AD" w:rsidP="008861A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593F87">
        <w:rPr>
          <w:rFonts w:asciiTheme="majorBidi" w:hAnsiTheme="majorBidi" w:cstheme="majorBidi"/>
          <w:b/>
          <w:bCs/>
          <w:sz w:val="20"/>
          <w:szCs w:val="20"/>
        </w:rPr>
        <w:t xml:space="preserve">Table3- Multinomial logistic regression for major </w:t>
      </w:r>
      <w:proofErr w:type="spellStart"/>
      <w:r w:rsidRPr="00593F87">
        <w:rPr>
          <w:rFonts w:asciiTheme="majorBidi" w:hAnsiTheme="majorBidi" w:cstheme="majorBidi"/>
          <w:b/>
          <w:bCs/>
          <w:sz w:val="20"/>
          <w:szCs w:val="20"/>
        </w:rPr>
        <w:t>epicardial</w:t>
      </w:r>
      <w:proofErr w:type="spellEnd"/>
      <w:r w:rsidRPr="00593F87">
        <w:rPr>
          <w:rFonts w:asciiTheme="majorBidi" w:hAnsiTheme="majorBidi" w:cstheme="majorBidi"/>
          <w:b/>
          <w:bCs/>
          <w:sz w:val="20"/>
          <w:szCs w:val="20"/>
        </w:rPr>
        <w:t xml:space="preserve"> vessel stenosis in patients with or without familial history </w:t>
      </w:r>
    </w:p>
    <w:tbl>
      <w:tblPr>
        <w:tblW w:w="86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8"/>
        <w:gridCol w:w="1276"/>
        <w:gridCol w:w="1134"/>
        <w:gridCol w:w="992"/>
        <w:gridCol w:w="1843"/>
        <w:gridCol w:w="1701"/>
      </w:tblGrid>
      <w:tr w:rsidR="008861AD" w:rsidRPr="00B07BEE" w:rsidTr="00732C47">
        <w:trPr>
          <w:cantSplit/>
          <w:trHeight w:val="321"/>
        </w:trPr>
        <w:tc>
          <w:tcPr>
            <w:tcW w:w="1668" w:type="dxa"/>
            <w:vMerge w:val="restart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right="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No. of major </w:t>
            </w:r>
            <w:proofErr w:type="spellStart"/>
            <w:r w:rsidRPr="006E4F5A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epicardial</w:t>
            </w:r>
            <w:proofErr w:type="spellEnd"/>
            <w:r w:rsidRPr="006E4F5A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coronary artery</w:t>
            </w:r>
          </w:p>
        </w:tc>
        <w:tc>
          <w:tcPr>
            <w:tcW w:w="1276" w:type="dxa"/>
            <w:vMerge w:val="restart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All Patients</w:t>
            </w:r>
          </w:p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n=300</w:t>
            </w:r>
          </w:p>
        </w:tc>
        <w:tc>
          <w:tcPr>
            <w:tcW w:w="1134" w:type="dxa"/>
            <w:vMerge w:val="restart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Negative FH</w:t>
            </w:r>
          </w:p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n= 180</w:t>
            </w:r>
          </w:p>
        </w:tc>
        <w:tc>
          <w:tcPr>
            <w:tcW w:w="992" w:type="dxa"/>
            <w:vMerge w:val="restart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Positive FH</w:t>
            </w:r>
          </w:p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n= 120</w:t>
            </w:r>
          </w:p>
        </w:tc>
        <w:tc>
          <w:tcPr>
            <w:tcW w:w="1843" w:type="dxa"/>
            <w:vMerge w:val="restart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Unadjusted OR  (95% CI); P Value</w:t>
            </w:r>
          </w:p>
        </w:tc>
        <w:tc>
          <w:tcPr>
            <w:tcW w:w="1701" w:type="dxa"/>
            <w:vMerge w:val="restart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8861AD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Adjusted* OR  </w:t>
            </w:r>
          </w:p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(95% CI); P Value</w:t>
            </w:r>
          </w:p>
        </w:tc>
      </w:tr>
      <w:tr w:rsidR="008861AD" w:rsidRPr="00B07BEE" w:rsidTr="00732C47">
        <w:trPr>
          <w:cantSplit/>
          <w:trHeight w:val="208"/>
        </w:trPr>
        <w:tc>
          <w:tcPr>
            <w:tcW w:w="1668" w:type="dxa"/>
            <w:vMerge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8861AD" w:rsidRPr="00B07BEE" w:rsidTr="00732C47">
        <w:trPr>
          <w:cantSplit/>
          <w:trHeight w:val="304"/>
        </w:trPr>
        <w:tc>
          <w:tcPr>
            <w:tcW w:w="1668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100 (33.3%)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71 (39.4%)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29 (24.2%)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Reference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Reference</w:t>
            </w:r>
          </w:p>
        </w:tc>
      </w:tr>
      <w:tr w:rsidR="008861AD" w:rsidRPr="00B07BEE" w:rsidTr="00732C47">
        <w:trPr>
          <w:cantSplit/>
          <w:trHeight w:val="348"/>
        </w:trPr>
        <w:tc>
          <w:tcPr>
            <w:tcW w:w="1668" w:type="dxa"/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77 (25.7%)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44 (24.4%)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33 (27.5%)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1.83 (0.98-3.43); P=0.057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1.72 (0.88- 3.33) 0.109</w:t>
            </w:r>
          </w:p>
        </w:tc>
      </w:tr>
      <w:tr w:rsidR="008861AD" w:rsidRPr="00B07BEE" w:rsidTr="00732C47">
        <w:trPr>
          <w:cantSplit/>
          <w:trHeight w:val="348"/>
        </w:trPr>
        <w:tc>
          <w:tcPr>
            <w:tcW w:w="1668" w:type="dxa"/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66 (22.0%)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36 (20.0%)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30 (25.0%)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2.04 (1.06-3.90); P=0.001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1.85 (0.92- 3.72) 0.082</w:t>
            </w:r>
          </w:p>
        </w:tc>
      </w:tr>
      <w:tr w:rsidR="008861AD" w:rsidRPr="00B07BEE" w:rsidTr="00732C47">
        <w:trPr>
          <w:cantSplit/>
          <w:trHeight w:val="348"/>
        </w:trPr>
        <w:tc>
          <w:tcPr>
            <w:tcW w:w="1668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57 (19.0%)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29 (16.1%)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28 (23.3%)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2.36 (1.20-4.64); P=0.013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8861AD" w:rsidRPr="006E4F5A" w:rsidRDefault="008861AD" w:rsidP="00732C4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E4F5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2.55 (1.22- 5.33) 0.013</w:t>
            </w:r>
          </w:p>
        </w:tc>
      </w:tr>
    </w:tbl>
    <w:p w:rsidR="008861AD" w:rsidRPr="006E4F5A" w:rsidRDefault="008861AD" w:rsidP="008861AD">
      <w:pPr>
        <w:autoSpaceDE w:val="0"/>
        <w:autoSpaceDN w:val="0"/>
        <w:adjustRightInd w:val="0"/>
        <w:spacing w:after="0" w:line="240" w:lineRule="auto"/>
        <w:ind w:right="1138"/>
        <w:jc w:val="both"/>
        <w:rPr>
          <w:rFonts w:ascii="Times New Roman" w:hAnsi="Times New Roman" w:cs="Times New Roman"/>
          <w:sz w:val="20"/>
          <w:szCs w:val="20"/>
        </w:rPr>
      </w:pPr>
      <w:r w:rsidRPr="006E4F5A">
        <w:rPr>
          <w:rFonts w:ascii="Times New Roman" w:hAnsi="Times New Roman" w:cs="Times New Roman"/>
          <w:sz w:val="20"/>
          <w:szCs w:val="20"/>
        </w:rPr>
        <w:t xml:space="preserve">CI: confidence interval, FH: family history, </w:t>
      </w:r>
      <w:proofErr w:type="gramStart"/>
      <w:r w:rsidRPr="006E4F5A">
        <w:rPr>
          <w:rFonts w:ascii="Times New Roman" w:hAnsi="Times New Roman" w:cs="Times New Roman"/>
          <w:sz w:val="20"/>
          <w:szCs w:val="20"/>
        </w:rPr>
        <w:t>OR:</w:t>
      </w:r>
      <w:proofErr w:type="gramEnd"/>
      <w:r w:rsidRPr="006E4F5A">
        <w:rPr>
          <w:rFonts w:ascii="Times New Roman" w:hAnsi="Times New Roman" w:cs="Times New Roman"/>
          <w:sz w:val="20"/>
          <w:szCs w:val="20"/>
        </w:rPr>
        <w:t xml:space="preserve"> odds ratio. *Adjusted for age, sex, history of hypercholesterolemia, history of diabetes mellitus, history of hypertension, current cigarette smoking.</w:t>
      </w:r>
    </w:p>
    <w:p w:rsidR="00C2442E" w:rsidRPr="008861AD" w:rsidRDefault="00C2442E" w:rsidP="008861AD">
      <w:bookmarkStart w:id="0" w:name="_GoBack"/>
      <w:bookmarkEnd w:id="0"/>
    </w:p>
    <w:sectPr w:rsidR="00C2442E" w:rsidRPr="008861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60B"/>
    <w:rsid w:val="000C260B"/>
    <w:rsid w:val="003F242D"/>
    <w:rsid w:val="008861AD"/>
    <w:rsid w:val="00C2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894832-06F7-401E-9BE9-D9FC61425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61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istTable1Light1">
    <w:name w:val="List Table 1 Light1"/>
    <w:basedOn w:val="TableNormal"/>
    <w:uiPriority w:val="46"/>
    <w:rsid w:val="000C26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Grid">
    <w:name w:val="Table Grid"/>
    <w:basedOn w:val="TableNormal"/>
    <w:uiPriority w:val="39"/>
    <w:rsid w:val="003F2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</dc:creator>
  <cp:keywords/>
  <dc:description/>
  <cp:lastModifiedBy>Amin</cp:lastModifiedBy>
  <cp:revision>2</cp:revision>
  <dcterms:created xsi:type="dcterms:W3CDTF">2023-06-27T11:54:00Z</dcterms:created>
  <dcterms:modified xsi:type="dcterms:W3CDTF">2023-06-27T11:54:00Z</dcterms:modified>
</cp:coreProperties>
</file>