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C720" w14:textId="4580C253" w:rsidR="00F23641" w:rsidRDefault="00F23641" w:rsidP="00E45C49">
      <w:pPr>
        <w:rPr>
          <w:rFonts w:ascii="Palatino Linotype" w:hAnsi="Palatino Linotype"/>
          <w:noProof/>
          <w:lang w:val="en-US"/>
        </w:rPr>
      </w:pPr>
    </w:p>
    <w:tbl>
      <w:tblPr>
        <w:tblStyle w:val="MDPI41threelinetable"/>
        <w:tblpPr w:leftFromText="141" w:rightFromText="141" w:vertAnchor="text" w:horzAnchor="margin" w:tblpY="68"/>
        <w:tblW w:w="8724" w:type="dxa"/>
        <w:jc w:val="left"/>
        <w:tblLayout w:type="fixed"/>
        <w:tblLook w:val="04A0" w:firstRow="1" w:lastRow="0" w:firstColumn="1" w:lastColumn="0" w:noHBand="0" w:noVBand="1"/>
      </w:tblPr>
      <w:tblGrid>
        <w:gridCol w:w="2581"/>
        <w:gridCol w:w="2102"/>
        <w:gridCol w:w="1997"/>
        <w:gridCol w:w="2044"/>
      </w:tblGrid>
      <w:tr w:rsidR="00E45C49" w:rsidRPr="00655E61" w14:paraId="33FE3F22" w14:textId="77777777" w:rsidTr="00E45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left"/>
        </w:trPr>
        <w:tc>
          <w:tcPr>
            <w:tcW w:w="2581" w:type="dxa"/>
          </w:tcPr>
          <w:p w14:paraId="4BE1B711" w14:textId="77777777" w:rsidR="00E45C49" w:rsidRPr="005D2563" w:rsidRDefault="00E45C49" w:rsidP="00E45C49">
            <w:pPr>
              <w:pStyle w:val="MDPI42tablebody"/>
            </w:pPr>
            <w:bookmarkStart w:id="0" w:name="_Ref162895225"/>
          </w:p>
        </w:tc>
        <w:tc>
          <w:tcPr>
            <w:tcW w:w="2102" w:type="dxa"/>
          </w:tcPr>
          <w:p w14:paraId="2D38E06B" w14:textId="77777777" w:rsidR="00E45C49" w:rsidRPr="005D2563" w:rsidRDefault="00E45C49" w:rsidP="00E45C49">
            <w:pPr>
              <w:pStyle w:val="MDPI42tablebody"/>
            </w:pPr>
            <w:r>
              <w:t>Our cohort (All patients)</w:t>
            </w:r>
          </w:p>
        </w:tc>
        <w:tc>
          <w:tcPr>
            <w:tcW w:w="1997" w:type="dxa"/>
          </w:tcPr>
          <w:p w14:paraId="7A062928" w14:textId="4107E377" w:rsidR="00E45C49" w:rsidRPr="0093690A" w:rsidRDefault="00E45C49" w:rsidP="00E45C49">
            <w:pPr>
              <w:pStyle w:val="MDPI42tablebody"/>
              <w:rPr>
                <w:b w:val="0"/>
              </w:rPr>
            </w:pPr>
            <w:r>
              <w:t>EVEREST (Organic and Functional MR</w:t>
            </w:r>
            <w:r>
              <w:rPr>
                <w:b w:val="0"/>
              </w:rPr>
              <w:t xml:space="preserve">) </w:t>
            </w:r>
            <w:r w:rsidRPr="00296A26">
              <w:rPr>
                <w:rFonts w:cstheme="minorHAnsi"/>
              </w:rPr>
              <w:t>[</w:t>
            </w:r>
            <w:r w:rsidR="00711B87">
              <w:rPr>
                <w:rFonts w:cstheme="minorHAnsi"/>
              </w:rPr>
              <w:t>20</w:t>
            </w:r>
            <w:r>
              <w:t>]</w:t>
            </w:r>
          </w:p>
        </w:tc>
        <w:tc>
          <w:tcPr>
            <w:tcW w:w="2044" w:type="dxa"/>
          </w:tcPr>
          <w:p w14:paraId="5965DDE3" w14:textId="63B31CC1" w:rsidR="00E45C49" w:rsidRPr="005D2563" w:rsidRDefault="00E45C49" w:rsidP="00E45C49">
            <w:pPr>
              <w:pStyle w:val="MDPI42tablebody"/>
            </w:pPr>
            <w:r>
              <w:t xml:space="preserve">COAPT (Functional MR) </w:t>
            </w:r>
            <w:r w:rsidRPr="00296A26">
              <w:rPr>
                <w:rFonts w:cstheme="minorHAnsi"/>
              </w:rPr>
              <w:t>[</w:t>
            </w:r>
            <w:r w:rsidR="00711B87">
              <w:rPr>
                <w:rFonts w:cstheme="minorHAnsi"/>
              </w:rPr>
              <w:t>21</w:t>
            </w:r>
            <w:r>
              <w:t>]</w:t>
            </w:r>
          </w:p>
        </w:tc>
      </w:tr>
      <w:tr w:rsidR="00E45C49" w:rsidRPr="00655E61" w14:paraId="188EBC77" w14:textId="77777777" w:rsidTr="00E45C49">
        <w:trPr>
          <w:trHeight w:val="209"/>
          <w:jc w:val="left"/>
        </w:trPr>
        <w:tc>
          <w:tcPr>
            <w:tcW w:w="2581" w:type="dxa"/>
          </w:tcPr>
          <w:p w14:paraId="3BC8C3E2" w14:textId="77777777" w:rsidR="00E45C49" w:rsidRDefault="00E45C49" w:rsidP="00E45C49">
            <w:pPr>
              <w:pStyle w:val="MDPI42tablebody"/>
              <w:rPr>
                <w:iCs/>
              </w:rPr>
            </w:pPr>
            <w:r>
              <w:rPr>
                <w:iCs/>
              </w:rPr>
              <w:t>Diabetes</w:t>
            </w:r>
          </w:p>
        </w:tc>
        <w:tc>
          <w:tcPr>
            <w:tcW w:w="2102" w:type="dxa"/>
          </w:tcPr>
          <w:p w14:paraId="200F8859" w14:textId="77777777" w:rsidR="00E45C49" w:rsidRPr="007A1944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43.5%</w:t>
            </w:r>
          </w:p>
        </w:tc>
        <w:tc>
          <w:tcPr>
            <w:tcW w:w="1997" w:type="dxa"/>
          </w:tcPr>
          <w:p w14:paraId="0EEE909B" w14:textId="77777777" w:rsidR="00E45C49" w:rsidRDefault="00E45C49" w:rsidP="00E45C49">
            <w:pPr>
              <w:pStyle w:val="MDPI42tablebody"/>
            </w:pPr>
            <w:r>
              <w:t>41%</w:t>
            </w:r>
          </w:p>
        </w:tc>
        <w:tc>
          <w:tcPr>
            <w:tcW w:w="2044" w:type="dxa"/>
          </w:tcPr>
          <w:p w14:paraId="712E4EB7" w14:textId="77777777" w:rsidR="00E45C49" w:rsidRDefault="00E45C49" w:rsidP="00E45C49">
            <w:pPr>
              <w:pStyle w:val="MDPI42tablebody"/>
            </w:pPr>
            <w:r>
              <w:rPr>
                <w:rFonts w:cs="Calibri"/>
                <w:iCs/>
              </w:rPr>
              <w:t>35.1%</w:t>
            </w:r>
          </w:p>
        </w:tc>
      </w:tr>
      <w:tr w:rsidR="00E45C49" w:rsidRPr="00655E61" w14:paraId="394BE3BA" w14:textId="77777777" w:rsidTr="00E45C49">
        <w:trPr>
          <w:trHeight w:val="209"/>
          <w:jc w:val="left"/>
        </w:trPr>
        <w:tc>
          <w:tcPr>
            <w:tcW w:w="2581" w:type="dxa"/>
          </w:tcPr>
          <w:p w14:paraId="36E0EFFB" w14:textId="77777777" w:rsidR="00E45C49" w:rsidRDefault="00E45C49" w:rsidP="00E45C49">
            <w:pPr>
              <w:pStyle w:val="MDPI42tablebody"/>
              <w:rPr>
                <w:iCs/>
              </w:rPr>
            </w:pPr>
            <w:r>
              <w:t>Ischemic heart disease</w:t>
            </w:r>
          </w:p>
        </w:tc>
        <w:tc>
          <w:tcPr>
            <w:tcW w:w="2102" w:type="dxa"/>
          </w:tcPr>
          <w:p w14:paraId="6E634659" w14:textId="3A4E06DD" w:rsidR="00E45C49" w:rsidRPr="007A1944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</w:t>
            </w:r>
            <w:r w:rsidR="005727AE">
              <w:rPr>
                <w:rFonts w:cs="Calibri"/>
                <w:iCs/>
              </w:rPr>
              <w:t>6</w:t>
            </w:r>
            <w:r>
              <w:rPr>
                <w:rFonts w:cs="Calibri"/>
                <w:iCs/>
              </w:rPr>
              <w:t>.</w:t>
            </w:r>
            <w:r w:rsidR="005727AE">
              <w:rPr>
                <w:rFonts w:cs="Calibri"/>
                <w:iCs/>
              </w:rPr>
              <w:t>1</w:t>
            </w:r>
            <w:r>
              <w:rPr>
                <w:rFonts w:cs="Calibri"/>
                <w:iCs/>
              </w:rPr>
              <w:t>%</w:t>
            </w:r>
          </w:p>
        </w:tc>
        <w:tc>
          <w:tcPr>
            <w:tcW w:w="1997" w:type="dxa"/>
          </w:tcPr>
          <w:p w14:paraId="718EC030" w14:textId="77777777" w:rsidR="00E45C49" w:rsidRDefault="00E45C49" w:rsidP="00E45C49">
            <w:pPr>
              <w:pStyle w:val="MDPI42tablebody"/>
            </w:pPr>
            <w:r>
              <w:t>84.2%</w:t>
            </w:r>
          </w:p>
        </w:tc>
        <w:tc>
          <w:tcPr>
            <w:tcW w:w="2044" w:type="dxa"/>
          </w:tcPr>
          <w:p w14:paraId="0C6FD505" w14:textId="77777777" w:rsidR="00E45C49" w:rsidRDefault="00E45C49" w:rsidP="00E45C49">
            <w:pPr>
              <w:pStyle w:val="MDPI42tablebody"/>
            </w:pPr>
            <w:r>
              <w:t>60.9%</w:t>
            </w:r>
          </w:p>
        </w:tc>
      </w:tr>
      <w:tr w:rsidR="00E45C49" w:rsidRPr="00655E61" w14:paraId="30BA692B" w14:textId="77777777" w:rsidTr="00E45C49">
        <w:trPr>
          <w:trHeight w:val="209"/>
          <w:jc w:val="left"/>
        </w:trPr>
        <w:tc>
          <w:tcPr>
            <w:tcW w:w="2581" w:type="dxa"/>
          </w:tcPr>
          <w:p w14:paraId="2F6C3847" w14:textId="77777777" w:rsidR="00E45C49" w:rsidRDefault="00E45C49" w:rsidP="00E45C49">
            <w:pPr>
              <w:pStyle w:val="MDPI42tablebody"/>
            </w:pPr>
            <w:r>
              <w:t>Atrial fibrillation</w:t>
            </w:r>
          </w:p>
        </w:tc>
        <w:tc>
          <w:tcPr>
            <w:tcW w:w="2102" w:type="dxa"/>
          </w:tcPr>
          <w:p w14:paraId="65B7D03C" w14:textId="0F00C849" w:rsidR="00E45C49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6</w:t>
            </w:r>
            <w:r w:rsidR="00F2126F">
              <w:rPr>
                <w:rFonts w:cs="Calibri"/>
                <w:iCs/>
              </w:rPr>
              <w:t>2</w:t>
            </w:r>
            <w:r>
              <w:rPr>
                <w:rFonts w:cs="Calibri"/>
                <w:iCs/>
              </w:rPr>
              <w:t>.</w:t>
            </w:r>
            <w:r w:rsidR="00F2126F">
              <w:rPr>
                <w:rFonts w:cs="Calibri"/>
                <w:iCs/>
              </w:rPr>
              <w:t>8</w:t>
            </w:r>
            <w:r>
              <w:rPr>
                <w:rFonts w:cs="Calibri"/>
                <w:iCs/>
              </w:rPr>
              <w:t>%</w:t>
            </w:r>
          </w:p>
        </w:tc>
        <w:tc>
          <w:tcPr>
            <w:tcW w:w="1997" w:type="dxa"/>
          </w:tcPr>
          <w:p w14:paraId="57BC82D5" w14:textId="77777777" w:rsidR="00E45C49" w:rsidRDefault="00E45C49" w:rsidP="00E45C49">
            <w:pPr>
              <w:pStyle w:val="MDPI42tablebody"/>
            </w:pPr>
            <w:r>
              <w:t>61.6%</w:t>
            </w:r>
          </w:p>
        </w:tc>
        <w:tc>
          <w:tcPr>
            <w:tcW w:w="2044" w:type="dxa"/>
          </w:tcPr>
          <w:p w14:paraId="75F41AF0" w14:textId="77777777" w:rsidR="00E45C49" w:rsidRDefault="00E45C49" w:rsidP="00E45C49">
            <w:pPr>
              <w:pStyle w:val="MDPI42tablebody"/>
            </w:pPr>
            <w:r>
              <w:t>57.3%</w:t>
            </w:r>
          </w:p>
        </w:tc>
      </w:tr>
      <w:tr w:rsidR="00E45C49" w:rsidRPr="00655E61" w14:paraId="68A718B8" w14:textId="77777777" w:rsidTr="00E45C49">
        <w:trPr>
          <w:trHeight w:val="209"/>
          <w:jc w:val="left"/>
        </w:trPr>
        <w:tc>
          <w:tcPr>
            <w:tcW w:w="2581" w:type="dxa"/>
          </w:tcPr>
          <w:p w14:paraId="7A615362" w14:textId="77777777" w:rsidR="00E45C49" w:rsidRDefault="00E45C49" w:rsidP="00E45C49">
            <w:pPr>
              <w:pStyle w:val="MDPI42tablebody"/>
            </w:pPr>
            <w:r>
              <w:t>Chronic obstructive pulmonary disease</w:t>
            </w:r>
          </w:p>
        </w:tc>
        <w:tc>
          <w:tcPr>
            <w:tcW w:w="2102" w:type="dxa"/>
          </w:tcPr>
          <w:p w14:paraId="02C8E2B9" w14:textId="0F7B1D06" w:rsidR="00E45C49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</w:t>
            </w:r>
            <w:r w:rsidR="005003A6">
              <w:rPr>
                <w:rFonts w:cs="Calibri"/>
                <w:iCs/>
              </w:rPr>
              <w:t>5</w:t>
            </w:r>
            <w:r>
              <w:rPr>
                <w:rFonts w:cs="Calibri"/>
                <w:iCs/>
              </w:rPr>
              <w:t>.</w:t>
            </w:r>
            <w:r w:rsidR="005003A6">
              <w:rPr>
                <w:rFonts w:cs="Calibri"/>
                <w:iCs/>
              </w:rPr>
              <w:t>3</w:t>
            </w:r>
            <w:r>
              <w:rPr>
                <w:rFonts w:cs="Calibri"/>
                <w:iCs/>
              </w:rPr>
              <w:t>%</w:t>
            </w:r>
          </w:p>
        </w:tc>
        <w:tc>
          <w:tcPr>
            <w:tcW w:w="1997" w:type="dxa"/>
          </w:tcPr>
          <w:p w14:paraId="6FAE7A18" w14:textId="77777777" w:rsidR="00E45C49" w:rsidRDefault="00E45C49" w:rsidP="00E45C49">
            <w:pPr>
              <w:pStyle w:val="MDPI42tablebody"/>
            </w:pPr>
            <w:r>
              <w:t>34.6%</w:t>
            </w:r>
          </w:p>
        </w:tc>
        <w:tc>
          <w:tcPr>
            <w:tcW w:w="2044" w:type="dxa"/>
          </w:tcPr>
          <w:p w14:paraId="138ECEFA" w14:textId="77777777" w:rsidR="00E45C49" w:rsidRDefault="00E45C49" w:rsidP="00E45C49">
            <w:pPr>
              <w:pStyle w:val="MDPI42tablebody"/>
            </w:pPr>
            <w:r>
              <w:t>23.5%</w:t>
            </w:r>
          </w:p>
        </w:tc>
      </w:tr>
      <w:tr w:rsidR="00E45C49" w:rsidRPr="00655E61" w14:paraId="045988A1" w14:textId="77777777" w:rsidTr="00E45C49">
        <w:trPr>
          <w:trHeight w:val="209"/>
          <w:jc w:val="left"/>
        </w:trPr>
        <w:tc>
          <w:tcPr>
            <w:tcW w:w="2581" w:type="dxa"/>
          </w:tcPr>
          <w:p w14:paraId="6D6C4B1E" w14:textId="77777777" w:rsidR="00E45C49" w:rsidRDefault="00E45C49" w:rsidP="00E45C49">
            <w:pPr>
              <w:pStyle w:val="MDPI42tablebody"/>
            </w:pPr>
            <w:r>
              <w:rPr>
                <w:iCs/>
              </w:rPr>
              <w:t>Chronic Kidney disease</w:t>
            </w:r>
          </w:p>
        </w:tc>
        <w:tc>
          <w:tcPr>
            <w:tcW w:w="2102" w:type="dxa"/>
          </w:tcPr>
          <w:p w14:paraId="6E8ABCE6" w14:textId="265D507C" w:rsidR="00E45C49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42.</w:t>
            </w:r>
            <w:r w:rsidR="005003A6">
              <w:rPr>
                <w:rFonts w:cs="Calibri"/>
                <w:iCs/>
              </w:rPr>
              <w:t>3</w:t>
            </w:r>
            <w:r>
              <w:rPr>
                <w:rFonts w:cs="Calibri"/>
                <w:iCs/>
              </w:rPr>
              <w:t>%</w:t>
            </w:r>
          </w:p>
        </w:tc>
        <w:tc>
          <w:tcPr>
            <w:tcW w:w="1997" w:type="dxa"/>
          </w:tcPr>
          <w:p w14:paraId="5B7DBF43" w14:textId="77777777" w:rsidR="00E45C49" w:rsidRDefault="00E45C49" w:rsidP="00E45C49">
            <w:pPr>
              <w:pStyle w:val="MDPI42tablebody"/>
            </w:pPr>
            <w:r>
              <w:t>23.1%</w:t>
            </w:r>
          </w:p>
        </w:tc>
        <w:tc>
          <w:tcPr>
            <w:tcW w:w="2044" w:type="dxa"/>
          </w:tcPr>
          <w:p w14:paraId="021F42FD" w14:textId="77777777" w:rsidR="00E45C49" w:rsidRDefault="00E45C49" w:rsidP="00E45C49">
            <w:pPr>
              <w:pStyle w:val="MDPI42tablebody"/>
            </w:pPr>
            <w:r>
              <w:t>71.6%</w:t>
            </w:r>
          </w:p>
        </w:tc>
      </w:tr>
      <w:tr w:rsidR="00E45C49" w:rsidRPr="00655E61" w14:paraId="6A18F97E" w14:textId="77777777" w:rsidTr="00E45C49">
        <w:trPr>
          <w:trHeight w:val="209"/>
          <w:jc w:val="left"/>
        </w:trPr>
        <w:tc>
          <w:tcPr>
            <w:tcW w:w="2581" w:type="dxa"/>
          </w:tcPr>
          <w:p w14:paraId="79DB3C1D" w14:textId="77777777" w:rsidR="00E45C49" w:rsidRDefault="00E45C49" w:rsidP="00E45C49">
            <w:pPr>
              <w:pStyle w:val="MDPI42tablebody"/>
              <w:rPr>
                <w:iCs/>
              </w:rPr>
            </w:pPr>
            <w:r>
              <w:rPr>
                <w:iCs/>
              </w:rPr>
              <w:t>NYHA 3 or 4</w:t>
            </w:r>
          </w:p>
        </w:tc>
        <w:tc>
          <w:tcPr>
            <w:tcW w:w="2102" w:type="dxa"/>
          </w:tcPr>
          <w:p w14:paraId="6A9E1B23" w14:textId="77777777" w:rsidR="00E45C49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65.4%</w:t>
            </w:r>
          </w:p>
        </w:tc>
        <w:tc>
          <w:tcPr>
            <w:tcW w:w="1997" w:type="dxa"/>
          </w:tcPr>
          <w:p w14:paraId="4E83ECF3" w14:textId="77777777" w:rsidR="00E45C49" w:rsidRDefault="00E45C49" w:rsidP="00E45C49">
            <w:pPr>
              <w:pStyle w:val="MDPI42tablebody"/>
            </w:pPr>
            <w:r>
              <w:t>89.8%</w:t>
            </w:r>
          </w:p>
        </w:tc>
        <w:tc>
          <w:tcPr>
            <w:tcW w:w="2044" w:type="dxa"/>
          </w:tcPr>
          <w:p w14:paraId="3625FAF2" w14:textId="2C4AD3DC" w:rsidR="00E45C49" w:rsidRDefault="00E45C49" w:rsidP="00E45C49">
            <w:pPr>
              <w:pStyle w:val="MDPI42tablebody"/>
            </w:pPr>
            <w:r>
              <w:t>57</w:t>
            </w:r>
            <w:r w:rsidR="00D13DFD">
              <w:t>.0</w:t>
            </w:r>
            <w:r>
              <w:t>%</w:t>
            </w:r>
          </w:p>
        </w:tc>
      </w:tr>
      <w:tr w:rsidR="00E45C49" w:rsidRPr="00655E61" w14:paraId="209FA085" w14:textId="77777777" w:rsidTr="00E45C49">
        <w:trPr>
          <w:trHeight w:val="209"/>
          <w:jc w:val="left"/>
        </w:trPr>
        <w:tc>
          <w:tcPr>
            <w:tcW w:w="2581" w:type="dxa"/>
          </w:tcPr>
          <w:p w14:paraId="5B283FF9" w14:textId="77777777" w:rsidR="00E45C49" w:rsidRDefault="00E45C49" w:rsidP="00E45C49">
            <w:pPr>
              <w:pStyle w:val="MDPI42tablebody"/>
              <w:rPr>
                <w:iCs/>
              </w:rPr>
            </w:pPr>
            <w:r w:rsidRPr="007A1944">
              <w:rPr>
                <w:iCs/>
              </w:rPr>
              <w:t>Prior heart failure hospitalization</w:t>
            </w:r>
          </w:p>
        </w:tc>
        <w:tc>
          <w:tcPr>
            <w:tcW w:w="2102" w:type="dxa"/>
          </w:tcPr>
          <w:p w14:paraId="322B0E32" w14:textId="49BE6EEB" w:rsidR="00E45C49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69.</w:t>
            </w:r>
            <w:r w:rsidR="00054BEE">
              <w:rPr>
                <w:rFonts w:cs="Calibri"/>
                <w:iCs/>
              </w:rPr>
              <w:t>2</w:t>
            </w:r>
            <w:r>
              <w:rPr>
                <w:rFonts w:cs="Calibri"/>
                <w:iCs/>
              </w:rPr>
              <w:t>%</w:t>
            </w:r>
          </w:p>
        </w:tc>
        <w:tc>
          <w:tcPr>
            <w:tcW w:w="1997" w:type="dxa"/>
          </w:tcPr>
          <w:p w14:paraId="38CC6CBB" w14:textId="37C374E0" w:rsidR="00E45C49" w:rsidRDefault="00E45C49" w:rsidP="00E45C49">
            <w:pPr>
              <w:pStyle w:val="MDPI42tablebody"/>
            </w:pPr>
            <w:r>
              <w:t>65</w:t>
            </w:r>
            <w:r w:rsidR="00D13DFD">
              <w:t>.0</w:t>
            </w:r>
            <w:r>
              <w:t>%</w:t>
            </w:r>
          </w:p>
        </w:tc>
        <w:tc>
          <w:tcPr>
            <w:tcW w:w="2044" w:type="dxa"/>
          </w:tcPr>
          <w:p w14:paraId="1574103D" w14:textId="77777777" w:rsidR="00E45C49" w:rsidRDefault="00E45C49" w:rsidP="00E45C49">
            <w:pPr>
              <w:pStyle w:val="MDPI42tablebody"/>
            </w:pPr>
            <w:r>
              <w:t>58.3%</w:t>
            </w:r>
          </w:p>
        </w:tc>
      </w:tr>
      <w:tr w:rsidR="00E45C49" w:rsidRPr="00655E61" w14:paraId="461D06CC" w14:textId="77777777" w:rsidTr="00E45C49">
        <w:trPr>
          <w:trHeight w:val="209"/>
          <w:jc w:val="left"/>
        </w:trPr>
        <w:tc>
          <w:tcPr>
            <w:tcW w:w="2581" w:type="dxa"/>
          </w:tcPr>
          <w:p w14:paraId="26DDD62D" w14:textId="77777777" w:rsidR="00E45C49" w:rsidRPr="007A1944" w:rsidRDefault="00E45C49" w:rsidP="00E45C49">
            <w:pPr>
              <w:pStyle w:val="MDPI42tablebody"/>
              <w:rPr>
                <w:iCs/>
              </w:rPr>
            </w:pPr>
            <w:r>
              <w:rPr>
                <w:iCs/>
              </w:rPr>
              <w:t>EROA (cm</w:t>
            </w:r>
            <w:r w:rsidRPr="006D1F21">
              <w:rPr>
                <w:iCs/>
                <w:vertAlign w:val="superscript"/>
              </w:rPr>
              <w:t>2</w:t>
            </w:r>
            <w:r>
              <w:rPr>
                <w:iCs/>
              </w:rPr>
              <w:t>)</w:t>
            </w:r>
          </w:p>
        </w:tc>
        <w:tc>
          <w:tcPr>
            <w:tcW w:w="2102" w:type="dxa"/>
          </w:tcPr>
          <w:p w14:paraId="276E373E" w14:textId="77777777" w:rsidR="00E45C49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rPr>
                <w:rFonts w:cs="Calibri"/>
                <w:iCs/>
                <w:color w:val="auto"/>
              </w:rPr>
              <w:t>0.</w:t>
            </w:r>
            <w:r w:rsidRPr="00553599">
              <w:rPr>
                <w:rFonts w:cs="Calibri"/>
                <w:iCs/>
                <w:color w:val="auto"/>
              </w:rPr>
              <w:t>37</w:t>
            </w:r>
            <w:r>
              <w:rPr>
                <w:rFonts w:cs="Calibri"/>
                <w:iCs/>
                <w:color w:val="auto"/>
              </w:rPr>
              <w:t xml:space="preserve"> (0.</w:t>
            </w:r>
            <w:r w:rsidRPr="00553599">
              <w:rPr>
                <w:rFonts w:cs="Calibri"/>
                <w:iCs/>
                <w:color w:val="auto"/>
              </w:rPr>
              <w:t>30</w:t>
            </w:r>
            <w:r>
              <w:rPr>
                <w:rFonts w:cs="Calibri"/>
                <w:iCs/>
                <w:color w:val="auto"/>
              </w:rPr>
              <w:t>-0.</w:t>
            </w:r>
            <w:r w:rsidRPr="00553599">
              <w:rPr>
                <w:rFonts w:cs="Calibri"/>
                <w:iCs/>
                <w:color w:val="auto"/>
              </w:rPr>
              <w:t>40</w:t>
            </w:r>
            <w:r>
              <w:rPr>
                <w:rFonts w:cs="Calibri"/>
                <w:iCs/>
                <w:color w:val="auto"/>
              </w:rPr>
              <w:t>)</w:t>
            </w:r>
          </w:p>
        </w:tc>
        <w:tc>
          <w:tcPr>
            <w:tcW w:w="1997" w:type="dxa"/>
          </w:tcPr>
          <w:p w14:paraId="4A4A1685" w14:textId="77777777" w:rsidR="00E45C49" w:rsidRDefault="00E45C49" w:rsidP="00E45C49">
            <w:pPr>
              <w:pStyle w:val="MDPI42tablebody"/>
            </w:pPr>
            <w:r>
              <w:t>-</w:t>
            </w:r>
          </w:p>
        </w:tc>
        <w:tc>
          <w:tcPr>
            <w:tcW w:w="2044" w:type="dxa"/>
          </w:tcPr>
          <w:p w14:paraId="174ED3B8" w14:textId="77777777" w:rsidR="00E45C49" w:rsidRDefault="00E45C49" w:rsidP="00E45C49">
            <w:pPr>
              <w:pStyle w:val="MDPI42tablebody"/>
            </w:pPr>
            <w:r>
              <w:t>0.41±0.15</w:t>
            </w:r>
          </w:p>
        </w:tc>
      </w:tr>
      <w:tr w:rsidR="00E45C49" w:rsidRPr="00655E61" w14:paraId="4BF8BE1C" w14:textId="77777777" w:rsidTr="00E45C49">
        <w:trPr>
          <w:trHeight w:val="209"/>
          <w:jc w:val="left"/>
        </w:trPr>
        <w:tc>
          <w:tcPr>
            <w:tcW w:w="2581" w:type="dxa"/>
          </w:tcPr>
          <w:p w14:paraId="629A887D" w14:textId="77777777" w:rsidR="00E45C49" w:rsidRPr="007A1944" w:rsidRDefault="00E45C49" w:rsidP="00E45C49">
            <w:pPr>
              <w:pStyle w:val="MDPI42tablebody"/>
              <w:rPr>
                <w:iCs/>
              </w:rPr>
            </w:pPr>
            <w:r>
              <w:rPr>
                <w:iCs/>
              </w:rPr>
              <w:t>LVEF (%)</w:t>
            </w:r>
          </w:p>
        </w:tc>
        <w:tc>
          <w:tcPr>
            <w:tcW w:w="2102" w:type="dxa"/>
          </w:tcPr>
          <w:p w14:paraId="5D730F15" w14:textId="77777777" w:rsidR="00E45C49" w:rsidRPr="007A1944" w:rsidRDefault="00E45C49" w:rsidP="00E45C49">
            <w:pPr>
              <w:pStyle w:val="MDPI42tablebody"/>
              <w:rPr>
                <w:rFonts w:cs="Calibri"/>
                <w:iCs/>
              </w:rPr>
            </w:pPr>
            <w:r w:rsidRPr="007A1944">
              <w:rPr>
                <w:rFonts w:cs="Calibri"/>
                <w:iCs/>
              </w:rPr>
              <w:t>50.0 [36.0;60.0]</w:t>
            </w:r>
          </w:p>
        </w:tc>
        <w:tc>
          <w:tcPr>
            <w:tcW w:w="1997" w:type="dxa"/>
          </w:tcPr>
          <w:p w14:paraId="22167325" w14:textId="77777777" w:rsidR="00E45C49" w:rsidRPr="007A1944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t xml:space="preserve">54.4 </w:t>
            </w:r>
            <w:r w:rsidRPr="00751379">
              <w:t>±</w:t>
            </w:r>
            <w:r>
              <w:t xml:space="preserve"> 13.7</w:t>
            </w:r>
          </w:p>
        </w:tc>
        <w:tc>
          <w:tcPr>
            <w:tcW w:w="2044" w:type="dxa"/>
          </w:tcPr>
          <w:p w14:paraId="524C161A" w14:textId="77777777" w:rsidR="00E45C49" w:rsidRPr="001702B1" w:rsidRDefault="00E45C49" w:rsidP="00E45C49">
            <w:pPr>
              <w:pStyle w:val="MDPI42tablebody"/>
              <w:rPr>
                <w:rFonts w:cs="Calibri"/>
                <w:b/>
                <w:bCs/>
                <w:iCs/>
              </w:rPr>
            </w:pPr>
            <w:r>
              <w:t>31.3 ± 9.1</w:t>
            </w:r>
          </w:p>
        </w:tc>
      </w:tr>
      <w:tr w:rsidR="00E45C49" w:rsidRPr="00655E61" w14:paraId="2AA7AD8F" w14:textId="77777777" w:rsidTr="00E45C49">
        <w:trPr>
          <w:trHeight w:val="209"/>
          <w:jc w:val="left"/>
        </w:trPr>
        <w:tc>
          <w:tcPr>
            <w:tcW w:w="2581" w:type="dxa"/>
          </w:tcPr>
          <w:p w14:paraId="20A209C5" w14:textId="77777777" w:rsidR="00E45C49" w:rsidRPr="007A1944" w:rsidRDefault="00E45C49" w:rsidP="00E45C49">
            <w:pPr>
              <w:pStyle w:val="MDPI42tablebody"/>
              <w:rPr>
                <w:iCs/>
              </w:rPr>
            </w:pPr>
            <w:r>
              <w:rPr>
                <w:iCs/>
              </w:rPr>
              <w:t>LVEDV (ml)</w:t>
            </w:r>
          </w:p>
        </w:tc>
        <w:tc>
          <w:tcPr>
            <w:tcW w:w="2102" w:type="dxa"/>
          </w:tcPr>
          <w:p w14:paraId="035D9CFE" w14:textId="77777777" w:rsidR="00E45C49" w:rsidRPr="007A1944" w:rsidRDefault="00E45C49" w:rsidP="00E45C49">
            <w:pPr>
              <w:pStyle w:val="MDPI42tablebody"/>
              <w:rPr>
                <w:rFonts w:cs="Calibri"/>
                <w:iCs/>
              </w:rPr>
            </w:pPr>
            <w:r w:rsidRPr="007A1944">
              <w:rPr>
                <w:rFonts w:cs="Calibri"/>
                <w:iCs/>
              </w:rPr>
              <w:t>120 [90.8;151]</w:t>
            </w:r>
          </w:p>
        </w:tc>
        <w:tc>
          <w:tcPr>
            <w:tcW w:w="1997" w:type="dxa"/>
          </w:tcPr>
          <w:p w14:paraId="395C6842" w14:textId="77777777" w:rsidR="00E45C49" w:rsidRPr="007A1944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t xml:space="preserve">166 </w:t>
            </w:r>
            <w:r w:rsidRPr="00751379">
              <w:t>±</w:t>
            </w:r>
            <w:r>
              <w:t xml:space="preserve"> 51</w:t>
            </w:r>
          </w:p>
        </w:tc>
        <w:tc>
          <w:tcPr>
            <w:tcW w:w="2044" w:type="dxa"/>
          </w:tcPr>
          <w:p w14:paraId="2918775B" w14:textId="77777777" w:rsidR="00E45C49" w:rsidRPr="001702B1" w:rsidRDefault="00E45C49" w:rsidP="00E45C49">
            <w:pPr>
              <w:pStyle w:val="MDPI42tablebody"/>
              <w:rPr>
                <w:rFonts w:cs="Calibri"/>
                <w:b/>
                <w:bCs/>
                <w:iCs/>
              </w:rPr>
            </w:pPr>
            <w:r>
              <w:t>194.4±69.2</w:t>
            </w:r>
          </w:p>
        </w:tc>
      </w:tr>
      <w:tr w:rsidR="00E45C49" w:rsidRPr="00655E61" w14:paraId="512875BC" w14:textId="77777777" w:rsidTr="00E45C49">
        <w:trPr>
          <w:trHeight w:val="209"/>
          <w:jc w:val="left"/>
        </w:trPr>
        <w:tc>
          <w:tcPr>
            <w:tcW w:w="2581" w:type="dxa"/>
            <w:hideMark/>
          </w:tcPr>
          <w:p w14:paraId="7DBA1612" w14:textId="77777777" w:rsidR="00E45C49" w:rsidRPr="00655E61" w:rsidRDefault="00E45C49" w:rsidP="00E45C49">
            <w:pPr>
              <w:pStyle w:val="MDPI42tablebody"/>
            </w:pPr>
            <w:r>
              <w:rPr>
                <w:iCs/>
              </w:rPr>
              <w:t>LVESV (ml)</w:t>
            </w:r>
          </w:p>
        </w:tc>
        <w:tc>
          <w:tcPr>
            <w:tcW w:w="2102" w:type="dxa"/>
          </w:tcPr>
          <w:p w14:paraId="66EDA98C" w14:textId="77777777" w:rsidR="00E45C49" w:rsidRPr="00655E61" w:rsidRDefault="00E45C49" w:rsidP="00E45C49">
            <w:pPr>
              <w:pStyle w:val="MDPI42tablebody"/>
            </w:pPr>
            <w:r w:rsidRPr="007A1944">
              <w:rPr>
                <w:rFonts w:cs="Calibri"/>
                <w:iCs/>
              </w:rPr>
              <w:t>61.0 [38.0;91.0]</w:t>
            </w:r>
          </w:p>
        </w:tc>
        <w:tc>
          <w:tcPr>
            <w:tcW w:w="1997" w:type="dxa"/>
          </w:tcPr>
          <w:p w14:paraId="468E472F" w14:textId="77777777" w:rsidR="00E45C49" w:rsidRPr="00655E61" w:rsidRDefault="00E45C49" w:rsidP="00E45C49">
            <w:pPr>
              <w:pStyle w:val="MDPI42tablebody"/>
            </w:pPr>
            <w:r>
              <w:t xml:space="preserve">80 </w:t>
            </w:r>
            <w:r w:rsidRPr="00751379">
              <w:t>±</w:t>
            </w:r>
            <w:r>
              <w:t xml:space="preserve"> 43</w:t>
            </w:r>
          </w:p>
        </w:tc>
        <w:tc>
          <w:tcPr>
            <w:tcW w:w="2044" w:type="dxa"/>
          </w:tcPr>
          <w:p w14:paraId="5B4DC26B" w14:textId="77777777" w:rsidR="00E45C49" w:rsidRPr="00200F31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t>135.5 ± 56.1</w:t>
            </w:r>
          </w:p>
        </w:tc>
      </w:tr>
      <w:tr w:rsidR="00E45C49" w:rsidRPr="00655E61" w14:paraId="52F47BFD" w14:textId="77777777" w:rsidTr="00E45C49">
        <w:trPr>
          <w:trHeight w:val="109"/>
          <w:jc w:val="left"/>
        </w:trPr>
        <w:tc>
          <w:tcPr>
            <w:tcW w:w="2581" w:type="dxa"/>
            <w:hideMark/>
          </w:tcPr>
          <w:p w14:paraId="18399899" w14:textId="77777777" w:rsidR="00E45C49" w:rsidRPr="00655E61" w:rsidRDefault="00E45C49" w:rsidP="00E45C49">
            <w:pPr>
              <w:pStyle w:val="MDPI42tablebody"/>
            </w:pPr>
            <w:r>
              <w:rPr>
                <w:iCs/>
              </w:rPr>
              <w:t>LVEDD (mm)</w:t>
            </w:r>
          </w:p>
        </w:tc>
        <w:tc>
          <w:tcPr>
            <w:tcW w:w="2102" w:type="dxa"/>
          </w:tcPr>
          <w:p w14:paraId="749FDD40" w14:textId="77777777" w:rsidR="00E45C49" w:rsidRPr="00655E61" w:rsidRDefault="00E45C49" w:rsidP="00E45C49">
            <w:pPr>
              <w:pStyle w:val="MDPI42tablebody"/>
            </w:pPr>
            <w:r w:rsidRPr="00751379">
              <w:t xml:space="preserve">  </w:t>
            </w:r>
            <w:r w:rsidRPr="007A1944">
              <w:rPr>
                <w:rFonts w:cs="Calibri"/>
                <w:iCs/>
              </w:rPr>
              <w:t>54.9±8.87</w:t>
            </w:r>
          </w:p>
        </w:tc>
        <w:tc>
          <w:tcPr>
            <w:tcW w:w="1997" w:type="dxa"/>
          </w:tcPr>
          <w:p w14:paraId="33F7DEE1" w14:textId="77777777" w:rsidR="00E45C49" w:rsidRPr="00655E61" w:rsidRDefault="00E45C49" w:rsidP="00E45C49">
            <w:pPr>
              <w:pStyle w:val="MDPI42tablebody"/>
            </w:pPr>
            <w:r>
              <w:t>-</w:t>
            </w:r>
          </w:p>
        </w:tc>
        <w:tc>
          <w:tcPr>
            <w:tcW w:w="2044" w:type="dxa"/>
          </w:tcPr>
          <w:p w14:paraId="472E36AE" w14:textId="77777777" w:rsidR="00E45C49" w:rsidRPr="00191C70" w:rsidRDefault="00E45C49" w:rsidP="00E45C49">
            <w:pPr>
              <w:pStyle w:val="MDPI42tablebody"/>
              <w:rPr>
                <w:rFonts w:cs="Calibri"/>
                <w:b/>
                <w:bCs/>
                <w:iCs/>
              </w:rPr>
            </w:pPr>
            <w:r>
              <w:t>62 ± 7</w:t>
            </w:r>
          </w:p>
        </w:tc>
      </w:tr>
      <w:tr w:rsidR="00E45C49" w:rsidRPr="00655E61" w14:paraId="376C93B7" w14:textId="77777777" w:rsidTr="00E45C49">
        <w:trPr>
          <w:trHeight w:val="109"/>
          <w:jc w:val="left"/>
        </w:trPr>
        <w:tc>
          <w:tcPr>
            <w:tcW w:w="2581" w:type="dxa"/>
          </w:tcPr>
          <w:p w14:paraId="08457D65" w14:textId="77777777" w:rsidR="00E45C49" w:rsidRPr="00655E61" w:rsidRDefault="00E45C49" w:rsidP="00E45C49">
            <w:pPr>
              <w:pStyle w:val="MDPI42tablebody"/>
            </w:pPr>
            <w:r>
              <w:rPr>
                <w:iCs/>
              </w:rPr>
              <w:t>LVESV (mm)</w:t>
            </w:r>
          </w:p>
        </w:tc>
        <w:tc>
          <w:tcPr>
            <w:tcW w:w="2102" w:type="dxa"/>
          </w:tcPr>
          <w:p w14:paraId="6CE82F0E" w14:textId="77777777" w:rsidR="00E45C49" w:rsidRPr="00655E61" w:rsidRDefault="00E45C49" w:rsidP="00E45C49">
            <w:pPr>
              <w:pStyle w:val="MDPI42tablebody"/>
            </w:pPr>
            <w:r w:rsidRPr="00383625">
              <w:rPr>
                <w:rFonts w:cs="Calibri"/>
                <w:iCs/>
              </w:rPr>
              <w:t xml:space="preserve">38.0 [31.0;49.0]  </w:t>
            </w:r>
          </w:p>
        </w:tc>
        <w:tc>
          <w:tcPr>
            <w:tcW w:w="1997" w:type="dxa"/>
          </w:tcPr>
          <w:p w14:paraId="2262221A" w14:textId="77777777" w:rsidR="00E45C49" w:rsidRPr="00655E61" w:rsidRDefault="00E45C49" w:rsidP="00E45C49">
            <w:pPr>
              <w:pStyle w:val="MDPI42tablebody"/>
            </w:pPr>
            <w:r>
              <w:t xml:space="preserve">39 </w:t>
            </w:r>
            <w:r w:rsidRPr="00751379">
              <w:t>±</w:t>
            </w:r>
            <w:r>
              <w:t xml:space="preserve"> 11</w:t>
            </w:r>
          </w:p>
        </w:tc>
        <w:tc>
          <w:tcPr>
            <w:tcW w:w="2044" w:type="dxa"/>
          </w:tcPr>
          <w:p w14:paraId="29C2F638" w14:textId="77777777" w:rsidR="00E45C49" w:rsidRPr="00081E74" w:rsidRDefault="00E45C49" w:rsidP="00E45C49">
            <w:pPr>
              <w:pStyle w:val="MDPI42tablebody"/>
              <w:rPr>
                <w:rFonts w:cs="Calibri"/>
                <w:iCs/>
              </w:rPr>
            </w:pPr>
            <w:r>
              <w:t>53 ± 9</w:t>
            </w:r>
          </w:p>
        </w:tc>
      </w:tr>
      <w:tr w:rsidR="00E45C49" w:rsidRPr="00655E61" w14:paraId="11698817" w14:textId="77777777" w:rsidTr="00E45C49">
        <w:trPr>
          <w:trHeight w:val="109"/>
          <w:jc w:val="left"/>
        </w:trPr>
        <w:tc>
          <w:tcPr>
            <w:tcW w:w="2581" w:type="dxa"/>
          </w:tcPr>
          <w:p w14:paraId="5B6BB75C" w14:textId="77777777" w:rsidR="00E45C49" w:rsidRDefault="00E45C49" w:rsidP="00E45C49">
            <w:pPr>
              <w:pStyle w:val="MDPI42tablebody"/>
              <w:rPr>
                <w:iCs/>
              </w:rPr>
            </w:pPr>
            <w:r>
              <w:rPr>
                <w:iCs/>
              </w:rPr>
              <w:t>PASP (mmHg)</w:t>
            </w:r>
          </w:p>
        </w:tc>
        <w:tc>
          <w:tcPr>
            <w:tcW w:w="2102" w:type="dxa"/>
          </w:tcPr>
          <w:p w14:paraId="4E662321" w14:textId="77777777" w:rsidR="00E45C49" w:rsidRPr="00383625" w:rsidRDefault="00E45C49" w:rsidP="00E45C49">
            <w:pPr>
              <w:pStyle w:val="MDPI42tablebody"/>
              <w:rPr>
                <w:rFonts w:cs="Calibri"/>
                <w:iCs/>
              </w:rPr>
            </w:pPr>
            <w:r w:rsidRPr="007A1944">
              <w:rPr>
                <w:rFonts w:cs="Calibri"/>
                <w:iCs/>
              </w:rPr>
              <w:t>48.5 [38.8;66.0]</w:t>
            </w:r>
          </w:p>
        </w:tc>
        <w:tc>
          <w:tcPr>
            <w:tcW w:w="1997" w:type="dxa"/>
          </w:tcPr>
          <w:p w14:paraId="3F5E999B" w14:textId="77777777" w:rsidR="00E45C49" w:rsidRDefault="00E45C49" w:rsidP="00E45C49">
            <w:pPr>
              <w:pStyle w:val="MDPI42tablebody"/>
            </w:pPr>
            <w:r>
              <w:t>-</w:t>
            </w:r>
          </w:p>
        </w:tc>
        <w:tc>
          <w:tcPr>
            <w:tcW w:w="2044" w:type="dxa"/>
          </w:tcPr>
          <w:p w14:paraId="2B37A960" w14:textId="77777777" w:rsidR="00E45C49" w:rsidRDefault="00E45C49" w:rsidP="00E45C49">
            <w:pPr>
              <w:pStyle w:val="MDPI42tablebody"/>
            </w:pPr>
            <w:r>
              <w:t>44.0±13.4</w:t>
            </w:r>
          </w:p>
        </w:tc>
      </w:tr>
      <w:tr w:rsidR="00E45C49" w:rsidRPr="00655E61" w14:paraId="37ADAD6C" w14:textId="77777777" w:rsidTr="00E45C49">
        <w:trPr>
          <w:trHeight w:val="109"/>
          <w:jc w:val="left"/>
        </w:trPr>
        <w:tc>
          <w:tcPr>
            <w:tcW w:w="2581" w:type="dxa"/>
          </w:tcPr>
          <w:p w14:paraId="1896A762" w14:textId="77777777" w:rsidR="00E45C49" w:rsidRDefault="00E45C49" w:rsidP="00E45C49">
            <w:pPr>
              <w:pStyle w:val="MDPI42tablebody"/>
              <w:rPr>
                <w:iCs/>
              </w:rPr>
            </w:pPr>
          </w:p>
        </w:tc>
        <w:tc>
          <w:tcPr>
            <w:tcW w:w="2102" w:type="dxa"/>
          </w:tcPr>
          <w:p w14:paraId="66A029F3" w14:textId="77777777" w:rsidR="00E45C49" w:rsidRPr="00383625" w:rsidRDefault="00E45C49" w:rsidP="00E45C49">
            <w:pPr>
              <w:pStyle w:val="MDPI42tablebody"/>
              <w:rPr>
                <w:rFonts w:cs="Calibri"/>
                <w:iCs/>
              </w:rPr>
            </w:pPr>
          </w:p>
        </w:tc>
        <w:tc>
          <w:tcPr>
            <w:tcW w:w="1997" w:type="dxa"/>
          </w:tcPr>
          <w:p w14:paraId="297636D4" w14:textId="77777777" w:rsidR="00E45C49" w:rsidRDefault="00E45C49" w:rsidP="00E45C49">
            <w:pPr>
              <w:pStyle w:val="MDPI42tablebody"/>
            </w:pPr>
          </w:p>
        </w:tc>
        <w:tc>
          <w:tcPr>
            <w:tcW w:w="2044" w:type="dxa"/>
          </w:tcPr>
          <w:p w14:paraId="37223DE8" w14:textId="77777777" w:rsidR="00E45C49" w:rsidRDefault="00E45C49" w:rsidP="00E45C49">
            <w:pPr>
              <w:pStyle w:val="MDPI42tablebody"/>
            </w:pPr>
          </w:p>
        </w:tc>
      </w:tr>
    </w:tbl>
    <w:p w14:paraId="3A61FB49" w14:textId="77777777" w:rsidR="004C411D" w:rsidRPr="001105C8" w:rsidRDefault="004C411D" w:rsidP="004C411D">
      <w:pPr>
        <w:pStyle w:val="MDPI41tablecaption"/>
        <w:ind w:left="0"/>
        <w:rPr>
          <w:i/>
          <w:iCs/>
        </w:rPr>
      </w:pPr>
      <w:r w:rsidRPr="00602974">
        <w:rPr>
          <w:b/>
          <w:bCs/>
        </w:rPr>
        <w:t xml:space="preserve">Table </w:t>
      </w:r>
      <w:bookmarkEnd w:id="0"/>
      <w:r w:rsidRPr="00602974">
        <w:rPr>
          <w:b/>
          <w:bCs/>
        </w:rPr>
        <w:t>S1</w:t>
      </w:r>
      <w:r w:rsidRPr="00DF3718">
        <w:t xml:space="preserve">. Baseline characteristics of our cohort, EVEREST and COAPT patients. </w:t>
      </w:r>
      <w:r w:rsidRPr="001105C8">
        <w:rPr>
          <w:i/>
          <w:iCs/>
        </w:rPr>
        <w:t>MR, Mitral Regurgitation; NYHA, New York heart association; EROA, effective regurgitant orifice area; LVEF, left ventricular ejection fraction; LVED, left ventricular end-diastolic volume; LVESV, left ventricular end-systolic volume; LVEDD, left ventricular end-diastolic diameter; LVESD, left ventricular end-systolic diameter; PASP, pulmonary artery systolic pressure.</w:t>
      </w:r>
    </w:p>
    <w:p w14:paraId="0B02E547" w14:textId="77777777" w:rsidR="00F23641" w:rsidRPr="002F11E3" w:rsidRDefault="00F23641" w:rsidP="002F11E3">
      <w:pPr>
        <w:jc w:val="both"/>
        <w:rPr>
          <w:rFonts w:ascii="Palatino Linotype" w:hAnsi="Palatino Linotype"/>
          <w:lang w:val="en-US"/>
        </w:rPr>
      </w:pPr>
    </w:p>
    <w:sectPr w:rsidR="00F23641" w:rsidRPr="002F1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26"/>
    <w:rsid w:val="0005404C"/>
    <w:rsid w:val="00054BEE"/>
    <w:rsid w:val="00062F27"/>
    <w:rsid w:val="0009112E"/>
    <w:rsid w:val="001105C8"/>
    <w:rsid w:val="00123C8F"/>
    <w:rsid w:val="00156CCA"/>
    <w:rsid w:val="00187409"/>
    <w:rsid w:val="00245D07"/>
    <w:rsid w:val="0029014F"/>
    <w:rsid w:val="002D2AB6"/>
    <w:rsid w:val="002F11E3"/>
    <w:rsid w:val="002F36A2"/>
    <w:rsid w:val="00362065"/>
    <w:rsid w:val="0039598E"/>
    <w:rsid w:val="004C411D"/>
    <w:rsid w:val="005003A6"/>
    <w:rsid w:val="005727AE"/>
    <w:rsid w:val="00673EA7"/>
    <w:rsid w:val="00707966"/>
    <w:rsid w:val="00711B87"/>
    <w:rsid w:val="007201DD"/>
    <w:rsid w:val="00825626"/>
    <w:rsid w:val="00831F2A"/>
    <w:rsid w:val="008A4E99"/>
    <w:rsid w:val="008B11DD"/>
    <w:rsid w:val="00901FB7"/>
    <w:rsid w:val="009D3B11"/>
    <w:rsid w:val="00B945CA"/>
    <w:rsid w:val="00C70D11"/>
    <w:rsid w:val="00C75306"/>
    <w:rsid w:val="00D13DFD"/>
    <w:rsid w:val="00D53B0C"/>
    <w:rsid w:val="00D93BA2"/>
    <w:rsid w:val="00DB22A3"/>
    <w:rsid w:val="00E45C49"/>
    <w:rsid w:val="00E55E26"/>
    <w:rsid w:val="00F2126F"/>
    <w:rsid w:val="00F23641"/>
    <w:rsid w:val="00F6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A5D9"/>
  <w15:chartTrackingRefBased/>
  <w15:docId w15:val="{55CEF5C1-05F8-484D-B3AA-D4011308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5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E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E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E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E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E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E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E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E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E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E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E26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qFormat/>
    <w:rsid w:val="004C411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E45C4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table" w:customStyle="1" w:styleId="MDPI41threelinetable">
    <w:name w:val="MDPI_4.1_three_line_table"/>
    <w:basedOn w:val="Tablanormal"/>
    <w:uiPriority w:val="99"/>
    <w:rsid w:val="00E45C49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 w:bidi="ar-SA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Solsona</dc:creator>
  <cp:keywords/>
  <dc:description/>
  <cp:lastModifiedBy>Javier Solsona</cp:lastModifiedBy>
  <cp:revision>35</cp:revision>
  <dcterms:created xsi:type="dcterms:W3CDTF">2024-04-04T08:11:00Z</dcterms:created>
  <dcterms:modified xsi:type="dcterms:W3CDTF">2024-05-05T17:05:00Z</dcterms:modified>
</cp:coreProperties>
</file>