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226D" w14:textId="28EC1C09" w:rsidR="00090FB6" w:rsidRDefault="0006074E">
      <w:r>
        <w:rPr>
          <w:noProof/>
        </w:rPr>
        <w:drawing>
          <wp:inline distT="0" distB="0" distL="0" distR="0" wp14:anchorId="04FC49C2" wp14:editId="38E91B5A">
            <wp:extent cx="5760720" cy="5516245"/>
            <wp:effectExtent l="0" t="0" r="11430" b="8255"/>
            <wp:docPr id="1321156207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7C0772C1-C5F2-B3B8-6B64-BB3ECE85D0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2E63940" w14:textId="77777777" w:rsidR="0006074E" w:rsidRDefault="0006074E"/>
    <w:p w14:paraId="2150EC65" w14:textId="4EE80A79" w:rsidR="0006074E" w:rsidRDefault="0006074E" w:rsidP="0006074E">
      <w:pPr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Supplementary file 1</w:t>
      </w:r>
      <w:r w:rsidRPr="001258C0">
        <w:rPr>
          <w:rFonts w:asciiTheme="majorBidi" w:hAnsiTheme="majorBidi" w:cstheme="majorBidi"/>
          <w:lang w:val="en-US"/>
        </w:rPr>
        <w:t xml:space="preserve">. </w:t>
      </w:r>
      <w:r w:rsidR="001258C0" w:rsidRPr="001258C0">
        <w:rPr>
          <w:rFonts w:asciiTheme="majorBidi" w:hAnsiTheme="majorBidi" w:cstheme="majorBidi"/>
          <w:lang w:val="en-US"/>
        </w:rPr>
        <w:t xml:space="preserve">Odds ratio and 95% confidence intervals for </w:t>
      </w:r>
      <w:proofErr w:type="spellStart"/>
      <w:r w:rsidR="001258C0" w:rsidRPr="001258C0">
        <w:rPr>
          <w:rFonts w:asciiTheme="majorBidi" w:hAnsiTheme="majorBidi" w:cstheme="majorBidi"/>
          <w:lang w:val="en-US"/>
        </w:rPr>
        <w:t>eGCT</w:t>
      </w:r>
      <w:proofErr w:type="spellEnd"/>
      <w:r w:rsidR="001258C0" w:rsidRPr="001258C0">
        <w:rPr>
          <w:rFonts w:asciiTheme="majorBidi" w:hAnsiTheme="majorBidi" w:cstheme="majorBidi"/>
          <w:lang w:val="en-US"/>
        </w:rPr>
        <w:t xml:space="preserve"> in patients with syndromes</w:t>
      </w:r>
    </w:p>
    <w:p w14:paraId="3CE01572" w14:textId="77777777" w:rsidR="001163E4" w:rsidRDefault="001163E4" w:rsidP="0006074E">
      <w:pPr>
        <w:jc w:val="both"/>
        <w:rPr>
          <w:rFonts w:asciiTheme="majorBidi" w:hAnsiTheme="majorBidi" w:cstheme="majorBidi"/>
          <w:lang w:val="en-US"/>
        </w:rPr>
      </w:pPr>
    </w:p>
    <w:p w14:paraId="6F0B588C" w14:textId="77777777" w:rsidR="0006074E" w:rsidRPr="001258C0" w:rsidRDefault="0006074E">
      <w:pPr>
        <w:rPr>
          <w:lang w:val="en-US"/>
        </w:rPr>
      </w:pPr>
    </w:p>
    <w:sectPr w:rsidR="0006074E" w:rsidRPr="001258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4E"/>
    <w:rsid w:val="0006074E"/>
    <w:rsid w:val="00090FB6"/>
    <w:rsid w:val="001163E4"/>
    <w:rsid w:val="001258C0"/>
    <w:rsid w:val="009E4541"/>
    <w:rsid w:val="00A26FB8"/>
    <w:rsid w:val="00A529DD"/>
    <w:rsid w:val="00F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DD9B"/>
  <w15:chartTrackingRefBased/>
  <w15:docId w15:val="{6FA9A306-44EF-4550-9011-9C90F8DD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0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0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0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0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0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0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0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0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0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0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0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074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074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07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07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07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07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0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0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0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07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07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07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0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07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0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ta%20Schultewolter\Desktop\Tesis\OR%20Forest%20plot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noFill/>
            <a:ln>
              <a:noFill/>
            </a:ln>
            <a:effectLst/>
          </c:spPr>
          <c:invertIfNegative val="0"/>
          <c:cat>
            <c:strRef>
              <c:f>'Neu beschriebene Zusammehän (2)'!$B$3:$B$34</c:f>
              <c:strCache>
                <c:ptCount val="32"/>
                <c:pt idx="0">
                  <c:v>Noonan (1) (0.4) (383, 1000)</c:v>
                </c:pt>
                <c:pt idx="1">
                  <c:v>1.000</c:v>
                </c:pt>
                <c:pt idx="2">
                  <c:v>Lennox (1) (0.8) (383, 500)</c:v>
                </c:pt>
                <c:pt idx="3">
                  <c:v>0.227</c:v>
                </c:pt>
                <c:pt idx="4">
                  <c:v>Poland (1) (4.3) (383, 90)</c:v>
                </c:pt>
                <c:pt idx="5">
                  <c:v>0.371</c:v>
                </c:pt>
                <c:pt idx="6">
                  <c:v>Rett (1) (3.8) (383, 100)</c:v>
                </c:pt>
                <c:pt idx="7">
                  <c:v>0.119</c:v>
                </c:pt>
                <c:pt idx="8">
                  <c:v>Campomelic dysplasia (1) (15.3) (383, 25)</c:v>
                </c:pt>
                <c:pt idx="9">
                  <c:v>0.218</c:v>
                </c:pt>
                <c:pt idx="10">
                  <c:v>Wolf-Hirschhorn (1) (7.7) (383, 50)</c:v>
                </c:pt>
                <c:pt idx="11">
                  <c:v>0.026</c:v>
                </c:pt>
                <c:pt idx="12">
                  <c:v>Imerslund-Gräsbeck (1) (76.7) (383, 5)</c:v>
                </c:pt>
                <c:pt idx="13">
                  <c:v>0.005</c:v>
                </c:pt>
                <c:pt idx="14">
                  <c:v>Frasier (1) (383.3) (383, 1)</c:v>
                </c:pt>
                <c:pt idx="15">
                  <c:v>0.003</c:v>
                </c:pt>
                <c:pt idx="16">
                  <c:v>Cowden (1) (766.6) (383, 5)</c:v>
                </c:pt>
                <c:pt idx="17">
                  <c:v>0.005</c:v>
                </c:pt>
                <c:pt idx="18">
                  <c:v>Proteus (1) (383.3) (383, 1)</c:v>
                </c:pt>
                <c:pt idx="19">
                  <c:v>0.010</c:v>
                </c:pt>
                <c:pt idx="20">
                  <c:v>familial myoclonic dystony (1) (191.6) (383, 2)</c:v>
                </c:pt>
                <c:pt idx="21">
                  <c:v>0.062</c:v>
                </c:pt>
                <c:pt idx="22">
                  <c:v>Cornelia de Lange (1) (30.7) (383, 13)</c:v>
                </c:pt>
                <c:pt idx="23">
                  <c:v>0.218</c:v>
                </c:pt>
                <c:pt idx="24">
                  <c:v>Sturge Weber (1) (7.7) (383, 50)</c:v>
                </c:pt>
                <c:pt idx="25">
                  <c:v>0.050</c:v>
                </c:pt>
                <c:pt idx="26">
                  <c:v>West (1) (38.3) (383, 10)</c:v>
                </c:pt>
                <c:pt idx="27">
                  <c:v>1.000</c:v>
                </c:pt>
                <c:pt idx="28">
                  <c:v>Triple X  (1) (0.8) (383, 500)</c:v>
                </c:pt>
                <c:pt idx="29">
                  <c:v>1.000</c:v>
                </c:pt>
                <c:pt idx="30">
                  <c:v>Neurofibromatosis type I (1) (1.2) (383, 333)</c:v>
                </c:pt>
                <c:pt idx="31">
                  <c:v>Any syndrome (47) (2.9) (18008, 6341)</c:v>
                </c:pt>
              </c:strCache>
            </c:strRef>
          </c:cat>
          <c:val>
            <c:numRef>
              <c:f>'Neu beschriebene Zusammehän (2)'!$C$3:$C$34</c:f>
              <c:numCache>
                <c:formatCode>General</c:formatCode>
                <c:ptCount val="32"/>
                <c:pt idx="0">
                  <c:v>0.4</c:v>
                </c:pt>
                <c:pt idx="2">
                  <c:v>0.8</c:v>
                </c:pt>
                <c:pt idx="4">
                  <c:v>4.3</c:v>
                </c:pt>
                <c:pt idx="6">
                  <c:v>3.8</c:v>
                </c:pt>
                <c:pt idx="8">
                  <c:v>15.3</c:v>
                </c:pt>
                <c:pt idx="10">
                  <c:v>7.7</c:v>
                </c:pt>
                <c:pt idx="12">
                  <c:v>76.7</c:v>
                </c:pt>
                <c:pt idx="14">
                  <c:v>383.3</c:v>
                </c:pt>
                <c:pt idx="16">
                  <c:v>766.6</c:v>
                </c:pt>
                <c:pt idx="18">
                  <c:v>383.3</c:v>
                </c:pt>
                <c:pt idx="20">
                  <c:v>191.6</c:v>
                </c:pt>
                <c:pt idx="22">
                  <c:v>30.7</c:v>
                </c:pt>
                <c:pt idx="24">
                  <c:v>7.7</c:v>
                </c:pt>
                <c:pt idx="26">
                  <c:v>38.299999999999997</c:v>
                </c:pt>
                <c:pt idx="28">
                  <c:v>0.8</c:v>
                </c:pt>
                <c:pt idx="30">
                  <c:v>1.2</c:v>
                </c:pt>
                <c:pt idx="31">
                  <c:v>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B2-4BD4-BFB8-323DE6B21B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30047279"/>
        <c:axId val="675443503"/>
      </c:barChart>
      <c:scatterChart>
        <c:scatterStyle val="lineMarker"/>
        <c:varyColors val="0"/>
        <c:ser>
          <c:idx val="1"/>
          <c:order val="1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'Neu beschriebene Zusammehän (2)'!$G$3:$G$34</c:f>
                <c:numCache>
                  <c:formatCode>General</c:formatCode>
                  <c:ptCount val="32"/>
                  <c:pt idx="0">
                    <c:v>5.6999999999999993</c:v>
                  </c:pt>
                  <c:pt idx="2">
                    <c:v>5.8</c:v>
                  </c:pt>
                  <c:pt idx="4">
                    <c:v>29.3</c:v>
                  </c:pt>
                  <c:pt idx="6">
                    <c:v>57.5</c:v>
                  </c:pt>
                  <c:pt idx="8">
                    <c:v>229.89999999999998</c:v>
                  </c:pt>
                  <c:pt idx="10">
                    <c:v>114.89999999999999</c:v>
                  </c:pt>
                  <c:pt idx="12">
                    <c:v>1149.3</c:v>
                  </c:pt>
                  <c:pt idx="14">
                    <c:v>5746.5</c:v>
                  </c:pt>
                  <c:pt idx="16">
                    <c:v>1492.9</c:v>
                  </c:pt>
                  <c:pt idx="18">
                    <c:v>5746.5</c:v>
                  </c:pt>
                  <c:pt idx="20">
                    <c:v>2873.3</c:v>
                  </c:pt>
                  <c:pt idx="22">
                    <c:v>459.7</c:v>
                  </c:pt>
                  <c:pt idx="24">
                    <c:v>114.89999999999999</c:v>
                  </c:pt>
                  <c:pt idx="26">
                    <c:v>574.70000000000005</c:v>
                  </c:pt>
                  <c:pt idx="28">
                    <c:v>5.8</c:v>
                  </c:pt>
                  <c:pt idx="30">
                    <c:v>17.2</c:v>
                  </c:pt>
                  <c:pt idx="31">
                    <c:v>0.89999999999999991</c:v>
                  </c:pt>
                </c:numCache>
              </c:numRef>
            </c:plus>
            <c:minus>
              <c:numRef>
                <c:f>'Neu beschriebene Zusammehän (2)'!$E$3:$E$34</c:f>
                <c:numCache>
                  <c:formatCode>General</c:formatCode>
                  <c:ptCount val="32"/>
                  <c:pt idx="0">
                    <c:v>0.4</c:v>
                  </c:pt>
                  <c:pt idx="2">
                    <c:v>0.70000000000000007</c:v>
                  </c:pt>
                  <c:pt idx="4">
                    <c:v>3.8</c:v>
                  </c:pt>
                  <c:pt idx="6">
                    <c:v>3.5999999999999996</c:v>
                  </c:pt>
                  <c:pt idx="8">
                    <c:v>14.3</c:v>
                  </c:pt>
                  <c:pt idx="10">
                    <c:v>7.2</c:v>
                  </c:pt>
                  <c:pt idx="12">
                    <c:v>71.900000000000006</c:v>
                  </c:pt>
                  <c:pt idx="14">
                    <c:v>359.3</c:v>
                  </c:pt>
                  <c:pt idx="16">
                    <c:v>718.7</c:v>
                  </c:pt>
                  <c:pt idx="18">
                    <c:v>359.3</c:v>
                  </c:pt>
                  <c:pt idx="20">
                    <c:v>179.6</c:v>
                  </c:pt>
                  <c:pt idx="22">
                    <c:v>28.8</c:v>
                  </c:pt>
                  <c:pt idx="24">
                    <c:v>7.2</c:v>
                  </c:pt>
                  <c:pt idx="26">
                    <c:v>35.9</c:v>
                  </c:pt>
                  <c:pt idx="28">
                    <c:v>0.70000000000000007</c:v>
                  </c:pt>
                  <c:pt idx="30">
                    <c:v>1.0999999999999999</c:v>
                  </c:pt>
                  <c:pt idx="31">
                    <c:v>0.69999999999999973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'Neu beschriebene Zusammehän (2)'!$C$3:$C$34</c:f>
              <c:numCache>
                <c:formatCode>General</c:formatCode>
                <c:ptCount val="32"/>
                <c:pt idx="0">
                  <c:v>0.4</c:v>
                </c:pt>
                <c:pt idx="2">
                  <c:v>0.8</c:v>
                </c:pt>
                <c:pt idx="4">
                  <c:v>4.3</c:v>
                </c:pt>
                <c:pt idx="6">
                  <c:v>3.8</c:v>
                </c:pt>
                <c:pt idx="8">
                  <c:v>15.3</c:v>
                </c:pt>
                <c:pt idx="10">
                  <c:v>7.7</c:v>
                </c:pt>
                <c:pt idx="12">
                  <c:v>76.7</c:v>
                </c:pt>
                <c:pt idx="14">
                  <c:v>383.3</c:v>
                </c:pt>
                <c:pt idx="16">
                  <c:v>766.6</c:v>
                </c:pt>
                <c:pt idx="18">
                  <c:v>383.3</c:v>
                </c:pt>
                <c:pt idx="20">
                  <c:v>191.6</c:v>
                </c:pt>
                <c:pt idx="22">
                  <c:v>30.7</c:v>
                </c:pt>
                <c:pt idx="24">
                  <c:v>7.7</c:v>
                </c:pt>
                <c:pt idx="26">
                  <c:v>38.299999999999997</c:v>
                </c:pt>
                <c:pt idx="28">
                  <c:v>0.8</c:v>
                </c:pt>
                <c:pt idx="30">
                  <c:v>1.2</c:v>
                </c:pt>
                <c:pt idx="31">
                  <c:v>2.9</c:v>
                </c:pt>
              </c:numCache>
            </c:numRef>
          </c:xVal>
          <c:yVal>
            <c:numRef>
              <c:f>'Neu beschriebene Zusammehän (2)'!$H$3:$H$34</c:f>
              <c:numCache>
                <c:formatCode>General</c:formatCode>
                <c:ptCount val="32"/>
                <c:pt idx="0" formatCode="0.00">
                  <c:v>0.5</c:v>
                </c:pt>
                <c:pt idx="2" formatCode="0.00">
                  <c:v>1.8</c:v>
                </c:pt>
                <c:pt idx="4" formatCode="0.00">
                  <c:v>3</c:v>
                </c:pt>
                <c:pt idx="6" formatCode="0.00">
                  <c:v>4.3</c:v>
                </c:pt>
                <c:pt idx="8" formatCode="0.00">
                  <c:v>5.5</c:v>
                </c:pt>
                <c:pt idx="10" formatCode="0.00">
                  <c:v>7</c:v>
                </c:pt>
                <c:pt idx="12" formatCode="0.00">
                  <c:v>8.5</c:v>
                </c:pt>
                <c:pt idx="14" formatCode="0.00">
                  <c:v>9.8000000000000007</c:v>
                </c:pt>
                <c:pt idx="16" formatCode="0.00">
                  <c:v>11.2</c:v>
                </c:pt>
                <c:pt idx="18" formatCode="0.00">
                  <c:v>12.6</c:v>
                </c:pt>
                <c:pt idx="20" formatCode="0.00">
                  <c:v>14</c:v>
                </c:pt>
                <c:pt idx="22" formatCode="0.00">
                  <c:v>15.4</c:v>
                </c:pt>
                <c:pt idx="24" formatCode="0.00">
                  <c:v>16.8</c:v>
                </c:pt>
                <c:pt idx="26" formatCode="0.00">
                  <c:v>18</c:v>
                </c:pt>
                <c:pt idx="28" formatCode="0.00">
                  <c:v>19.600000000000001</c:v>
                </c:pt>
                <c:pt idx="30" formatCode="0.00">
                  <c:v>21</c:v>
                </c:pt>
                <c:pt idx="31">
                  <c:v>21.5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FB2-4BD4-BFB8-323DE6B21B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75440527"/>
        <c:axId val="675442015"/>
      </c:scatterChart>
      <c:catAx>
        <c:axId val="83004727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75443503"/>
        <c:crosses val="autoZero"/>
        <c:auto val="1"/>
        <c:lblAlgn val="ctr"/>
        <c:lblOffset val="100"/>
        <c:noMultiLvlLbl val="0"/>
      </c:catAx>
      <c:valAx>
        <c:axId val="675443503"/>
        <c:scaling>
          <c:logBase val="10"/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 sz="900" b="1"/>
                  <a:t>Syndrome (n)</a:t>
                </a:r>
                <a:r>
                  <a:rPr lang="es-ES" sz="900" b="1" baseline="0"/>
                  <a:t> (OR) (risk per million in cases, controls</a:t>
                </a:r>
                <a:r>
                  <a:rPr lang="es-ES" b="1" baseline="0"/>
                  <a:t>) (p-value)</a:t>
                </a:r>
                <a:endParaRPr lang="es-ES" b="1"/>
              </a:p>
            </c:rich>
          </c:tx>
          <c:layout>
            <c:manualLayout>
              <c:xMode val="edge"/>
              <c:yMode val="edge"/>
              <c:x val="8.6673193628575426E-4"/>
              <c:y val="1.941719412390127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830047279"/>
        <c:crosses val="autoZero"/>
        <c:crossBetween val="between"/>
      </c:valAx>
      <c:valAx>
        <c:axId val="675442015"/>
        <c:scaling>
          <c:orientation val="minMax"/>
          <c:max val="22"/>
        </c:scaling>
        <c:delete val="1"/>
        <c:axPos val="r"/>
        <c:numFmt formatCode="0.00" sourceLinked="1"/>
        <c:majorTickMark val="out"/>
        <c:minorTickMark val="none"/>
        <c:tickLblPos val="nextTo"/>
        <c:crossAx val="675440527"/>
        <c:crosses val="max"/>
        <c:crossBetween val="midCat"/>
        <c:majorUnit val="1"/>
      </c:valAx>
      <c:valAx>
        <c:axId val="675440527"/>
        <c:scaling>
          <c:logBase val="10"/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754420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0.33333</cdr:x>
      <cdr:y>0.88949</cdr:y>
    </cdr:from>
    <cdr:to>
      <cdr:x>0.4127</cdr:x>
      <cdr:y>0.93381</cdr:y>
    </cdr:to>
    <cdr:sp macro="" textlink="">
      <cdr:nvSpPr>
        <cdr:cNvPr id="2" name="Textfeld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20240" y="4906645"/>
          <a:ext cx="457200" cy="2444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s-ES" sz="900">
              <a:effectLst/>
              <a:latin typeface="Calibri" panose="020F0502020204030204" pitchFamily="34" charset="0"/>
              <a:ea typeface="Calibri" panose="020F0502020204030204" pitchFamily="34" charset="0"/>
              <a:cs typeface="Arial" panose="020B0604020202020204" pitchFamily="34" charset="0"/>
            </a:rPr>
            <a:t>0.477</a:t>
          </a:r>
          <a:endParaRPr lang="es-ES" sz="1100">
            <a:effectLst/>
            <a:latin typeface="Calibri" panose="020F0502020204030204" pitchFamily="34" charset="0"/>
            <a:ea typeface="Calibri" panose="020F050202020403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Fernando Romero Escobar</dc:creator>
  <cp:keywords/>
  <dc:description/>
  <cp:lastModifiedBy>Matias Fernando Romero Escobar</cp:lastModifiedBy>
  <cp:revision>3</cp:revision>
  <dcterms:created xsi:type="dcterms:W3CDTF">2024-03-23T10:18:00Z</dcterms:created>
  <dcterms:modified xsi:type="dcterms:W3CDTF">2024-03-23T11:08:00Z</dcterms:modified>
</cp:coreProperties>
</file>