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86D19" w14:textId="397EAA19" w:rsidR="00021499" w:rsidRPr="00DD1C1C" w:rsidRDefault="00E420D6" w:rsidP="00833213">
      <w:pPr>
        <w:spacing w:before="240" w:after="120" w:line="228" w:lineRule="auto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 xml:space="preserve">Supplementary </w:t>
      </w:r>
      <w:r w:rsidR="0083399A" w:rsidRPr="00DD1C1C">
        <w:rPr>
          <w:rFonts w:ascii="Palatino Linotype" w:hAnsi="Palatino Linotype"/>
          <w:b/>
          <w:bCs/>
          <w:sz w:val="18"/>
          <w:szCs w:val="18"/>
        </w:rPr>
        <w:t xml:space="preserve">Table </w:t>
      </w:r>
      <w:r w:rsidR="00C9564E" w:rsidRPr="00DD1C1C">
        <w:rPr>
          <w:rFonts w:ascii="Palatino Linotype" w:hAnsi="Palatino Linotype"/>
          <w:b/>
          <w:bCs/>
          <w:sz w:val="18"/>
          <w:szCs w:val="18"/>
        </w:rPr>
        <w:t>1</w:t>
      </w:r>
      <w:r w:rsidR="0083399A" w:rsidRPr="00DD1C1C">
        <w:rPr>
          <w:rFonts w:ascii="Palatino Linotype" w:hAnsi="Palatino Linotype"/>
          <w:sz w:val="18"/>
          <w:szCs w:val="18"/>
        </w:rPr>
        <w:t xml:space="preserve">. </w:t>
      </w:r>
      <w:r w:rsidR="00AC4A2A" w:rsidRPr="00DD1C1C">
        <w:rPr>
          <w:rFonts w:ascii="Palatino Linotype" w:hAnsi="Palatino Linotype"/>
          <w:sz w:val="18"/>
          <w:szCs w:val="18"/>
        </w:rPr>
        <w:t>C</w:t>
      </w:r>
      <w:r w:rsidR="00ED66BF" w:rsidRPr="00DD1C1C">
        <w:rPr>
          <w:rFonts w:ascii="Palatino Linotype" w:hAnsi="Palatino Linotype"/>
          <w:sz w:val="18"/>
          <w:szCs w:val="18"/>
        </w:rPr>
        <w:t>omposition</w:t>
      </w:r>
      <w:r w:rsidR="00A809A9" w:rsidRPr="00DD1C1C">
        <w:rPr>
          <w:rFonts w:ascii="Palatino Linotype" w:hAnsi="Palatino Linotype"/>
          <w:sz w:val="18"/>
          <w:szCs w:val="18"/>
        </w:rPr>
        <w:t xml:space="preserve"> </w:t>
      </w:r>
      <w:r w:rsidR="00ED66BF" w:rsidRPr="00DD1C1C">
        <w:rPr>
          <w:rFonts w:ascii="Palatino Linotype" w:hAnsi="Palatino Linotype"/>
          <w:sz w:val="18"/>
          <w:szCs w:val="18"/>
        </w:rPr>
        <w:t xml:space="preserve">of selected </w:t>
      </w:r>
      <w:r w:rsidR="002C01D4" w:rsidRPr="00DD1C1C">
        <w:rPr>
          <w:rFonts w:ascii="Palatino Linotype" w:hAnsi="Palatino Linotype"/>
          <w:sz w:val="18"/>
          <w:szCs w:val="18"/>
        </w:rPr>
        <w:t xml:space="preserve">animal </w:t>
      </w:r>
      <w:r w:rsidR="00ED66BF" w:rsidRPr="00DD1C1C">
        <w:rPr>
          <w:rFonts w:ascii="Palatino Linotype" w:hAnsi="Palatino Linotype"/>
          <w:sz w:val="18"/>
          <w:szCs w:val="18"/>
        </w:rPr>
        <w:t xml:space="preserve">fats and </w:t>
      </w:r>
      <w:r w:rsidR="002C01D4" w:rsidRPr="00DD1C1C">
        <w:rPr>
          <w:rFonts w:ascii="Palatino Linotype" w:hAnsi="Palatino Linotype"/>
          <w:sz w:val="18"/>
          <w:szCs w:val="18"/>
        </w:rPr>
        <w:t xml:space="preserve">plant-derived </w:t>
      </w:r>
      <w:r w:rsidR="00ED66BF" w:rsidRPr="00DD1C1C">
        <w:rPr>
          <w:rFonts w:ascii="Palatino Linotype" w:hAnsi="Palatino Linotype"/>
          <w:sz w:val="18"/>
          <w:szCs w:val="18"/>
        </w:rPr>
        <w:t>oils</w:t>
      </w:r>
      <w:r w:rsidR="009A7854" w:rsidRPr="00DD1C1C">
        <w:rPr>
          <w:rFonts w:ascii="Palatino Linotype" w:hAnsi="Palatino Linotype"/>
          <w:sz w:val="18"/>
          <w:szCs w:val="18"/>
        </w:rPr>
        <w:t xml:space="preserve"> which were classified as “saturated fat”</w:t>
      </w:r>
      <w:r w:rsidR="001F0AEF" w:rsidRPr="00DD1C1C">
        <w:rPr>
          <w:rFonts w:ascii="Palatino Linotype" w:hAnsi="Palatino Linotype"/>
          <w:sz w:val="18"/>
          <w:szCs w:val="18"/>
        </w:rPr>
        <w:t xml:space="preserve"> </w:t>
      </w:r>
      <w:r w:rsidR="009A7854" w:rsidRPr="00DD1C1C">
        <w:rPr>
          <w:rFonts w:ascii="Palatino Linotype" w:hAnsi="Palatino Linotype"/>
          <w:sz w:val="18"/>
          <w:szCs w:val="18"/>
        </w:rPr>
        <w:t xml:space="preserve">by Ancel Keys based on their iodine values. </w:t>
      </w:r>
      <w:r w:rsidR="002C01D4" w:rsidRPr="00DD1C1C">
        <w:rPr>
          <w:rFonts w:ascii="Palatino Linotype" w:hAnsi="Palatino Linotype"/>
          <w:sz w:val="18"/>
          <w:szCs w:val="18"/>
        </w:rPr>
        <w:t xml:space="preserve">These are </w:t>
      </w:r>
      <w:r w:rsidR="009A7854" w:rsidRPr="00DD1C1C">
        <w:rPr>
          <w:rFonts w:ascii="Palatino Linotype" w:hAnsi="Palatino Linotype"/>
          <w:sz w:val="18"/>
          <w:szCs w:val="18"/>
        </w:rPr>
        <w:t>also</w:t>
      </w:r>
      <w:r w:rsidR="00406FD2" w:rsidRPr="00DD1C1C">
        <w:rPr>
          <w:rFonts w:ascii="Palatino Linotype" w:hAnsi="Palatino Linotype"/>
          <w:sz w:val="18"/>
          <w:szCs w:val="18"/>
        </w:rPr>
        <w:t xml:space="preserve"> referred to </w:t>
      </w:r>
      <w:r w:rsidR="002C01D4" w:rsidRPr="00DD1C1C">
        <w:rPr>
          <w:rFonts w:ascii="Palatino Linotype" w:hAnsi="Palatino Linotype"/>
          <w:sz w:val="18"/>
          <w:szCs w:val="18"/>
        </w:rPr>
        <w:t xml:space="preserve">as “solid fat” because they all melt above </w:t>
      </w:r>
      <w:r w:rsidR="000335A2" w:rsidRPr="00DD1C1C">
        <w:rPr>
          <w:rFonts w:ascii="Palatino Linotype" w:hAnsi="Palatino Linotype"/>
          <w:sz w:val="18"/>
          <w:szCs w:val="18"/>
        </w:rPr>
        <w:t xml:space="preserve">room temperature </w:t>
      </w:r>
      <w:r w:rsidR="002C01D4" w:rsidRPr="00DD1C1C">
        <w:rPr>
          <w:rFonts w:ascii="Palatino Linotype" w:hAnsi="Palatino Linotype"/>
          <w:sz w:val="18"/>
          <w:szCs w:val="18"/>
        </w:rPr>
        <w:t xml:space="preserve">even though their compositions are </w:t>
      </w:r>
      <w:r w:rsidR="00FC48A4" w:rsidRPr="00DD1C1C">
        <w:rPr>
          <w:rFonts w:ascii="Palatino Linotype" w:hAnsi="Palatino Linotype"/>
          <w:sz w:val="18"/>
          <w:szCs w:val="18"/>
        </w:rPr>
        <w:t xml:space="preserve">very </w:t>
      </w:r>
      <w:r w:rsidR="002C01D4" w:rsidRPr="00DD1C1C">
        <w:rPr>
          <w:rFonts w:ascii="Palatino Linotype" w:hAnsi="Palatino Linotype"/>
          <w:sz w:val="18"/>
          <w:szCs w:val="18"/>
        </w:rPr>
        <w:t>different. Lard is often used to represent saturated fat</w:t>
      </w:r>
      <w:r w:rsidR="00F13CFB" w:rsidRPr="00DD1C1C">
        <w:rPr>
          <w:rFonts w:ascii="Palatino Linotype" w:hAnsi="Palatino Linotype"/>
          <w:sz w:val="18"/>
          <w:szCs w:val="18"/>
        </w:rPr>
        <w:t>, although its fatty acid composition and cholesterol content are not representative</w:t>
      </w:r>
      <w:r w:rsidR="002C01D4" w:rsidRPr="00DD1C1C">
        <w:rPr>
          <w:rFonts w:ascii="Palatino Linotype" w:hAnsi="Palatino Linotype"/>
          <w:sz w:val="18"/>
          <w:szCs w:val="18"/>
        </w:rPr>
        <w:t>.</w:t>
      </w:r>
      <w:r w:rsidR="00BA2831" w:rsidRPr="00DD1C1C">
        <w:rPr>
          <w:rFonts w:ascii="Palatino Linotype" w:hAnsi="Palatino Linotype"/>
          <w:sz w:val="18"/>
          <w:szCs w:val="18"/>
        </w:rPr>
        <w:t xml:space="preserve"> Palmitic acid (C1</w:t>
      </w:r>
      <w:r w:rsidR="00F13CFB" w:rsidRPr="00DD1C1C">
        <w:rPr>
          <w:rFonts w:ascii="Palatino Linotype" w:hAnsi="Palatino Linotype"/>
          <w:sz w:val="18"/>
          <w:szCs w:val="18"/>
        </w:rPr>
        <w:t>6</w:t>
      </w:r>
      <w:r w:rsidR="00BA2831" w:rsidRPr="00DD1C1C">
        <w:rPr>
          <w:rFonts w:ascii="Palatino Linotype" w:hAnsi="Palatino Linotype"/>
          <w:sz w:val="18"/>
          <w:szCs w:val="18"/>
        </w:rPr>
        <w:t>:0) is often used to represent all types of saturated fatty acids</w:t>
      </w:r>
      <w:r w:rsidR="00F13CFB" w:rsidRPr="00DD1C1C">
        <w:rPr>
          <w:rFonts w:ascii="Palatino Linotype" w:hAnsi="Palatino Linotype"/>
          <w:sz w:val="18"/>
          <w:szCs w:val="18"/>
        </w:rPr>
        <w:t>, although its physiological properties are not representative</w:t>
      </w:r>
      <w:r w:rsidR="009A7854" w:rsidRPr="00DD1C1C">
        <w:rPr>
          <w:rFonts w:ascii="Palatino Linotype" w:hAnsi="Palatino Linotype"/>
          <w:sz w:val="18"/>
          <w:szCs w:val="18"/>
        </w:rPr>
        <w:t xml:space="preserve"> of all SFAs</w:t>
      </w:r>
      <w:r w:rsidR="00BA2831" w:rsidRPr="00DD1C1C">
        <w:rPr>
          <w:rFonts w:ascii="Palatino Linotype" w:hAnsi="Palatino Linotype"/>
          <w:sz w:val="18"/>
          <w:szCs w:val="18"/>
        </w:rPr>
        <w:t>.</w:t>
      </w:r>
      <w:r w:rsidR="00F13CFB" w:rsidRPr="00DD1C1C">
        <w:rPr>
          <w:rFonts w:ascii="Palatino Linotype" w:hAnsi="Palatino Linotype"/>
          <w:sz w:val="18"/>
          <w:szCs w:val="18"/>
        </w:rPr>
        <w:t xml:space="preserve"> </w:t>
      </w:r>
      <w:r w:rsidR="00FC48A4" w:rsidRPr="00DD1C1C">
        <w:rPr>
          <w:rFonts w:ascii="Palatino Linotype" w:hAnsi="Palatino Linotype"/>
          <w:sz w:val="18"/>
          <w:szCs w:val="18"/>
        </w:rPr>
        <w:t>(</w:t>
      </w:r>
      <w:r w:rsidR="001F0AEF" w:rsidRPr="00DD1C1C">
        <w:rPr>
          <w:rFonts w:ascii="Palatino Linotype" w:hAnsi="Palatino Linotype"/>
          <w:sz w:val="18"/>
          <w:szCs w:val="18"/>
        </w:rPr>
        <w:t>MCFA: medium-chain fatty acids</w:t>
      </w:r>
      <w:r w:rsidR="00AD4499" w:rsidRPr="00DD1C1C">
        <w:rPr>
          <w:rFonts w:ascii="Palatino Linotype" w:hAnsi="Palatino Linotype"/>
          <w:sz w:val="18"/>
          <w:szCs w:val="18"/>
        </w:rPr>
        <w:t xml:space="preserve">, </w:t>
      </w:r>
      <w:r w:rsidR="0068736E" w:rsidRPr="00DD1C1C">
        <w:rPr>
          <w:rFonts w:ascii="Palatino Linotype" w:hAnsi="Palatino Linotype"/>
          <w:sz w:val="18"/>
          <w:szCs w:val="18"/>
        </w:rPr>
        <w:t>C6:0 to C12:0</w:t>
      </w:r>
      <w:r w:rsidR="00AD4499" w:rsidRPr="00DD1C1C">
        <w:rPr>
          <w:rFonts w:ascii="Palatino Linotype" w:hAnsi="Palatino Linotype"/>
          <w:sz w:val="18"/>
          <w:szCs w:val="18"/>
        </w:rPr>
        <w:t>;</w:t>
      </w:r>
      <w:r w:rsidR="0068736E" w:rsidRPr="00DD1C1C">
        <w:rPr>
          <w:rFonts w:ascii="Palatino Linotype" w:hAnsi="Palatino Linotype"/>
          <w:sz w:val="18"/>
          <w:szCs w:val="18"/>
        </w:rPr>
        <w:t xml:space="preserve"> LCFA</w:t>
      </w:r>
      <w:r w:rsidR="00AD4499" w:rsidRPr="00DD1C1C">
        <w:rPr>
          <w:rFonts w:ascii="Palatino Linotype" w:hAnsi="Palatino Linotype"/>
          <w:sz w:val="18"/>
          <w:szCs w:val="18"/>
        </w:rPr>
        <w:t xml:space="preserve">: long-chain </w:t>
      </w:r>
      <w:r w:rsidR="003E7922" w:rsidRPr="00DD1C1C">
        <w:rPr>
          <w:rFonts w:ascii="Palatino Linotype" w:hAnsi="Palatino Linotype"/>
          <w:sz w:val="18"/>
          <w:szCs w:val="18"/>
        </w:rPr>
        <w:t xml:space="preserve">saturated </w:t>
      </w:r>
      <w:r w:rsidR="00AD4499" w:rsidRPr="00DD1C1C">
        <w:rPr>
          <w:rFonts w:ascii="Palatino Linotype" w:hAnsi="Palatino Linotype"/>
          <w:sz w:val="18"/>
          <w:szCs w:val="18"/>
        </w:rPr>
        <w:t>fatty acids</w:t>
      </w:r>
      <w:r w:rsidR="000117F0" w:rsidRPr="00DD1C1C">
        <w:rPr>
          <w:rFonts w:ascii="Palatino Linotype" w:hAnsi="Palatino Linotype"/>
          <w:sz w:val="18"/>
          <w:szCs w:val="18"/>
        </w:rPr>
        <w:t xml:space="preserve">, </w:t>
      </w:r>
      <w:r w:rsidR="0068736E" w:rsidRPr="00DD1C1C">
        <w:rPr>
          <w:rFonts w:ascii="Palatino Linotype" w:hAnsi="Palatino Linotype"/>
          <w:sz w:val="18"/>
          <w:szCs w:val="18"/>
        </w:rPr>
        <w:t>&gt;C14</w:t>
      </w:r>
      <w:r w:rsidR="003E7922" w:rsidRPr="00DD1C1C">
        <w:rPr>
          <w:rFonts w:ascii="Palatino Linotype" w:hAnsi="Palatino Linotype"/>
          <w:sz w:val="18"/>
          <w:szCs w:val="18"/>
        </w:rPr>
        <w:t>:0</w:t>
      </w:r>
      <w:r w:rsidR="000117F0" w:rsidRPr="00DD1C1C">
        <w:rPr>
          <w:rFonts w:ascii="Palatino Linotype" w:hAnsi="Palatino Linotype"/>
          <w:sz w:val="18"/>
          <w:szCs w:val="18"/>
        </w:rPr>
        <w:t>; SFA: saturated fatty acids.</w:t>
      </w:r>
      <w:r w:rsidR="00ED66BF" w:rsidRPr="00DD1C1C">
        <w:rPr>
          <w:rFonts w:ascii="Palatino Linotype" w:hAnsi="Palatino Linotype"/>
          <w:sz w:val="18"/>
          <w:szCs w:val="18"/>
        </w:rPr>
        <w:t xml:space="preserve"> </w:t>
      </w:r>
      <w:r w:rsidR="00B07FA7" w:rsidRPr="00DD1C1C">
        <w:rPr>
          <w:rFonts w:ascii="Palatino Linotype" w:hAnsi="Palatino Linotype"/>
          <w:sz w:val="18"/>
          <w:szCs w:val="18"/>
        </w:rPr>
        <w:t>(</w:t>
      </w:r>
      <w:r w:rsidR="00ED66BF" w:rsidRPr="00DD1C1C">
        <w:rPr>
          <w:rFonts w:ascii="Palatino Linotype" w:hAnsi="Palatino Linotype"/>
          <w:sz w:val="18"/>
          <w:szCs w:val="18"/>
        </w:rPr>
        <w:t>Ref</w:t>
      </w:r>
      <w:r w:rsidR="00F13CFB" w:rsidRPr="00DD1C1C">
        <w:rPr>
          <w:rFonts w:ascii="Palatino Linotype" w:hAnsi="Palatino Linotype"/>
          <w:sz w:val="18"/>
          <w:szCs w:val="18"/>
        </w:rPr>
        <w:t>erence</w:t>
      </w:r>
      <w:r w:rsidR="00FE1ACE" w:rsidRPr="00DD1C1C">
        <w:rPr>
          <w:rFonts w:ascii="Palatino Linotype" w:hAnsi="Palatino Linotype"/>
          <w:sz w:val="18"/>
          <w:szCs w:val="18"/>
        </w:rPr>
        <w:t>s</w:t>
      </w:r>
      <w:r w:rsidR="000C5CE2" w:rsidRPr="00DD1C1C">
        <w:rPr>
          <w:rFonts w:ascii="Palatino Linotype" w:hAnsi="Palatino Linotype"/>
          <w:sz w:val="18"/>
          <w:szCs w:val="18"/>
        </w:rPr>
        <w:t>.</w:t>
      </w:r>
      <w:r w:rsidR="00ED66BF" w:rsidRPr="00DD1C1C">
        <w:rPr>
          <w:rFonts w:ascii="Palatino Linotype" w:hAnsi="Palatino Linotype"/>
          <w:sz w:val="18"/>
          <w:szCs w:val="18"/>
        </w:rPr>
        <w:t>:</w:t>
      </w:r>
      <w:r w:rsidR="00FE1ACE" w:rsidRPr="00DD1C1C">
        <w:rPr>
          <w:rFonts w:ascii="Palatino Linotype" w:hAnsi="Palatino Linotype"/>
          <w:sz w:val="18"/>
          <w:szCs w:val="18"/>
        </w:rPr>
        <w:t xml:space="preserve"> the fatty acid composition </w:t>
      </w:r>
      <w:r w:rsidR="003A4AB9" w:rsidRPr="00DD1C1C">
        <w:rPr>
          <w:rFonts w:ascii="Palatino Linotype" w:hAnsi="Palatino Linotype"/>
          <w:sz w:val="18"/>
          <w:szCs w:val="18"/>
        </w:rPr>
        <w:t>and cholesterol content are</w:t>
      </w:r>
      <w:r w:rsidR="00FE1ACE" w:rsidRPr="00DD1C1C">
        <w:rPr>
          <w:rFonts w:ascii="Palatino Linotype" w:hAnsi="Palatino Linotype"/>
          <w:sz w:val="18"/>
          <w:szCs w:val="18"/>
        </w:rPr>
        <w:t xml:space="preserve"> from</w:t>
      </w:r>
      <w:r w:rsidR="00ED66BF" w:rsidRPr="00DD1C1C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ED66BF" w:rsidRPr="00DD1C1C">
        <w:rPr>
          <w:rFonts w:ascii="Palatino Linotype" w:hAnsi="Palatino Linotype"/>
          <w:sz w:val="18"/>
          <w:szCs w:val="18"/>
        </w:rPr>
        <w:t>FoodData</w:t>
      </w:r>
      <w:proofErr w:type="spellEnd"/>
      <w:r w:rsidR="00ED66BF" w:rsidRPr="00DD1C1C">
        <w:rPr>
          <w:rFonts w:ascii="Palatino Linotype" w:hAnsi="Palatino Linotype"/>
          <w:sz w:val="18"/>
          <w:szCs w:val="18"/>
        </w:rPr>
        <w:t xml:space="preserve"> Central: </w:t>
      </w:r>
      <w:hyperlink r:id="rId5" w:history="1">
        <w:r w:rsidR="00BF327C" w:rsidRPr="00DD1C1C">
          <w:rPr>
            <w:rStyle w:val="Hyperlink"/>
            <w:rFonts w:ascii="Palatino Linotype" w:hAnsi="Palatino Linotype"/>
            <w:sz w:val="18"/>
            <w:szCs w:val="18"/>
          </w:rPr>
          <w:t>https://fdc.nal.usda.gov/</w:t>
        </w:r>
      </w:hyperlink>
      <w:r w:rsidR="0040501D" w:rsidRPr="00DD1C1C">
        <w:rPr>
          <w:rFonts w:ascii="Palatino Linotype" w:hAnsi="Palatino Linotype"/>
          <w:sz w:val="18"/>
          <w:szCs w:val="18"/>
        </w:rPr>
        <w:t>.</w:t>
      </w:r>
      <w:r w:rsidR="00FE1ACE" w:rsidRPr="00DD1C1C">
        <w:rPr>
          <w:rFonts w:ascii="Palatino Linotype" w:hAnsi="Palatino Linotype"/>
          <w:sz w:val="18"/>
          <w:szCs w:val="18"/>
        </w:rPr>
        <w:t xml:space="preserve"> </w:t>
      </w:r>
      <w:r w:rsidR="0040501D" w:rsidRPr="00DD1C1C">
        <w:rPr>
          <w:rFonts w:ascii="Palatino Linotype" w:hAnsi="Palatino Linotype"/>
          <w:sz w:val="18"/>
          <w:szCs w:val="18"/>
        </w:rPr>
        <w:t>I</w:t>
      </w:r>
      <w:r w:rsidR="00FE1ACE" w:rsidRPr="00DD1C1C">
        <w:rPr>
          <w:rFonts w:ascii="Palatino Linotype" w:hAnsi="Palatino Linotype"/>
          <w:sz w:val="18"/>
          <w:szCs w:val="18"/>
        </w:rPr>
        <w:t xml:space="preserve">odine values </w:t>
      </w:r>
      <w:r w:rsidR="00C3541B" w:rsidRPr="00DD1C1C">
        <w:rPr>
          <w:rFonts w:ascii="Palatino Linotype" w:hAnsi="Palatino Linotype"/>
          <w:sz w:val="18"/>
          <w:szCs w:val="18"/>
        </w:rPr>
        <w:t xml:space="preserve">and melting points </w:t>
      </w:r>
      <w:r w:rsidR="00FE1ACE" w:rsidRPr="00DD1C1C">
        <w:rPr>
          <w:rFonts w:ascii="Palatino Linotype" w:hAnsi="Palatino Linotype"/>
          <w:sz w:val="18"/>
          <w:szCs w:val="18"/>
        </w:rPr>
        <w:t>are from</w:t>
      </w:r>
      <w:r w:rsidR="00C3541B" w:rsidRPr="00DD1C1C">
        <w:rPr>
          <w:rFonts w:ascii="Palatino Linotype" w:hAnsi="Palatino Linotype"/>
          <w:sz w:val="18"/>
          <w:szCs w:val="18"/>
        </w:rPr>
        <w:t xml:space="preserve"> various sources</w:t>
      </w:r>
      <w:r w:rsidR="00FE1ACE" w:rsidRPr="00DD1C1C">
        <w:rPr>
          <w:rFonts w:ascii="Palatino Linotype" w:hAnsi="Palatino Linotype"/>
          <w:sz w:val="18"/>
          <w:szCs w:val="18"/>
        </w:rPr>
        <w:t>.</w:t>
      </w:r>
      <w:r w:rsidR="003046D9" w:rsidRPr="00DD1C1C">
        <w:rPr>
          <w:rFonts w:ascii="Palatino Linotype" w:hAnsi="Palatino Linotype"/>
          <w:sz w:val="18"/>
          <w:szCs w:val="18"/>
        </w:rPr>
        <w:t>)</w:t>
      </w:r>
      <w:r w:rsidR="00FE1ACE" w:rsidRPr="00DD1C1C">
        <w:rPr>
          <w:rFonts w:ascii="Palatino Linotype" w:hAnsi="Palatino Linotype"/>
          <w:sz w:val="18"/>
          <w:szCs w:val="18"/>
        </w:rPr>
        <w:t xml:space="preserve"> 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63"/>
        <w:gridCol w:w="1807"/>
        <w:gridCol w:w="1807"/>
        <w:gridCol w:w="1483"/>
        <w:gridCol w:w="1530"/>
        <w:gridCol w:w="1350"/>
      </w:tblGrid>
      <w:tr w:rsidR="007A33EC" w:rsidRPr="002C41CA" w14:paraId="2FD3E354" w14:textId="77777777" w:rsidTr="00DD1C1C">
        <w:trPr>
          <w:trHeight w:hRule="exact" w:val="389"/>
        </w:trPr>
        <w:tc>
          <w:tcPr>
            <w:tcW w:w="2463" w:type="dxa"/>
            <w:vMerge w:val="restart"/>
            <w:vAlign w:val="center"/>
          </w:tcPr>
          <w:p w14:paraId="4A3B11C0" w14:textId="155EBD4A" w:rsidR="007A33EC" w:rsidRPr="00DD1C1C" w:rsidRDefault="007A33EC" w:rsidP="007A33EC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3614" w:type="dxa"/>
            <w:gridSpan w:val="2"/>
            <w:tcBorders>
              <w:bottom w:val="single" w:sz="4" w:space="0" w:color="auto"/>
            </w:tcBorders>
            <w:vAlign w:val="center"/>
          </w:tcPr>
          <w:p w14:paraId="3B677BE8" w14:textId="67AF3768" w:rsidR="007A33EC" w:rsidRPr="00DD1C1C" w:rsidRDefault="007A33EC" w:rsidP="00021499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Plant-derived oils</w:t>
            </w:r>
          </w:p>
        </w:tc>
        <w:tc>
          <w:tcPr>
            <w:tcW w:w="4363" w:type="dxa"/>
            <w:gridSpan w:val="3"/>
            <w:tcBorders>
              <w:bottom w:val="single" w:sz="4" w:space="0" w:color="auto"/>
            </w:tcBorders>
            <w:vAlign w:val="center"/>
          </w:tcPr>
          <w:p w14:paraId="54893C1C" w14:textId="12E70BDB" w:rsidR="007A33EC" w:rsidRPr="00DD1C1C" w:rsidRDefault="007A33EC" w:rsidP="00021499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Animal fats</w:t>
            </w:r>
          </w:p>
        </w:tc>
      </w:tr>
      <w:tr w:rsidR="007A33EC" w:rsidRPr="002C41CA" w14:paraId="7E483AC4" w14:textId="77777777" w:rsidTr="00DD1C1C">
        <w:trPr>
          <w:trHeight w:hRule="exact" w:val="389"/>
        </w:trPr>
        <w:tc>
          <w:tcPr>
            <w:tcW w:w="246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E7F57DD" w14:textId="68B8D20A" w:rsidR="007A33EC" w:rsidRPr="00DD1C1C" w:rsidRDefault="007A33EC" w:rsidP="007A33EC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  <w:hideMark/>
          </w:tcPr>
          <w:p w14:paraId="565A9406" w14:textId="77777777" w:rsidR="007A33EC" w:rsidRPr="00DD1C1C" w:rsidRDefault="007A33EC" w:rsidP="00021499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Coconut oil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  <w:hideMark/>
          </w:tcPr>
          <w:p w14:paraId="6BED82BE" w14:textId="77777777" w:rsidR="007A33EC" w:rsidRPr="00DD1C1C" w:rsidRDefault="007A33EC" w:rsidP="00021499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Palm oil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  <w:hideMark/>
          </w:tcPr>
          <w:p w14:paraId="6A1AB86D" w14:textId="77777777" w:rsidR="007A33EC" w:rsidRPr="00DD1C1C" w:rsidRDefault="007A33EC" w:rsidP="00021499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Lard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  <w:hideMark/>
          </w:tcPr>
          <w:p w14:paraId="1E22117B" w14:textId="77777777" w:rsidR="007A33EC" w:rsidRPr="00DD1C1C" w:rsidRDefault="007A33EC" w:rsidP="00021499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Tallow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  <w:hideMark/>
          </w:tcPr>
          <w:p w14:paraId="1DE8DBF6" w14:textId="77777777" w:rsidR="007A33EC" w:rsidRPr="00DD1C1C" w:rsidRDefault="007A33EC" w:rsidP="00021499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Butter</w:t>
            </w:r>
          </w:p>
        </w:tc>
      </w:tr>
      <w:tr w:rsidR="001F0B5C" w:rsidRPr="002C41CA" w14:paraId="0D441A2D" w14:textId="77777777" w:rsidTr="00DD1C1C">
        <w:trPr>
          <w:trHeight w:hRule="exact" w:val="389"/>
        </w:trPr>
        <w:tc>
          <w:tcPr>
            <w:tcW w:w="10440" w:type="dxa"/>
            <w:gridSpan w:val="6"/>
            <w:vAlign w:val="center"/>
          </w:tcPr>
          <w:p w14:paraId="5E480DBE" w14:textId="52711547" w:rsidR="001F0B5C" w:rsidRPr="00DD1C1C" w:rsidRDefault="001F0B5C" w:rsidP="00021499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Fatty acid </w:t>
            </w:r>
            <w:r w:rsidR="00764DA4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content, g/100g</w:t>
            </w:r>
          </w:p>
        </w:tc>
      </w:tr>
      <w:tr w:rsidR="00E1042A" w:rsidRPr="002C41CA" w14:paraId="47ACAE0D" w14:textId="77777777" w:rsidTr="00DD1C1C">
        <w:trPr>
          <w:trHeight w:hRule="exact" w:val="389"/>
        </w:trPr>
        <w:tc>
          <w:tcPr>
            <w:tcW w:w="2463" w:type="dxa"/>
            <w:vAlign w:val="center"/>
          </w:tcPr>
          <w:p w14:paraId="08ACF642" w14:textId="48820DB6" w:rsidR="00E1042A" w:rsidRPr="00DD1C1C" w:rsidRDefault="00E1042A" w:rsidP="003238B3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C6:0, caproic</w:t>
            </w:r>
          </w:p>
        </w:tc>
        <w:tc>
          <w:tcPr>
            <w:tcW w:w="1807" w:type="dxa"/>
            <w:vAlign w:val="center"/>
          </w:tcPr>
          <w:p w14:paraId="6E700782" w14:textId="6FB78F23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0.4</w:t>
            </w:r>
            <w:r w:rsidR="007E0A7B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  <w:tc>
          <w:tcPr>
            <w:tcW w:w="1807" w:type="dxa"/>
            <w:vAlign w:val="center"/>
          </w:tcPr>
          <w:p w14:paraId="5ADCF5A5" w14:textId="13DC8BB9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0.5</w:t>
            </w:r>
          </w:p>
        </w:tc>
        <w:tc>
          <w:tcPr>
            <w:tcW w:w="1483" w:type="dxa"/>
            <w:vAlign w:val="center"/>
          </w:tcPr>
          <w:p w14:paraId="69C898AD" w14:textId="0EE905E9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0.0</w:t>
            </w:r>
          </w:p>
        </w:tc>
        <w:tc>
          <w:tcPr>
            <w:tcW w:w="1530" w:type="dxa"/>
            <w:vAlign w:val="center"/>
          </w:tcPr>
          <w:p w14:paraId="4F96079A" w14:textId="1C947CFC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0.0</w:t>
            </w:r>
          </w:p>
        </w:tc>
        <w:tc>
          <w:tcPr>
            <w:tcW w:w="1350" w:type="dxa"/>
            <w:vAlign w:val="center"/>
          </w:tcPr>
          <w:p w14:paraId="49AE8838" w14:textId="078B9203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1.44</w:t>
            </w:r>
          </w:p>
        </w:tc>
      </w:tr>
      <w:tr w:rsidR="00E1042A" w:rsidRPr="002C41CA" w14:paraId="6A503D2F" w14:textId="77777777" w:rsidTr="00DD1C1C">
        <w:trPr>
          <w:trHeight w:hRule="exact" w:val="389"/>
        </w:trPr>
        <w:tc>
          <w:tcPr>
            <w:tcW w:w="2463" w:type="dxa"/>
            <w:vAlign w:val="center"/>
          </w:tcPr>
          <w:p w14:paraId="469DFD2B" w14:textId="598FEE9D" w:rsidR="00E1042A" w:rsidRPr="00DD1C1C" w:rsidRDefault="00E1042A" w:rsidP="003238B3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C8:0</w:t>
            </w:r>
            <w:r w:rsidR="00D8521B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, </w:t>
            </w: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caprylic</w:t>
            </w:r>
          </w:p>
        </w:tc>
        <w:tc>
          <w:tcPr>
            <w:tcW w:w="1807" w:type="dxa"/>
            <w:vAlign w:val="center"/>
          </w:tcPr>
          <w:p w14:paraId="3606294C" w14:textId="489694B8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6.8</w:t>
            </w:r>
          </w:p>
        </w:tc>
        <w:tc>
          <w:tcPr>
            <w:tcW w:w="1807" w:type="dxa"/>
            <w:vAlign w:val="center"/>
          </w:tcPr>
          <w:p w14:paraId="256B17CF" w14:textId="53D42345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0.0</w:t>
            </w:r>
          </w:p>
        </w:tc>
        <w:tc>
          <w:tcPr>
            <w:tcW w:w="1483" w:type="dxa"/>
            <w:vAlign w:val="center"/>
          </w:tcPr>
          <w:p w14:paraId="187D39D1" w14:textId="0C59F266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0.0</w:t>
            </w:r>
          </w:p>
        </w:tc>
        <w:tc>
          <w:tcPr>
            <w:tcW w:w="1530" w:type="dxa"/>
            <w:vAlign w:val="center"/>
          </w:tcPr>
          <w:p w14:paraId="171FC3B2" w14:textId="71B4EED8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0.0</w:t>
            </w:r>
          </w:p>
        </w:tc>
        <w:tc>
          <w:tcPr>
            <w:tcW w:w="1350" w:type="dxa"/>
            <w:vAlign w:val="center"/>
          </w:tcPr>
          <w:p w14:paraId="38A3430E" w14:textId="453BD2B9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0.84</w:t>
            </w:r>
          </w:p>
        </w:tc>
      </w:tr>
      <w:tr w:rsidR="00E1042A" w:rsidRPr="002C41CA" w14:paraId="5AB3F5CF" w14:textId="77777777" w:rsidTr="00DD1C1C">
        <w:trPr>
          <w:trHeight w:hRule="exact" w:val="389"/>
        </w:trPr>
        <w:tc>
          <w:tcPr>
            <w:tcW w:w="2463" w:type="dxa"/>
            <w:vAlign w:val="center"/>
          </w:tcPr>
          <w:p w14:paraId="234830C2" w14:textId="1ABB70A1" w:rsidR="00E1042A" w:rsidRPr="00DD1C1C" w:rsidRDefault="00E1042A" w:rsidP="003238B3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C10:0</w:t>
            </w:r>
            <w:r w:rsidR="00D8521B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, </w:t>
            </w: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capric</w:t>
            </w:r>
          </w:p>
        </w:tc>
        <w:tc>
          <w:tcPr>
            <w:tcW w:w="1807" w:type="dxa"/>
            <w:vAlign w:val="center"/>
          </w:tcPr>
          <w:p w14:paraId="23833F8C" w14:textId="3301A2A3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5.4</w:t>
            </w:r>
          </w:p>
        </w:tc>
        <w:tc>
          <w:tcPr>
            <w:tcW w:w="1807" w:type="dxa"/>
            <w:vAlign w:val="center"/>
          </w:tcPr>
          <w:p w14:paraId="7D2992C1" w14:textId="60C90794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0.0</w:t>
            </w:r>
          </w:p>
        </w:tc>
        <w:tc>
          <w:tcPr>
            <w:tcW w:w="1483" w:type="dxa"/>
            <w:vAlign w:val="center"/>
          </w:tcPr>
          <w:p w14:paraId="3EEFFF75" w14:textId="1B3493BB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0.1</w:t>
            </w:r>
          </w:p>
        </w:tc>
        <w:tc>
          <w:tcPr>
            <w:tcW w:w="1530" w:type="dxa"/>
            <w:vAlign w:val="center"/>
          </w:tcPr>
          <w:p w14:paraId="18280366" w14:textId="4B14340A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0.0</w:t>
            </w:r>
          </w:p>
        </w:tc>
        <w:tc>
          <w:tcPr>
            <w:tcW w:w="1350" w:type="dxa"/>
            <w:vAlign w:val="center"/>
          </w:tcPr>
          <w:p w14:paraId="52171601" w14:textId="611D4BEE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1.92</w:t>
            </w:r>
          </w:p>
        </w:tc>
      </w:tr>
      <w:tr w:rsidR="00E1042A" w:rsidRPr="002C41CA" w14:paraId="6D502C06" w14:textId="77777777" w:rsidTr="00DD1C1C">
        <w:trPr>
          <w:trHeight w:hRule="exact" w:val="389"/>
        </w:trPr>
        <w:tc>
          <w:tcPr>
            <w:tcW w:w="2463" w:type="dxa"/>
            <w:vAlign w:val="center"/>
          </w:tcPr>
          <w:p w14:paraId="44E9F10C" w14:textId="3F1ED83A" w:rsidR="00E1042A" w:rsidRPr="00DD1C1C" w:rsidRDefault="00E1042A" w:rsidP="003238B3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C12:0</w:t>
            </w:r>
            <w:r w:rsidR="00D8521B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, </w:t>
            </w: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lauric</w:t>
            </w:r>
          </w:p>
        </w:tc>
        <w:tc>
          <w:tcPr>
            <w:tcW w:w="1807" w:type="dxa"/>
            <w:vAlign w:val="center"/>
          </w:tcPr>
          <w:p w14:paraId="5DD133F2" w14:textId="0988FAC8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41.8</w:t>
            </w:r>
          </w:p>
        </w:tc>
        <w:tc>
          <w:tcPr>
            <w:tcW w:w="1807" w:type="dxa"/>
            <w:vAlign w:val="center"/>
          </w:tcPr>
          <w:p w14:paraId="3DC2BBE8" w14:textId="67096E18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0.1</w:t>
            </w:r>
          </w:p>
        </w:tc>
        <w:tc>
          <w:tcPr>
            <w:tcW w:w="1483" w:type="dxa"/>
            <w:vAlign w:val="center"/>
          </w:tcPr>
          <w:p w14:paraId="72AF89D2" w14:textId="6FD18BB2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0.2</w:t>
            </w:r>
          </w:p>
        </w:tc>
        <w:tc>
          <w:tcPr>
            <w:tcW w:w="1530" w:type="dxa"/>
            <w:vAlign w:val="center"/>
          </w:tcPr>
          <w:p w14:paraId="534735A0" w14:textId="54E92AF7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0.9</w:t>
            </w:r>
          </w:p>
        </w:tc>
        <w:tc>
          <w:tcPr>
            <w:tcW w:w="1350" w:type="dxa"/>
            <w:vAlign w:val="center"/>
          </w:tcPr>
          <w:p w14:paraId="6DE10A2C" w14:textId="102236F3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2.2</w:t>
            </w:r>
          </w:p>
        </w:tc>
      </w:tr>
      <w:tr w:rsidR="00E1042A" w:rsidRPr="002C41CA" w14:paraId="2F76DC18" w14:textId="77777777" w:rsidTr="00DD1C1C">
        <w:trPr>
          <w:trHeight w:hRule="exact" w:val="389"/>
        </w:trPr>
        <w:tc>
          <w:tcPr>
            <w:tcW w:w="2463" w:type="dxa"/>
            <w:vAlign w:val="center"/>
          </w:tcPr>
          <w:p w14:paraId="37B5CDB4" w14:textId="18DA1AE3" w:rsidR="00E1042A" w:rsidRPr="00DD1C1C" w:rsidRDefault="00E1042A" w:rsidP="003238B3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C14:0</w:t>
            </w:r>
            <w:r w:rsidR="00D8521B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, </w:t>
            </w: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myristic</w:t>
            </w:r>
          </w:p>
        </w:tc>
        <w:tc>
          <w:tcPr>
            <w:tcW w:w="1807" w:type="dxa"/>
            <w:vAlign w:val="center"/>
          </w:tcPr>
          <w:p w14:paraId="54A13F0B" w14:textId="7FAD2E64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16.7</w:t>
            </w:r>
          </w:p>
        </w:tc>
        <w:tc>
          <w:tcPr>
            <w:tcW w:w="1807" w:type="dxa"/>
            <w:vAlign w:val="center"/>
          </w:tcPr>
          <w:p w14:paraId="48FC5BDE" w14:textId="31D9A8B7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1.0</w:t>
            </w:r>
          </w:p>
        </w:tc>
        <w:tc>
          <w:tcPr>
            <w:tcW w:w="1483" w:type="dxa"/>
            <w:vAlign w:val="center"/>
          </w:tcPr>
          <w:p w14:paraId="145D2972" w14:textId="062A4E06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1.3</w:t>
            </w:r>
          </w:p>
        </w:tc>
        <w:tc>
          <w:tcPr>
            <w:tcW w:w="1530" w:type="dxa"/>
            <w:vAlign w:val="center"/>
          </w:tcPr>
          <w:p w14:paraId="550BAD11" w14:textId="1FFFF1FB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3.7</w:t>
            </w:r>
          </w:p>
        </w:tc>
        <w:tc>
          <w:tcPr>
            <w:tcW w:w="1350" w:type="dxa"/>
            <w:vAlign w:val="center"/>
          </w:tcPr>
          <w:p w14:paraId="3BFB36EC" w14:textId="38F2EDB2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7.15</w:t>
            </w:r>
          </w:p>
        </w:tc>
      </w:tr>
      <w:tr w:rsidR="00E1042A" w:rsidRPr="002C41CA" w14:paraId="416BD3C6" w14:textId="77777777" w:rsidTr="00DD1C1C">
        <w:trPr>
          <w:trHeight w:hRule="exact" w:val="389"/>
        </w:trPr>
        <w:tc>
          <w:tcPr>
            <w:tcW w:w="2463" w:type="dxa"/>
            <w:vAlign w:val="center"/>
          </w:tcPr>
          <w:p w14:paraId="7DE64ED2" w14:textId="0157E372" w:rsidR="00E1042A" w:rsidRPr="00DD1C1C" w:rsidRDefault="00E1042A" w:rsidP="003238B3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C16:0</w:t>
            </w:r>
            <w:r w:rsidR="00D8521B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, </w:t>
            </w: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palmitic</w:t>
            </w:r>
          </w:p>
        </w:tc>
        <w:tc>
          <w:tcPr>
            <w:tcW w:w="1807" w:type="dxa"/>
            <w:vAlign w:val="center"/>
          </w:tcPr>
          <w:p w14:paraId="076AC0C9" w14:textId="371DE02B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8.64</w:t>
            </w:r>
          </w:p>
        </w:tc>
        <w:tc>
          <w:tcPr>
            <w:tcW w:w="1807" w:type="dxa"/>
            <w:vAlign w:val="center"/>
          </w:tcPr>
          <w:p w14:paraId="2572811D" w14:textId="102DA34C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43.5</w:t>
            </w:r>
          </w:p>
        </w:tc>
        <w:tc>
          <w:tcPr>
            <w:tcW w:w="1483" w:type="dxa"/>
            <w:vAlign w:val="center"/>
          </w:tcPr>
          <w:p w14:paraId="34D001D0" w14:textId="41DE4DA3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23.8</w:t>
            </w:r>
          </w:p>
        </w:tc>
        <w:tc>
          <w:tcPr>
            <w:tcW w:w="1530" w:type="dxa"/>
            <w:vAlign w:val="center"/>
          </w:tcPr>
          <w:p w14:paraId="2AE25EF5" w14:textId="08553472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24.9</w:t>
            </w:r>
          </w:p>
        </w:tc>
        <w:tc>
          <w:tcPr>
            <w:tcW w:w="1350" w:type="dxa"/>
            <w:vAlign w:val="center"/>
          </w:tcPr>
          <w:p w14:paraId="4961A10A" w14:textId="47C99ECE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21.2</w:t>
            </w:r>
          </w:p>
        </w:tc>
      </w:tr>
      <w:tr w:rsidR="00E1042A" w:rsidRPr="002C41CA" w14:paraId="0E43CB2E" w14:textId="77777777" w:rsidTr="00DD1C1C">
        <w:trPr>
          <w:trHeight w:hRule="exact" w:val="389"/>
        </w:trPr>
        <w:tc>
          <w:tcPr>
            <w:tcW w:w="2463" w:type="dxa"/>
            <w:vAlign w:val="center"/>
          </w:tcPr>
          <w:p w14:paraId="60A83648" w14:textId="22C25E7E" w:rsidR="00E1042A" w:rsidRPr="00DD1C1C" w:rsidRDefault="00E1042A" w:rsidP="003238B3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C18:0</w:t>
            </w:r>
            <w:r w:rsidR="00D8521B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, </w:t>
            </w: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stearic</w:t>
            </w:r>
          </w:p>
        </w:tc>
        <w:tc>
          <w:tcPr>
            <w:tcW w:w="1807" w:type="dxa"/>
            <w:vAlign w:val="center"/>
          </w:tcPr>
          <w:p w14:paraId="303762D1" w14:textId="0E37DC73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2.52</w:t>
            </w:r>
          </w:p>
        </w:tc>
        <w:tc>
          <w:tcPr>
            <w:tcW w:w="1807" w:type="dxa"/>
            <w:vAlign w:val="center"/>
          </w:tcPr>
          <w:p w14:paraId="57D6ACAA" w14:textId="1010D5F0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4.3</w:t>
            </w:r>
          </w:p>
        </w:tc>
        <w:tc>
          <w:tcPr>
            <w:tcW w:w="1483" w:type="dxa"/>
            <w:vAlign w:val="center"/>
          </w:tcPr>
          <w:p w14:paraId="61AACD33" w14:textId="70EC0777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13.5</w:t>
            </w:r>
          </w:p>
        </w:tc>
        <w:tc>
          <w:tcPr>
            <w:tcW w:w="1530" w:type="dxa"/>
            <w:vAlign w:val="center"/>
          </w:tcPr>
          <w:p w14:paraId="708EF664" w14:textId="29E751AC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18.9</w:t>
            </w:r>
          </w:p>
        </w:tc>
        <w:tc>
          <w:tcPr>
            <w:tcW w:w="1350" w:type="dxa"/>
            <w:vAlign w:val="center"/>
          </w:tcPr>
          <w:p w14:paraId="378F4481" w14:textId="2A350DA0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7.42</w:t>
            </w:r>
          </w:p>
        </w:tc>
      </w:tr>
      <w:tr w:rsidR="00E1042A" w:rsidRPr="002C41CA" w14:paraId="5A0B4429" w14:textId="77777777" w:rsidTr="00DD1C1C">
        <w:trPr>
          <w:trHeight w:hRule="exact" w:val="389"/>
        </w:trPr>
        <w:tc>
          <w:tcPr>
            <w:tcW w:w="2463" w:type="dxa"/>
            <w:vAlign w:val="center"/>
          </w:tcPr>
          <w:p w14:paraId="54E02B89" w14:textId="7269332D" w:rsidR="00E1042A" w:rsidRPr="00DD1C1C" w:rsidRDefault="00E1042A" w:rsidP="003238B3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C18:1</w:t>
            </w:r>
            <w:r w:rsidR="00D8521B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, </w:t>
            </w: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oleic</w:t>
            </w:r>
          </w:p>
        </w:tc>
        <w:tc>
          <w:tcPr>
            <w:tcW w:w="1807" w:type="dxa"/>
            <w:vAlign w:val="center"/>
          </w:tcPr>
          <w:p w14:paraId="36F2FB37" w14:textId="6D58F19A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6.25</w:t>
            </w:r>
          </w:p>
        </w:tc>
        <w:tc>
          <w:tcPr>
            <w:tcW w:w="1807" w:type="dxa"/>
            <w:vAlign w:val="center"/>
          </w:tcPr>
          <w:p w14:paraId="229C3BA8" w14:textId="08399709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36.6</w:t>
            </w:r>
          </w:p>
        </w:tc>
        <w:tc>
          <w:tcPr>
            <w:tcW w:w="1483" w:type="dxa"/>
            <w:vAlign w:val="center"/>
          </w:tcPr>
          <w:p w14:paraId="5EA96B3B" w14:textId="2463F1F0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41.2</w:t>
            </w:r>
          </w:p>
        </w:tc>
        <w:tc>
          <w:tcPr>
            <w:tcW w:w="1530" w:type="dxa"/>
            <w:vAlign w:val="center"/>
          </w:tcPr>
          <w:p w14:paraId="2483900D" w14:textId="29454A79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36</w:t>
            </w:r>
          </w:p>
        </w:tc>
        <w:tc>
          <w:tcPr>
            <w:tcW w:w="1350" w:type="dxa"/>
            <w:vAlign w:val="center"/>
          </w:tcPr>
          <w:p w14:paraId="6639FF7D" w14:textId="6246C5F8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15</w:t>
            </w:r>
          </w:p>
        </w:tc>
      </w:tr>
      <w:tr w:rsidR="00E1042A" w:rsidRPr="002C41CA" w14:paraId="31F6D14D" w14:textId="77777777" w:rsidTr="00DD1C1C">
        <w:trPr>
          <w:trHeight w:hRule="exact" w:val="389"/>
        </w:trPr>
        <w:tc>
          <w:tcPr>
            <w:tcW w:w="2463" w:type="dxa"/>
            <w:vAlign w:val="center"/>
          </w:tcPr>
          <w:p w14:paraId="7D42CC5B" w14:textId="073D398A" w:rsidR="00E1042A" w:rsidRPr="00DD1C1C" w:rsidRDefault="00E1042A" w:rsidP="003238B3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C18:2</w:t>
            </w:r>
            <w:r w:rsidR="00D8521B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, </w:t>
            </w: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linoleic</w:t>
            </w:r>
          </w:p>
        </w:tc>
        <w:tc>
          <w:tcPr>
            <w:tcW w:w="1807" w:type="dxa"/>
            <w:vAlign w:val="center"/>
          </w:tcPr>
          <w:p w14:paraId="06A6BBBE" w14:textId="4CF4C4D0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3.36</w:t>
            </w:r>
          </w:p>
        </w:tc>
        <w:tc>
          <w:tcPr>
            <w:tcW w:w="1807" w:type="dxa"/>
            <w:vAlign w:val="center"/>
          </w:tcPr>
          <w:p w14:paraId="457D2517" w14:textId="652F501A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9.1</w:t>
            </w:r>
          </w:p>
        </w:tc>
        <w:tc>
          <w:tcPr>
            <w:tcW w:w="1483" w:type="dxa"/>
            <w:vAlign w:val="center"/>
          </w:tcPr>
          <w:p w14:paraId="6D04BE9E" w14:textId="6320EEE7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10.2</w:t>
            </w:r>
          </w:p>
        </w:tc>
        <w:tc>
          <w:tcPr>
            <w:tcW w:w="1530" w:type="dxa"/>
            <w:vAlign w:val="center"/>
          </w:tcPr>
          <w:p w14:paraId="6A119660" w14:textId="0179FE9F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3.1</w:t>
            </w:r>
          </w:p>
        </w:tc>
        <w:tc>
          <w:tcPr>
            <w:tcW w:w="1350" w:type="dxa"/>
            <w:vAlign w:val="center"/>
          </w:tcPr>
          <w:p w14:paraId="3FC2DF21" w14:textId="4029C00D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4.50</w:t>
            </w:r>
          </w:p>
        </w:tc>
      </w:tr>
      <w:tr w:rsidR="00E1042A" w:rsidRPr="002C41CA" w14:paraId="199A955B" w14:textId="77777777" w:rsidTr="00DD1C1C">
        <w:trPr>
          <w:trHeight w:hRule="exact" w:val="389"/>
        </w:trPr>
        <w:tc>
          <w:tcPr>
            <w:tcW w:w="2463" w:type="dxa"/>
            <w:vAlign w:val="center"/>
          </w:tcPr>
          <w:p w14:paraId="64C8486B" w14:textId="526B3CDB" w:rsidR="00E1042A" w:rsidRPr="00DD1C1C" w:rsidRDefault="00E1042A" w:rsidP="003238B3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C18:3</w:t>
            </w:r>
            <w:r w:rsidR="00D8521B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, </w:t>
            </w: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linolenic</w:t>
            </w:r>
          </w:p>
        </w:tc>
        <w:tc>
          <w:tcPr>
            <w:tcW w:w="1807" w:type="dxa"/>
            <w:vAlign w:val="center"/>
          </w:tcPr>
          <w:p w14:paraId="728F1BB7" w14:textId="1446F97B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0.04</w:t>
            </w:r>
          </w:p>
        </w:tc>
        <w:tc>
          <w:tcPr>
            <w:tcW w:w="1807" w:type="dxa"/>
            <w:vAlign w:val="center"/>
          </w:tcPr>
          <w:p w14:paraId="77273C6E" w14:textId="01DD8E52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0.2</w:t>
            </w:r>
          </w:p>
        </w:tc>
        <w:tc>
          <w:tcPr>
            <w:tcW w:w="1483" w:type="dxa"/>
            <w:vAlign w:val="center"/>
          </w:tcPr>
          <w:p w14:paraId="37463907" w14:textId="2BA9A0D4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1.0</w:t>
            </w:r>
          </w:p>
        </w:tc>
        <w:tc>
          <w:tcPr>
            <w:tcW w:w="1530" w:type="dxa"/>
            <w:vAlign w:val="center"/>
          </w:tcPr>
          <w:p w14:paraId="1C069F22" w14:textId="258BB1F9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0.6</w:t>
            </w:r>
          </w:p>
        </w:tc>
        <w:tc>
          <w:tcPr>
            <w:tcW w:w="1350" w:type="dxa"/>
            <w:vAlign w:val="center"/>
          </w:tcPr>
          <w:p w14:paraId="451389CF" w14:textId="7B375679" w:rsidR="00E1042A" w:rsidRPr="00DD1C1C" w:rsidRDefault="00E1042A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0.639</w:t>
            </w:r>
          </w:p>
        </w:tc>
      </w:tr>
      <w:tr w:rsidR="008F6AC4" w:rsidRPr="002C41CA" w14:paraId="533E534C" w14:textId="77777777" w:rsidTr="00DD1C1C">
        <w:trPr>
          <w:trHeight w:hRule="exact" w:val="389"/>
        </w:trPr>
        <w:tc>
          <w:tcPr>
            <w:tcW w:w="2463" w:type="dxa"/>
            <w:vAlign w:val="center"/>
          </w:tcPr>
          <w:p w14:paraId="5A607EA7" w14:textId="768D9773" w:rsidR="008F6AC4" w:rsidRPr="00DD1C1C" w:rsidRDefault="008F6AC4" w:rsidP="008F6AC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Total MCFA</w:t>
            </w:r>
          </w:p>
        </w:tc>
        <w:tc>
          <w:tcPr>
            <w:tcW w:w="1807" w:type="dxa"/>
            <w:vAlign w:val="center"/>
          </w:tcPr>
          <w:p w14:paraId="42E7A828" w14:textId="65C15A86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54.5</w:t>
            </w:r>
          </w:p>
        </w:tc>
        <w:tc>
          <w:tcPr>
            <w:tcW w:w="1807" w:type="dxa"/>
            <w:vAlign w:val="center"/>
          </w:tcPr>
          <w:p w14:paraId="4C2AD80E" w14:textId="45BAACCF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0.6</w:t>
            </w:r>
          </w:p>
        </w:tc>
        <w:tc>
          <w:tcPr>
            <w:tcW w:w="1483" w:type="dxa"/>
            <w:vAlign w:val="center"/>
          </w:tcPr>
          <w:p w14:paraId="22AF5C8A" w14:textId="25844AC8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0.3</w:t>
            </w:r>
          </w:p>
        </w:tc>
        <w:tc>
          <w:tcPr>
            <w:tcW w:w="1530" w:type="dxa"/>
            <w:vAlign w:val="center"/>
          </w:tcPr>
          <w:p w14:paraId="3C7DF09A" w14:textId="5F359C5E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0.9</w:t>
            </w:r>
          </w:p>
        </w:tc>
        <w:tc>
          <w:tcPr>
            <w:tcW w:w="1350" w:type="dxa"/>
            <w:vAlign w:val="center"/>
          </w:tcPr>
          <w:p w14:paraId="46840EF3" w14:textId="26BCA774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6.4</w:t>
            </w:r>
          </w:p>
        </w:tc>
      </w:tr>
      <w:tr w:rsidR="008F6AC4" w:rsidRPr="002C41CA" w14:paraId="6FC5ED4D" w14:textId="77777777" w:rsidTr="00DD1C1C">
        <w:trPr>
          <w:trHeight w:hRule="exact" w:val="389"/>
        </w:trPr>
        <w:tc>
          <w:tcPr>
            <w:tcW w:w="2463" w:type="dxa"/>
            <w:vAlign w:val="center"/>
          </w:tcPr>
          <w:p w14:paraId="2F235AC9" w14:textId="2C381AC8" w:rsidR="008F6AC4" w:rsidRPr="00DD1C1C" w:rsidRDefault="008F6AC4" w:rsidP="008F6AC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Total LCFA</w:t>
            </w:r>
          </w:p>
        </w:tc>
        <w:tc>
          <w:tcPr>
            <w:tcW w:w="1807" w:type="dxa"/>
            <w:vAlign w:val="center"/>
          </w:tcPr>
          <w:p w14:paraId="7A5E96ED" w14:textId="7FF4CD58" w:rsidR="008F6AC4" w:rsidRPr="00DD1C1C" w:rsidRDefault="005301FF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27</w:t>
            </w:r>
            <w:r w:rsidR="003E7922" w:rsidRPr="00DD1C1C">
              <w:rPr>
                <w:rFonts w:ascii="Palatino Linotype" w:hAnsi="Palatino Linotype"/>
                <w:sz w:val="20"/>
                <w:szCs w:val="20"/>
              </w:rPr>
              <w:t>.9</w:t>
            </w:r>
          </w:p>
        </w:tc>
        <w:tc>
          <w:tcPr>
            <w:tcW w:w="1807" w:type="dxa"/>
            <w:vAlign w:val="center"/>
          </w:tcPr>
          <w:p w14:paraId="19D0EDFF" w14:textId="5A4CC6A7" w:rsidR="008F6AC4" w:rsidRPr="00DD1C1C" w:rsidRDefault="0052186F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48.8</w:t>
            </w:r>
          </w:p>
        </w:tc>
        <w:tc>
          <w:tcPr>
            <w:tcW w:w="1483" w:type="dxa"/>
            <w:vAlign w:val="center"/>
          </w:tcPr>
          <w:p w14:paraId="7F4718B0" w14:textId="51D0D6C8" w:rsidR="008F6AC4" w:rsidRPr="00DD1C1C" w:rsidRDefault="0009257C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38.6</w:t>
            </w:r>
          </w:p>
        </w:tc>
        <w:tc>
          <w:tcPr>
            <w:tcW w:w="1530" w:type="dxa"/>
            <w:vAlign w:val="center"/>
          </w:tcPr>
          <w:p w14:paraId="658B1BF6" w14:textId="1FBF732C" w:rsidR="008F6AC4" w:rsidRPr="00DD1C1C" w:rsidRDefault="0094027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47.5</w:t>
            </w:r>
          </w:p>
        </w:tc>
        <w:tc>
          <w:tcPr>
            <w:tcW w:w="1350" w:type="dxa"/>
            <w:vAlign w:val="center"/>
          </w:tcPr>
          <w:p w14:paraId="24BC884E" w14:textId="6A77B24D" w:rsidR="008F6AC4" w:rsidRPr="00DD1C1C" w:rsidRDefault="005D3368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35.8</w:t>
            </w:r>
          </w:p>
        </w:tc>
      </w:tr>
      <w:tr w:rsidR="008F6AC4" w:rsidRPr="002C41CA" w14:paraId="687227BF" w14:textId="77777777" w:rsidTr="00DD1C1C">
        <w:trPr>
          <w:trHeight w:hRule="exact" w:val="389"/>
        </w:trPr>
        <w:tc>
          <w:tcPr>
            <w:tcW w:w="2463" w:type="dxa"/>
            <w:vAlign w:val="center"/>
            <w:hideMark/>
          </w:tcPr>
          <w:p w14:paraId="35477ADE" w14:textId="30BFEDEE" w:rsidR="008F6AC4" w:rsidRPr="00DD1C1C" w:rsidRDefault="008F6AC4" w:rsidP="008F6AC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Total SFA</w:t>
            </w:r>
          </w:p>
        </w:tc>
        <w:tc>
          <w:tcPr>
            <w:tcW w:w="1807" w:type="dxa"/>
            <w:vAlign w:val="center"/>
            <w:hideMark/>
          </w:tcPr>
          <w:p w14:paraId="124153A5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82.3</w:t>
            </w:r>
          </w:p>
        </w:tc>
        <w:tc>
          <w:tcPr>
            <w:tcW w:w="1807" w:type="dxa"/>
            <w:vAlign w:val="center"/>
            <w:hideMark/>
          </w:tcPr>
          <w:p w14:paraId="6F328EDF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49.4</w:t>
            </w:r>
          </w:p>
        </w:tc>
        <w:tc>
          <w:tcPr>
            <w:tcW w:w="1483" w:type="dxa"/>
            <w:vAlign w:val="center"/>
            <w:hideMark/>
          </w:tcPr>
          <w:p w14:paraId="14134513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38.9</w:t>
            </w:r>
          </w:p>
        </w:tc>
        <w:tc>
          <w:tcPr>
            <w:tcW w:w="1530" w:type="dxa"/>
            <w:vAlign w:val="center"/>
            <w:hideMark/>
          </w:tcPr>
          <w:p w14:paraId="424D9E6D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48.4</w:t>
            </w:r>
          </w:p>
        </w:tc>
        <w:tc>
          <w:tcPr>
            <w:tcW w:w="1350" w:type="dxa"/>
            <w:vAlign w:val="center"/>
            <w:hideMark/>
          </w:tcPr>
          <w:p w14:paraId="35C47956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42.2</w:t>
            </w:r>
          </w:p>
        </w:tc>
      </w:tr>
      <w:tr w:rsidR="000335A2" w:rsidRPr="002C41CA" w14:paraId="196C1951" w14:textId="77777777" w:rsidTr="00DD1C1C">
        <w:trPr>
          <w:trHeight w:hRule="exact" w:val="389"/>
        </w:trPr>
        <w:tc>
          <w:tcPr>
            <w:tcW w:w="2463" w:type="dxa"/>
            <w:vAlign w:val="center"/>
          </w:tcPr>
          <w:p w14:paraId="0D34296D" w14:textId="130BC46D" w:rsidR="000335A2" w:rsidRPr="00DD1C1C" w:rsidRDefault="000335A2" w:rsidP="008F6AC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Total Fat</w:t>
            </w:r>
            <w:r w:rsidR="006C5636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ty Acids</w:t>
            </w:r>
          </w:p>
        </w:tc>
        <w:tc>
          <w:tcPr>
            <w:tcW w:w="1807" w:type="dxa"/>
            <w:vAlign w:val="center"/>
          </w:tcPr>
          <w:p w14:paraId="2525EE4D" w14:textId="3D8490DE" w:rsidR="000335A2" w:rsidRPr="00DD1C1C" w:rsidRDefault="006C5636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90.5</w:t>
            </w:r>
          </w:p>
        </w:tc>
        <w:tc>
          <w:tcPr>
            <w:tcW w:w="1807" w:type="dxa"/>
            <w:vAlign w:val="center"/>
          </w:tcPr>
          <w:p w14:paraId="3B33C030" w14:textId="3DDD1B66" w:rsidR="000335A2" w:rsidRPr="00DD1C1C" w:rsidRDefault="006C5636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95.6</w:t>
            </w:r>
          </w:p>
        </w:tc>
        <w:tc>
          <w:tcPr>
            <w:tcW w:w="1483" w:type="dxa"/>
            <w:vAlign w:val="center"/>
          </w:tcPr>
          <w:p w14:paraId="4B60BE77" w14:textId="019B3A98" w:rsidR="000335A2" w:rsidRPr="00DD1C1C" w:rsidRDefault="006C5636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95.5</w:t>
            </w:r>
          </w:p>
        </w:tc>
        <w:tc>
          <w:tcPr>
            <w:tcW w:w="1530" w:type="dxa"/>
            <w:vAlign w:val="center"/>
          </w:tcPr>
          <w:p w14:paraId="5977AA94" w14:textId="0BDBD408" w:rsidR="000335A2" w:rsidRPr="00DD1C1C" w:rsidRDefault="006C5636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95.6</w:t>
            </w:r>
          </w:p>
        </w:tc>
        <w:tc>
          <w:tcPr>
            <w:tcW w:w="1350" w:type="dxa"/>
            <w:vAlign w:val="center"/>
          </w:tcPr>
          <w:p w14:paraId="5ED7D751" w14:textId="07EC1777" w:rsidR="000335A2" w:rsidRPr="00DD1C1C" w:rsidRDefault="006C5636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75.4</w:t>
            </w:r>
          </w:p>
        </w:tc>
      </w:tr>
      <w:tr w:rsidR="008F6AC4" w:rsidRPr="002C41CA" w14:paraId="2A4897E1" w14:textId="77777777" w:rsidTr="00DD1C1C">
        <w:trPr>
          <w:trHeight w:hRule="exact" w:val="389"/>
        </w:trPr>
        <w:tc>
          <w:tcPr>
            <w:tcW w:w="10440" w:type="dxa"/>
            <w:gridSpan w:val="6"/>
            <w:vAlign w:val="center"/>
          </w:tcPr>
          <w:p w14:paraId="7484EB6D" w14:textId="7B065432" w:rsidR="008F6AC4" w:rsidRPr="00DD1C1C" w:rsidRDefault="008F6AC4" w:rsidP="00021499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Other parameters</w:t>
            </w:r>
          </w:p>
        </w:tc>
      </w:tr>
      <w:tr w:rsidR="008F6AC4" w:rsidRPr="002C41CA" w14:paraId="46BC6D1B" w14:textId="77777777" w:rsidTr="00DD1C1C">
        <w:trPr>
          <w:trHeight w:hRule="exact" w:val="389"/>
        </w:trPr>
        <w:tc>
          <w:tcPr>
            <w:tcW w:w="2463" w:type="dxa"/>
            <w:vAlign w:val="center"/>
          </w:tcPr>
          <w:p w14:paraId="0D9857D3" w14:textId="619DC462" w:rsidR="008F6AC4" w:rsidRPr="00DD1C1C" w:rsidRDefault="008F6AC4" w:rsidP="008F6AC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Cholesterol, mg/100g</w:t>
            </w:r>
          </w:p>
        </w:tc>
        <w:tc>
          <w:tcPr>
            <w:tcW w:w="1807" w:type="dxa"/>
            <w:vAlign w:val="center"/>
          </w:tcPr>
          <w:p w14:paraId="286DE7E3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14:paraId="1B65A5B7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25932471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95</w:t>
            </w:r>
          </w:p>
        </w:tc>
        <w:tc>
          <w:tcPr>
            <w:tcW w:w="1530" w:type="dxa"/>
            <w:vAlign w:val="center"/>
          </w:tcPr>
          <w:p w14:paraId="18E9B70E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109</w:t>
            </w:r>
          </w:p>
        </w:tc>
        <w:tc>
          <w:tcPr>
            <w:tcW w:w="1350" w:type="dxa"/>
            <w:vAlign w:val="center"/>
          </w:tcPr>
          <w:p w14:paraId="592049CF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215</w:t>
            </w:r>
          </w:p>
        </w:tc>
      </w:tr>
      <w:tr w:rsidR="008F6AC4" w:rsidRPr="002C41CA" w14:paraId="63AC3412" w14:textId="77777777" w:rsidTr="00DD1C1C">
        <w:trPr>
          <w:trHeight w:hRule="exact" w:val="389"/>
        </w:trPr>
        <w:tc>
          <w:tcPr>
            <w:tcW w:w="2463" w:type="dxa"/>
            <w:vAlign w:val="center"/>
          </w:tcPr>
          <w:p w14:paraId="45B275A8" w14:textId="77777777" w:rsidR="008F6AC4" w:rsidRPr="00DD1C1C" w:rsidRDefault="008F6AC4" w:rsidP="008F6AC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Iodine value, g I</w:t>
            </w: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  <w:vertAlign w:val="subscript"/>
              </w:rPr>
              <w:t>2</w:t>
            </w: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/100g</w:t>
            </w:r>
          </w:p>
        </w:tc>
        <w:tc>
          <w:tcPr>
            <w:tcW w:w="1807" w:type="dxa"/>
            <w:vAlign w:val="center"/>
          </w:tcPr>
          <w:p w14:paraId="6A58877E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6 – 11</w:t>
            </w:r>
          </w:p>
        </w:tc>
        <w:tc>
          <w:tcPr>
            <w:tcW w:w="1807" w:type="dxa"/>
            <w:vAlign w:val="center"/>
          </w:tcPr>
          <w:p w14:paraId="6152E854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49 – 55</w:t>
            </w:r>
          </w:p>
        </w:tc>
        <w:tc>
          <w:tcPr>
            <w:tcW w:w="1483" w:type="dxa"/>
            <w:vAlign w:val="center"/>
          </w:tcPr>
          <w:p w14:paraId="44A7CC83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52 – 68</w:t>
            </w:r>
          </w:p>
        </w:tc>
        <w:tc>
          <w:tcPr>
            <w:tcW w:w="1530" w:type="dxa"/>
            <w:vAlign w:val="center"/>
          </w:tcPr>
          <w:p w14:paraId="745D89F0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42 – 48</w:t>
            </w:r>
          </w:p>
        </w:tc>
        <w:tc>
          <w:tcPr>
            <w:tcW w:w="1350" w:type="dxa"/>
            <w:vAlign w:val="center"/>
          </w:tcPr>
          <w:p w14:paraId="4381BFE9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25 – 42</w:t>
            </w:r>
          </w:p>
        </w:tc>
      </w:tr>
      <w:tr w:rsidR="008F6AC4" w:rsidRPr="002C41CA" w14:paraId="038DE968" w14:textId="77777777" w:rsidTr="00DD1C1C">
        <w:trPr>
          <w:trHeight w:hRule="exact" w:val="389"/>
        </w:trPr>
        <w:tc>
          <w:tcPr>
            <w:tcW w:w="2463" w:type="dxa"/>
            <w:vAlign w:val="center"/>
          </w:tcPr>
          <w:p w14:paraId="60567BFE" w14:textId="77777777" w:rsidR="008F6AC4" w:rsidRPr="00DD1C1C" w:rsidRDefault="008F6AC4" w:rsidP="008F6AC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Melting point, </w:t>
            </w:r>
            <w:r w:rsidRPr="00DD1C1C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°</w:t>
            </w: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807" w:type="dxa"/>
            <w:vAlign w:val="center"/>
          </w:tcPr>
          <w:p w14:paraId="70DF96DD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25</w:t>
            </w:r>
          </w:p>
        </w:tc>
        <w:tc>
          <w:tcPr>
            <w:tcW w:w="1807" w:type="dxa"/>
            <w:vAlign w:val="center"/>
          </w:tcPr>
          <w:p w14:paraId="4CAB8316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35</w:t>
            </w:r>
          </w:p>
        </w:tc>
        <w:tc>
          <w:tcPr>
            <w:tcW w:w="1483" w:type="dxa"/>
            <w:vAlign w:val="center"/>
          </w:tcPr>
          <w:p w14:paraId="6AD0C4EC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1530" w:type="dxa"/>
            <w:vAlign w:val="center"/>
          </w:tcPr>
          <w:p w14:paraId="661F7B15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center"/>
          </w:tcPr>
          <w:p w14:paraId="60C1BD74" w14:textId="77777777" w:rsidR="008F6AC4" w:rsidRPr="00DD1C1C" w:rsidRDefault="008F6AC4" w:rsidP="000214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35</w:t>
            </w:r>
          </w:p>
        </w:tc>
      </w:tr>
    </w:tbl>
    <w:p w14:paraId="141330F3" w14:textId="5CCAAFDE" w:rsidR="008A5B5C" w:rsidRPr="00833213" w:rsidRDefault="00E420D6" w:rsidP="00833213">
      <w:pPr>
        <w:spacing w:before="240" w:after="120" w:line="228" w:lineRule="auto"/>
        <w:rPr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18"/>
          <w:szCs w:val="18"/>
        </w:rPr>
        <w:lastRenderedPageBreak/>
        <w:t xml:space="preserve">Supplementary </w:t>
      </w:r>
      <w:r w:rsidR="00C031FC" w:rsidRPr="00DD1C1C">
        <w:rPr>
          <w:rFonts w:ascii="Palatino Linotype" w:hAnsi="Palatino Linotype"/>
          <w:b/>
          <w:bCs/>
          <w:sz w:val="18"/>
          <w:szCs w:val="18"/>
        </w:rPr>
        <w:t>Table 2</w:t>
      </w:r>
      <w:r w:rsidR="00C031FC" w:rsidRPr="00DD1C1C">
        <w:rPr>
          <w:rFonts w:ascii="Palatino Linotype" w:hAnsi="Palatino Linotype"/>
          <w:sz w:val="18"/>
          <w:szCs w:val="18"/>
        </w:rPr>
        <w:t>. Descriptions and serum total cholesterol results of the diets used in the National Diet Heart Study</w:t>
      </w:r>
      <w:r w:rsidR="00110F3F" w:rsidRPr="00DD1C1C">
        <w:rPr>
          <w:rFonts w:ascii="Palatino Linotype" w:hAnsi="Palatino Linotype"/>
          <w:sz w:val="18"/>
          <w:szCs w:val="18"/>
        </w:rPr>
        <w:t xml:space="preserve"> (NDHS)</w:t>
      </w:r>
      <w:r w:rsidR="00C031FC" w:rsidRPr="00DD1C1C">
        <w:rPr>
          <w:rFonts w:ascii="Palatino Linotype" w:hAnsi="Palatino Linotype"/>
          <w:sz w:val="18"/>
          <w:szCs w:val="18"/>
        </w:rPr>
        <w:t xml:space="preserve">. </w:t>
      </w:r>
      <w:r w:rsidR="00F56EC1" w:rsidRPr="00DD1C1C">
        <w:rPr>
          <w:rFonts w:ascii="Palatino Linotype" w:hAnsi="Palatino Linotype"/>
          <w:sz w:val="18"/>
          <w:szCs w:val="18"/>
        </w:rPr>
        <w:t xml:space="preserve">Numerous fabricated low-saturated fat products were developed by the food industry for the various diets. </w:t>
      </w:r>
      <w:r w:rsidR="00C031FC" w:rsidRPr="00DD1C1C">
        <w:rPr>
          <w:rFonts w:ascii="Palatino Linotype" w:hAnsi="Palatino Linotype"/>
          <w:sz w:val="18"/>
          <w:szCs w:val="18"/>
        </w:rPr>
        <w:t>SFA included solid margarine and shortenings, and PUFA included PHO. The participants were instructed to avoid natural saturated fat (coconut oil and animal fat)</w:t>
      </w:r>
      <w:r w:rsidR="0023330A" w:rsidRPr="00DD1C1C">
        <w:rPr>
          <w:rFonts w:ascii="Palatino Linotype" w:hAnsi="Palatino Linotype"/>
          <w:sz w:val="18"/>
          <w:szCs w:val="18"/>
        </w:rPr>
        <w:t xml:space="preserve"> while</w:t>
      </w:r>
      <w:r w:rsidR="00C031FC" w:rsidRPr="00DD1C1C">
        <w:rPr>
          <w:rFonts w:ascii="Palatino Linotype" w:hAnsi="Palatino Linotype"/>
          <w:sz w:val="18"/>
          <w:szCs w:val="18"/>
        </w:rPr>
        <w:t xml:space="preserve"> </w:t>
      </w:r>
      <w:r w:rsidR="0023330A" w:rsidRPr="00DD1C1C">
        <w:rPr>
          <w:rFonts w:ascii="Palatino Linotype" w:hAnsi="Palatino Linotype"/>
          <w:i/>
          <w:iCs/>
          <w:sz w:val="18"/>
          <w:szCs w:val="18"/>
        </w:rPr>
        <w:t>t</w:t>
      </w:r>
      <w:r w:rsidR="00C031FC" w:rsidRPr="00DD1C1C">
        <w:rPr>
          <w:rFonts w:ascii="Palatino Linotype" w:hAnsi="Palatino Linotype"/>
          <w:i/>
          <w:iCs/>
          <w:sz w:val="18"/>
          <w:szCs w:val="18"/>
        </w:rPr>
        <w:t>rans</w:t>
      </w:r>
      <w:r w:rsidR="00C031FC" w:rsidRPr="00DD1C1C">
        <w:rPr>
          <w:rFonts w:ascii="Palatino Linotype" w:hAnsi="Palatino Linotype"/>
          <w:sz w:val="18"/>
          <w:szCs w:val="18"/>
        </w:rPr>
        <w:t xml:space="preserve">-fats were promoted. </w:t>
      </w:r>
      <w:r w:rsidR="00703C5D" w:rsidRPr="00DD1C1C">
        <w:rPr>
          <w:rFonts w:ascii="Palatino Linotype" w:hAnsi="Palatino Linotype"/>
          <w:sz w:val="18"/>
          <w:szCs w:val="18"/>
        </w:rPr>
        <w:t>SFA = saturated fatty acid; PUFA = polyunsaturated fatty acid; *</w:t>
      </w:r>
      <w:r w:rsidR="001E5277" w:rsidRPr="00DD1C1C">
        <w:rPr>
          <w:rFonts w:ascii="Palatino Linotype" w:hAnsi="Palatino Linotype"/>
          <w:sz w:val="18"/>
          <w:szCs w:val="18"/>
        </w:rPr>
        <w:t xml:space="preserve"> = </w:t>
      </w:r>
      <w:r w:rsidR="00703C5D" w:rsidRPr="00DD1C1C">
        <w:rPr>
          <w:rFonts w:ascii="Palatino Linotype" w:hAnsi="Palatino Linotype"/>
          <w:sz w:val="18"/>
          <w:szCs w:val="18"/>
        </w:rPr>
        <w:t>n</w:t>
      </w:r>
      <w:r w:rsidR="001E5277" w:rsidRPr="00DD1C1C">
        <w:rPr>
          <w:rFonts w:ascii="Palatino Linotype" w:hAnsi="Palatino Linotype"/>
          <w:sz w:val="18"/>
          <w:szCs w:val="18"/>
        </w:rPr>
        <w:t xml:space="preserve">ot reported. </w:t>
      </w:r>
      <w:r w:rsidR="00C031FC" w:rsidRPr="00DD1C1C">
        <w:rPr>
          <w:rFonts w:ascii="Palatino Linotype" w:hAnsi="Palatino Linotype"/>
          <w:sz w:val="18"/>
          <w:szCs w:val="18"/>
        </w:rPr>
        <w:t>(Ref</w:t>
      </w:r>
      <w:r w:rsidR="00B840F1" w:rsidRPr="00DD1C1C">
        <w:rPr>
          <w:rFonts w:ascii="Palatino Linotype" w:hAnsi="Palatino Linotype"/>
          <w:sz w:val="18"/>
          <w:szCs w:val="18"/>
        </w:rPr>
        <w:t>erence</w:t>
      </w:r>
      <w:r w:rsidR="00C031FC" w:rsidRPr="00DD1C1C">
        <w:rPr>
          <w:rFonts w:ascii="Palatino Linotype" w:hAnsi="Palatino Linotype"/>
          <w:sz w:val="18"/>
          <w:szCs w:val="18"/>
        </w:rPr>
        <w:t>: National Diet Heart Study</w:t>
      </w:r>
      <w:r w:rsidR="00B840F1" w:rsidRPr="00DD1C1C">
        <w:rPr>
          <w:rFonts w:ascii="Palatino Linotype" w:hAnsi="Palatino Linotype"/>
          <w:sz w:val="18"/>
          <w:szCs w:val="18"/>
        </w:rPr>
        <w:t>,</w:t>
      </w:r>
      <w:r w:rsidR="00C031FC" w:rsidRPr="00DD1C1C">
        <w:rPr>
          <w:rFonts w:ascii="Palatino Linotype" w:hAnsi="Palatino Linotype"/>
          <w:sz w:val="18"/>
          <w:szCs w:val="18"/>
        </w:rPr>
        <w:t xml:space="preserve"> 1968).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60"/>
        <w:gridCol w:w="1170"/>
        <w:gridCol w:w="990"/>
        <w:gridCol w:w="1005"/>
        <w:gridCol w:w="1335"/>
        <w:gridCol w:w="2160"/>
        <w:gridCol w:w="3780"/>
        <w:gridCol w:w="5220"/>
      </w:tblGrid>
      <w:tr w:rsidR="00C031FC" w:rsidRPr="008A5B5C" w14:paraId="73464AA3" w14:textId="77777777" w:rsidTr="0023330A">
        <w:tc>
          <w:tcPr>
            <w:tcW w:w="1260" w:type="dxa"/>
            <w:vMerge w:val="restart"/>
            <w:vAlign w:val="center"/>
          </w:tcPr>
          <w:p w14:paraId="4263800E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Diet</w:t>
            </w:r>
          </w:p>
        </w:tc>
        <w:tc>
          <w:tcPr>
            <w:tcW w:w="3165" w:type="dxa"/>
            <w:gridSpan w:val="3"/>
          </w:tcPr>
          <w:p w14:paraId="7E34644F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% of Total Calories</w:t>
            </w:r>
          </w:p>
        </w:tc>
        <w:tc>
          <w:tcPr>
            <w:tcW w:w="1335" w:type="dxa"/>
            <w:vMerge w:val="restart"/>
            <w:vAlign w:val="center"/>
          </w:tcPr>
          <w:p w14:paraId="3AF938FD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PUFA/SFA Ratio</w:t>
            </w:r>
          </w:p>
        </w:tc>
        <w:tc>
          <w:tcPr>
            <w:tcW w:w="2160" w:type="dxa"/>
            <w:vMerge w:val="restart"/>
            <w:vAlign w:val="center"/>
          </w:tcPr>
          <w:p w14:paraId="060C195B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Dietary Cholesterol</w:t>
            </w:r>
          </w:p>
          <w:p w14:paraId="19356A90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(mg/day)</w:t>
            </w:r>
          </w:p>
        </w:tc>
        <w:tc>
          <w:tcPr>
            <w:tcW w:w="3780" w:type="dxa"/>
            <w:vMerge w:val="restart"/>
            <w:vAlign w:val="center"/>
          </w:tcPr>
          <w:p w14:paraId="3145DA20" w14:textId="760C293B" w:rsidR="00C031FC" w:rsidRPr="00DD1C1C" w:rsidRDefault="0087326E" w:rsidP="00D33DF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Study design</w:t>
            </w:r>
          </w:p>
        </w:tc>
        <w:tc>
          <w:tcPr>
            <w:tcW w:w="5220" w:type="dxa"/>
            <w:vMerge w:val="restart"/>
            <w:vAlign w:val="center"/>
          </w:tcPr>
          <w:p w14:paraId="5FCDBFDC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Results</w:t>
            </w:r>
          </w:p>
        </w:tc>
      </w:tr>
      <w:tr w:rsidR="00C031FC" w:rsidRPr="008A5B5C" w14:paraId="652F748E" w14:textId="77777777" w:rsidTr="0023330A">
        <w:tc>
          <w:tcPr>
            <w:tcW w:w="1260" w:type="dxa"/>
            <w:vMerge/>
            <w:vAlign w:val="center"/>
          </w:tcPr>
          <w:p w14:paraId="6AAA48BF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21B5B934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Total Fat</w:t>
            </w:r>
          </w:p>
        </w:tc>
        <w:tc>
          <w:tcPr>
            <w:tcW w:w="990" w:type="dxa"/>
          </w:tcPr>
          <w:p w14:paraId="538ED65B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SFA</w:t>
            </w:r>
          </w:p>
        </w:tc>
        <w:tc>
          <w:tcPr>
            <w:tcW w:w="1005" w:type="dxa"/>
          </w:tcPr>
          <w:p w14:paraId="29C2526D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PUFA</w:t>
            </w:r>
          </w:p>
        </w:tc>
        <w:tc>
          <w:tcPr>
            <w:tcW w:w="1335" w:type="dxa"/>
            <w:vMerge/>
            <w:vAlign w:val="center"/>
          </w:tcPr>
          <w:p w14:paraId="1EE0F29F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6C87B21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vMerge/>
            <w:vAlign w:val="center"/>
          </w:tcPr>
          <w:p w14:paraId="442871C3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5EA11856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C031FC" w:rsidRPr="008A5B5C" w14:paraId="11461621" w14:textId="77777777" w:rsidTr="0023330A">
        <w:trPr>
          <w:trHeight w:val="58"/>
        </w:trPr>
        <w:tc>
          <w:tcPr>
            <w:tcW w:w="16920" w:type="dxa"/>
            <w:gridSpan w:val="8"/>
            <w:vAlign w:val="center"/>
          </w:tcPr>
          <w:p w14:paraId="68975934" w14:textId="6979BF20" w:rsidR="00C031FC" w:rsidRPr="00DD1C1C" w:rsidRDefault="00C031FC" w:rsidP="00D33DF8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First Study</w:t>
            </w:r>
            <w:r w:rsidR="00123A4D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(52</w:t>
            </w:r>
            <w:r w:rsidR="00C111BC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-</w:t>
            </w:r>
            <w:r w:rsidR="00123A4D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week study)</w:t>
            </w:r>
          </w:p>
        </w:tc>
      </w:tr>
      <w:tr w:rsidR="00C031FC" w:rsidRPr="008A5B5C" w14:paraId="6A41052A" w14:textId="77777777" w:rsidTr="0023330A">
        <w:tc>
          <w:tcPr>
            <w:tcW w:w="1260" w:type="dxa"/>
            <w:vAlign w:val="center"/>
          </w:tcPr>
          <w:p w14:paraId="48CBBB97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B</w:t>
            </w:r>
          </w:p>
        </w:tc>
        <w:tc>
          <w:tcPr>
            <w:tcW w:w="1170" w:type="dxa"/>
            <w:vAlign w:val="center"/>
          </w:tcPr>
          <w:p w14:paraId="4AE87442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990" w:type="dxa"/>
            <w:vAlign w:val="center"/>
          </w:tcPr>
          <w:p w14:paraId="52C0F11A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&lt;9</w:t>
            </w:r>
          </w:p>
        </w:tc>
        <w:tc>
          <w:tcPr>
            <w:tcW w:w="1005" w:type="dxa"/>
            <w:vAlign w:val="center"/>
          </w:tcPr>
          <w:p w14:paraId="4EEE4637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sym w:font="Symbol" w:char="F0B3"/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15</w:t>
            </w:r>
          </w:p>
        </w:tc>
        <w:tc>
          <w:tcPr>
            <w:tcW w:w="1335" w:type="dxa"/>
            <w:vAlign w:val="center"/>
          </w:tcPr>
          <w:p w14:paraId="260888AB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1.5</w:t>
            </w:r>
          </w:p>
        </w:tc>
        <w:tc>
          <w:tcPr>
            <w:tcW w:w="2160" w:type="dxa"/>
            <w:vAlign w:val="center"/>
          </w:tcPr>
          <w:p w14:paraId="306FD60C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350-450</w:t>
            </w:r>
          </w:p>
        </w:tc>
        <w:tc>
          <w:tcPr>
            <w:tcW w:w="3780" w:type="dxa"/>
            <w:vAlign w:val="center"/>
          </w:tcPr>
          <w:p w14:paraId="4D73609A" w14:textId="5174D8E0" w:rsidR="00C031FC" w:rsidRPr="00DD1C1C" w:rsidRDefault="003A1287" w:rsidP="00D33DF8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Fabricated food. </w:t>
            </w:r>
            <w:r w:rsidR="00C031FC" w:rsidRPr="00DD1C1C">
              <w:rPr>
                <w:rFonts w:ascii="Palatino Linotype" w:hAnsi="Palatino Linotype"/>
                <w:sz w:val="20"/>
                <w:szCs w:val="20"/>
              </w:rPr>
              <w:t xml:space="preserve">Low total fat, low SFA, high PUFA </w:t>
            </w:r>
          </w:p>
        </w:tc>
        <w:tc>
          <w:tcPr>
            <w:tcW w:w="5220" w:type="dxa"/>
            <w:vAlign w:val="center"/>
          </w:tcPr>
          <w:p w14:paraId="5E4DD068" w14:textId="4B5C2BDA" w:rsidR="00C031FC" w:rsidRPr="00DD1C1C" w:rsidRDefault="00C031FC" w:rsidP="00D33DF8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Lowest TC attained was -33.4 mg/dL from baseline at 2 weeks </w:t>
            </w:r>
            <w:r w:rsidR="00D5051D" w:rsidRPr="00DD1C1C">
              <w:rPr>
                <w:rFonts w:ascii="Palatino Linotype" w:hAnsi="Palatino Linotype"/>
                <w:sz w:val="20"/>
                <w:szCs w:val="20"/>
              </w:rPr>
              <w:t>rising to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-24 mg/dL at 52 weeks.</w:t>
            </w:r>
            <w:r w:rsidR="0087326E" w:rsidRPr="00DD1C1C">
              <w:rPr>
                <w:rFonts w:ascii="Palatino Linotype" w:hAnsi="Palatino Linotype"/>
                <w:sz w:val="20"/>
                <w:szCs w:val="20"/>
              </w:rPr>
              <w:t xml:space="preserve"> Lower total fat </w:t>
            </w:r>
            <w:r w:rsidR="00685C11" w:rsidRPr="00DD1C1C">
              <w:rPr>
                <w:rFonts w:ascii="Palatino Linotype" w:hAnsi="Palatino Linotype"/>
                <w:sz w:val="20"/>
                <w:szCs w:val="20"/>
              </w:rPr>
              <w:t xml:space="preserve">of diet B </w:t>
            </w:r>
            <w:r w:rsidR="0087326E" w:rsidRPr="00DD1C1C">
              <w:rPr>
                <w:rFonts w:ascii="Palatino Linotype" w:hAnsi="Palatino Linotype"/>
                <w:sz w:val="20"/>
                <w:szCs w:val="20"/>
              </w:rPr>
              <w:t xml:space="preserve">did not lower TC more than </w:t>
            </w:r>
            <w:r w:rsidR="00685C11" w:rsidRPr="00DD1C1C">
              <w:rPr>
                <w:rFonts w:ascii="Palatino Linotype" w:hAnsi="Palatino Linotype"/>
                <w:sz w:val="20"/>
                <w:szCs w:val="20"/>
              </w:rPr>
              <w:t xml:space="preserve">the high fat </w:t>
            </w:r>
            <w:r w:rsidR="0087326E" w:rsidRPr="00DD1C1C">
              <w:rPr>
                <w:rFonts w:ascii="Palatino Linotype" w:hAnsi="Palatino Linotype"/>
                <w:sz w:val="20"/>
                <w:szCs w:val="20"/>
              </w:rPr>
              <w:t xml:space="preserve">diet C. </w:t>
            </w:r>
          </w:p>
        </w:tc>
      </w:tr>
      <w:tr w:rsidR="00C031FC" w:rsidRPr="008A5B5C" w14:paraId="337EA69B" w14:textId="77777777" w:rsidTr="0023330A">
        <w:tc>
          <w:tcPr>
            <w:tcW w:w="1260" w:type="dxa"/>
            <w:vAlign w:val="center"/>
          </w:tcPr>
          <w:p w14:paraId="5B6FFEDD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C</w:t>
            </w:r>
          </w:p>
        </w:tc>
        <w:tc>
          <w:tcPr>
            <w:tcW w:w="1170" w:type="dxa"/>
            <w:vAlign w:val="center"/>
          </w:tcPr>
          <w:p w14:paraId="72913F9F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990" w:type="dxa"/>
            <w:vAlign w:val="center"/>
          </w:tcPr>
          <w:p w14:paraId="4942A0B6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&lt;9</w:t>
            </w:r>
          </w:p>
        </w:tc>
        <w:tc>
          <w:tcPr>
            <w:tcW w:w="1005" w:type="dxa"/>
            <w:vAlign w:val="center"/>
          </w:tcPr>
          <w:p w14:paraId="1C1C39F7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18-20</w:t>
            </w:r>
          </w:p>
        </w:tc>
        <w:tc>
          <w:tcPr>
            <w:tcW w:w="1335" w:type="dxa"/>
            <w:vAlign w:val="center"/>
          </w:tcPr>
          <w:p w14:paraId="01E87607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2.0</w:t>
            </w:r>
          </w:p>
        </w:tc>
        <w:tc>
          <w:tcPr>
            <w:tcW w:w="2160" w:type="dxa"/>
            <w:vAlign w:val="center"/>
          </w:tcPr>
          <w:p w14:paraId="4E048DFC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350-450 </w:t>
            </w:r>
          </w:p>
        </w:tc>
        <w:tc>
          <w:tcPr>
            <w:tcW w:w="3780" w:type="dxa"/>
            <w:vAlign w:val="center"/>
          </w:tcPr>
          <w:p w14:paraId="1FC7D32B" w14:textId="175A10DD" w:rsidR="00C031FC" w:rsidRPr="00DD1C1C" w:rsidRDefault="003A1287" w:rsidP="00D33DF8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Fabricated food. </w:t>
            </w:r>
            <w:r w:rsidR="00C031FC" w:rsidRPr="00DD1C1C">
              <w:rPr>
                <w:rFonts w:ascii="Palatino Linotype" w:hAnsi="Palatino Linotype"/>
                <w:sz w:val="20"/>
                <w:szCs w:val="20"/>
              </w:rPr>
              <w:t xml:space="preserve">High total fat, low SFA, high PUFA </w:t>
            </w:r>
          </w:p>
        </w:tc>
        <w:tc>
          <w:tcPr>
            <w:tcW w:w="5220" w:type="dxa"/>
            <w:vAlign w:val="center"/>
          </w:tcPr>
          <w:p w14:paraId="4FFCE233" w14:textId="7F901114" w:rsidR="00C031FC" w:rsidRPr="00DD1C1C" w:rsidRDefault="00C031FC" w:rsidP="00D33DF8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Lowest TC attained was -34.1 mg/dL from baseline at 6 weeks and -27.1 mg/dL at 52 weeks.</w:t>
            </w:r>
            <w:r w:rsidR="0087326E" w:rsidRPr="00DD1C1C">
              <w:rPr>
                <w:rFonts w:ascii="Palatino Linotype" w:hAnsi="Palatino Linotype"/>
                <w:sz w:val="20"/>
                <w:szCs w:val="20"/>
              </w:rPr>
              <w:t xml:space="preserve"> Higher PUFA did not lower TC more than diet B. </w:t>
            </w:r>
          </w:p>
        </w:tc>
      </w:tr>
      <w:tr w:rsidR="00C031FC" w:rsidRPr="008A5B5C" w14:paraId="5B180CA4" w14:textId="77777777" w:rsidTr="0023330A">
        <w:tc>
          <w:tcPr>
            <w:tcW w:w="1260" w:type="dxa"/>
            <w:vAlign w:val="center"/>
          </w:tcPr>
          <w:p w14:paraId="1CCA4740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D</w:t>
            </w:r>
          </w:p>
        </w:tc>
        <w:tc>
          <w:tcPr>
            <w:tcW w:w="1170" w:type="dxa"/>
            <w:vAlign w:val="center"/>
          </w:tcPr>
          <w:p w14:paraId="171C2BE8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990" w:type="dxa"/>
            <w:vAlign w:val="center"/>
          </w:tcPr>
          <w:p w14:paraId="2ECD2BF7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sym w:font="Symbol" w:char="F0A3"/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18</w:t>
            </w:r>
          </w:p>
        </w:tc>
        <w:tc>
          <w:tcPr>
            <w:tcW w:w="1005" w:type="dxa"/>
            <w:vAlign w:val="center"/>
          </w:tcPr>
          <w:p w14:paraId="101C5D8D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sym w:font="Symbol" w:char="F0A3"/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  <w:tc>
          <w:tcPr>
            <w:tcW w:w="1335" w:type="dxa"/>
            <w:vAlign w:val="center"/>
          </w:tcPr>
          <w:p w14:paraId="2B3DB441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938E6C5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650-750</w:t>
            </w:r>
          </w:p>
        </w:tc>
        <w:tc>
          <w:tcPr>
            <w:tcW w:w="3780" w:type="dxa"/>
            <w:vAlign w:val="center"/>
          </w:tcPr>
          <w:p w14:paraId="16FA0682" w14:textId="197425E8" w:rsidR="00C031FC" w:rsidRPr="00DD1C1C" w:rsidRDefault="003A1287" w:rsidP="00D33DF8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Fabricated food. High total fat, </w:t>
            </w:r>
            <w:r w:rsidR="00C031FC" w:rsidRPr="00DD1C1C">
              <w:rPr>
                <w:rFonts w:ascii="Palatino Linotype" w:hAnsi="Palatino Linotype"/>
                <w:sz w:val="20"/>
                <w:szCs w:val="20"/>
              </w:rPr>
              <w:t>high SFA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,</w:t>
            </w:r>
            <w:r w:rsidR="00C031FC" w:rsidRPr="00DD1C1C">
              <w:rPr>
                <w:rFonts w:ascii="Palatino Linotype" w:hAnsi="Palatino Linotype"/>
                <w:sz w:val="20"/>
                <w:szCs w:val="20"/>
              </w:rPr>
              <w:t xml:space="preserve"> low PUFA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, high dietary cholesterol. T</w:t>
            </w:r>
            <w:r w:rsidR="00C031FC" w:rsidRPr="00DD1C1C">
              <w:rPr>
                <w:rFonts w:ascii="Palatino Linotype" w:hAnsi="Palatino Linotype"/>
                <w:sz w:val="20"/>
                <w:szCs w:val="20"/>
              </w:rPr>
              <w:t>o represent</w:t>
            </w:r>
            <w:r w:rsidR="0087326E" w:rsidRPr="00DD1C1C">
              <w:rPr>
                <w:rFonts w:ascii="Palatino Linotype" w:hAnsi="Palatino Linotype"/>
                <w:sz w:val="20"/>
                <w:szCs w:val="20"/>
              </w:rPr>
              <w:t xml:space="preserve"> a high cardiac risk</w:t>
            </w:r>
            <w:r w:rsidR="00C031FC" w:rsidRPr="00DD1C1C">
              <w:rPr>
                <w:rFonts w:ascii="Palatino Linotype" w:hAnsi="Palatino Linotype"/>
                <w:sz w:val="20"/>
                <w:szCs w:val="20"/>
              </w:rPr>
              <w:t xml:space="preserve"> American diet. </w:t>
            </w:r>
          </w:p>
        </w:tc>
        <w:tc>
          <w:tcPr>
            <w:tcW w:w="5220" w:type="dxa"/>
            <w:vAlign w:val="center"/>
          </w:tcPr>
          <w:p w14:paraId="10D87548" w14:textId="3F3DA4F6" w:rsidR="00C031FC" w:rsidRPr="00DD1C1C" w:rsidRDefault="00C031FC" w:rsidP="00D33DF8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Lowest TC attained was -22.6 mg/dL from baseline at 2 weeks and -9.5 mg/dL at 52 weeks.</w:t>
            </w:r>
            <w:r w:rsidR="0087326E" w:rsidRPr="00DD1C1C">
              <w:rPr>
                <w:rFonts w:ascii="Palatino Linotype" w:hAnsi="Palatino Linotype"/>
                <w:sz w:val="20"/>
                <w:szCs w:val="20"/>
              </w:rPr>
              <w:t xml:space="preserve"> No deaths from heart disease despite high SFA and dietary cholesterol.  </w:t>
            </w:r>
          </w:p>
        </w:tc>
      </w:tr>
      <w:tr w:rsidR="00C031FC" w:rsidRPr="008A5B5C" w14:paraId="160A36AF" w14:textId="77777777" w:rsidTr="0023330A">
        <w:tc>
          <w:tcPr>
            <w:tcW w:w="1260" w:type="dxa"/>
            <w:vAlign w:val="center"/>
          </w:tcPr>
          <w:p w14:paraId="44A9E657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44F66DA0" w14:textId="1C2FD90A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25-30</w:t>
            </w:r>
          </w:p>
        </w:tc>
        <w:tc>
          <w:tcPr>
            <w:tcW w:w="990" w:type="dxa"/>
            <w:vAlign w:val="center"/>
          </w:tcPr>
          <w:p w14:paraId="3CD85AAF" w14:textId="63C501F3" w:rsidR="00C031FC" w:rsidRPr="00DD1C1C" w:rsidRDefault="00703C5D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  <w:r w:rsidR="00665A9C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14:paraId="531BB0F5" w14:textId="17E8A624" w:rsidR="00C031FC" w:rsidRPr="00DD1C1C" w:rsidRDefault="00703C5D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335" w:type="dxa"/>
            <w:vAlign w:val="center"/>
          </w:tcPr>
          <w:p w14:paraId="6860887C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1.0</w:t>
            </w:r>
          </w:p>
        </w:tc>
        <w:tc>
          <w:tcPr>
            <w:tcW w:w="2160" w:type="dxa"/>
            <w:vAlign w:val="center"/>
          </w:tcPr>
          <w:p w14:paraId="5A60E2F3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350</w:t>
            </w:r>
          </w:p>
        </w:tc>
        <w:tc>
          <w:tcPr>
            <w:tcW w:w="3780" w:type="dxa"/>
            <w:vAlign w:val="center"/>
          </w:tcPr>
          <w:p w14:paraId="51EF5F50" w14:textId="7444FB29" w:rsidR="00C031FC" w:rsidRPr="00DD1C1C" w:rsidRDefault="003A1287" w:rsidP="00D33DF8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Food purchased by subject</w:t>
            </w:r>
            <w:r w:rsidR="007E7107" w:rsidRPr="00DD1C1C">
              <w:rPr>
                <w:rFonts w:ascii="Palatino Linotype" w:hAnsi="Palatino Linotype"/>
                <w:sz w:val="20"/>
                <w:szCs w:val="20"/>
              </w:rPr>
              <w:t>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from local grocery. </w:t>
            </w:r>
            <w:r w:rsidR="00C031FC" w:rsidRPr="00DD1C1C">
              <w:rPr>
                <w:rFonts w:ascii="Palatino Linotype" w:hAnsi="Palatino Linotype"/>
                <w:sz w:val="20"/>
                <w:szCs w:val="20"/>
              </w:rPr>
              <w:t>Dietary instruction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s</w:t>
            </w:r>
            <w:r w:rsidR="00C031FC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to eat low total fat and cholesterol</w:t>
            </w:r>
            <w:r w:rsidR="00C031FC" w:rsidRPr="00DD1C1C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</w:p>
        </w:tc>
        <w:tc>
          <w:tcPr>
            <w:tcW w:w="5220" w:type="dxa"/>
            <w:vAlign w:val="center"/>
          </w:tcPr>
          <w:p w14:paraId="67287480" w14:textId="023DEA1B" w:rsidR="00C031FC" w:rsidRPr="00DD1C1C" w:rsidRDefault="00C031FC" w:rsidP="00D33DF8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Average TC level attained was -36.0 mg/dL from baseline at 2 weeks and -29.0 mg/dL at 52 weeks.</w:t>
            </w:r>
            <w:r w:rsidR="00753B69" w:rsidRPr="00DD1C1C">
              <w:rPr>
                <w:rFonts w:ascii="Palatino Linotype" w:hAnsi="Palatino Linotype"/>
                <w:sz w:val="20"/>
                <w:szCs w:val="20"/>
              </w:rPr>
              <w:t xml:space="preserve"> Similar results to diets B and C despite </w:t>
            </w:r>
            <w:r w:rsidR="006B5906" w:rsidRPr="00DD1C1C">
              <w:rPr>
                <w:rFonts w:ascii="Palatino Linotype" w:hAnsi="Palatino Linotype"/>
                <w:sz w:val="20"/>
                <w:szCs w:val="20"/>
              </w:rPr>
              <w:t xml:space="preserve">consumption of local foods with </w:t>
            </w:r>
            <w:r w:rsidR="00753B69" w:rsidRPr="00DD1C1C">
              <w:rPr>
                <w:rFonts w:ascii="Palatino Linotype" w:hAnsi="Palatino Linotype"/>
                <w:sz w:val="20"/>
                <w:szCs w:val="20"/>
              </w:rPr>
              <w:t>lower total fat.</w:t>
            </w:r>
          </w:p>
        </w:tc>
      </w:tr>
      <w:tr w:rsidR="00C031FC" w:rsidRPr="008A5B5C" w14:paraId="462946A7" w14:textId="77777777" w:rsidTr="0023330A">
        <w:tc>
          <w:tcPr>
            <w:tcW w:w="1260" w:type="dxa"/>
            <w:vAlign w:val="center"/>
          </w:tcPr>
          <w:p w14:paraId="20E0856F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E</w:t>
            </w:r>
          </w:p>
        </w:tc>
        <w:tc>
          <w:tcPr>
            <w:tcW w:w="1170" w:type="dxa"/>
            <w:vAlign w:val="center"/>
          </w:tcPr>
          <w:p w14:paraId="606BAD18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990" w:type="dxa"/>
            <w:vAlign w:val="center"/>
          </w:tcPr>
          <w:p w14:paraId="1DDC4D49" w14:textId="1C4ACEC6" w:rsidR="00C031FC" w:rsidRPr="00DD1C1C" w:rsidRDefault="00703C5D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005" w:type="dxa"/>
            <w:vAlign w:val="center"/>
          </w:tcPr>
          <w:p w14:paraId="278D9BA6" w14:textId="7CEB47E9" w:rsidR="00C031FC" w:rsidRPr="00DD1C1C" w:rsidRDefault="00703C5D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335" w:type="dxa"/>
            <w:vAlign w:val="center"/>
          </w:tcPr>
          <w:p w14:paraId="7E98F6A2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4.4</w:t>
            </w:r>
          </w:p>
        </w:tc>
        <w:tc>
          <w:tcPr>
            <w:tcW w:w="2160" w:type="dxa"/>
            <w:vAlign w:val="center"/>
          </w:tcPr>
          <w:p w14:paraId="4D3AA20E" w14:textId="6932BF83" w:rsidR="00C031FC" w:rsidRPr="00DD1C1C" w:rsidRDefault="00703C5D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3780" w:type="dxa"/>
            <w:vAlign w:val="center"/>
          </w:tcPr>
          <w:p w14:paraId="5D67E101" w14:textId="16A27429" w:rsidR="00C031FC" w:rsidRPr="00DD1C1C" w:rsidRDefault="003A1287" w:rsidP="00D33DF8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Fabricated food. </w:t>
            </w:r>
            <w:r w:rsidR="00B2753E" w:rsidRPr="00DD1C1C">
              <w:rPr>
                <w:rFonts w:ascii="Palatino Linotype" w:hAnsi="Palatino Linotype"/>
                <w:sz w:val="20"/>
                <w:szCs w:val="20"/>
              </w:rPr>
              <w:t>High total fat, very</w:t>
            </w:r>
            <w:r w:rsidR="00C031FC" w:rsidRPr="00DD1C1C">
              <w:rPr>
                <w:rFonts w:ascii="Palatino Linotype" w:hAnsi="Palatino Linotype"/>
                <w:sz w:val="20"/>
                <w:szCs w:val="20"/>
              </w:rPr>
              <w:t xml:space="preserve"> high PUFA/SFA ratio. Highly controlled diet</w:t>
            </w:r>
            <w:r w:rsidR="006A32EE" w:rsidRPr="00DD1C1C">
              <w:rPr>
                <w:rFonts w:ascii="Palatino Linotype" w:hAnsi="Palatino Linotype"/>
                <w:sz w:val="20"/>
                <w:szCs w:val="20"/>
              </w:rPr>
              <w:t xml:space="preserve"> at the Fari</w:t>
            </w:r>
            <w:r w:rsidR="00AC0281" w:rsidRPr="00DD1C1C">
              <w:rPr>
                <w:rFonts w:ascii="Palatino Linotype" w:hAnsi="Palatino Linotype"/>
                <w:sz w:val="20"/>
                <w:szCs w:val="20"/>
              </w:rPr>
              <w:t>bault Hospital</w:t>
            </w:r>
            <w:r w:rsidR="00C031FC" w:rsidRPr="00DD1C1C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</w:p>
        </w:tc>
        <w:tc>
          <w:tcPr>
            <w:tcW w:w="5220" w:type="dxa"/>
            <w:vAlign w:val="center"/>
          </w:tcPr>
          <w:p w14:paraId="752FCF1B" w14:textId="398BBAFF" w:rsidR="00C031FC" w:rsidRPr="00DD1C1C" w:rsidRDefault="00C031FC" w:rsidP="00D33DF8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Lowest TC attained was -46.3 mg/dL from baseline at 6 weeks and -42.1 mg/dL at 52 weeks.</w:t>
            </w:r>
            <w:r w:rsidR="00B2753E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6A32EE" w:rsidRPr="00DD1C1C">
              <w:rPr>
                <w:rFonts w:ascii="Palatino Linotype" w:hAnsi="Palatino Linotype"/>
                <w:sz w:val="20"/>
                <w:szCs w:val="20"/>
              </w:rPr>
              <w:t>TC r</w:t>
            </w:r>
            <w:r w:rsidR="00B2753E" w:rsidRPr="00DD1C1C">
              <w:rPr>
                <w:rFonts w:ascii="Palatino Linotype" w:hAnsi="Palatino Linotype"/>
                <w:sz w:val="20"/>
                <w:szCs w:val="20"/>
              </w:rPr>
              <w:t>esults do not support a diet</w:t>
            </w:r>
            <w:r w:rsidR="007E7107" w:rsidRPr="00DD1C1C">
              <w:rPr>
                <w:rFonts w:ascii="Palatino Linotype" w:hAnsi="Palatino Linotype"/>
                <w:sz w:val="20"/>
                <w:szCs w:val="20"/>
              </w:rPr>
              <w:t xml:space="preserve"> with a high PUFA/SFA ratio</w:t>
            </w:r>
            <w:r w:rsidR="00B2753E" w:rsidRPr="00DD1C1C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</w:p>
        </w:tc>
      </w:tr>
      <w:tr w:rsidR="00C031FC" w:rsidRPr="008A5B5C" w14:paraId="405D2D3B" w14:textId="77777777" w:rsidTr="0023330A">
        <w:tc>
          <w:tcPr>
            <w:tcW w:w="11700" w:type="dxa"/>
            <w:gridSpan w:val="7"/>
            <w:vAlign w:val="center"/>
          </w:tcPr>
          <w:p w14:paraId="38885AA5" w14:textId="314A5737" w:rsidR="00C031FC" w:rsidRPr="00DD1C1C" w:rsidRDefault="00C031FC" w:rsidP="00D33DF8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Extended Study</w:t>
            </w:r>
            <w:r w:rsidR="00E377ED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="00123A4D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from week 53 + </w:t>
            </w:r>
            <w:r w:rsidR="008B68EB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11 to </w:t>
            </w:r>
            <w:r w:rsidR="00123A4D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36 weeks using</w:t>
            </w:r>
            <w:r w:rsidR="00E377ED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0549C9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participants from the First Study)</w:t>
            </w:r>
          </w:p>
        </w:tc>
        <w:tc>
          <w:tcPr>
            <w:tcW w:w="5220" w:type="dxa"/>
          </w:tcPr>
          <w:p w14:paraId="620A4DF2" w14:textId="77777777" w:rsidR="00C031FC" w:rsidRPr="00DD1C1C" w:rsidRDefault="00C031FC" w:rsidP="00D33DF8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C031FC" w:rsidRPr="008A5B5C" w14:paraId="71575EC6" w14:textId="77777777" w:rsidTr="0023330A">
        <w:tc>
          <w:tcPr>
            <w:tcW w:w="1260" w:type="dxa"/>
            <w:vAlign w:val="center"/>
          </w:tcPr>
          <w:p w14:paraId="519D14FD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BC</w:t>
            </w:r>
          </w:p>
        </w:tc>
        <w:tc>
          <w:tcPr>
            <w:tcW w:w="1170" w:type="dxa"/>
            <w:vAlign w:val="center"/>
          </w:tcPr>
          <w:p w14:paraId="123AFE9C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30-40</w:t>
            </w:r>
          </w:p>
        </w:tc>
        <w:tc>
          <w:tcPr>
            <w:tcW w:w="990" w:type="dxa"/>
            <w:vAlign w:val="center"/>
          </w:tcPr>
          <w:p w14:paraId="7C467232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6-7</w:t>
            </w:r>
          </w:p>
        </w:tc>
        <w:tc>
          <w:tcPr>
            <w:tcW w:w="1005" w:type="dxa"/>
            <w:vAlign w:val="center"/>
          </w:tcPr>
          <w:p w14:paraId="3597EBF7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14-16</w:t>
            </w:r>
          </w:p>
        </w:tc>
        <w:tc>
          <w:tcPr>
            <w:tcW w:w="1335" w:type="dxa"/>
            <w:vAlign w:val="center"/>
          </w:tcPr>
          <w:p w14:paraId="204429B1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1.5-2.0</w:t>
            </w:r>
          </w:p>
        </w:tc>
        <w:tc>
          <w:tcPr>
            <w:tcW w:w="2160" w:type="dxa"/>
            <w:vAlign w:val="center"/>
          </w:tcPr>
          <w:p w14:paraId="72001F4C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350-450</w:t>
            </w:r>
          </w:p>
        </w:tc>
        <w:tc>
          <w:tcPr>
            <w:tcW w:w="3780" w:type="dxa"/>
            <w:vAlign w:val="center"/>
          </w:tcPr>
          <w:p w14:paraId="09BDA910" w14:textId="10B8EE5D" w:rsidR="00C031FC" w:rsidRPr="00DD1C1C" w:rsidRDefault="00C031FC" w:rsidP="00D33DF8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Diets B</w:t>
            </w:r>
            <w:r w:rsidR="00123A4D" w:rsidRPr="00DD1C1C">
              <w:rPr>
                <w:rFonts w:ascii="Palatino Linotype" w:hAnsi="Palatino Linotype"/>
                <w:sz w:val="20"/>
                <w:szCs w:val="20"/>
              </w:rPr>
              <w:t>,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C </w:t>
            </w:r>
            <w:r w:rsidR="00123A4D" w:rsidRPr="00DD1C1C">
              <w:rPr>
                <w:rFonts w:ascii="Palatino Linotype" w:hAnsi="Palatino Linotype"/>
                <w:sz w:val="20"/>
                <w:szCs w:val="20"/>
              </w:rPr>
              <w:t xml:space="preserve">and D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were combined</w:t>
            </w:r>
            <w:r w:rsidR="00715DC6" w:rsidRPr="00DD1C1C">
              <w:rPr>
                <w:rFonts w:ascii="Palatino Linotype" w:hAnsi="Palatino Linotype"/>
                <w:sz w:val="20"/>
                <w:szCs w:val="20"/>
              </w:rPr>
              <w:t xml:space="preserve"> at </w:t>
            </w:r>
            <w:r w:rsidR="000A6364" w:rsidRPr="00DD1C1C">
              <w:rPr>
                <w:rFonts w:ascii="Palatino Linotype" w:hAnsi="Palatino Linotype"/>
                <w:sz w:val="20"/>
                <w:szCs w:val="20"/>
              </w:rPr>
              <w:t>three</w:t>
            </w:r>
            <w:r w:rsidR="00715DC6" w:rsidRPr="00DD1C1C">
              <w:rPr>
                <w:rFonts w:ascii="Palatino Linotype" w:hAnsi="Palatino Linotype"/>
                <w:sz w:val="20"/>
                <w:szCs w:val="20"/>
              </w:rPr>
              <w:t xml:space="preserve"> open centers</w:t>
            </w:r>
            <w:r w:rsidR="00FF678C" w:rsidRPr="00DD1C1C">
              <w:rPr>
                <w:rFonts w:ascii="Palatino Linotype" w:hAnsi="Palatino Linotype"/>
                <w:sz w:val="20"/>
                <w:szCs w:val="20"/>
              </w:rPr>
              <w:t xml:space="preserve"> with </w:t>
            </w:r>
            <w:r w:rsidR="00B76297" w:rsidRPr="00DD1C1C">
              <w:rPr>
                <w:rFonts w:ascii="Palatino Linotype" w:hAnsi="Palatino Linotype"/>
                <w:sz w:val="20"/>
                <w:szCs w:val="20"/>
              </w:rPr>
              <w:t xml:space="preserve">subgroups </w:t>
            </w:r>
            <w:r w:rsidR="00FF678C" w:rsidRPr="00DD1C1C">
              <w:rPr>
                <w:rFonts w:ascii="Palatino Linotype" w:hAnsi="Palatino Linotype"/>
                <w:sz w:val="20"/>
                <w:szCs w:val="20"/>
              </w:rPr>
              <w:t>who</w:t>
            </w:r>
            <w:r w:rsidR="00B76297" w:rsidRPr="00DD1C1C">
              <w:rPr>
                <w:rFonts w:ascii="Palatino Linotype" w:hAnsi="Palatino Linotype"/>
                <w:sz w:val="20"/>
                <w:szCs w:val="20"/>
              </w:rPr>
              <w:t xml:space="preserve"> received either provided meat or store-bought meat.</w:t>
            </w:r>
            <w:r w:rsidR="00123A4D" w:rsidRPr="00DD1C1C">
              <w:rPr>
                <w:rFonts w:ascii="Palatino Linotype" w:hAnsi="Palatino Linotype"/>
                <w:sz w:val="20"/>
                <w:szCs w:val="20"/>
              </w:rPr>
              <w:t xml:space="preserve"> Participants were instructed to </w:t>
            </w:r>
            <w:r w:rsidR="00FF678C" w:rsidRPr="00DD1C1C">
              <w:rPr>
                <w:rFonts w:ascii="Palatino Linotype" w:hAnsi="Palatino Linotype"/>
                <w:sz w:val="20"/>
                <w:szCs w:val="20"/>
              </w:rPr>
              <w:t>buy lean meat and trim the</w:t>
            </w:r>
            <w:r w:rsidR="00123A4D" w:rsidRPr="00DD1C1C">
              <w:rPr>
                <w:rFonts w:ascii="Palatino Linotype" w:hAnsi="Palatino Linotype"/>
                <w:sz w:val="20"/>
                <w:szCs w:val="20"/>
              </w:rPr>
              <w:t xml:space="preserve"> fat from the meat. </w:t>
            </w:r>
          </w:p>
        </w:tc>
        <w:tc>
          <w:tcPr>
            <w:tcW w:w="5220" w:type="dxa"/>
            <w:vAlign w:val="center"/>
          </w:tcPr>
          <w:p w14:paraId="4C0B876E" w14:textId="3DAF00F6" w:rsidR="00C031FC" w:rsidRPr="00DD1C1C" w:rsidRDefault="00C031FC" w:rsidP="00D33DF8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Average TC attained was -21.0 mg/dL from original baseline after extension</w:t>
            </w:r>
            <w:r w:rsidR="006C21C9" w:rsidRPr="00DD1C1C">
              <w:rPr>
                <w:rFonts w:ascii="Palatino Linotype" w:hAnsi="Palatino Linotype"/>
                <w:sz w:val="20"/>
                <w:szCs w:val="20"/>
              </w:rPr>
              <w:t xml:space="preserve">, with </w:t>
            </w:r>
            <w:r w:rsidR="00FF678C" w:rsidRPr="00DD1C1C">
              <w:rPr>
                <w:rFonts w:ascii="Palatino Linotype" w:hAnsi="Palatino Linotype"/>
                <w:sz w:val="20"/>
                <w:szCs w:val="20"/>
              </w:rPr>
              <w:t xml:space="preserve">little difference between </w:t>
            </w:r>
            <w:r w:rsidR="006B5906" w:rsidRPr="00DD1C1C">
              <w:rPr>
                <w:rFonts w:ascii="Palatino Linotype" w:hAnsi="Palatino Linotype"/>
                <w:sz w:val="20"/>
                <w:szCs w:val="20"/>
              </w:rPr>
              <w:t xml:space="preserve">subgroups with </w:t>
            </w:r>
            <w:r w:rsidR="00FF678C" w:rsidRPr="00DD1C1C">
              <w:rPr>
                <w:rFonts w:ascii="Palatino Linotype" w:hAnsi="Palatino Linotype"/>
                <w:sz w:val="20"/>
                <w:szCs w:val="20"/>
              </w:rPr>
              <w:t xml:space="preserve">provided meat and store-bought meat. Consumption of modified </w:t>
            </w:r>
            <w:r w:rsidR="006B5906" w:rsidRPr="00DD1C1C">
              <w:rPr>
                <w:rFonts w:ascii="Palatino Linotype" w:hAnsi="Palatino Linotype"/>
                <w:sz w:val="20"/>
                <w:szCs w:val="20"/>
              </w:rPr>
              <w:t>meat</w:t>
            </w:r>
            <w:r w:rsidR="00FF678C" w:rsidRPr="00DD1C1C">
              <w:rPr>
                <w:rFonts w:ascii="Palatino Linotype" w:hAnsi="Palatino Linotype"/>
                <w:sz w:val="20"/>
                <w:szCs w:val="20"/>
              </w:rPr>
              <w:t xml:space="preserve"> or low-fat meat did not improve TC results.  </w:t>
            </w:r>
          </w:p>
        </w:tc>
      </w:tr>
      <w:tr w:rsidR="00C031FC" w:rsidRPr="008A5B5C" w14:paraId="627EF2AC" w14:textId="77777777" w:rsidTr="0023330A">
        <w:tc>
          <w:tcPr>
            <w:tcW w:w="1260" w:type="dxa"/>
            <w:vAlign w:val="center"/>
          </w:tcPr>
          <w:p w14:paraId="3FDBCDA3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lastRenderedPageBreak/>
              <w:t>F</w:t>
            </w:r>
          </w:p>
        </w:tc>
        <w:tc>
          <w:tcPr>
            <w:tcW w:w="1170" w:type="dxa"/>
            <w:vAlign w:val="center"/>
          </w:tcPr>
          <w:p w14:paraId="6E6CBBDB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990" w:type="dxa"/>
            <w:vAlign w:val="center"/>
          </w:tcPr>
          <w:p w14:paraId="5C6FB200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6.5</w:t>
            </w:r>
          </w:p>
        </w:tc>
        <w:tc>
          <w:tcPr>
            <w:tcW w:w="1005" w:type="dxa"/>
            <w:vAlign w:val="center"/>
          </w:tcPr>
          <w:p w14:paraId="440C8424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19</w:t>
            </w:r>
          </w:p>
        </w:tc>
        <w:tc>
          <w:tcPr>
            <w:tcW w:w="1335" w:type="dxa"/>
            <w:vAlign w:val="center"/>
          </w:tcPr>
          <w:p w14:paraId="2F362043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3.0</w:t>
            </w:r>
          </w:p>
        </w:tc>
        <w:tc>
          <w:tcPr>
            <w:tcW w:w="2160" w:type="dxa"/>
            <w:vAlign w:val="center"/>
          </w:tcPr>
          <w:p w14:paraId="4A80733F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350-450 </w:t>
            </w:r>
          </w:p>
        </w:tc>
        <w:tc>
          <w:tcPr>
            <w:tcW w:w="3780" w:type="dxa"/>
            <w:vAlign w:val="center"/>
          </w:tcPr>
          <w:p w14:paraId="3CD2079C" w14:textId="7DC4B5A1" w:rsidR="00C031FC" w:rsidRPr="00DD1C1C" w:rsidRDefault="00C031FC" w:rsidP="00D33DF8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High</w:t>
            </w:r>
            <w:r w:rsidR="006C0F3B" w:rsidRPr="00DD1C1C">
              <w:rPr>
                <w:rFonts w:ascii="Palatino Linotype" w:hAnsi="Palatino Linotype"/>
                <w:sz w:val="20"/>
                <w:szCs w:val="20"/>
              </w:rPr>
              <w:t xml:space="preserve"> total fat, very low SFA, high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er PUFA/SFA ratio than BC</w:t>
            </w:r>
            <w:r w:rsidR="006C0F3B" w:rsidRPr="00DD1C1C">
              <w:rPr>
                <w:rFonts w:ascii="Palatino Linotype" w:hAnsi="Palatino Linotype"/>
                <w:sz w:val="20"/>
                <w:szCs w:val="20"/>
              </w:rPr>
              <w:t xml:space="preserve"> diet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  <w:r w:rsidR="00FB6290" w:rsidRPr="00DD1C1C">
              <w:rPr>
                <w:rFonts w:ascii="Palatino Linotype" w:hAnsi="Palatino Linotype"/>
                <w:sz w:val="20"/>
                <w:szCs w:val="20"/>
              </w:rPr>
              <w:t>Used only</w:t>
            </w:r>
            <w:r w:rsidR="003032F3" w:rsidRPr="00DD1C1C">
              <w:rPr>
                <w:rFonts w:ascii="Palatino Linotype" w:hAnsi="Palatino Linotype"/>
                <w:sz w:val="20"/>
                <w:szCs w:val="20"/>
              </w:rPr>
              <w:t xml:space="preserve"> store-bought meat.</w:t>
            </w:r>
          </w:p>
        </w:tc>
        <w:tc>
          <w:tcPr>
            <w:tcW w:w="5220" w:type="dxa"/>
            <w:vAlign w:val="center"/>
          </w:tcPr>
          <w:p w14:paraId="607ACFB3" w14:textId="41F29277" w:rsidR="00C031FC" w:rsidRPr="00DD1C1C" w:rsidRDefault="00C031FC" w:rsidP="00D33DF8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TC attained was -15.0 to -17.0 mg/dL from original baseline after</w:t>
            </w:r>
            <w:r w:rsidR="006C0F3B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extension. </w:t>
            </w:r>
            <w:r w:rsidR="006C0F3B" w:rsidRPr="00DD1C1C">
              <w:rPr>
                <w:rFonts w:ascii="Palatino Linotype" w:hAnsi="Palatino Linotype"/>
                <w:sz w:val="20"/>
                <w:szCs w:val="20"/>
              </w:rPr>
              <w:t xml:space="preserve">Higher PUFA did not reduce TC more than Diet BC. </w:t>
            </w:r>
          </w:p>
        </w:tc>
      </w:tr>
      <w:tr w:rsidR="00C031FC" w:rsidRPr="008A5B5C" w14:paraId="3688EF67" w14:textId="77777777" w:rsidTr="0023330A">
        <w:tc>
          <w:tcPr>
            <w:tcW w:w="1260" w:type="dxa"/>
            <w:vAlign w:val="center"/>
          </w:tcPr>
          <w:p w14:paraId="3B3098DC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G</w:t>
            </w:r>
          </w:p>
        </w:tc>
        <w:tc>
          <w:tcPr>
            <w:tcW w:w="1170" w:type="dxa"/>
            <w:vAlign w:val="center"/>
          </w:tcPr>
          <w:p w14:paraId="52650ABC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990" w:type="dxa"/>
            <w:vAlign w:val="center"/>
          </w:tcPr>
          <w:p w14:paraId="0959ADD6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1005" w:type="dxa"/>
            <w:vAlign w:val="center"/>
          </w:tcPr>
          <w:p w14:paraId="506E8E8F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8.7</w:t>
            </w:r>
          </w:p>
        </w:tc>
        <w:tc>
          <w:tcPr>
            <w:tcW w:w="1335" w:type="dxa"/>
            <w:vAlign w:val="center"/>
          </w:tcPr>
          <w:p w14:paraId="3C5FD70C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0.9-1.0</w:t>
            </w:r>
          </w:p>
        </w:tc>
        <w:tc>
          <w:tcPr>
            <w:tcW w:w="2160" w:type="dxa"/>
            <w:vAlign w:val="center"/>
          </w:tcPr>
          <w:p w14:paraId="43C9ABB2" w14:textId="77777777" w:rsidR="00C031FC" w:rsidRPr="00DD1C1C" w:rsidRDefault="00C031FC" w:rsidP="00D33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350-450</w:t>
            </w:r>
          </w:p>
        </w:tc>
        <w:tc>
          <w:tcPr>
            <w:tcW w:w="3780" w:type="dxa"/>
            <w:vAlign w:val="center"/>
          </w:tcPr>
          <w:p w14:paraId="2ACC9851" w14:textId="7E78E0A3" w:rsidR="00C031FC" w:rsidRPr="00DD1C1C" w:rsidRDefault="006C0F3B" w:rsidP="00D33DF8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High total fat</w:t>
            </w:r>
            <w:r w:rsidR="002B746B" w:rsidRPr="00DD1C1C">
              <w:rPr>
                <w:rFonts w:ascii="Palatino Linotype" w:hAnsi="Palatino Linotype"/>
                <w:sz w:val="20"/>
                <w:szCs w:val="20"/>
              </w:rPr>
              <w:t>,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2B746B" w:rsidRPr="00DD1C1C">
              <w:rPr>
                <w:rFonts w:ascii="Palatino Linotype" w:hAnsi="Palatino Linotype"/>
                <w:sz w:val="20"/>
                <w:szCs w:val="20"/>
              </w:rPr>
              <w:t>balanced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C031FC" w:rsidRPr="00DD1C1C">
              <w:rPr>
                <w:rFonts w:ascii="Palatino Linotype" w:hAnsi="Palatino Linotype"/>
                <w:sz w:val="20"/>
                <w:szCs w:val="20"/>
              </w:rPr>
              <w:t xml:space="preserve">PUFA/SFA ratio. </w:t>
            </w:r>
            <w:r w:rsidR="003032F3" w:rsidRPr="00DD1C1C">
              <w:rPr>
                <w:rFonts w:ascii="Palatino Linotype" w:hAnsi="Palatino Linotype"/>
                <w:sz w:val="20"/>
                <w:szCs w:val="20"/>
              </w:rPr>
              <w:t>Used only store-bought meat.</w:t>
            </w:r>
          </w:p>
        </w:tc>
        <w:tc>
          <w:tcPr>
            <w:tcW w:w="5220" w:type="dxa"/>
            <w:vAlign w:val="center"/>
          </w:tcPr>
          <w:p w14:paraId="05FC2E4D" w14:textId="2A7DF107" w:rsidR="00C031FC" w:rsidRPr="00DD1C1C" w:rsidDel="005B7A9D" w:rsidRDefault="006C0F3B" w:rsidP="00D33DF8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At </w:t>
            </w:r>
            <w:r w:rsidR="00C031FC" w:rsidRPr="00DD1C1C">
              <w:rPr>
                <w:rFonts w:ascii="Palatino Linotype" w:hAnsi="Palatino Linotype"/>
                <w:sz w:val="20"/>
                <w:szCs w:val="20"/>
              </w:rPr>
              <w:t xml:space="preserve">2 </w:t>
            </w:r>
            <w:r w:rsidR="00D74DB9" w:rsidRPr="00DD1C1C">
              <w:rPr>
                <w:rFonts w:ascii="Palatino Linotype" w:hAnsi="Palatino Linotype"/>
                <w:sz w:val="20"/>
                <w:szCs w:val="20"/>
              </w:rPr>
              <w:t xml:space="preserve">open </w:t>
            </w:r>
            <w:r w:rsidR="00C031FC" w:rsidRPr="00DD1C1C">
              <w:rPr>
                <w:rFonts w:ascii="Palatino Linotype" w:hAnsi="Palatino Linotype"/>
                <w:sz w:val="20"/>
                <w:szCs w:val="20"/>
              </w:rPr>
              <w:t xml:space="preserve">centers, lowest TC from baseline -5 and -15 mg/dL and -2 and -13 mg/dL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after extension. Very similar results to Diet F despite higher SFA and lower PUFA.</w:t>
            </w:r>
            <w:r w:rsidR="00C031FC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tr w:rsidR="0023128C" w:rsidRPr="008A5B5C" w:rsidDel="00946531" w14:paraId="353EA9DD" w14:textId="77777777" w:rsidTr="00C031FC">
        <w:tc>
          <w:tcPr>
            <w:tcW w:w="1260" w:type="dxa"/>
            <w:vAlign w:val="center"/>
          </w:tcPr>
          <w:p w14:paraId="2EC3C57B" w14:textId="495A3DB5" w:rsidR="0023128C" w:rsidRPr="00DD1C1C" w:rsidRDefault="0023128C" w:rsidP="0023128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B</w:t>
            </w:r>
          </w:p>
        </w:tc>
        <w:tc>
          <w:tcPr>
            <w:tcW w:w="1170" w:type="dxa"/>
            <w:vAlign w:val="center"/>
          </w:tcPr>
          <w:p w14:paraId="277BDBFF" w14:textId="25FE2D89" w:rsidR="0023128C" w:rsidRPr="00DD1C1C" w:rsidRDefault="0023128C" w:rsidP="0023128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990" w:type="dxa"/>
            <w:vAlign w:val="center"/>
          </w:tcPr>
          <w:p w14:paraId="55B39715" w14:textId="2325A003" w:rsidR="0023128C" w:rsidRPr="00DD1C1C" w:rsidRDefault="0023128C" w:rsidP="0023128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&lt;9</w:t>
            </w:r>
          </w:p>
        </w:tc>
        <w:tc>
          <w:tcPr>
            <w:tcW w:w="1005" w:type="dxa"/>
            <w:vAlign w:val="center"/>
          </w:tcPr>
          <w:p w14:paraId="65B7EB7A" w14:textId="75785240" w:rsidR="0023128C" w:rsidRPr="00DD1C1C" w:rsidRDefault="0023128C" w:rsidP="0023128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sym w:font="Symbol" w:char="F0B3"/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15</w:t>
            </w:r>
          </w:p>
        </w:tc>
        <w:tc>
          <w:tcPr>
            <w:tcW w:w="1335" w:type="dxa"/>
            <w:vAlign w:val="center"/>
          </w:tcPr>
          <w:p w14:paraId="5BD181E8" w14:textId="23F8662D" w:rsidR="0023128C" w:rsidRPr="00DD1C1C" w:rsidRDefault="0023128C" w:rsidP="0023128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1.5</w:t>
            </w:r>
          </w:p>
        </w:tc>
        <w:tc>
          <w:tcPr>
            <w:tcW w:w="2160" w:type="dxa"/>
            <w:vAlign w:val="center"/>
          </w:tcPr>
          <w:p w14:paraId="0F719247" w14:textId="0B7488D1" w:rsidR="0023128C" w:rsidRPr="00DD1C1C" w:rsidRDefault="0023128C" w:rsidP="0023128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350-450</w:t>
            </w:r>
          </w:p>
        </w:tc>
        <w:tc>
          <w:tcPr>
            <w:tcW w:w="3780" w:type="dxa"/>
            <w:vAlign w:val="center"/>
          </w:tcPr>
          <w:p w14:paraId="13055DFA" w14:textId="21D17D9E" w:rsidR="0023128C" w:rsidRPr="00DD1C1C" w:rsidRDefault="0023128C" w:rsidP="0023128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Low total fat, low SFA, high PUFA diet. </w:t>
            </w:r>
            <w:r w:rsidR="00455CA1" w:rsidRPr="00DD1C1C">
              <w:rPr>
                <w:rFonts w:ascii="Palatino Linotype" w:hAnsi="Palatino Linotype"/>
                <w:sz w:val="20"/>
                <w:szCs w:val="20"/>
              </w:rPr>
              <w:t>Continued only at Faribault closed center.</w:t>
            </w:r>
          </w:p>
        </w:tc>
        <w:tc>
          <w:tcPr>
            <w:tcW w:w="5220" w:type="dxa"/>
          </w:tcPr>
          <w:p w14:paraId="4FF2EB6E" w14:textId="31958353" w:rsidR="0023128C" w:rsidRPr="00DD1C1C" w:rsidDel="00827D91" w:rsidRDefault="00A736B5" w:rsidP="0023128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TC from original baseline aft</w:t>
            </w:r>
            <w:r w:rsidR="00AC63CC" w:rsidRPr="00DD1C1C">
              <w:rPr>
                <w:rFonts w:ascii="Palatino Linotype" w:hAnsi="Palatino Linotype"/>
                <w:sz w:val="20"/>
                <w:szCs w:val="20"/>
              </w:rPr>
              <w:t>er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11 more weeks was </w:t>
            </w:r>
            <w:r w:rsidR="00FD7667" w:rsidRPr="00DD1C1C">
              <w:rPr>
                <w:rFonts w:ascii="Palatino Linotype" w:hAnsi="Palatino Linotype"/>
                <w:sz w:val="20"/>
                <w:szCs w:val="20"/>
              </w:rPr>
              <w:t xml:space="preserve">-40 mg/dL for group on provided </w:t>
            </w:r>
            <w:r w:rsidR="006B5906" w:rsidRPr="00DD1C1C">
              <w:rPr>
                <w:rFonts w:ascii="Palatino Linotype" w:hAnsi="Palatino Linotype"/>
                <w:sz w:val="20"/>
                <w:szCs w:val="20"/>
              </w:rPr>
              <w:t>meat</w:t>
            </w:r>
            <w:r w:rsidR="00FD7667" w:rsidRPr="00DD1C1C">
              <w:rPr>
                <w:rFonts w:ascii="Palatino Linotype" w:hAnsi="Palatino Linotype"/>
                <w:sz w:val="20"/>
                <w:szCs w:val="20"/>
              </w:rPr>
              <w:t xml:space="preserve"> and -</w:t>
            </w:r>
            <w:r w:rsidR="00AC63CC" w:rsidRPr="00DD1C1C">
              <w:rPr>
                <w:rFonts w:ascii="Palatino Linotype" w:hAnsi="Palatino Linotype"/>
                <w:sz w:val="20"/>
                <w:szCs w:val="20"/>
              </w:rPr>
              <w:t xml:space="preserve">27 mg/dL on store-bought </w:t>
            </w:r>
            <w:r w:rsidR="006B5906" w:rsidRPr="00DD1C1C">
              <w:rPr>
                <w:rFonts w:ascii="Palatino Linotype" w:hAnsi="Palatino Linotype"/>
                <w:sz w:val="20"/>
                <w:szCs w:val="20"/>
              </w:rPr>
              <w:t>meat</w:t>
            </w:r>
            <w:r w:rsidR="00AC63CC" w:rsidRPr="00DD1C1C">
              <w:rPr>
                <w:rFonts w:ascii="Palatino Linotype" w:hAnsi="Palatino Linotype"/>
                <w:sz w:val="20"/>
                <w:szCs w:val="20"/>
              </w:rPr>
              <w:t>.</w:t>
            </w:r>
            <w:r w:rsidR="004F4664" w:rsidRPr="00DD1C1C">
              <w:rPr>
                <w:rFonts w:ascii="Palatino Linotype" w:hAnsi="Palatino Linotype"/>
                <w:sz w:val="20"/>
                <w:szCs w:val="20"/>
              </w:rPr>
              <w:t xml:space="preserve"> The results were opposite to those of Diet C. </w:t>
            </w:r>
          </w:p>
        </w:tc>
      </w:tr>
      <w:tr w:rsidR="0023128C" w:rsidRPr="008A5B5C" w:rsidDel="00946531" w14:paraId="33542105" w14:textId="77777777" w:rsidTr="00C031FC">
        <w:tc>
          <w:tcPr>
            <w:tcW w:w="1260" w:type="dxa"/>
            <w:vAlign w:val="center"/>
          </w:tcPr>
          <w:p w14:paraId="52F4AF2E" w14:textId="051A536D" w:rsidR="0023128C" w:rsidRPr="00DD1C1C" w:rsidRDefault="0023128C" w:rsidP="0023128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C</w:t>
            </w:r>
          </w:p>
        </w:tc>
        <w:tc>
          <w:tcPr>
            <w:tcW w:w="1170" w:type="dxa"/>
            <w:vAlign w:val="center"/>
          </w:tcPr>
          <w:p w14:paraId="0FF1573F" w14:textId="5DFF2B0D" w:rsidR="0023128C" w:rsidRPr="00DD1C1C" w:rsidRDefault="0023128C" w:rsidP="0023128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990" w:type="dxa"/>
            <w:vAlign w:val="center"/>
          </w:tcPr>
          <w:p w14:paraId="38ACD611" w14:textId="2123833E" w:rsidR="0023128C" w:rsidRPr="00DD1C1C" w:rsidRDefault="0023128C" w:rsidP="0023128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&lt;9</w:t>
            </w:r>
          </w:p>
        </w:tc>
        <w:tc>
          <w:tcPr>
            <w:tcW w:w="1005" w:type="dxa"/>
            <w:vAlign w:val="center"/>
          </w:tcPr>
          <w:p w14:paraId="599D1D45" w14:textId="6A6E9C1D" w:rsidR="0023128C" w:rsidRPr="00DD1C1C" w:rsidRDefault="0023128C" w:rsidP="0023128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18-20</w:t>
            </w:r>
          </w:p>
        </w:tc>
        <w:tc>
          <w:tcPr>
            <w:tcW w:w="1335" w:type="dxa"/>
            <w:vAlign w:val="center"/>
          </w:tcPr>
          <w:p w14:paraId="7B78CAC3" w14:textId="30680663" w:rsidR="0023128C" w:rsidRPr="00DD1C1C" w:rsidRDefault="0023128C" w:rsidP="0023128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2.0</w:t>
            </w:r>
          </w:p>
        </w:tc>
        <w:tc>
          <w:tcPr>
            <w:tcW w:w="2160" w:type="dxa"/>
            <w:vAlign w:val="center"/>
          </w:tcPr>
          <w:p w14:paraId="64078DDA" w14:textId="21C9D57D" w:rsidR="0023128C" w:rsidRPr="00DD1C1C" w:rsidRDefault="0023128C" w:rsidP="0023128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350-450 </w:t>
            </w:r>
          </w:p>
        </w:tc>
        <w:tc>
          <w:tcPr>
            <w:tcW w:w="3780" w:type="dxa"/>
            <w:vAlign w:val="center"/>
          </w:tcPr>
          <w:p w14:paraId="10D9DD82" w14:textId="4202314A" w:rsidR="0023128C" w:rsidRPr="00DD1C1C" w:rsidRDefault="0023128C" w:rsidP="0023128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High total fat, low SFA, high PUFA. </w:t>
            </w:r>
            <w:r w:rsidR="00455CA1" w:rsidRPr="00DD1C1C">
              <w:rPr>
                <w:rFonts w:ascii="Palatino Linotype" w:hAnsi="Palatino Linotype"/>
                <w:sz w:val="20"/>
                <w:szCs w:val="20"/>
              </w:rPr>
              <w:t>Continued only at Faribault closed center.</w:t>
            </w:r>
          </w:p>
        </w:tc>
        <w:tc>
          <w:tcPr>
            <w:tcW w:w="5220" w:type="dxa"/>
          </w:tcPr>
          <w:p w14:paraId="11137AA1" w14:textId="3F3C9A00" w:rsidR="0023128C" w:rsidRPr="00DD1C1C" w:rsidDel="00827D91" w:rsidRDefault="00AC63CC" w:rsidP="0023128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TC from original baseline after 11 more weeks was -</w:t>
            </w:r>
            <w:r w:rsidR="009C1D12" w:rsidRPr="00DD1C1C">
              <w:rPr>
                <w:rFonts w:ascii="Palatino Linotype" w:hAnsi="Palatino Linotype"/>
                <w:sz w:val="20"/>
                <w:szCs w:val="20"/>
              </w:rPr>
              <w:t>21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mg/dL for group on provided </w:t>
            </w:r>
            <w:r w:rsidR="006B5906" w:rsidRPr="00DD1C1C">
              <w:rPr>
                <w:rFonts w:ascii="Palatino Linotype" w:hAnsi="Palatino Linotype"/>
                <w:sz w:val="20"/>
                <w:szCs w:val="20"/>
              </w:rPr>
              <w:t>meat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and -</w:t>
            </w:r>
            <w:r w:rsidR="009C1D12" w:rsidRPr="00DD1C1C">
              <w:rPr>
                <w:rFonts w:ascii="Palatino Linotype" w:hAnsi="Palatino Linotype"/>
                <w:sz w:val="20"/>
                <w:szCs w:val="20"/>
              </w:rPr>
              <w:t>31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mg/dL on store-bought </w:t>
            </w:r>
            <w:r w:rsidR="006B5906" w:rsidRPr="00DD1C1C">
              <w:rPr>
                <w:rFonts w:ascii="Palatino Linotype" w:hAnsi="Palatino Linotype"/>
                <w:sz w:val="20"/>
                <w:szCs w:val="20"/>
              </w:rPr>
              <w:t>meat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.</w:t>
            </w:r>
            <w:r w:rsidR="004F4664" w:rsidRPr="00DD1C1C">
              <w:rPr>
                <w:rFonts w:ascii="Palatino Linotype" w:hAnsi="Palatino Linotype"/>
                <w:sz w:val="20"/>
                <w:szCs w:val="20"/>
              </w:rPr>
              <w:t xml:space="preserve"> The results were opposite to those of Diet B. </w:t>
            </w:r>
          </w:p>
        </w:tc>
      </w:tr>
      <w:tr w:rsidR="00EB4A7C" w:rsidRPr="008A5B5C" w14:paraId="4333D170" w14:textId="77777777" w:rsidTr="00C031FC">
        <w:tc>
          <w:tcPr>
            <w:tcW w:w="1260" w:type="dxa"/>
            <w:vAlign w:val="center"/>
          </w:tcPr>
          <w:p w14:paraId="251F8751" w14:textId="5127DE8C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E</w:t>
            </w:r>
          </w:p>
        </w:tc>
        <w:tc>
          <w:tcPr>
            <w:tcW w:w="1170" w:type="dxa"/>
            <w:vAlign w:val="center"/>
          </w:tcPr>
          <w:p w14:paraId="4596F169" w14:textId="01916EDD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990" w:type="dxa"/>
            <w:vAlign w:val="center"/>
          </w:tcPr>
          <w:p w14:paraId="4AB831D2" w14:textId="12ECCAA5" w:rsidR="00EB4A7C" w:rsidRPr="00DD1C1C" w:rsidRDefault="00703C5D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005" w:type="dxa"/>
            <w:vAlign w:val="center"/>
          </w:tcPr>
          <w:p w14:paraId="175C159D" w14:textId="2126CAD9" w:rsidR="00EB4A7C" w:rsidRPr="00DD1C1C" w:rsidRDefault="00341FFB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703C5D"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335" w:type="dxa"/>
            <w:vAlign w:val="center"/>
          </w:tcPr>
          <w:p w14:paraId="42B5F716" w14:textId="0250048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4.4</w:t>
            </w:r>
          </w:p>
        </w:tc>
        <w:tc>
          <w:tcPr>
            <w:tcW w:w="2160" w:type="dxa"/>
            <w:vAlign w:val="center"/>
          </w:tcPr>
          <w:p w14:paraId="59D4D2AB" w14:textId="6840B56E" w:rsidR="00EB4A7C" w:rsidRPr="00DD1C1C" w:rsidRDefault="00341FFB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703C5D"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3780" w:type="dxa"/>
            <w:vAlign w:val="center"/>
          </w:tcPr>
          <w:p w14:paraId="54A2D57E" w14:textId="0E5D2331" w:rsidR="00EB4A7C" w:rsidRPr="00DD1C1C" w:rsidRDefault="004F4664" w:rsidP="00EB4A7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High total fat and very </w:t>
            </w:r>
            <w:r w:rsidR="00EB4A7C" w:rsidRPr="00DD1C1C">
              <w:rPr>
                <w:rFonts w:ascii="Palatino Linotype" w:hAnsi="Palatino Linotype"/>
                <w:sz w:val="20"/>
                <w:szCs w:val="20"/>
              </w:rPr>
              <w:t>high PUFA/SFA ratio. Highly controlled diet</w:t>
            </w:r>
            <w:r w:rsidR="006753E3" w:rsidRPr="00DD1C1C">
              <w:rPr>
                <w:rFonts w:ascii="Palatino Linotype" w:hAnsi="Palatino Linotype"/>
                <w:sz w:val="20"/>
                <w:szCs w:val="20"/>
              </w:rPr>
              <w:t xml:space="preserve"> only at Faribault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Hospital</w:t>
            </w:r>
            <w:r w:rsidR="006753E3" w:rsidRPr="00DD1C1C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05E527C8" w14:textId="7DFCC451" w:rsidR="00EB4A7C" w:rsidRPr="00DD1C1C" w:rsidRDefault="006B6BA2" w:rsidP="00EB4A7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TC from original baseline after 11 more weeks was -</w:t>
            </w:r>
            <w:r w:rsidR="00D93F8E" w:rsidRPr="00DD1C1C">
              <w:rPr>
                <w:rFonts w:ascii="Palatino Linotype" w:hAnsi="Palatino Linotype"/>
                <w:sz w:val="20"/>
                <w:szCs w:val="20"/>
              </w:rPr>
              <w:t>41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mg/dL for group on provided </w:t>
            </w:r>
            <w:r w:rsidR="006B5906" w:rsidRPr="00DD1C1C">
              <w:rPr>
                <w:rFonts w:ascii="Palatino Linotype" w:hAnsi="Palatino Linotype"/>
                <w:sz w:val="20"/>
                <w:szCs w:val="20"/>
              </w:rPr>
              <w:t>meat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and -</w:t>
            </w:r>
            <w:r w:rsidR="00D93F8E" w:rsidRPr="00DD1C1C">
              <w:rPr>
                <w:rFonts w:ascii="Palatino Linotype" w:hAnsi="Palatino Linotype"/>
                <w:sz w:val="20"/>
                <w:szCs w:val="20"/>
              </w:rPr>
              <w:t>39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mg/dL for group on store-bought </w:t>
            </w:r>
            <w:r w:rsidR="006B5906" w:rsidRPr="00DD1C1C">
              <w:rPr>
                <w:rFonts w:ascii="Palatino Linotype" w:hAnsi="Palatino Linotype"/>
                <w:sz w:val="20"/>
                <w:szCs w:val="20"/>
              </w:rPr>
              <w:t>meat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.</w:t>
            </w:r>
            <w:r w:rsidR="004F4664" w:rsidRPr="00DD1C1C">
              <w:rPr>
                <w:rFonts w:ascii="Palatino Linotype" w:hAnsi="Palatino Linotype"/>
                <w:sz w:val="20"/>
                <w:szCs w:val="20"/>
              </w:rPr>
              <w:t xml:space="preserve"> Results did not support a low-fat diet. </w:t>
            </w:r>
          </w:p>
        </w:tc>
      </w:tr>
      <w:tr w:rsidR="00EB4A7C" w:rsidRPr="008A5B5C" w14:paraId="425B81B6" w14:textId="77777777" w:rsidTr="004B4B73">
        <w:tc>
          <w:tcPr>
            <w:tcW w:w="1260" w:type="dxa"/>
            <w:vAlign w:val="center"/>
          </w:tcPr>
          <w:p w14:paraId="12E55B75" w14:textId="0E774122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03F25540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25-30</w:t>
            </w:r>
          </w:p>
        </w:tc>
        <w:tc>
          <w:tcPr>
            <w:tcW w:w="990" w:type="dxa"/>
            <w:vAlign w:val="center"/>
          </w:tcPr>
          <w:p w14:paraId="02BD1F24" w14:textId="6504608B" w:rsidR="00EB4A7C" w:rsidRPr="00DD1C1C" w:rsidRDefault="00703C5D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005" w:type="dxa"/>
            <w:vAlign w:val="center"/>
          </w:tcPr>
          <w:p w14:paraId="2C6065F8" w14:textId="73F89DEB" w:rsidR="00EB4A7C" w:rsidRPr="00DD1C1C" w:rsidRDefault="00703C5D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335" w:type="dxa"/>
            <w:vAlign w:val="center"/>
          </w:tcPr>
          <w:p w14:paraId="0934B64A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1.0</w:t>
            </w:r>
          </w:p>
        </w:tc>
        <w:tc>
          <w:tcPr>
            <w:tcW w:w="2160" w:type="dxa"/>
            <w:vAlign w:val="center"/>
          </w:tcPr>
          <w:p w14:paraId="4641DB2C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350-450</w:t>
            </w:r>
          </w:p>
        </w:tc>
        <w:tc>
          <w:tcPr>
            <w:tcW w:w="3780" w:type="dxa"/>
            <w:vAlign w:val="center"/>
          </w:tcPr>
          <w:p w14:paraId="6781F9DA" w14:textId="3CE0B957" w:rsidR="00EB4A7C" w:rsidRPr="00DD1C1C" w:rsidRDefault="00341FFB" w:rsidP="00EB4A7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Food purchased by subject from local grocery. Dietary instructions to eat low total fat and cholesterol.</w:t>
            </w:r>
          </w:p>
        </w:tc>
        <w:tc>
          <w:tcPr>
            <w:tcW w:w="5220" w:type="dxa"/>
          </w:tcPr>
          <w:p w14:paraId="005B1C5B" w14:textId="53CC984A" w:rsidR="00EB4A7C" w:rsidRPr="00DD1C1C" w:rsidDel="008F0FA5" w:rsidRDefault="00EB4A7C" w:rsidP="00EB4A7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TC attained was -24.0 mg/dL</w:t>
            </w:r>
            <w:r w:rsidR="004F4664" w:rsidRPr="00DD1C1C">
              <w:rPr>
                <w:rFonts w:ascii="Palatino Linotype" w:hAnsi="Palatino Linotype"/>
                <w:sz w:val="20"/>
                <w:szCs w:val="20"/>
              </w:rPr>
              <w:t xml:space="preserve"> after extension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.  Compared to the First Study, the drop in TC was smaller. </w:t>
            </w:r>
          </w:p>
        </w:tc>
      </w:tr>
      <w:tr w:rsidR="00EB4A7C" w:rsidRPr="008A5B5C" w14:paraId="1506C613" w14:textId="77777777" w:rsidTr="004B4B73">
        <w:tc>
          <w:tcPr>
            <w:tcW w:w="11700" w:type="dxa"/>
            <w:gridSpan w:val="7"/>
            <w:vAlign w:val="center"/>
          </w:tcPr>
          <w:p w14:paraId="4934B072" w14:textId="146B9346" w:rsidR="00EB4A7C" w:rsidRPr="00DD1C1C" w:rsidRDefault="00EB4A7C" w:rsidP="00EB4A7C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Second Study (</w:t>
            </w:r>
            <w:r w:rsidR="00123A4D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28</w:t>
            </w:r>
            <w:r w:rsidR="002B746B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-36</w:t>
            </w:r>
            <w:r w:rsidR="00123A4D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week</w:t>
            </w:r>
            <w:r w:rsidR="002B746B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s</w:t>
            </w:r>
            <w:r w:rsidR="00123A4D"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with only</w:t>
            </w: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new participants)</w:t>
            </w:r>
          </w:p>
        </w:tc>
        <w:tc>
          <w:tcPr>
            <w:tcW w:w="5220" w:type="dxa"/>
          </w:tcPr>
          <w:p w14:paraId="0561D3CB" w14:textId="77777777" w:rsidR="00EB4A7C" w:rsidRPr="00DD1C1C" w:rsidRDefault="00EB4A7C" w:rsidP="00EB4A7C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EB4A7C" w:rsidRPr="008A5B5C" w14:paraId="149BF282" w14:textId="77777777" w:rsidTr="00C031FC">
        <w:tc>
          <w:tcPr>
            <w:tcW w:w="1260" w:type="dxa"/>
            <w:vAlign w:val="center"/>
          </w:tcPr>
          <w:p w14:paraId="3FBE0292" w14:textId="26D87703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BC</w:t>
            </w:r>
          </w:p>
        </w:tc>
        <w:tc>
          <w:tcPr>
            <w:tcW w:w="1170" w:type="dxa"/>
            <w:vAlign w:val="center"/>
          </w:tcPr>
          <w:p w14:paraId="7775727A" w14:textId="595A7665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30-40</w:t>
            </w:r>
          </w:p>
        </w:tc>
        <w:tc>
          <w:tcPr>
            <w:tcW w:w="990" w:type="dxa"/>
            <w:vAlign w:val="center"/>
          </w:tcPr>
          <w:p w14:paraId="6FB5B18C" w14:textId="7E7CE564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6-7</w:t>
            </w:r>
          </w:p>
        </w:tc>
        <w:tc>
          <w:tcPr>
            <w:tcW w:w="1005" w:type="dxa"/>
            <w:vAlign w:val="center"/>
          </w:tcPr>
          <w:p w14:paraId="2869322F" w14:textId="18793254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14-16</w:t>
            </w:r>
          </w:p>
        </w:tc>
        <w:tc>
          <w:tcPr>
            <w:tcW w:w="1335" w:type="dxa"/>
            <w:vAlign w:val="center"/>
          </w:tcPr>
          <w:p w14:paraId="66B70552" w14:textId="7C8C83DF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1.5-2.0</w:t>
            </w:r>
          </w:p>
        </w:tc>
        <w:tc>
          <w:tcPr>
            <w:tcW w:w="2160" w:type="dxa"/>
            <w:vAlign w:val="center"/>
          </w:tcPr>
          <w:p w14:paraId="1654093C" w14:textId="35AC0D8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350-450</w:t>
            </w:r>
          </w:p>
        </w:tc>
        <w:tc>
          <w:tcPr>
            <w:tcW w:w="3780" w:type="dxa"/>
            <w:vAlign w:val="center"/>
          </w:tcPr>
          <w:p w14:paraId="30F31299" w14:textId="46E34CE2" w:rsidR="00EB4A7C" w:rsidRPr="00DD1C1C" w:rsidRDefault="00EB4A7C" w:rsidP="00EB4A7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Diets B and C were combined</w:t>
            </w:r>
            <w:r w:rsidR="00872044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B426DB" w:rsidRPr="00DD1C1C">
              <w:rPr>
                <w:rFonts w:ascii="Palatino Linotype" w:hAnsi="Palatino Linotype"/>
                <w:sz w:val="20"/>
                <w:szCs w:val="20"/>
              </w:rPr>
              <w:t>at three open centers</w:t>
            </w:r>
            <w:r w:rsidR="008622A6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872044" w:rsidRPr="00DD1C1C">
              <w:rPr>
                <w:rFonts w:ascii="Palatino Linotype" w:hAnsi="Palatino Linotype"/>
                <w:sz w:val="20"/>
                <w:szCs w:val="20"/>
              </w:rPr>
              <w:t xml:space="preserve">with </w:t>
            </w:r>
            <w:r w:rsidR="005E5CB4" w:rsidRPr="00DD1C1C">
              <w:rPr>
                <w:rFonts w:ascii="Palatino Linotype" w:hAnsi="Palatino Linotype"/>
                <w:sz w:val="20"/>
                <w:szCs w:val="20"/>
              </w:rPr>
              <w:t>sub</w:t>
            </w:r>
            <w:r w:rsidR="00EA106F" w:rsidRPr="00DD1C1C">
              <w:rPr>
                <w:rFonts w:ascii="Palatino Linotype" w:hAnsi="Palatino Linotype"/>
                <w:sz w:val="20"/>
                <w:szCs w:val="20"/>
              </w:rPr>
              <w:t>group</w:t>
            </w:r>
            <w:r w:rsidR="005E5CB4" w:rsidRPr="00DD1C1C">
              <w:rPr>
                <w:rFonts w:ascii="Palatino Linotype" w:hAnsi="Palatino Linotype"/>
                <w:sz w:val="20"/>
                <w:szCs w:val="20"/>
              </w:rPr>
              <w:t>s</w:t>
            </w:r>
            <w:r w:rsidR="00EA106F" w:rsidRPr="00DD1C1C">
              <w:rPr>
                <w:rFonts w:ascii="Palatino Linotype" w:hAnsi="Palatino Linotype"/>
                <w:sz w:val="20"/>
                <w:szCs w:val="20"/>
              </w:rPr>
              <w:t xml:space="preserve"> that received </w:t>
            </w:r>
            <w:r w:rsidR="005E5CB4" w:rsidRPr="00DD1C1C">
              <w:rPr>
                <w:rFonts w:ascii="Palatino Linotype" w:hAnsi="Palatino Linotype"/>
                <w:sz w:val="20"/>
                <w:szCs w:val="20"/>
              </w:rPr>
              <w:t xml:space="preserve">either </w:t>
            </w:r>
            <w:r w:rsidR="00EA106F" w:rsidRPr="00DD1C1C">
              <w:rPr>
                <w:rFonts w:ascii="Palatino Linotype" w:hAnsi="Palatino Linotype"/>
                <w:sz w:val="20"/>
                <w:szCs w:val="20"/>
              </w:rPr>
              <w:t xml:space="preserve">provided </w:t>
            </w:r>
            <w:r w:rsidR="006B5906" w:rsidRPr="00DD1C1C">
              <w:rPr>
                <w:rFonts w:ascii="Palatino Linotype" w:hAnsi="Palatino Linotype"/>
                <w:sz w:val="20"/>
                <w:szCs w:val="20"/>
              </w:rPr>
              <w:t>meat</w:t>
            </w:r>
            <w:r w:rsidR="005E5CB4" w:rsidRPr="00DD1C1C">
              <w:rPr>
                <w:rFonts w:ascii="Palatino Linotype" w:hAnsi="Palatino Linotype"/>
                <w:sz w:val="20"/>
                <w:szCs w:val="20"/>
              </w:rPr>
              <w:t xml:space="preserve"> or </w:t>
            </w:r>
            <w:r w:rsidR="00EA106F" w:rsidRPr="00DD1C1C">
              <w:rPr>
                <w:rFonts w:ascii="Palatino Linotype" w:hAnsi="Palatino Linotype"/>
                <w:sz w:val="20"/>
                <w:szCs w:val="20"/>
              </w:rPr>
              <w:t xml:space="preserve">store-bought </w:t>
            </w:r>
            <w:r w:rsidR="006B5906" w:rsidRPr="00DD1C1C">
              <w:rPr>
                <w:rFonts w:ascii="Palatino Linotype" w:hAnsi="Palatino Linotype"/>
                <w:sz w:val="20"/>
                <w:szCs w:val="20"/>
              </w:rPr>
              <w:t>meat</w:t>
            </w:r>
            <w:r w:rsidR="00EA106F" w:rsidRPr="00DD1C1C">
              <w:rPr>
                <w:rFonts w:ascii="Palatino Linotype" w:hAnsi="Palatino Linotype"/>
                <w:sz w:val="20"/>
                <w:szCs w:val="20"/>
              </w:rPr>
              <w:t>.</w:t>
            </w:r>
            <w:r w:rsidR="00B426DB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781D3C37" w14:textId="1480ED72" w:rsidR="00EB4A7C" w:rsidRPr="00DD1C1C" w:rsidRDefault="00EC620A" w:rsidP="00EB4A7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TC attained was -2</w:t>
            </w:r>
            <w:r w:rsidR="004B42DC" w:rsidRPr="00DD1C1C">
              <w:rPr>
                <w:rFonts w:ascii="Palatino Linotype" w:hAnsi="Palatino Linotype"/>
                <w:sz w:val="20"/>
                <w:szCs w:val="20"/>
              </w:rPr>
              <w:t>5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mg/dL </w:t>
            </w:r>
            <w:r w:rsidR="00872044" w:rsidRPr="00DD1C1C">
              <w:rPr>
                <w:rFonts w:ascii="Palatino Linotype" w:hAnsi="Palatino Linotype"/>
                <w:sz w:val="20"/>
                <w:szCs w:val="20"/>
              </w:rPr>
              <w:t xml:space="preserve">and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-</w:t>
            </w:r>
            <w:r w:rsidR="00AE1B1A" w:rsidRPr="00DD1C1C">
              <w:rPr>
                <w:rFonts w:ascii="Palatino Linotype" w:hAnsi="Palatino Linotype"/>
                <w:sz w:val="20"/>
                <w:szCs w:val="20"/>
              </w:rPr>
              <w:t>2</w:t>
            </w:r>
            <w:r w:rsidR="004B42DC" w:rsidRPr="00DD1C1C">
              <w:rPr>
                <w:rFonts w:ascii="Palatino Linotype" w:hAnsi="Palatino Linotype"/>
                <w:sz w:val="20"/>
                <w:szCs w:val="20"/>
              </w:rPr>
              <w:t>6</w:t>
            </w:r>
            <w:r w:rsidR="00AE1B1A" w:rsidRPr="00DD1C1C">
              <w:rPr>
                <w:rFonts w:ascii="Palatino Linotype" w:hAnsi="Palatino Linotype"/>
                <w:sz w:val="20"/>
                <w:szCs w:val="20"/>
              </w:rPr>
              <w:t xml:space="preserve"> mg/dL for the </w:t>
            </w:r>
            <w:r w:rsidR="00872044" w:rsidRPr="00DD1C1C">
              <w:rPr>
                <w:rFonts w:ascii="Palatino Linotype" w:hAnsi="Palatino Linotype"/>
                <w:sz w:val="20"/>
                <w:szCs w:val="20"/>
              </w:rPr>
              <w:t>two</w:t>
            </w:r>
            <w:r w:rsidR="00AE1B1A" w:rsidRPr="00DD1C1C">
              <w:rPr>
                <w:rFonts w:ascii="Palatino Linotype" w:hAnsi="Palatino Linotype"/>
                <w:sz w:val="20"/>
                <w:szCs w:val="20"/>
              </w:rPr>
              <w:t xml:space="preserve"> subgroup</w:t>
            </w:r>
            <w:r w:rsidR="00872044" w:rsidRPr="00DD1C1C">
              <w:rPr>
                <w:rFonts w:ascii="Palatino Linotype" w:hAnsi="Palatino Linotype"/>
                <w:sz w:val="20"/>
                <w:szCs w:val="20"/>
              </w:rPr>
              <w:t>s</w:t>
            </w:r>
            <w:r w:rsidR="00AE1B1A" w:rsidRPr="00DD1C1C">
              <w:rPr>
                <w:rFonts w:ascii="Palatino Linotype" w:hAnsi="Palatino Linotype"/>
                <w:sz w:val="20"/>
                <w:szCs w:val="20"/>
              </w:rPr>
              <w:t>.</w:t>
            </w:r>
            <w:r w:rsidR="004B42DC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872044" w:rsidRPr="00DD1C1C">
              <w:rPr>
                <w:rFonts w:ascii="Palatino Linotype" w:hAnsi="Palatino Linotype"/>
                <w:sz w:val="20"/>
                <w:szCs w:val="20"/>
              </w:rPr>
              <w:t xml:space="preserve">Fat consumption from the provided </w:t>
            </w:r>
            <w:r w:rsidR="006B5906" w:rsidRPr="00DD1C1C">
              <w:rPr>
                <w:rFonts w:ascii="Palatino Linotype" w:hAnsi="Palatino Linotype"/>
                <w:sz w:val="20"/>
                <w:szCs w:val="20"/>
              </w:rPr>
              <w:t>meat</w:t>
            </w:r>
            <w:r w:rsidR="00872044" w:rsidRPr="00DD1C1C">
              <w:rPr>
                <w:rFonts w:ascii="Palatino Linotype" w:hAnsi="Palatino Linotype"/>
                <w:sz w:val="20"/>
                <w:szCs w:val="20"/>
              </w:rPr>
              <w:t xml:space="preserve"> and store-bought </w:t>
            </w:r>
            <w:r w:rsidR="006B5906" w:rsidRPr="00DD1C1C">
              <w:rPr>
                <w:rFonts w:ascii="Palatino Linotype" w:hAnsi="Palatino Linotype"/>
                <w:sz w:val="20"/>
                <w:szCs w:val="20"/>
              </w:rPr>
              <w:t>meat</w:t>
            </w:r>
            <w:r w:rsidR="00872044" w:rsidRPr="00DD1C1C">
              <w:rPr>
                <w:rFonts w:ascii="Palatino Linotype" w:hAnsi="Palatino Linotype"/>
                <w:sz w:val="20"/>
                <w:szCs w:val="20"/>
              </w:rPr>
              <w:t xml:space="preserve"> made no difference in TC.  </w:t>
            </w:r>
          </w:p>
        </w:tc>
      </w:tr>
      <w:tr w:rsidR="00EB4A7C" w:rsidRPr="008A5B5C" w14:paraId="3AC65749" w14:textId="77777777" w:rsidTr="004B4B73">
        <w:tc>
          <w:tcPr>
            <w:tcW w:w="1260" w:type="dxa"/>
            <w:vAlign w:val="center"/>
          </w:tcPr>
          <w:p w14:paraId="0679D1B8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F</w:t>
            </w:r>
          </w:p>
        </w:tc>
        <w:tc>
          <w:tcPr>
            <w:tcW w:w="1170" w:type="dxa"/>
            <w:vAlign w:val="center"/>
          </w:tcPr>
          <w:p w14:paraId="0A6F332C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990" w:type="dxa"/>
            <w:vAlign w:val="center"/>
          </w:tcPr>
          <w:p w14:paraId="670AE2B8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6.5</w:t>
            </w:r>
          </w:p>
        </w:tc>
        <w:tc>
          <w:tcPr>
            <w:tcW w:w="1005" w:type="dxa"/>
            <w:vAlign w:val="center"/>
          </w:tcPr>
          <w:p w14:paraId="27A88E7A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19</w:t>
            </w:r>
          </w:p>
        </w:tc>
        <w:tc>
          <w:tcPr>
            <w:tcW w:w="1335" w:type="dxa"/>
            <w:vAlign w:val="center"/>
          </w:tcPr>
          <w:p w14:paraId="086EABCD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3.0</w:t>
            </w:r>
          </w:p>
        </w:tc>
        <w:tc>
          <w:tcPr>
            <w:tcW w:w="2160" w:type="dxa"/>
            <w:vAlign w:val="center"/>
          </w:tcPr>
          <w:p w14:paraId="18C183E8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350-450 </w:t>
            </w:r>
          </w:p>
        </w:tc>
        <w:tc>
          <w:tcPr>
            <w:tcW w:w="3780" w:type="dxa"/>
            <w:vAlign w:val="center"/>
          </w:tcPr>
          <w:p w14:paraId="52EE2A1B" w14:textId="72F93B20" w:rsidR="00EB4A7C" w:rsidRPr="00DD1C1C" w:rsidRDefault="00EB4A7C" w:rsidP="00EB4A7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High</w:t>
            </w:r>
            <w:r w:rsidR="00872044" w:rsidRPr="00DD1C1C">
              <w:rPr>
                <w:rFonts w:ascii="Palatino Linotype" w:hAnsi="Palatino Linotype"/>
                <w:sz w:val="20"/>
                <w:szCs w:val="20"/>
              </w:rPr>
              <w:t xml:space="preserve"> total fat, low SFA, high PUFA. Used in</w:t>
            </w:r>
            <w:r w:rsidR="00194F10" w:rsidRPr="00DD1C1C">
              <w:rPr>
                <w:rFonts w:ascii="Palatino Linotype" w:hAnsi="Palatino Linotype"/>
                <w:sz w:val="20"/>
                <w:szCs w:val="20"/>
              </w:rPr>
              <w:t xml:space="preserve"> 2 open </w:t>
            </w:r>
            <w:r w:rsidR="00A87391" w:rsidRPr="00DD1C1C">
              <w:rPr>
                <w:rFonts w:ascii="Palatino Linotype" w:hAnsi="Palatino Linotype"/>
                <w:sz w:val="20"/>
                <w:szCs w:val="20"/>
              </w:rPr>
              <w:t>center</w:t>
            </w:r>
            <w:r w:rsidR="00194F10" w:rsidRPr="00DD1C1C">
              <w:rPr>
                <w:rFonts w:ascii="Palatino Linotype" w:hAnsi="Palatino Linotype"/>
                <w:sz w:val="20"/>
                <w:szCs w:val="20"/>
              </w:rPr>
              <w:t>s.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</w:p>
        </w:tc>
        <w:tc>
          <w:tcPr>
            <w:tcW w:w="5220" w:type="dxa"/>
            <w:vAlign w:val="center"/>
          </w:tcPr>
          <w:p w14:paraId="15D22AF3" w14:textId="503D65BF" w:rsidR="00EB4A7C" w:rsidRPr="00DD1C1C" w:rsidRDefault="00872044" w:rsidP="00EB4A7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L</w:t>
            </w:r>
            <w:r w:rsidR="00EB4A7C" w:rsidRPr="00DD1C1C">
              <w:rPr>
                <w:rFonts w:ascii="Palatino Linotype" w:hAnsi="Palatino Linotype"/>
                <w:sz w:val="20"/>
                <w:szCs w:val="20"/>
              </w:rPr>
              <w:t>owest TC from baseline -27 and -25 mg/dL and -21.0 and -20.0 mg/dL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after </w:t>
            </w:r>
            <w:r w:rsidR="002B746B" w:rsidRPr="00DD1C1C">
              <w:rPr>
                <w:rFonts w:ascii="Palatino Linotype" w:hAnsi="Palatino Linotype"/>
                <w:sz w:val="20"/>
                <w:szCs w:val="20"/>
              </w:rPr>
              <w:t>36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B4A7C" w:rsidRPr="00DD1C1C">
              <w:rPr>
                <w:rFonts w:ascii="Palatino Linotype" w:hAnsi="Palatino Linotype"/>
                <w:sz w:val="20"/>
                <w:szCs w:val="20"/>
              </w:rPr>
              <w:t>weeks.</w:t>
            </w:r>
            <w:r w:rsidR="002B746B" w:rsidRPr="00DD1C1C">
              <w:rPr>
                <w:rFonts w:ascii="Palatino Linotype" w:hAnsi="Palatino Linotype"/>
                <w:sz w:val="20"/>
                <w:szCs w:val="20"/>
              </w:rPr>
              <w:t xml:space="preserve"> Results were </w:t>
            </w:r>
            <w:proofErr w:type="gramStart"/>
            <w:r w:rsidR="002B746B" w:rsidRPr="00DD1C1C">
              <w:rPr>
                <w:rFonts w:ascii="Palatino Linotype" w:hAnsi="Palatino Linotype"/>
                <w:sz w:val="20"/>
                <w:szCs w:val="20"/>
              </w:rPr>
              <w:t>similar to</w:t>
            </w:r>
            <w:proofErr w:type="gramEnd"/>
            <w:r w:rsidR="002B746B" w:rsidRPr="00DD1C1C">
              <w:rPr>
                <w:rFonts w:ascii="Palatino Linotype" w:hAnsi="Palatino Linotype"/>
                <w:sz w:val="20"/>
                <w:szCs w:val="20"/>
              </w:rPr>
              <w:t xml:space="preserve"> Diet BC despite having more PUFA. </w:t>
            </w:r>
          </w:p>
        </w:tc>
      </w:tr>
      <w:tr w:rsidR="00EB4A7C" w:rsidRPr="008A5B5C" w:rsidDel="005B7A9D" w14:paraId="0F2ED6C0" w14:textId="77777777" w:rsidTr="004B4B73">
        <w:tc>
          <w:tcPr>
            <w:tcW w:w="1260" w:type="dxa"/>
            <w:vAlign w:val="center"/>
          </w:tcPr>
          <w:p w14:paraId="660F6F66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lastRenderedPageBreak/>
              <w:t>G</w:t>
            </w:r>
          </w:p>
        </w:tc>
        <w:tc>
          <w:tcPr>
            <w:tcW w:w="1170" w:type="dxa"/>
            <w:vAlign w:val="center"/>
          </w:tcPr>
          <w:p w14:paraId="79317AC3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990" w:type="dxa"/>
            <w:vAlign w:val="center"/>
          </w:tcPr>
          <w:p w14:paraId="7A3F7B74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1005" w:type="dxa"/>
            <w:vAlign w:val="center"/>
          </w:tcPr>
          <w:p w14:paraId="707011A4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8.7</w:t>
            </w:r>
          </w:p>
        </w:tc>
        <w:tc>
          <w:tcPr>
            <w:tcW w:w="1335" w:type="dxa"/>
            <w:vAlign w:val="center"/>
          </w:tcPr>
          <w:p w14:paraId="1661AE33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0.9-1.0</w:t>
            </w:r>
          </w:p>
        </w:tc>
        <w:tc>
          <w:tcPr>
            <w:tcW w:w="2160" w:type="dxa"/>
            <w:vAlign w:val="center"/>
          </w:tcPr>
          <w:p w14:paraId="3C64AA7A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350-450</w:t>
            </w:r>
          </w:p>
        </w:tc>
        <w:tc>
          <w:tcPr>
            <w:tcW w:w="3780" w:type="dxa"/>
            <w:vAlign w:val="center"/>
          </w:tcPr>
          <w:p w14:paraId="7CECDCE3" w14:textId="1C8A7186" w:rsidR="00EB4A7C" w:rsidRPr="00DD1C1C" w:rsidRDefault="002B746B" w:rsidP="00EB4A7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High total fat, balanced</w:t>
            </w:r>
            <w:r w:rsidR="00EB4A7C" w:rsidRPr="00DD1C1C">
              <w:rPr>
                <w:rFonts w:ascii="Palatino Linotype" w:hAnsi="Palatino Linotype"/>
                <w:sz w:val="20"/>
                <w:szCs w:val="20"/>
              </w:rPr>
              <w:t xml:space="preserve"> PUFA/SFA ratio. </w:t>
            </w:r>
            <w:r w:rsidR="00A87391" w:rsidRPr="00DD1C1C">
              <w:rPr>
                <w:rFonts w:ascii="Palatino Linotype" w:hAnsi="Palatino Linotype"/>
                <w:sz w:val="20"/>
                <w:szCs w:val="20"/>
              </w:rPr>
              <w:t xml:space="preserve">Used at 2 open centers.  </w:t>
            </w:r>
          </w:p>
        </w:tc>
        <w:tc>
          <w:tcPr>
            <w:tcW w:w="5220" w:type="dxa"/>
            <w:vAlign w:val="center"/>
          </w:tcPr>
          <w:p w14:paraId="25E2F71D" w14:textId="37261CC0" w:rsidR="00EB4A7C" w:rsidRPr="00DD1C1C" w:rsidDel="005B7A9D" w:rsidRDefault="002B746B" w:rsidP="00EB4A7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L</w:t>
            </w:r>
            <w:r w:rsidR="00EB4A7C" w:rsidRPr="00DD1C1C">
              <w:rPr>
                <w:rFonts w:ascii="Palatino Linotype" w:hAnsi="Palatino Linotype"/>
                <w:sz w:val="20"/>
                <w:szCs w:val="20"/>
              </w:rPr>
              <w:t>owest TC from baseline -16 and -17 mg/dL and +3 and -12 mg/dL at 36 weeks.</w:t>
            </w:r>
            <w:r w:rsidR="002910E4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1E74F4" w:rsidRPr="00DD1C1C">
              <w:rPr>
                <w:rFonts w:ascii="Palatino Linotype" w:hAnsi="Palatino Linotype"/>
                <w:sz w:val="20"/>
                <w:szCs w:val="20"/>
              </w:rPr>
              <w:t xml:space="preserve">Results were </w:t>
            </w:r>
            <w:proofErr w:type="gramStart"/>
            <w:r w:rsidR="001E74F4" w:rsidRPr="00DD1C1C">
              <w:rPr>
                <w:rFonts w:ascii="Palatino Linotype" w:hAnsi="Palatino Linotype"/>
                <w:sz w:val="20"/>
                <w:szCs w:val="20"/>
              </w:rPr>
              <w:t>similar to</w:t>
            </w:r>
            <w:proofErr w:type="gramEnd"/>
            <w:r w:rsidR="001E74F4" w:rsidRPr="00DD1C1C">
              <w:rPr>
                <w:rFonts w:ascii="Palatino Linotype" w:hAnsi="Palatino Linotype"/>
                <w:sz w:val="20"/>
                <w:szCs w:val="20"/>
              </w:rPr>
              <w:t xml:space="preserve"> Diet D, despite having much less SFA. </w:t>
            </w:r>
          </w:p>
        </w:tc>
      </w:tr>
      <w:tr w:rsidR="00EB4A7C" w:rsidRPr="008A5B5C" w14:paraId="42CE04FA" w14:textId="77777777" w:rsidTr="004B4B73">
        <w:tc>
          <w:tcPr>
            <w:tcW w:w="1260" w:type="dxa"/>
            <w:vAlign w:val="center"/>
          </w:tcPr>
          <w:p w14:paraId="12F1349B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D</w:t>
            </w:r>
          </w:p>
        </w:tc>
        <w:tc>
          <w:tcPr>
            <w:tcW w:w="1170" w:type="dxa"/>
            <w:vAlign w:val="center"/>
          </w:tcPr>
          <w:p w14:paraId="4A7BE245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990" w:type="dxa"/>
            <w:vAlign w:val="center"/>
          </w:tcPr>
          <w:p w14:paraId="0DA4413E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sym w:font="Symbol" w:char="F0A3"/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18</w:t>
            </w:r>
          </w:p>
        </w:tc>
        <w:tc>
          <w:tcPr>
            <w:tcW w:w="1005" w:type="dxa"/>
            <w:vAlign w:val="center"/>
          </w:tcPr>
          <w:p w14:paraId="7167A8A2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sym w:font="Symbol" w:char="F0A3"/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  <w:tc>
          <w:tcPr>
            <w:tcW w:w="1335" w:type="dxa"/>
            <w:vAlign w:val="center"/>
          </w:tcPr>
          <w:p w14:paraId="30BD4923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0.4</w:t>
            </w:r>
          </w:p>
        </w:tc>
        <w:tc>
          <w:tcPr>
            <w:tcW w:w="2160" w:type="dxa"/>
            <w:vAlign w:val="center"/>
          </w:tcPr>
          <w:p w14:paraId="68AB87F9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350-450 </w:t>
            </w:r>
          </w:p>
        </w:tc>
        <w:tc>
          <w:tcPr>
            <w:tcW w:w="3780" w:type="dxa"/>
            <w:vAlign w:val="center"/>
          </w:tcPr>
          <w:p w14:paraId="178C4782" w14:textId="10B2BD3D" w:rsidR="00EB4A7C" w:rsidRPr="00DD1C1C" w:rsidRDefault="002B746B" w:rsidP="00EB4A7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Fabricated food. High total fat, high SFA, low PUFA, but typical dietary cholesterol. To represent a high cardiac risk American diet</w:t>
            </w:r>
            <w:r w:rsidR="001E74F4" w:rsidRPr="00DD1C1C">
              <w:rPr>
                <w:rFonts w:ascii="Palatino Linotype" w:hAnsi="Palatino Linotype"/>
                <w:sz w:val="20"/>
                <w:szCs w:val="20"/>
              </w:rPr>
              <w:t xml:space="preserve"> in 5 open centers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.</w:t>
            </w:r>
            <w:r w:rsidR="00EB4A7C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</w:tcPr>
          <w:p w14:paraId="7B9FF6DA" w14:textId="67F12C20" w:rsidR="001E74F4" w:rsidRPr="00DD1C1C" w:rsidRDefault="001E74F4" w:rsidP="00EB4A7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The </w:t>
            </w:r>
            <w:r w:rsidR="001F1F98" w:rsidRPr="00DD1C1C">
              <w:rPr>
                <w:rFonts w:ascii="Palatino Linotype" w:hAnsi="Palatino Linotype"/>
                <w:sz w:val="20"/>
                <w:szCs w:val="20"/>
              </w:rPr>
              <w:t xml:space="preserve">TC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results ranged +2 mg/dL to -18 mg/dL but </w:t>
            </w:r>
            <w:r w:rsidR="001F1F98" w:rsidRPr="00DD1C1C">
              <w:rPr>
                <w:rFonts w:ascii="Palatino Linotype" w:hAnsi="Palatino Linotype"/>
                <w:sz w:val="20"/>
                <w:szCs w:val="20"/>
              </w:rPr>
              <w:t xml:space="preserve">did not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increase </w:t>
            </w:r>
            <w:r w:rsidR="001F1F98" w:rsidRPr="00DD1C1C">
              <w:rPr>
                <w:rFonts w:ascii="Palatino Linotype" w:hAnsi="Palatino Linotype"/>
                <w:sz w:val="20"/>
                <w:szCs w:val="20"/>
              </w:rPr>
              <w:t xml:space="preserve">significantly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despite the having very high SFA. </w:t>
            </w:r>
          </w:p>
        </w:tc>
      </w:tr>
      <w:tr w:rsidR="00EB4A7C" w:rsidRPr="008A5B5C" w:rsidDel="008F0FA5" w14:paraId="3BF628F2" w14:textId="77777777" w:rsidTr="004B4B73">
        <w:tc>
          <w:tcPr>
            <w:tcW w:w="1260" w:type="dxa"/>
            <w:vAlign w:val="center"/>
          </w:tcPr>
          <w:p w14:paraId="74A1C75B" w14:textId="70AED0F3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170" w:type="dxa"/>
            <w:vAlign w:val="center"/>
          </w:tcPr>
          <w:p w14:paraId="7D69D468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25-30</w:t>
            </w:r>
          </w:p>
        </w:tc>
        <w:tc>
          <w:tcPr>
            <w:tcW w:w="990" w:type="dxa"/>
            <w:vAlign w:val="center"/>
          </w:tcPr>
          <w:p w14:paraId="60069EC7" w14:textId="3121DF91" w:rsidR="00EB4A7C" w:rsidRPr="00DD1C1C" w:rsidRDefault="00703C5D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005" w:type="dxa"/>
            <w:vAlign w:val="center"/>
          </w:tcPr>
          <w:p w14:paraId="79062203" w14:textId="7B8A9D81" w:rsidR="00EB4A7C" w:rsidRPr="00DD1C1C" w:rsidRDefault="00703C5D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335" w:type="dxa"/>
            <w:vAlign w:val="center"/>
          </w:tcPr>
          <w:p w14:paraId="7B53D89A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1.0</w:t>
            </w:r>
          </w:p>
        </w:tc>
        <w:tc>
          <w:tcPr>
            <w:tcW w:w="2160" w:type="dxa"/>
            <w:vAlign w:val="center"/>
          </w:tcPr>
          <w:p w14:paraId="5AA9948A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350-450</w:t>
            </w:r>
          </w:p>
        </w:tc>
        <w:tc>
          <w:tcPr>
            <w:tcW w:w="3780" w:type="dxa"/>
            <w:vAlign w:val="center"/>
          </w:tcPr>
          <w:p w14:paraId="36B45111" w14:textId="4022F6E2" w:rsidR="00EB4A7C" w:rsidRPr="00DD1C1C" w:rsidRDefault="001F1F98" w:rsidP="00EB4A7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Food purchased by subject from local grocery. Dietary instructions to eat low total fat and cholesterol.</w:t>
            </w:r>
          </w:p>
        </w:tc>
        <w:tc>
          <w:tcPr>
            <w:tcW w:w="5220" w:type="dxa"/>
          </w:tcPr>
          <w:p w14:paraId="3E96D856" w14:textId="276FF17A" w:rsidR="00EB4A7C" w:rsidRPr="00DD1C1C" w:rsidDel="008F0FA5" w:rsidRDefault="00EB4A7C" w:rsidP="00EB4A7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TC was -24.0 mg/dL at 6 weeks and -22.0 mg/dL at 28 weeks. Compared to </w:t>
            </w:r>
            <w:r w:rsidR="001F1F98" w:rsidRPr="00DD1C1C">
              <w:rPr>
                <w:rFonts w:ascii="Palatino Linotype" w:hAnsi="Palatino Linotype"/>
                <w:sz w:val="20"/>
                <w:szCs w:val="20"/>
              </w:rPr>
              <w:t xml:space="preserve">Diet X in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the First Study, the drop in TC was smaller. </w:t>
            </w:r>
            <w:r w:rsidR="001F1F98" w:rsidRPr="00DD1C1C">
              <w:rPr>
                <w:rFonts w:ascii="Palatino Linotype" w:hAnsi="Palatino Linotype"/>
                <w:sz w:val="20"/>
                <w:szCs w:val="20"/>
              </w:rPr>
              <w:t xml:space="preserve">No explanation was given. </w:t>
            </w:r>
          </w:p>
        </w:tc>
      </w:tr>
      <w:tr w:rsidR="00EB4A7C" w:rsidRPr="008A5B5C" w14:paraId="369E0C40" w14:textId="77777777" w:rsidTr="004B4B73">
        <w:tc>
          <w:tcPr>
            <w:tcW w:w="1260" w:type="dxa"/>
            <w:vAlign w:val="center"/>
          </w:tcPr>
          <w:p w14:paraId="6D8D8D40" w14:textId="77777777" w:rsidR="00EB4A7C" w:rsidRPr="00DD1C1C" w:rsidRDefault="00EB4A7C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Z</w:t>
            </w:r>
          </w:p>
        </w:tc>
        <w:tc>
          <w:tcPr>
            <w:tcW w:w="1170" w:type="dxa"/>
            <w:vAlign w:val="center"/>
          </w:tcPr>
          <w:p w14:paraId="6A70B913" w14:textId="0FC96A48" w:rsidR="00EB4A7C" w:rsidRPr="00DD1C1C" w:rsidRDefault="00703C5D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990" w:type="dxa"/>
            <w:vAlign w:val="center"/>
          </w:tcPr>
          <w:p w14:paraId="0178EC3E" w14:textId="3CFF0EEB" w:rsidR="00EB4A7C" w:rsidRPr="00DD1C1C" w:rsidRDefault="00703C5D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005" w:type="dxa"/>
            <w:vAlign w:val="center"/>
          </w:tcPr>
          <w:p w14:paraId="170BADF0" w14:textId="1FEC2125" w:rsidR="00EB4A7C" w:rsidRPr="00DD1C1C" w:rsidRDefault="00703C5D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335" w:type="dxa"/>
            <w:vAlign w:val="center"/>
          </w:tcPr>
          <w:p w14:paraId="361C987F" w14:textId="40C03EC4" w:rsidR="00EB4A7C" w:rsidRPr="00DD1C1C" w:rsidRDefault="00703C5D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2160" w:type="dxa"/>
            <w:vAlign w:val="center"/>
          </w:tcPr>
          <w:p w14:paraId="021309FC" w14:textId="2A34B321" w:rsidR="00EB4A7C" w:rsidRPr="00DD1C1C" w:rsidRDefault="00703C5D" w:rsidP="00EB4A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3780" w:type="dxa"/>
            <w:vAlign w:val="center"/>
          </w:tcPr>
          <w:p w14:paraId="2F72A911" w14:textId="61E11B8F" w:rsidR="00EB4A7C" w:rsidRPr="00DD1C1C" w:rsidRDefault="001F1F98" w:rsidP="00EB4A7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No dietary instructions or restrictions. </w:t>
            </w:r>
            <w:r w:rsidR="00D62B2B" w:rsidRPr="00DD1C1C">
              <w:rPr>
                <w:rFonts w:ascii="Palatino Linotype" w:hAnsi="Palatino Linotype"/>
                <w:sz w:val="20"/>
                <w:szCs w:val="20"/>
              </w:rPr>
              <w:t xml:space="preserve">No fabricated food provided.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This was </w:t>
            </w:r>
            <w:r w:rsidR="00F91E7A" w:rsidRPr="00DD1C1C">
              <w:rPr>
                <w:rFonts w:ascii="Palatino Linotype" w:hAnsi="Palatino Linotype"/>
                <w:sz w:val="20"/>
                <w:szCs w:val="20"/>
              </w:rPr>
              <w:t xml:space="preserve">also an American diet but was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referred to as the true control</w:t>
            </w:r>
            <w:r w:rsidR="00F91E7A" w:rsidRPr="00DD1C1C">
              <w:rPr>
                <w:rFonts w:ascii="Palatino Linotype" w:hAnsi="Palatino Linotype"/>
                <w:sz w:val="20"/>
                <w:szCs w:val="20"/>
              </w:rPr>
              <w:t xml:space="preserve"> because, unlike Diet D, it was uncontrolled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  <w:r w:rsidR="00EB4A7C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</w:tcPr>
          <w:p w14:paraId="5CCCC492" w14:textId="390647C3" w:rsidR="00EB4A7C" w:rsidRPr="00DD1C1C" w:rsidRDefault="009F4245" w:rsidP="00EB4A7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Change in </w:t>
            </w:r>
            <w:r w:rsidR="00EB4A7C" w:rsidRPr="00DD1C1C">
              <w:rPr>
                <w:rFonts w:ascii="Palatino Linotype" w:hAnsi="Palatino Linotype"/>
                <w:sz w:val="20"/>
                <w:szCs w:val="20"/>
              </w:rPr>
              <w:t>TC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of</w:t>
            </w:r>
            <w:r w:rsidR="00EB4A7C" w:rsidRPr="00DD1C1C">
              <w:rPr>
                <w:rFonts w:ascii="Palatino Linotype" w:hAnsi="Palatino Linotype"/>
                <w:sz w:val="20"/>
                <w:szCs w:val="20"/>
              </w:rPr>
              <w:t xml:space="preserve"> +2 mg/dL from baseline </w:t>
            </w:r>
            <w:r w:rsidR="00732E52" w:rsidRPr="00DD1C1C">
              <w:rPr>
                <w:rFonts w:ascii="Palatino Linotype" w:hAnsi="Palatino Linotype"/>
                <w:sz w:val="20"/>
                <w:szCs w:val="20"/>
              </w:rPr>
              <w:t>a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t</w:t>
            </w:r>
            <w:r w:rsidR="00EB4A7C" w:rsidRPr="00DD1C1C">
              <w:rPr>
                <w:rFonts w:ascii="Palatino Linotype" w:hAnsi="Palatino Linotype"/>
                <w:sz w:val="20"/>
                <w:szCs w:val="20"/>
              </w:rPr>
              <w:t xml:space="preserve"> 36 weeks</w:t>
            </w:r>
            <w:r w:rsidR="00D62B2B" w:rsidRPr="00DD1C1C">
              <w:rPr>
                <w:rFonts w:ascii="Palatino Linotype" w:hAnsi="Palatino Linotype"/>
                <w:sz w:val="20"/>
                <w:szCs w:val="20"/>
              </w:rPr>
              <w:t xml:space="preserve"> was not significant</w:t>
            </w:r>
            <w:r w:rsidR="00EB4A7C" w:rsidRPr="00DD1C1C">
              <w:rPr>
                <w:rFonts w:ascii="Palatino Linotype" w:hAnsi="Palatino Linotype"/>
                <w:sz w:val="20"/>
                <w:szCs w:val="20"/>
              </w:rPr>
              <w:t>.</w:t>
            </w:r>
            <w:r w:rsidR="00BB7199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F91E7A" w:rsidRPr="00DD1C1C">
              <w:rPr>
                <w:rFonts w:ascii="Palatino Linotype" w:hAnsi="Palatino Linotype"/>
                <w:sz w:val="20"/>
                <w:szCs w:val="20"/>
              </w:rPr>
              <w:t xml:space="preserve">The results of Diet Z showed </w:t>
            </w:r>
            <w:r w:rsidR="00BB7199" w:rsidRPr="00DD1C1C">
              <w:rPr>
                <w:rFonts w:ascii="Palatino Linotype" w:hAnsi="Palatino Linotype"/>
                <w:sz w:val="20"/>
                <w:szCs w:val="20"/>
              </w:rPr>
              <w:t>that a true control group would not significantly change their diet</w:t>
            </w:r>
            <w:r w:rsidR="00F91E7A" w:rsidRPr="00DD1C1C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  <w:r w:rsidR="006B5906" w:rsidRPr="00DD1C1C">
              <w:rPr>
                <w:rFonts w:ascii="Palatino Linotype" w:hAnsi="Palatino Linotype"/>
                <w:sz w:val="20"/>
                <w:szCs w:val="20"/>
              </w:rPr>
              <w:t xml:space="preserve">The results of </w:t>
            </w:r>
            <w:r w:rsidR="00F91E7A" w:rsidRPr="00DD1C1C">
              <w:rPr>
                <w:rFonts w:ascii="Palatino Linotype" w:hAnsi="Palatino Linotype"/>
                <w:sz w:val="20"/>
                <w:szCs w:val="20"/>
              </w:rPr>
              <w:t xml:space="preserve">Diet Z </w:t>
            </w:r>
            <w:r w:rsidR="006B5906" w:rsidRPr="00DD1C1C">
              <w:rPr>
                <w:rFonts w:ascii="Palatino Linotype" w:hAnsi="Palatino Linotype"/>
                <w:sz w:val="20"/>
                <w:szCs w:val="20"/>
              </w:rPr>
              <w:t>were</w:t>
            </w:r>
            <w:r w:rsidR="00F91E7A" w:rsidRPr="00DD1C1C">
              <w:rPr>
                <w:rFonts w:ascii="Palatino Linotype" w:hAnsi="Palatino Linotype"/>
                <w:sz w:val="20"/>
                <w:szCs w:val="20"/>
              </w:rPr>
              <w:t xml:space="preserve"> more </w:t>
            </w:r>
            <w:r w:rsidR="006B5906" w:rsidRPr="00DD1C1C">
              <w:rPr>
                <w:rFonts w:ascii="Palatino Linotype" w:hAnsi="Palatino Linotype"/>
                <w:sz w:val="20"/>
                <w:szCs w:val="20"/>
              </w:rPr>
              <w:t xml:space="preserve">representative of the typical American diet </w:t>
            </w:r>
            <w:r w:rsidR="00F91E7A" w:rsidRPr="00DD1C1C">
              <w:rPr>
                <w:rFonts w:ascii="Palatino Linotype" w:hAnsi="Palatino Linotype"/>
                <w:sz w:val="20"/>
                <w:szCs w:val="20"/>
              </w:rPr>
              <w:t xml:space="preserve">than </w:t>
            </w:r>
            <w:r w:rsidR="00BB7199" w:rsidRPr="00DD1C1C">
              <w:rPr>
                <w:rFonts w:ascii="Palatino Linotype" w:hAnsi="Palatino Linotype"/>
                <w:sz w:val="20"/>
                <w:szCs w:val="20"/>
              </w:rPr>
              <w:t>Diet D.</w:t>
            </w:r>
            <w:r w:rsidR="00D62B2B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</w:tbl>
    <w:p w14:paraId="325E3BCF" w14:textId="3040CF5F" w:rsidR="000F43E3" w:rsidRPr="00DD1C1C" w:rsidRDefault="000F43E3" w:rsidP="000F43E3">
      <w:pPr>
        <w:spacing w:after="0"/>
        <w:rPr>
          <w:rFonts w:ascii="Palatino Linotype" w:hAnsi="Palatino Linotype"/>
          <w:sz w:val="20"/>
          <w:szCs w:val="20"/>
        </w:rPr>
      </w:pPr>
      <w:r w:rsidRPr="00DD1C1C">
        <w:rPr>
          <w:rFonts w:ascii="Palatino Linotype" w:hAnsi="Palatino Linotype"/>
          <w:sz w:val="20"/>
          <w:szCs w:val="20"/>
        </w:rPr>
        <w:tab/>
        <w:t xml:space="preserve"> </w:t>
      </w:r>
    </w:p>
    <w:p w14:paraId="25F31F7C" w14:textId="7804AB5C" w:rsidR="00ED4014" w:rsidRPr="00DD1C1C" w:rsidRDefault="00ED4014">
      <w:pPr>
        <w:rPr>
          <w:rFonts w:ascii="Palatino Linotype" w:hAnsi="Palatino Linotype"/>
          <w:sz w:val="20"/>
          <w:szCs w:val="20"/>
        </w:rPr>
      </w:pPr>
      <w:r w:rsidRPr="00DD1C1C">
        <w:rPr>
          <w:rFonts w:ascii="Palatino Linotype" w:hAnsi="Palatino Linotype"/>
          <w:sz w:val="20"/>
          <w:szCs w:val="20"/>
        </w:rPr>
        <w:br w:type="page"/>
      </w:r>
    </w:p>
    <w:p w14:paraId="58149EFC" w14:textId="66C9D11B" w:rsidR="00ED4014" w:rsidRPr="00833213" w:rsidRDefault="00E420D6" w:rsidP="00833213">
      <w:pPr>
        <w:spacing w:before="240" w:after="120" w:line="228" w:lineRule="auto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lastRenderedPageBreak/>
        <w:t xml:space="preserve">Supplementary </w:t>
      </w:r>
      <w:r w:rsidR="00ED4014" w:rsidRPr="00DD1C1C">
        <w:rPr>
          <w:rFonts w:ascii="Palatino Linotype" w:hAnsi="Palatino Linotype"/>
          <w:b/>
          <w:bCs/>
          <w:sz w:val="18"/>
          <w:szCs w:val="18"/>
        </w:rPr>
        <w:t xml:space="preserve">Table 3. </w:t>
      </w:r>
      <w:r w:rsidR="00ED4014" w:rsidRPr="00DD1C1C">
        <w:rPr>
          <w:rFonts w:ascii="Palatino Linotype" w:hAnsi="Palatino Linotype"/>
          <w:sz w:val="18"/>
          <w:szCs w:val="18"/>
        </w:rPr>
        <w:t xml:space="preserve">A brief history of the lipid-heart hypothesis. </w:t>
      </w:r>
      <w:r w:rsidR="00906128" w:rsidRPr="00DD1C1C">
        <w:rPr>
          <w:rFonts w:ascii="Palatino Linotype" w:hAnsi="Palatino Linotype"/>
          <w:sz w:val="18"/>
          <w:szCs w:val="18"/>
        </w:rPr>
        <w:t>Please r</w:t>
      </w:r>
      <w:r w:rsidR="00E56DFD" w:rsidRPr="00DD1C1C">
        <w:rPr>
          <w:rFonts w:ascii="Palatino Linotype" w:hAnsi="Palatino Linotype"/>
          <w:sz w:val="18"/>
          <w:szCs w:val="18"/>
        </w:rPr>
        <w:t xml:space="preserve">efer to text for details and references.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96"/>
        <w:gridCol w:w="13750"/>
      </w:tblGrid>
      <w:tr w:rsidR="00ED4014" w:rsidRPr="00ED4014" w14:paraId="6C160B5D" w14:textId="77777777" w:rsidTr="00ED269D">
        <w:tc>
          <w:tcPr>
            <w:tcW w:w="1696" w:type="dxa"/>
          </w:tcPr>
          <w:p w14:paraId="2A241A2A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1953</w:t>
            </w:r>
          </w:p>
        </w:tc>
        <w:tc>
          <w:tcPr>
            <w:tcW w:w="13750" w:type="dxa"/>
          </w:tcPr>
          <w:p w14:paraId="460C9752" w14:textId="148ABDF9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Ancel Keys introduces the lipid-heart hypothesis</w:t>
            </w:r>
            <w:r w:rsidR="009C094A" w:rsidRPr="00DD1C1C">
              <w:rPr>
                <w:rFonts w:ascii="Palatino Linotype" w:hAnsi="Palatino Linotype"/>
                <w:sz w:val="20"/>
                <w:szCs w:val="20"/>
              </w:rPr>
              <w:t xml:space="preserve"> in presentations and published articles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ED4014" w:rsidRPr="00ED4014" w14:paraId="1B0D5A27" w14:textId="77777777" w:rsidTr="00ED269D">
        <w:tc>
          <w:tcPr>
            <w:tcW w:w="1696" w:type="dxa"/>
          </w:tcPr>
          <w:p w14:paraId="24BEE22D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1957</w:t>
            </w:r>
          </w:p>
        </w:tc>
        <w:tc>
          <w:tcPr>
            <w:tcW w:w="13750" w:type="dxa"/>
          </w:tcPr>
          <w:p w14:paraId="49F7A7B2" w14:textId="77777777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Keys proposes the first of several equations to try to explain his hypothesis:</w:t>
            </w:r>
          </w:p>
          <w:p w14:paraId="3CE93F37" w14:textId="598CC601" w:rsidR="00ED4014" w:rsidRPr="00DD1C1C" w:rsidRDefault="00ED4014" w:rsidP="004276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Symbol" w:hAnsi="Symbol" w:cstheme="minorHAnsi"/>
                <w:sz w:val="20"/>
                <w:szCs w:val="20"/>
              </w:rPr>
              <w:t>D</w:t>
            </w:r>
            <w:r w:rsidRPr="00DD1C1C">
              <w:rPr>
                <w:rFonts w:ascii="Palatino Linotype" w:hAnsi="Palatino Linotype" w:cstheme="minorHAnsi"/>
                <w:sz w:val="20"/>
                <w:szCs w:val="20"/>
              </w:rPr>
              <w:t>Chol. = 2.74</w:t>
            </w:r>
            <w:r w:rsidR="00E420D6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 w:rsidRPr="00DD1C1C">
              <w:rPr>
                <w:rFonts w:ascii="Symbol" w:hAnsi="Symbol" w:cstheme="minorHAnsi"/>
                <w:sz w:val="20"/>
                <w:szCs w:val="20"/>
              </w:rPr>
              <w:t>D</w:t>
            </w:r>
            <w:r w:rsidRPr="00DD1C1C">
              <w:rPr>
                <w:rFonts w:ascii="Palatino Linotype" w:hAnsi="Palatino Linotype" w:cstheme="minorHAnsi"/>
                <w:sz w:val="20"/>
                <w:szCs w:val="20"/>
              </w:rPr>
              <w:t>S – 1.31</w:t>
            </w:r>
            <w:r w:rsidR="00E420D6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 w:rsidRPr="00DD1C1C">
              <w:rPr>
                <w:rFonts w:ascii="Symbol" w:hAnsi="Symbol" w:cstheme="minorHAnsi"/>
                <w:sz w:val="20"/>
                <w:szCs w:val="20"/>
              </w:rPr>
              <w:t>D</w:t>
            </w:r>
            <w:r w:rsidRPr="00DD1C1C">
              <w:rPr>
                <w:rFonts w:ascii="Palatino Linotype" w:hAnsi="Palatino Linotype" w:cstheme="minorHAnsi"/>
                <w:sz w:val="20"/>
                <w:szCs w:val="20"/>
              </w:rPr>
              <w:t>P</w:t>
            </w:r>
          </w:p>
          <w:p w14:paraId="5B2AFBDE" w14:textId="4B504245" w:rsidR="00ED4014" w:rsidRPr="00DD1C1C" w:rsidRDefault="00D914F3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w</w:t>
            </w:r>
            <w:r w:rsidR="00ED4014" w:rsidRPr="00DD1C1C">
              <w:rPr>
                <w:rFonts w:ascii="Palatino Linotype" w:hAnsi="Palatino Linotype"/>
                <w:sz w:val="20"/>
                <w:szCs w:val="20"/>
              </w:rPr>
              <w:t xml:space="preserve">here </w:t>
            </w:r>
            <w:r w:rsidR="00ED4014" w:rsidRPr="00DD1C1C">
              <w:rPr>
                <w:rFonts w:ascii="Symbol" w:hAnsi="Symbol" w:cstheme="minorHAnsi"/>
                <w:sz w:val="20"/>
                <w:szCs w:val="20"/>
              </w:rPr>
              <w:t>D</w:t>
            </w:r>
            <w:r w:rsidR="00ED4014" w:rsidRPr="00DD1C1C">
              <w:rPr>
                <w:rFonts w:ascii="Palatino Linotype" w:hAnsi="Palatino Linotype" w:cstheme="minorHAnsi"/>
                <w:sz w:val="20"/>
                <w:szCs w:val="20"/>
              </w:rPr>
              <w:t xml:space="preserve">Chol. is total serum cholesterol, </w:t>
            </w:r>
            <w:r w:rsidR="00ED4014" w:rsidRPr="00DD1C1C">
              <w:rPr>
                <w:rFonts w:ascii="Symbol" w:hAnsi="Symbol" w:cstheme="minorHAnsi"/>
                <w:sz w:val="20"/>
                <w:szCs w:val="20"/>
              </w:rPr>
              <w:t>D</w:t>
            </w:r>
            <w:r w:rsidR="00ED4014" w:rsidRPr="00DD1C1C">
              <w:rPr>
                <w:rFonts w:ascii="Palatino Linotype" w:hAnsi="Palatino Linotype" w:cstheme="minorHAnsi"/>
                <w:sz w:val="20"/>
                <w:szCs w:val="20"/>
              </w:rPr>
              <w:t>S is saturated fat</w:t>
            </w:r>
            <w:r w:rsidR="00833213">
              <w:rPr>
                <w:rFonts w:ascii="Palatino Linotype" w:hAnsi="Palatino Linotype" w:cstheme="minorHAnsi"/>
                <w:sz w:val="20"/>
                <w:szCs w:val="20"/>
              </w:rPr>
              <w:t>,</w:t>
            </w:r>
            <w:r w:rsidR="00ED4014" w:rsidRPr="00DD1C1C">
              <w:rPr>
                <w:rFonts w:ascii="Palatino Linotype" w:hAnsi="Palatino Linotype" w:cstheme="minorHAnsi"/>
                <w:sz w:val="20"/>
                <w:szCs w:val="20"/>
              </w:rPr>
              <w:t xml:space="preserve"> which </w:t>
            </w:r>
            <w:r w:rsidRPr="00DD1C1C">
              <w:rPr>
                <w:rFonts w:ascii="Palatino Linotype" w:hAnsi="Palatino Linotype" w:cstheme="minorHAnsi"/>
                <w:sz w:val="20"/>
                <w:szCs w:val="20"/>
              </w:rPr>
              <w:t>i</w:t>
            </w:r>
            <w:r w:rsidR="00ED4014" w:rsidRPr="00DD1C1C">
              <w:rPr>
                <w:rFonts w:ascii="Palatino Linotype" w:hAnsi="Palatino Linotype" w:cstheme="minorHAnsi"/>
                <w:sz w:val="20"/>
                <w:szCs w:val="20"/>
              </w:rPr>
              <w:t>s co</w:t>
            </w:r>
            <w:r w:rsidR="007E0A7B">
              <w:rPr>
                <w:rFonts w:ascii="Palatino Linotype" w:hAnsi="Palatino Linotype" w:cstheme="minorHAnsi"/>
                <w:sz w:val="20"/>
                <w:szCs w:val="20"/>
              </w:rPr>
              <w:t>nflated</w:t>
            </w:r>
            <w:r w:rsidR="00ED4014" w:rsidRPr="00DD1C1C">
              <w:rPr>
                <w:rFonts w:ascii="Palatino Linotype" w:hAnsi="Palatino Linotype" w:cstheme="minorHAnsi"/>
                <w:sz w:val="20"/>
                <w:szCs w:val="20"/>
              </w:rPr>
              <w:t xml:space="preserve"> with </w:t>
            </w:r>
            <w:r w:rsidR="00ED4014" w:rsidRPr="007E0A7B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trans</w:t>
            </w:r>
            <w:r w:rsidR="00ED4014" w:rsidRPr="00DD1C1C">
              <w:rPr>
                <w:rFonts w:ascii="Palatino Linotype" w:hAnsi="Palatino Linotype" w:cstheme="minorHAnsi"/>
                <w:sz w:val="20"/>
                <w:szCs w:val="20"/>
              </w:rPr>
              <w:t xml:space="preserve">-fat, and </w:t>
            </w:r>
            <w:r w:rsidR="00ED4014" w:rsidRPr="00DD1C1C">
              <w:rPr>
                <w:rFonts w:ascii="Symbol" w:hAnsi="Symbol" w:cstheme="minorHAnsi"/>
                <w:sz w:val="20"/>
                <w:szCs w:val="20"/>
              </w:rPr>
              <w:t>D</w:t>
            </w:r>
            <w:r w:rsidR="00ED4014" w:rsidRPr="00DD1C1C">
              <w:rPr>
                <w:rFonts w:ascii="Palatino Linotype" w:hAnsi="Palatino Linotype" w:cstheme="minorHAnsi"/>
                <w:sz w:val="20"/>
                <w:szCs w:val="20"/>
              </w:rPr>
              <w:t xml:space="preserve">P </w:t>
            </w:r>
            <w:r w:rsidRPr="00DD1C1C">
              <w:rPr>
                <w:rFonts w:ascii="Palatino Linotype" w:hAnsi="Palatino Linotype" w:cstheme="minorHAnsi"/>
                <w:sz w:val="20"/>
                <w:szCs w:val="20"/>
              </w:rPr>
              <w:t>i</w:t>
            </w:r>
            <w:r w:rsidR="00ED4014" w:rsidRPr="00DD1C1C">
              <w:rPr>
                <w:rFonts w:ascii="Palatino Linotype" w:hAnsi="Palatino Linotype" w:cstheme="minorHAnsi"/>
                <w:sz w:val="20"/>
                <w:szCs w:val="20"/>
              </w:rPr>
              <w:t>s polyunsaturated fat, mainly linoleic acid. Keys used hydrogenated coconut oil (“</w:t>
            </w:r>
            <w:proofErr w:type="spellStart"/>
            <w:r w:rsidR="00ED4014" w:rsidRPr="00DD1C1C">
              <w:rPr>
                <w:rFonts w:ascii="Palatino Linotype" w:hAnsi="Palatino Linotype" w:cstheme="minorHAnsi"/>
                <w:sz w:val="20"/>
                <w:szCs w:val="20"/>
              </w:rPr>
              <w:t>Hydrol</w:t>
            </w:r>
            <w:proofErr w:type="spellEnd"/>
            <w:r w:rsidR="00ED4014" w:rsidRPr="00DD1C1C">
              <w:rPr>
                <w:rFonts w:ascii="Palatino Linotype" w:hAnsi="Palatino Linotype" w:cstheme="minorHAnsi"/>
                <w:sz w:val="20"/>
                <w:szCs w:val="20"/>
              </w:rPr>
              <w:t xml:space="preserve">”) as one of his feeding samples. Using the linear relationship of </w:t>
            </w:r>
            <w:r w:rsidRPr="00DD1C1C">
              <w:rPr>
                <w:rFonts w:ascii="Palatino Linotype" w:hAnsi="Palatino Linotype" w:cstheme="minorHAnsi"/>
                <w:sz w:val="20"/>
                <w:szCs w:val="20"/>
              </w:rPr>
              <w:t xml:space="preserve">the square root of </w:t>
            </w:r>
            <w:r w:rsidR="00ED4014" w:rsidRPr="00DD1C1C">
              <w:rPr>
                <w:rFonts w:ascii="Palatino Linotype" w:hAnsi="Palatino Linotype" w:cstheme="minorHAnsi"/>
                <w:sz w:val="20"/>
                <w:szCs w:val="20"/>
              </w:rPr>
              <w:t>iodine values of fat and oil samples with serum cholesterol, Keys defined saturated fat as a fat that raise</w:t>
            </w:r>
            <w:r w:rsidRPr="00DD1C1C">
              <w:rPr>
                <w:rFonts w:ascii="Palatino Linotype" w:hAnsi="Palatino Linotype" w:cstheme="minorHAnsi"/>
                <w:sz w:val="20"/>
                <w:szCs w:val="20"/>
              </w:rPr>
              <w:t>s</w:t>
            </w:r>
            <w:r w:rsidR="00ED4014" w:rsidRPr="00DD1C1C">
              <w:rPr>
                <w:rFonts w:ascii="Palatino Linotype" w:hAnsi="Palatino Linotype" w:cstheme="minorHAnsi"/>
                <w:sz w:val="20"/>
                <w:szCs w:val="20"/>
              </w:rPr>
              <w:t xml:space="preserve"> serum cholesterol. </w:t>
            </w:r>
          </w:p>
        </w:tc>
      </w:tr>
      <w:tr w:rsidR="00906128" w:rsidRPr="00ED4014" w14:paraId="6E244A6F" w14:textId="77777777" w:rsidTr="00ED269D">
        <w:tc>
          <w:tcPr>
            <w:tcW w:w="1696" w:type="dxa"/>
          </w:tcPr>
          <w:p w14:paraId="711FA8F7" w14:textId="5000ADF8" w:rsidR="00906128" w:rsidRPr="00DD1C1C" w:rsidRDefault="00906128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1957</w:t>
            </w:r>
          </w:p>
        </w:tc>
        <w:tc>
          <w:tcPr>
            <w:tcW w:w="13750" w:type="dxa"/>
          </w:tcPr>
          <w:p w14:paraId="66A1F441" w14:textId="4094A329" w:rsidR="00906128" w:rsidRPr="00DD1C1C" w:rsidRDefault="00906128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Kummerow and co-workers develop a quantitative method to measure </w:t>
            </w:r>
            <w:r w:rsidRPr="00DD1C1C">
              <w:rPr>
                <w:rFonts w:ascii="Palatino Linotype" w:hAnsi="Palatino Linotype"/>
                <w:i/>
                <w:iCs/>
                <w:sz w:val="20"/>
                <w:szCs w:val="20"/>
              </w:rPr>
              <w:t>trans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-fat and report the presence of </w:t>
            </w:r>
            <w:r w:rsidRPr="00DD1C1C">
              <w:rPr>
                <w:rFonts w:ascii="Palatino Linotype" w:hAnsi="Palatino Linotype"/>
                <w:i/>
                <w:iCs/>
                <w:sz w:val="20"/>
                <w:szCs w:val="20"/>
              </w:rPr>
              <w:t>trans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-fatty acids in human autopsy and biopsy material. Kummerow also reports that hydrogenated shortenings and margarines contain 23 to 42% trans fatty acids.</w:t>
            </w:r>
          </w:p>
        </w:tc>
      </w:tr>
      <w:tr w:rsidR="00ED4014" w:rsidRPr="00ED4014" w14:paraId="29615950" w14:textId="77777777" w:rsidTr="00ED269D">
        <w:tc>
          <w:tcPr>
            <w:tcW w:w="1696" w:type="dxa"/>
          </w:tcPr>
          <w:p w14:paraId="6A485039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1957 - 1966</w:t>
            </w:r>
          </w:p>
        </w:tc>
        <w:tc>
          <w:tcPr>
            <w:tcW w:w="13750" w:type="dxa"/>
          </w:tcPr>
          <w:p w14:paraId="733A948A" w14:textId="0F5BCAB3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The </w:t>
            </w:r>
            <w:r w:rsidR="0057048C" w:rsidRPr="00DD1C1C">
              <w:rPr>
                <w:rFonts w:ascii="Palatino Linotype" w:hAnsi="Palatino Linotype"/>
                <w:sz w:val="20"/>
                <w:szCs w:val="20"/>
              </w:rPr>
              <w:t>A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nti-Coronary Club Study which advocate</w:t>
            </w:r>
            <w:r w:rsidR="00D914F3" w:rsidRPr="00DD1C1C">
              <w:rPr>
                <w:rFonts w:ascii="Palatino Linotype" w:hAnsi="Palatino Linotype"/>
                <w:sz w:val="20"/>
                <w:szCs w:val="20"/>
              </w:rPr>
              <w:t>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for reduced consumption of total fat and dietary cholesterol and replacing saturated fat with polyunsaturated fat g</w:t>
            </w:r>
            <w:r w:rsidR="00D914F3" w:rsidRPr="00DD1C1C">
              <w:rPr>
                <w:rFonts w:ascii="Palatino Linotype" w:hAnsi="Palatino Linotype"/>
                <w:sz w:val="20"/>
                <w:szCs w:val="20"/>
              </w:rPr>
              <w:t>i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ve</w:t>
            </w:r>
            <w:r w:rsidR="00D914F3" w:rsidRPr="00DD1C1C">
              <w:rPr>
                <w:rFonts w:ascii="Palatino Linotype" w:hAnsi="Palatino Linotype"/>
                <w:sz w:val="20"/>
                <w:szCs w:val="20"/>
              </w:rPr>
              <w:t>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mixed results </w:t>
            </w:r>
            <w:r w:rsidR="00D914F3" w:rsidRPr="00DD1C1C">
              <w:rPr>
                <w:rFonts w:ascii="Palatino Linotype" w:hAnsi="Palatino Linotype"/>
                <w:sz w:val="20"/>
                <w:szCs w:val="20"/>
              </w:rPr>
              <w:t>with fewer heart attacks but more deaths in the Prudent Diet group than the control group, which experienced no deaths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</w:p>
        </w:tc>
      </w:tr>
      <w:tr w:rsidR="00ED4014" w:rsidRPr="00ED4014" w14:paraId="2BFF6D73" w14:textId="77777777" w:rsidTr="00ED269D">
        <w:tc>
          <w:tcPr>
            <w:tcW w:w="1696" w:type="dxa"/>
          </w:tcPr>
          <w:p w14:paraId="16AC0A30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1957 - 1984</w:t>
            </w:r>
          </w:p>
        </w:tc>
        <w:tc>
          <w:tcPr>
            <w:tcW w:w="13750" w:type="dxa"/>
          </w:tcPr>
          <w:p w14:paraId="610F88C9" w14:textId="4AA3D818" w:rsidR="00B456AB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The Seven Countries Study (SCS) </w:t>
            </w:r>
            <w:r w:rsidR="00176A71" w:rsidRPr="00DD1C1C">
              <w:rPr>
                <w:rFonts w:ascii="Palatino Linotype" w:hAnsi="Palatino Linotype"/>
                <w:sz w:val="20"/>
                <w:szCs w:val="20"/>
              </w:rPr>
              <w:t>i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s a 25-year longitudinal observation study </w:t>
            </w:r>
            <w:r w:rsidR="00176A71" w:rsidRPr="00DD1C1C">
              <w:rPr>
                <w:rFonts w:ascii="Palatino Linotype" w:hAnsi="Palatino Linotype"/>
                <w:sz w:val="20"/>
                <w:szCs w:val="20"/>
              </w:rPr>
              <w:t xml:space="preserve">which was organized and lead by Ancel Keys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to test the lipid-heart hypothesis. </w:t>
            </w:r>
            <w:r w:rsidR="007E0A7B">
              <w:rPr>
                <w:rFonts w:ascii="Palatino Linotype" w:hAnsi="Palatino Linotype"/>
                <w:sz w:val="20"/>
                <w:szCs w:val="20"/>
              </w:rPr>
              <w:t>The study concludes that: “</w:t>
            </w:r>
            <w:r w:rsidR="00010EC7" w:rsidRPr="00010EC7">
              <w:rPr>
                <w:rFonts w:ascii="Palatino Linotype" w:hAnsi="Palatino Linotype"/>
                <w:sz w:val="20"/>
                <w:szCs w:val="20"/>
              </w:rPr>
              <w:t xml:space="preserve">Death rates were related positively to average percentage of dietary energy from saturated fatty </w:t>
            </w:r>
            <w:proofErr w:type="gramStart"/>
            <w:r w:rsidR="00010EC7" w:rsidRPr="00010EC7">
              <w:rPr>
                <w:rFonts w:ascii="Palatino Linotype" w:hAnsi="Palatino Linotype"/>
                <w:sz w:val="20"/>
                <w:szCs w:val="20"/>
              </w:rPr>
              <w:t>acids.</w:t>
            </w:r>
            <w:r w:rsidR="007E0A7B">
              <w:rPr>
                <w:rFonts w:ascii="Palatino Linotype" w:hAnsi="Palatino Linotype"/>
                <w:sz w:val="20"/>
                <w:szCs w:val="20"/>
              </w:rPr>
              <w:t>“</w:t>
            </w:r>
            <w:proofErr w:type="gramEnd"/>
            <w:r w:rsidR="00010EC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tr w:rsidR="00F436DF" w:rsidRPr="00ED4014" w14:paraId="586D16E9" w14:textId="77777777" w:rsidTr="00ED269D">
        <w:tc>
          <w:tcPr>
            <w:tcW w:w="1696" w:type="dxa"/>
          </w:tcPr>
          <w:p w14:paraId="41A605FC" w14:textId="0EFCFDCC" w:rsidR="00F436DF" w:rsidRPr="00DD1C1C" w:rsidRDefault="00F436DF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1957</w:t>
            </w:r>
          </w:p>
        </w:tc>
        <w:tc>
          <w:tcPr>
            <w:tcW w:w="13750" w:type="dxa"/>
          </w:tcPr>
          <w:p w14:paraId="19407249" w14:textId="0BF19D49" w:rsidR="00F436DF" w:rsidRPr="00DD1C1C" w:rsidRDefault="00F436DF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AHA</w:t>
            </w:r>
            <w:r w:rsidR="004F4B5F" w:rsidRPr="00DD1C1C">
              <w:rPr>
                <w:rFonts w:ascii="Palatino Linotype" w:hAnsi="Palatino Linotype"/>
                <w:sz w:val="20"/>
                <w:szCs w:val="20"/>
              </w:rPr>
              <w:t xml:space="preserve"> president </w:t>
            </w:r>
            <w:r w:rsidR="00501149" w:rsidRPr="00DD1C1C">
              <w:rPr>
                <w:rFonts w:ascii="Palatino Linotype" w:hAnsi="Palatino Linotype"/>
                <w:sz w:val="20"/>
                <w:szCs w:val="20"/>
              </w:rPr>
              <w:t xml:space="preserve">Irvine Page </w:t>
            </w:r>
            <w:r w:rsidR="004F4B5F" w:rsidRPr="00DD1C1C">
              <w:rPr>
                <w:rFonts w:ascii="Palatino Linotype" w:hAnsi="Palatino Linotype"/>
                <w:sz w:val="20"/>
                <w:szCs w:val="20"/>
              </w:rPr>
              <w:t>receives grants to conduct</w:t>
            </w:r>
            <w:r w:rsidR="00751459">
              <w:rPr>
                <w:rFonts w:ascii="Palatino Linotype" w:hAnsi="Palatino Linotype"/>
                <w:sz w:val="20"/>
                <w:szCs w:val="20"/>
              </w:rPr>
              <w:t xml:space="preserve"> the National Diet Heart</w:t>
            </w:r>
            <w:r w:rsidR="0093305D">
              <w:rPr>
                <w:rFonts w:ascii="Palatino Linotype" w:hAnsi="Palatino Linotype"/>
                <w:sz w:val="20"/>
                <w:szCs w:val="20"/>
              </w:rPr>
              <w:t xml:space="preserve"> Study</w:t>
            </w:r>
            <w:r w:rsidR="004F4B5F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010EC7">
              <w:rPr>
                <w:rFonts w:ascii="Palatino Linotype" w:hAnsi="Palatino Linotype"/>
                <w:sz w:val="20"/>
                <w:szCs w:val="20"/>
              </w:rPr>
              <w:t xml:space="preserve">(NDHS) </w:t>
            </w:r>
            <w:r w:rsidR="004F4B5F" w:rsidRPr="00DD1C1C">
              <w:rPr>
                <w:rFonts w:ascii="Palatino Linotype" w:hAnsi="Palatino Linotype"/>
                <w:sz w:val="20"/>
                <w:szCs w:val="20"/>
              </w:rPr>
              <w:t>of</w:t>
            </w:r>
            <w:r w:rsidR="00FE64F2" w:rsidRPr="00DD1C1C">
              <w:rPr>
                <w:rFonts w:ascii="Palatino Linotype" w:hAnsi="Palatino Linotype"/>
                <w:sz w:val="20"/>
                <w:szCs w:val="20"/>
              </w:rPr>
              <w:t xml:space="preserve"> the Prudent Diet using</w:t>
            </w:r>
            <w:r w:rsidR="004F4B5F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2552C8" w:rsidRPr="00DD1C1C">
              <w:rPr>
                <w:rFonts w:ascii="Palatino Linotype" w:hAnsi="Palatino Linotype"/>
                <w:sz w:val="20"/>
                <w:szCs w:val="20"/>
              </w:rPr>
              <w:t>fabricated fat-modified foods</w:t>
            </w:r>
            <w:r w:rsidR="00010EC7">
              <w:rPr>
                <w:rFonts w:ascii="Palatino Linotype" w:hAnsi="Palatino Linotype"/>
                <w:sz w:val="20"/>
                <w:szCs w:val="20"/>
              </w:rPr>
              <w:t>. The</w:t>
            </w:r>
            <w:r w:rsidR="002552C8" w:rsidRPr="00DD1C1C">
              <w:rPr>
                <w:rFonts w:ascii="Palatino Linotype" w:hAnsi="Palatino Linotype"/>
                <w:sz w:val="20"/>
                <w:szCs w:val="20"/>
              </w:rPr>
              <w:t xml:space="preserve"> AHA</w:t>
            </w:r>
            <w:r w:rsidR="004F4B5F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921E5E" w:rsidRPr="00DD1C1C">
              <w:rPr>
                <w:rFonts w:ascii="Palatino Linotype" w:hAnsi="Palatino Linotype"/>
                <w:sz w:val="20"/>
                <w:szCs w:val="20"/>
              </w:rPr>
              <w:t>becomes a</w:t>
            </w:r>
            <w:r w:rsidR="004F4B5F" w:rsidRPr="00DD1C1C">
              <w:rPr>
                <w:rFonts w:ascii="Palatino Linotype" w:hAnsi="Palatino Linotype"/>
                <w:sz w:val="20"/>
                <w:szCs w:val="20"/>
              </w:rPr>
              <w:t xml:space="preserve"> fundraising</w:t>
            </w:r>
            <w:r w:rsidR="002552C8" w:rsidRPr="00DD1C1C">
              <w:rPr>
                <w:rFonts w:ascii="Palatino Linotype" w:hAnsi="Palatino Linotype"/>
                <w:sz w:val="20"/>
                <w:szCs w:val="20"/>
              </w:rPr>
              <w:t xml:space="preserve"> o</w:t>
            </w:r>
            <w:r w:rsidR="00921E5E" w:rsidRPr="00DD1C1C">
              <w:rPr>
                <w:rFonts w:ascii="Palatino Linotype" w:hAnsi="Palatino Linotype"/>
                <w:sz w:val="20"/>
                <w:szCs w:val="20"/>
              </w:rPr>
              <w:t>rg</w:t>
            </w:r>
            <w:r w:rsidR="00741739" w:rsidRPr="00DD1C1C">
              <w:rPr>
                <w:rFonts w:ascii="Palatino Linotype" w:hAnsi="Palatino Linotype"/>
                <w:sz w:val="20"/>
                <w:szCs w:val="20"/>
              </w:rPr>
              <w:t>ani</w:t>
            </w:r>
            <w:r w:rsidR="00921E5E" w:rsidRPr="00DD1C1C">
              <w:rPr>
                <w:rFonts w:ascii="Palatino Linotype" w:hAnsi="Palatino Linotype"/>
                <w:sz w:val="20"/>
                <w:szCs w:val="20"/>
              </w:rPr>
              <w:t>zatio</w:t>
            </w:r>
            <w:r w:rsidR="002552C8" w:rsidRPr="00DD1C1C">
              <w:rPr>
                <w:rFonts w:ascii="Palatino Linotype" w:hAnsi="Palatino Linotype"/>
                <w:sz w:val="20"/>
                <w:szCs w:val="20"/>
              </w:rPr>
              <w:t>n</w:t>
            </w:r>
            <w:r w:rsidR="00741739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010EC7">
              <w:rPr>
                <w:rFonts w:ascii="Palatino Linotype" w:hAnsi="Palatino Linotype"/>
                <w:sz w:val="20"/>
                <w:szCs w:val="20"/>
              </w:rPr>
              <w:t xml:space="preserve">and conducts </w:t>
            </w:r>
            <w:r w:rsidR="009C094A" w:rsidRPr="00DD1C1C">
              <w:rPr>
                <w:rFonts w:ascii="Palatino Linotype" w:hAnsi="Palatino Linotype"/>
                <w:sz w:val="20"/>
                <w:szCs w:val="20"/>
              </w:rPr>
              <w:t xml:space="preserve">a </w:t>
            </w:r>
            <w:r w:rsidR="002552C8" w:rsidRPr="00DD1C1C">
              <w:rPr>
                <w:rFonts w:ascii="Palatino Linotype" w:hAnsi="Palatino Linotype"/>
                <w:sz w:val="20"/>
                <w:szCs w:val="20"/>
              </w:rPr>
              <w:t>national</w:t>
            </w:r>
            <w:r w:rsidR="00501149" w:rsidRPr="00DD1C1C">
              <w:rPr>
                <w:rFonts w:ascii="Palatino Linotype" w:hAnsi="Palatino Linotype"/>
                <w:sz w:val="20"/>
                <w:szCs w:val="20"/>
              </w:rPr>
              <w:t>ly</w:t>
            </w:r>
            <w:r w:rsidR="002552C8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501149" w:rsidRPr="00DD1C1C">
              <w:rPr>
                <w:rFonts w:ascii="Palatino Linotype" w:hAnsi="Palatino Linotype"/>
                <w:sz w:val="20"/>
                <w:szCs w:val="20"/>
              </w:rPr>
              <w:t xml:space="preserve">broadcast </w:t>
            </w:r>
            <w:r w:rsidR="00741739" w:rsidRPr="00DD1C1C">
              <w:rPr>
                <w:rFonts w:ascii="Palatino Linotype" w:hAnsi="Palatino Linotype"/>
                <w:sz w:val="20"/>
                <w:szCs w:val="20"/>
              </w:rPr>
              <w:t>telethon</w:t>
            </w:r>
            <w:r w:rsidR="002552C8" w:rsidRPr="00DD1C1C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ED4014" w:rsidRPr="00ED4014" w14:paraId="053EA1F8" w14:textId="77777777" w:rsidTr="00ED269D">
        <w:tc>
          <w:tcPr>
            <w:tcW w:w="1696" w:type="dxa"/>
          </w:tcPr>
          <w:p w14:paraId="011693DF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1961</w:t>
            </w:r>
          </w:p>
        </w:tc>
        <w:tc>
          <w:tcPr>
            <w:tcW w:w="13750" w:type="dxa"/>
          </w:tcPr>
          <w:p w14:paraId="5A33833D" w14:textId="46CEEBC6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AHA publishe</w:t>
            </w:r>
            <w:r w:rsidR="00176A71" w:rsidRPr="00DD1C1C">
              <w:rPr>
                <w:rFonts w:ascii="Palatino Linotype" w:hAnsi="Palatino Linotype"/>
                <w:sz w:val="20"/>
                <w:szCs w:val="20"/>
              </w:rPr>
              <w:t>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010EC7">
              <w:rPr>
                <w:rFonts w:ascii="Palatino Linotype" w:hAnsi="Palatino Linotype"/>
                <w:sz w:val="20"/>
                <w:szCs w:val="20"/>
              </w:rPr>
              <w:t>the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first advisory on diet identifying intakes of total fat, </w:t>
            </w:r>
            <w:r w:rsidR="00010EC7" w:rsidRPr="00DD1C1C">
              <w:rPr>
                <w:rFonts w:ascii="Palatino Linotype" w:hAnsi="Palatino Linotype"/>
                <w:sz w:val="20"/>
                <w:szCs w:val="20"/>
              </w:rPr>
              <w:t>saturated fat</w:t>
            </w:r>
            <w:r w:rsidR="00010EC7">
              <w:rPr>
                <w:rFonts w:ascii="Palatino Linotype" w:hAnsi="Palatino Linotype"/>
                <w:sz w:val="20"/>
                <w:szCs w:val="20"/>
              </w:rPr>
              <w:t>, and</w:t>
            </w:r>
            <w:r w:rsidR="00010EC7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cholesterol as the primary causes of heart disease. </w:t>
            </w:r>
            <w:r w:rsidR="00010EC7">
              <w:rPr>
                <w:rFonts w:ascii="Palatino Linotype" w:hAnsi="Palatino Linotype"/>
                <w:sz w:val="20"/>
                <w:szCs w:val="20"/>
              </w:rPr>
              <w:t xml:space="preserve">AHA conflates natural saturated fat with industrial </w:t>
            </w:r>
            <w:r w:rsidR="00010EC7" w:rsidRPr="00010EC7">
              <w:rPr>
                <w:rFonts w:ascii="Palatino Linotype" w:hAnsi="Palatino Linotype"/>
                <w:i/>
                <w:iCs/>
                <w:sz w:val="20"/>
                <w:szCs w:val="20"/>
              </w:rPr>
              <w:t>trans</w:t>
            </w:r>
            <w:r w:rsidR="00010EC7">
              <w:rPr>
                <w:rFonts w:ascii="Palatino Linotype" w:hAnsi="Palatino Linotype"/>
                <w:sz w:val="20"/>
                <w:szCs w:val="20"/>
              </w:rPr>
              <w:t xml:space="preserve">-fat.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Margarine </w:t>
            </w:r>
            <w:r w:rsidR="002314C9" w:rsidRPr="00DD1C1C">
              <w:rPr>
                <w:rFonts w:ascii="Palatino Linotype" w:hAnsi="Palatino Linotype"/>
                <w:sz w:val="20"/>
                <w:szCs w:val="20"/>
              </w:rPr>
              <w:t>and shortening were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widely used at this time and </w:t>
            </w:r>
            <w:r w:rsidRPr="00DD1C1C">
              <w:rPr>
                <w:rFonts w:ascii="Palatino Linotype" w:hAnsi="Palatino Linotype"/>
                <w:i/>
                <w:iCs/>
                <w:sz w:val="20"/>
                <w:szCs w:val="20"/>
              </w:rPr>
              <w:t>trans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-fats were unlabeled.  </w:t>
            </w:r>
          </w:p>
        </w:tc>
      </w:tr>
      <w:tr w:rsidR="00ED4014" w:rsidRPr="00ED4014" w14:paraId="4675A0F3" w14:textId="77777777" w:rsidTr="00ED269D">
        <w:tc>
          <w:tcPr>
            <w:tcW w:w="1696" w:type="dxa"/>
          </w:tcPr>
          <w:p w14:paraId="4ED847C3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1963 - 1965</w:t>
            </w:r>
          </w:p>
        </w:tc>
        <w:tc>
          <w:tcPr>
            <w:tcW w:w="13750" w:type="dxa"/>
          </w:tcPr>
          <w:p w14:paraId="5A45E52C" w14:textId="2DADC76F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The National Diet Heart Study</w:t>
            </w:r>
            <w:r w:rsidR="00FE6AEE">
              <w:rPr>
                <w:rFonts w:ascii="Palatino Linotype" w:hAnsi="Palatino Linotype"/>
                <w:sz w:val="20"/>
                <w:szCs w:val="20"/>
              </w:rPr>
              <w:t xml:space="preserve"> (NDHS)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, which was a 100,000-man study, show</w:t>
            </w:r>
            <w:r w:rsidR="00176A71" w:rsidRPr="00DD1C1C">
              <w:rPr>
                <w:rFonts w:ascii="Palatino Linotype" w:hAnsi="Palatino Linotype"/>
                <w:sz w:val="20"/>
                <w:szCs w:val="20"/>
              </w:rPr>
              <w:t>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that a low-fat diet does not reduce serum cholesterol levels or cardiac risk more than a high-fat diet and d</w:t>
            </w:r>
            <w:r w:rsidR="00176A71" w:rsidRPr="00DD1C1C">
              <w:rPr>
                <w:rFonts w:ascii="Palatino Linotype" w:hAnsi="Palatino Linotype"/>
                <w:sz w:val="20"/>
                <w:szCs w:val="20"/>
              </w:rPr>
              <w:t>oes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not prove that replacing saturated fat with polyunsaturated fat reduces deaths from CHD. Fund</w:t>
            </w:r>
            <w:r w:rsidR="00FE6AEE">
              <w:rPr>
                <w:rFonts w:ascii="Palatino Linotype" w:hAnsi="Palatino Linotype"/>
                <w:sz w:val="20"/>
                <w:szCs w:val="20"/>
              </w:rPr>
              <w:t>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from the NIH enable the food industry to develop fabricated low-fat processed foods</w:t>
            </w:r>
            <w:r w:rsidR="00FE6AEE">
              <w:rPr>
                <w:rFonts w:ascii="Palatino Linotype" w:hAnsi="Palatino Linotype"/>
                <w:sz w:val="20"/>
                <w:szCs w:val="20"/>
              </w:rPr>
              <w:t xml:space="preserve"> which contain </w:t>
            </w:r>
            <w:r w:rsidR="00FE6AEE" w:rsidRPr="00FE6AEE">
              <w:rPr>
                <w:rFonts w:ascii="Palatino Linotype" w:hAnsi="Palatino Linotype"/>
                <w:i/>
                <w:iCs/>
                <w:sz w:val="20"/>
                <w:szCs w:val="20"/>
              </w:rPr>
              <w:t>trans</w:t>
            </w:r>
            <w:r w:rsidR="00FE6AEE">
              <w:rPr>
                <w:rFonts w:ascii="Palatino Linotype" w:hAnsi="Palatino Linotype"/>
                <w:sz w:val="20"/>
                <w:szCs w:val="20"/>
              </w:rPr>
              <w:t>-fat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</w:p>
        </w:tc>
      </w:tr>
      <w:tr w:rsidR="00ED4014" w:rsidRPr="00ED4014" w14:paraId="28441DAF" w14:textId="77777777" w:rsidTr="00ED269D">
        <w:tc>
          <w:tcPr>
            <w:tcW w:w="1696" w:type="dxa"/>
          </w:tcPr>
          <w:p w14:paraId="29AC6D8F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1965</w:t>
            </w:r>
          </w:p>
        </w:tc>
        <w:tc>
          <w:tcPr>
            <w:tcW w:w="13750" w:type="dxa"/>
          </w:tcPr>
          <w:p w14:paraId="56F3D446" w14:textId="1DF98EA4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Keys publishes </w:t>
            </w:r>
            <w:r w:rsidR="00176A71" w:rsidRPr="00DD1C1C">
              <w:rPr>
                <w:rFonts w:ascii="Palatino Linotype" w:hAnsi="Palatino Linotype"/>
                <w:sz w:val="20"/>
                <w:szCs w:val="20"/>
              </w:rPr>
              <w:t xml:space="preserve">a series of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four papers which further elaborates on the equation to explain the lipid-heart hypothesis: </w:t>
            </w:r>
          </w:p>
          <w:p w14:paraId="63236CA6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 w:cstheme="minorHAnsi"/>
                <w:color w:val="212121"/>
                <w:sz w:val="20"/>
                <w:szCs w:val="20"/>
                <w:shd w:val="clear" w:color="auto" w:fill="FFFFFF"/>
              </w:rPr>
              <w:t>Δ Chol. = 1.2(2ΔS − ΔP) + 1.5ΔZ</w:t>
            </w:r>
          </w:p>
          <w:p w14:paraId="610C19BC" w14:textId="39A7EB39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This equation add</w:t>
            </w:r>
            <w:r w:rsidR="00176A71" w:rsidRPr="00DD1C1C">
              <w:rPr>
                <w:rFonts w:ascii="Palatino Linotype" w:hAnsi="Palatino Linotype"/>
                <w:sz w:val="20"/>
                <w:szCs w:val="20"/>
              </w:rPr>
              <w:t>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dietary cholesterol, </w:t>
            </w:r>
            <w:r w:rsidRPr="00DD1C1C">
              <w:rPr>
                <w:rFonts w:ascii="Symbol" w:hAnsi="Symbol"/>
                <w:sz w:val="20"/>
                <w:szCs w:val="20"/>
              </w:rPr>
              <w:t>D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Z, as a contributor to serum cholesterol. </w:t>
            </w:r>
          </w:p>
        </w:tc>
      </w:tr>
      <w:tr w:rsidR="00ED4014" w:rsidRPr="00ED4014" w14:paraId="46B0C22D" w14:textId="77777777" w:rsidTr="00ED269D">
        <w:tc>
          <w:tcPr>
            <w:tcW w:w="1696" w:type="dxa"/>
          </w:tcPr>
          <w:p w14:paraId="58339AFD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1967 – 1973</w:t>
            </w:r>
          </w:p>
        </w:tc>
        <w:tc>
          <w:tcPr>
            <w:tcW w:w="13750" w:type="dxa"/>
          </w:tcPr>
          <w:p w14:paraId="4ECDC2A3" w14:textId="6AD1EFE6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EF45A1">
              <w:rPr>
                <w:rFonts w:ascii="Palatino Linotype" w:hAnsi="Palatino Linotype"/>
                <w:sz w:val="20"/>
                <w:szCs w:val="20"/>
              </w:rPr>
              <w:t>The Sydney Diet Heart Study</w:t>
            </w:r>
            <w:r w:rsidR="00906128" w:rsidRPr="00EF45A1">
              <w:rPr>
                <w:rFonts w:ascii="Palatino Linotype" w:hAnsi="Palatino Linotype"/>
                <w:sz w:val="20"/>
                <w:szCs w:val="20"/>
              </w:rPr>
              <w:t xml:space="preserve"> is a 6-year study based on the lipid-heart hypothesis involving</w:t>
            </w:r>
            <w:r w:rsidRPr="00EF45A1">
              <w:rPr>
                <w:rFonts w:ascii="Palatino Linotype" w:hAnsi="Palatino Linotype"/>
                <w:sz w:val="20"/>
                <w:szCs w:val="20"/>
              </w:rPr>
              <w:t xml:space="preserve"> 458 men</w:t>
            </w:r>
            <w:r w:rsidR="00E56DFD" w:rsidRPr="00EF45A1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  <w:r w:rsidR="00906128" w:rsidRPr="00EF45A1">
              <w:rPr>
                <w:rFonts w:ascii="Palatino Linotype" w:hAnsi="Palatino Linotype"/>
                <w:sz w:val="20"/>
                <w:szCs w:val="20"/>
              </w:rPr>
              <w:t xml:space="preserve">The results do not support the lipid-heart hypothesis. </w:t>
            </w:r>
            <w:commentRangeStart w:id="0"/>
            <w:commentRangeEnd w:id="0"/>
            <w:r w:rsidR="00A940F1" w:rsidRPr="00EF45A1">
              <w:rPr>
                <w:rStyle w:val="CommentReference"/>
                <w:rFonts w:ascii="Palatino Linotype" w:hAnsi="Palatino Linotype"/>
                <w:sz w:val="20"/>
                <w:szCs w:val="20"/>
              </w:rPr>
              <w:commentReference w:id="0"/>
            </w:r>
            <w:r w:rsidRPr="00EF45A1">
              <w:rPr>
                <w:rFonts w:ascii="Palatino Linotype" w:hAnsi="Palatino Linotype"/>
                <w:sz w:val="20"/>
                <w:szCs w:val="20"/>
              </w:rPr>
              <w:t xml:space="preserve">However, the results of this study </w:t>
            </w:r>
            <w:r w:rsidR="00176A71" w:rsidRPr="00EF45A1">
              <w:rPr>
                <w:rFonts w:ascii="Palatino Linotype" w:hAnsi="Palatino Linotype"/>
                <w:sz w:val="20"/>
                <w:szCs w:val="20"/>
              </w:rPr>
              <w:t>a</w:t>
            </w:r>
            <w:r w:rsidRPr="00EF45A1">
              <w:rPr>
                <w:rFonts w:ascii="Palatino Linotype" w:hAnsi="Palatino Linotype"/>
                <w:sz w:val="20"/>
                <w:szCs w:val="20"/>
              </w:rPr>
              <w:t xml:space="preserve">re not published until 2013. </w:t>
            </w:r>
          </w:p>
        </w:tc>
      </w:tr>
      <w:tr w:rsidR="00ED4014" w:rsidRPr="00ED4014" w14:paraId="4676A3EA" w14:textId="77777777" w:rsidTr="00ED269D">
        <w:tc>
          <w:tcPr>
            <w:tcW w:w="1696" w:type="dxa"/>
          </w:tcPr>
          <w:p w14:paraId="061625D2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1968 - 1973</w:t>
            </w:r>
          </w:p>
        </w:tc>
        <w:tc>
          <w:tcPr>
            <w:tcW w:w="13750" w:type="dxa"/>
          </w:tcPr>
          <w:p w14:paraId="1AB5AB3B" w14:textId="78D0BF4F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The Minnesota Coronary Experiment </w:t>
            </w:r>
            <w:r w:rsidR="00176A71" w:rsidRPr="00DD1C1C">
              <w:rPr>
                <w:rFonts w:ascii="Palatino Linotype" w:hAnsi="Palatino Linotype"/>
                <w:sz w:val="20"/>
                <w:szCs w:val="20"/>
              </w:rPr>
              <w:t>i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s a study that was designed and led by Ancel Keys. It involve</w:t>
            </w:r>
            <w:r w:rsidR="00176A71" w:rsidRPr="00DD1C1C">
              <w:rPr>
                <w:rFonts w:ascii="Palatino Linotype" w:hAnsi="Palatino Linotype"/>
                <w:sz w:val="20"/>
                <w:szCs w:val="20"/>
              </w:rPr>
              <w:t>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9,423 men and women in a five-year study to prove the lipid-heart hypothesis. The results show that high linoleic acid diets lower serum cholesterol but that those</w:t>
            </w:r>
            <w:r w:rsidRPr="00DD1C1C">
              <w:rPr>
                <w:rFonts w:ascii="Palatino Linotype" w:hAnsi="Palatino Linotype" w:cstheme="minorHAnsi"/>
                <w:sz w:val="20"/>
                <w:szCs w:val="20"/>
              </w:rPr>
              <w:t xml:space="preserve"> with the largest reduction in serum total cholesterol ha</w:t>
            </w:r>
            <w:r w:rsidR="00176A71" w:rsidRPr="00DD1C1C">
              <w:rPr>
                <w:rFonts w:ascii="Palatino Linotype" w:hAnsi="Palatino Linotype" w:cstheme="minorHAnsi"/>
                <w:sz w:val="20"/>
                <w:szCs w:val="20"/>
              </w:rPr>
              <w:t>ve</w:t>
            </w:r>
            <w:r w:rsidRPr="00DD1C1C">
              <w:rPr>
                <w:rFonts w:ascii="Palatino Linotype" w:hAnsi="Palatino Linotype" w:cstheme="minorHAnsi"/>
                <w:sz w:val="20"/>
                <w:szCs w:val="20"/>
              </w:rPr>
              <w:t xml:space="preserve"> the highest incidence of death. The partial results </w:t>
            </w:r>
            <w:r w:rsidR="00FE6AEE">
              <w:rPr>
                <w:rFonts w:ascii="Palatino Linotype" w:hAnsi="Palatino Linotype" w:cstheme="minorHAnsi"/>
                <w:sz w:val="20"/>
                <w:szCs w:val="20"/>
              </w:rPr>
              <w:t>a</w:t>
            </w:r>
            <w:r w:rsidRPr="00DD1C1C">
              <w:rPr>
                <w:rFonts w:ascii="Palatino Linotype" w:hAnsi="Palatino Linotype" w:cstheme="minorHAnsi"/>
                <w:sz w:val="20"/>
                <w:szCs w:val="20"/>
              </w:rPr>
              <w:t xml:space="preserve">re published in 1989 </w:t>
            </w:r>
            <w:r w:rsidR="00FE6AEE">
              <w:rPr>
                <w:rFonts w:ascii="Palatino Linotype" w:hAnsi="Palatino Linotype" w:cstheme="minorHAnsi"/>
                <w:sz w:val="20"/>
                <w:szCs w:val="20"/>
              </w:rPr>
              <w:t>and</w:t>
            </w:r>
            <w:r w:rsidRPr="00DD1C1C">
              <w:rPr>
                <w:rFonts w:ascii="Palatino Linotype" w:hAnsi="Palatino Linotype" w:cstheme="minorHAnsi"/>
                <w:sz w:val="20"/>
                <w:szCs w:val="20"/>
              </w:rPr>
              <w:t xml:space="preserve"> a full analysis </w:t>
            </w:r>
            <w:r w:rsidR="00833213">
              <w:rPr>
                <w:rFonts w:ascii="Palatino Linotype" w:hAnsi="Palatino Linotype" w:cstheme="minorHAnsi"/>
                <w:sz w:val="20"/>
                <w:szCs w:val="20"/>
              </w:rPr>
              <w:t>is</w:t>
            </w:r>
            <w:r w:rsidRPr="00DD1C1C">
              <w:rPr>
                <w:rFonts w:ascii="Palatino Linotype" w:hAnsi="Palatino Linotype" w:cstheme="minorHAnsi"/>
                <w:sz w:val="20"/>
                <w:szCs w:val="20"/>
              </w:rPr>
              <w:t xml:space="preserve"> published only in 2016. </w:t>
            </w:r>
          </w:p>
        </w:tc>
      </w:tr>
      <w:tr w:rsidR="00ED4014" w:rsidRPr="00ED4014" w14:paraId="5A6E84EE" w14:textId="77777777" w:rsidTr="00ED269D">
        <w:tc>
          <w:tcPr>
            <w:tcW w:w="1696" w:type="dxa"/>
          </w:tcPr>
          <w:p w14:paraId="507B2BA9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1971 - 1980</w:t>
            </w:r>
          </w:p>
        </w:tc>
        <w:tc>
          <w:tcPr>
            <w:tcW w:w="13750" w:type="dxa"/>
          </w:tcPr>
          <w:p w14:paraId="2046E290" w14:textId="238536EA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The Multiple Risk Factor Intervention (MRFIT) study enlist</w:t>
            </w:r>
            <w:r w:rsidR="00176A71" w:rsidRPr="00DD1C1C">
              <w:rPr>
                <w:rFonts w:ascii="Palatino Linotype" w:hAnsi="Palatino Linotype"/>
                <w:sz w:val="20"/>
                <w:szCs w:val="20"/>
              </w:rPr>
              <w:t xml:space="preserve">s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12,866 men to test the effects of a low-fat (&lt;35%), low-saturated fat (&lt;8%) diet with high PUFA oils. Total and LDL-C dropped in the test diet group but deaths from cancer w</w:t>
            </w:r>
            <w:r w:rsidR="00176A71" w:rsidRPr="00DD1C1C">
              <w:rPr>
                <w:rFonts w:ascii="Palatino Linotype" w:hAnsi="Palatino Linotype"/>
                <w:sz w:val="20"/>
                <w:szCs w:val="20"/>
              </w:rPr>
              <w:t>ere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significantly higher for the test diet group (30.6%) compared to the control group (26.5%).</w:t>
            </w:r>
          </w:p>
        </w:tc>
      </w:tr>
      <w:tr w:rsidR="00ED4014" w:rsidRPr="00ED4014" w14:paraId="7307E3A4" w14:textId="77777777" w:rsidTr="00ED269D">
        <w:tc>
          <w:tcPr>
            <w:tcW w:w="1696" w:type="dxa"/>
          </w:tcPr>
          <w:p w14:paraId="5CEE7766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1980</w:t>
            </w:r>
          </w:p>
        </w:tc>
        <w:tc>
          <w:tcPr>
            <w:tcW w:w="13750" w:type="dxa"/>
          </w:tcPr>
          <w:p w14:paraId="43677532" w14:textId="77777777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The first edition of the </w:t>
            </w:r>
            <w:r w:rsidRPr="00DD1C1C">
              <w:rPr>
                <w:rFonts w:ascii="Palatino Linotype" w:hAnsi="Palatino Linotype"/>
                <w:i/>
                <w:iCs/>
                <w:sz w:val="20"/>
                <w:szCs w:val="20"/>
              </w:rPr>
              <w:t>Dietary Guidelines for Americans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warns to: </w:t>
            </w:r>
            <w:bookmarkStart w:id="1" w:name="_Hlk158809865"/>
            <w:r w:rsidRPr="00DD1C1C">
              <w:rPr>
                <w:rFonts w:ascii="Palatino Linotype" w:hAnsi="Palatino Linotype"/>
                <w:sz w:val="20"/>
                <w:szCs w:val="20"/>
              </w:rPr>
              <w:t>“Avoid Too Much Fat, Saturated Fat, and Cholesterol.”</w:t>
            </w:r>
            <w:bookmarkEnd w:id="1"/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</w:p>
        </w:tc>
      </w:tr>
      <w:tr w:rsidR="00ED4014" w:rsidRPr="00ED4014" w14:paraId="7304BD69" w14:textId="77777777" w:rsidTr="00ED269D">
        <w:tc>
          <w:tcPr>
            <w:tcW w:w="1696" w:type="dxa"/>
          </w:tcPr>
          <w:p w14:paraId="10B4FAAD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1984</w:t>
            </w:r>
          </w:p>
        </w:tc>
        <w:tc>
          <w:tcPr>
            <w:tcW w:w="13750" w:type="dxa"/>
          </w:tcPr>
          <w:p w14:paraId="0A016823" w14:textId="0AEDC8FD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Keys continues to try to improve his equation but is unable to explain the wide discrepancies in the serum cholesterol results of test subjects in Minnesota which underpredict</w:t>
            </w:r>
            <w:r w:rsidR="00147768" w:rsidRPr="00DD1C1C">
              <w:rPr>
                <w:rFonts w:ascii="Palatino Linotype" w:hAnsi="Palatino Linotype"/>
                <w:sz w:val="20"/>
                <w:szCs w:val="20"/>
              </w:rPr>
              <w:t>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serum cholesterol by 5% and the results from test subjects in Massachusetts which overpredict</w:t>
            </w:r>
            <w:r w:rsidR="00147768" w:rsidRPr="00DD1C1C">
              <w:rPr>
                <w:rFonts w:ascii="Palatino Linotype" w:hAnsi="Palatino Linotype"/>
                <w:sz w:val="20"/>
                <w:szCs w:val="20"/>
              </w:rPr>
              <w:t>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by 300%.  This is his last </w:t>
            </w:r>
            <w:r w:rsidR="00147768" w:rsidRPr="00DD1C1C">
              <w:rPr>
                <w:rFonts w:ascii="Palatino Linotype" w:hAnsi="Palatino Linotype"/>
                <w:sz w:val="20"/>
                <w:szCs w:val="20"/>
              </w:rPr>
              <w:t>attempt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to try to improve his equation. However, some groups continue to use it</w:t>
            </w:r>
            <w:r w:rsidR="008A2710" w:rsidRPr="00DD1C1C">
              <w:rPr>
                <w:rFonts w:ascii="Palatino Linotype" w:hAnsi="Palatino Linotype"/>
                <w:sz w:val="20"/>
                <w:szCs w:val="20"/>
              </w:rPr>
              <w:t xml:space="preserve"> in study designs</w:t>
            </w:r>
            <w:r w:rsidR="00FA6630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</w:p>
        </w:tc>
      </w:tr>
      <w:tr w:rsidR="00ED4014" w:rsidRPr="00ED4014" w14:paraId="16F27F26" w14:textId="77777777" w:rsidTr="00ED269D">
        <w:tc>
          <w:tcPr>
            <w:tcW w:w="1696" w:type="dxa"/>
          </w:tcPr>
          <w:p w14:paraId="17E355EA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1986</w:t>
            </w:r>
          </w:p>
        </w:tc>
        <w:tc>
          <w:tcPr>
            <w:tcW w:w="13750" w:type="dxa"/>
          </w:tcPr>
          <w:p w14:paraId="0763B3B9" w14:textId="28D7D6E4" w:rsidR="00ED4014" w:rsidRPr="00DD1C1C" w:rsidRDefault="00176A71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The</w:t>
            </w:r>
            <w:r w:rsidR="00ED4014"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results of the </w:t>
            </w:r>
            <w:r w:rsidR="00ED4014" w:rsidRPr="00DD1C1C">
              <w:rPr>
                <w:rFonts w:ascii="Palatino Linotype" w:hAnsi="Palatino Linotype"/>
                <w:sz w:val="20"/>
                <w:szCs w:val="20"/>
              </w:rPr>
              <w:t xml:space="preserve">Seven Countries Study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are published</w:t>
            </w:r>
            <w:r w:rsidR="00ED4014" w:rsidRPr="00DD1C1C">
              <w:rPr>
                <w:rFonts w:ascii="Palatino Linotype" w:hAnsi="Palatino Linotype"/>
                <w:sz w:val="20"/>
                <w:szCs w:val="20"/>
              </w:rPr>
              <w:t>. This study link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s</w:t>
            </w:r>
            <w:r w:rsidR="00ED4014" w:rsidRPr="00DD1C1C">
              <w:rPr>
                <w:rFonts w:ascii="Palatino Linotype" w:hAnsi="Palatino Linotype"/>
                <w:sz w:val="20"/>
                <w:szCs w:val="20"/>
              </w:rPr>
              <w:t xml:space="preserve"> saturated fat positively to death rates while heart disease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i</w:t>
            </w:r>
            <w:r w:rsidR="00ED4014" w:rsidRPr="00DD1C1C">
              <w:rPr>
                <w:rFonts w:ascii="Palatino Linotype" w:hAnsi="Palatino Linotype"/>
                <w:sz w:val="20"/>
                <w:szCs w:val="20"/>
              </w:rPr>
              <w:t>s low in groups that consumed olive oil. Polyunsaturated fats d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o</w:t>
            </w:r>
            <w:r w:rsidR="00ED4014" w:rsidRPr="00DD1C1C">
              <w:rPr>
                <w:rFonts w:ascii="Palatino Linotype" w:hAnsi="Palatino Linotype"/>
                <w:sz w:val="20"/>
                <w:szCs w:val="20"/>
              </w:rPr>
              <w:t xml:space="preserve"> not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show </w:t>
            </w:r>
            <w:r w:rsidR="00ED4014" w:rsidRPr="00DD1C1C">
              <w:rPr>
                <w:rFonts w:ascii="Palatino Linotype" w:hAnsi="Palatino Linotype"/>
                <w:sz w:val="20"/>
                <w:szCs w:val="20"/>
              </w:rPr>
              <w:t xml:space="preserve">any effect. </w:t>
            </w:r>
            <w:r w:rsidR="00530A42" w:rsidRPr="00DD1C1C">
              <w:rPr>
                <w:rFonts w:ascii="Palatino Linotype" w:hAnsi="Palatino Linotype"/>
                <w:sz w:val="20"/>
                <w:szCs w:val="20"/>
              </w:rPr>
              <w:t xml:space="preserve">The cohort with the </w:t>
            </w:r>
            <w:r w:rsidR="00D743C3" w:rsidRPr="00DD1C1C">
              <w:rPr>
                <w:rFonts w:ascii="Palatino Linotype" w:hAnsi="Palatino Linotype"/>
                <w:sz w:val="20"/>
                <w:szCs w:val="20"/>
              </w:rPr>
              <w:t>lowest cardiac death rate had one of the highest intakes of total fat.</w:t>
            </w:r>
          </w:p>
        </w:tc>
      </w:tr>
      <w:tr w:rsidR="00ED4014" w:rsidRPr="00ED4014" w14:paraId="39232531" w14:textId="77777777" w:rsidTr="00ED269D">
        <w:tc>
          <w:tcPr>
            <w:tcW w:w="1696" w:type="dxa"/>
          </w:tcPr>
          <w:p w14:paraId="70049E75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1987</w:t>
            </w:r>
          </w:p>
        </w:tc>
        <w:tc>
          <w:tcPr>
            <w:tcW w:w="13750" w:type="dxa"/>
          </w:tcPr>
          <w:p w14:paraId="7C3FDD8B" w14:textId="7BB938A3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Ancel Keys softens his position on cholesterol in a N</w:t>
            </w:r>
            <w:r w:rsidR="00233A25" w:rsidRPr="00DD1C1C">
              <w:rPr>
                <w:rFonts w:ascii="Palatino Linotype" w:hAnsi="Palatino Linotype"/>
                <w:sz w:val="20"/>
                <w:szCs w:val="20"/>
              </w:rPr>
              <w:t>ew Yor</w:t>
            </w:r>
            <w:r w:rsidR="003B5D08" w:rsidRPr="00DD1C1C">
              <w:rPr>
                <w:rFonts w:ascii="Palatino Linotype" w:hAnsi="Palatino Linotype"/>
                <w:sz w:val="20"/>
                <w:szCs w:val="20"/>
              </w:rPr>
              <w:t xml:space="preserve">k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Times interview.</w:t>
            </w:r>
          </w:p>
        </w:tc>
      </w:tr>
      <w:tr w:rsidR="00ED4014" w:rsidRPr="00ED4014" w14:paraId="79AF6643" w14:textId="77777777" w:rsidTr="00ED269D">
        <w:tc>
          <w:tcPr>
            <w:tcW w:w="1696" w:type="dxa"/>
          </w:tcPr>
          <w:p w14:paraId="1456A0D8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13750" w:type="dxa"/>
          </w:tcPr>
          <w:p w14:paraId="5A65425A" w14:textId="77777777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Ivan Frantz publishes partial results of the Minnesota Coronary Experiment without Keys as co-author. </w:t>
            </w:r>
          </w:p>
        </w:tc>
      </w:tr>
      <w:tr w:rsidR="00091DBD" w:rsidRPr="00ED4014" w14:paraId="458B2A4D" w14:textId="77777777" w:rsidTr="00ED269D">
        <w:tc>
          <w:tcPr>
            <w:tcW w:w="1696" w:type="dxa"/>
          </w:tcPr>
          <w:p w14:paraId="0581FBDA" w14:textId="7BE8FEEE" w:rsidR="00091DBD" w:rsidRPr="00091DBD" w:rsidRDefault="00091DBD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13750" w:type="dxa"/>
          </w:tcPr>
          <w:p w14:paraId="66A791A4" w14:textId="0561FA63" w:rsidR="00091DBD" w:rsidRPr="00091DBD" w:rsidRDefault="00091DBD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Lipid biochemist Mary Enig, who did her dissertation </w:t>
            </w:r>
            <w:r w:rsidR="005420CD">
              <w:rPr>
                <w:rFonts w:ascii="Palatino Linotype" w:hAnsi="Palatino Linotype"/>
                <w:sz w:val="20"/>
                <w:szCs w:val="20"/>
              </w:rPr>
              <w:t xml:space="preserve">in 1984 </w:t>
            </w:r>
            <w:r>
              <w:rPr>
                <w:rFonts w:ascii="Palatino Linotype" w:hAnsi="Palatino Linotype"/>
                <w:sz w:val="20"/>
                <w:szCs w:val="20"/>
              </w:rPr>
              <w:t>on</w:t>
            </w:r>
            <w:r w:rsidR="00FE6AEE">
              <w:rPr>
                <w:rFonts w:ascii="Palatino Linotype" w:hAnsi="Palatino Linotype"/>
                <w:sz w:val="20"/>
                <w:szCs w:val="20"/>
              </w:rPr>
              <w:t xml:space="preserve"> the effects of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trans-</w:t>
            </w:r>
            <w:r>
              <w:rPr>
                <w:rFonts w:ascii="Palatino Linotype" w:hAnsi="Palatino Linotype"/>
                <w:sz w:val="20"/>
                <w:szCs w:val="20"/>
              </w:rPr>
              <w:t>fat</w:t>
            </w:r>
            <w:r w:rsidR="00FE6AEE">
              <w:rPr>
                <w:rFonts w:ascii="Palatino Linotype" w:hAnsi="Palatino Linotype"/>
                <w:sz w:val="20"/>
                <w:szCs w:val="20"/>
              </w:rPr>
              <w:t xml:space="preserve"> on </w:t>
            </w:r>
            <w:r w:rsidR="00FE6AEE" w:rsidRPr="00FE6AEE">
              <w:rPr>
                <w:rFonts w:ascii="Palatino Linotype" w:hAnsi="Palatino Linotype"/>
                <w:sz w:val="20"/>
                <w:szCs w:val="20"/>
              </w:rPr>
              <w:t>enzyme systems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FE6AEE">
              <w:rPr>
                <w:rFonts w:ascii="Palatino Linotype" w:hAnsi="Palatino Linotype"/>
                <w:sz w:val="20"/>
                <w:szCs w:val="20"/>
              </w:rPr>
              <w:t xml:space="preserve">reveals the significant under reporting of </w:t>
            </w:r>
            <w:r w:rsidR="00FE6AEE" w:rsidRPr="00FE6AEE">
              <w:rPr>
                <w:rFonts w:ascii="Palatino Linotype" w:hAnsi="Palatino Linotype"/>
                <w:i/>
                <w:iCs/>
                <w:sz w:val="20"/>
                <w:szCs w:val="20"/>
              </w:rPr>
              <w:t>trans</w:t>
            </w:r>
            <w:r w:rsidR="00FE6AEE">
              <w:rPr>
                <w:rFonts w:ascii="Palatino Linotype" w:hAnsi="Palatino Linotype"/>
                <w:sz w:val="20"/>
                <w:szCs w:val="20"/>
              </w:rPr>
              <w:t xml:space="preserve">-fat in food products and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proposes the mandatory labelling of 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trans-</w:t>
            </w:r>
            <w:r>
              <w:rPr>
                <w:rFonts w:ascii="Palatino Linotype" w:hAnsi="Palatino Linotype"/>
                <w:sz w:val="20"/>
                <w:szCs w:val="20"/>
              </w:rPr>
              <w:t>fats.</w:t>
            </w:r>
          </w:p>
        </w:tc>
      </w:tr>
      <w:tr w:rsidR="00ED4014" w:rsidRPr="00ED4014" w14:paraId="36E2B114" w14:textId="77777777" w:rsidTr="00ED269D">
        <w:tc>
          <w:tcPr>
            <w:tcW w:w="1696" w:type="dxa"/>
          </w:tcPr>
          <w:p w14:paraId="58F303F0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1992</w:t>
            </w:r>
          </w:p>
        </w:tc>
        <w:tc>
          <w:tcPr>
            <w:tcW w:w="13750" w:type="dxa"/>
          </w:tcPr>
          <w:p w14:paraId="7DEAE1BB" w14:textId="7467D24C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Castelli, who was director of the Framingham study from 1979-1995, observe</w:t>
            </w:r>
            <w:r w:rsidR="00147768" w:rsidRPr="00DD1C1C">
              <w:rPr>
                <w:rFonts w:ascii="Palatino Linotype" w:hAnsi="Palatino Linotype"/>
                <w:sz w:val="20"/>
                <w:szCs w:val="20"/>
              </w:rPr>
              <w:t>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that the more saturated fat and cholesterol one </w:t>
            </w:r>
            <w:r w:rsidR="00147768" w:rsidRPr="00DD1C1C">
              <w:rPr>
                <w:rFonts w:ascii="Palatino Linotype" w:hAnsi="Palatino Linotype"/>
                <w:sz w:val="20"/>
                <w:szCs w:val="20"/>
              </w:rPr>
              <w:t>e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at</w:t>
            </w:r>
            <w:r w:rsidR="00147768" w:rsidRPr="00DD1C1C">
              <w:rPr>
                <w:rFonts w:ascii="Palatino Linotype" w:hAnsi="Palatino Linotype"/>
                <w:sz w:val="20"/>
                <w:szCs w:val="20"/>
              </w:rPr>
              <w:t>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, the lower </w:t>
            </w:r>
            <w:r w:rsidR="00147768" w:rsidRPr="00DD1C1C">
              <w:rPr>
                <w:rFonts w:ascii="Palatino Linotype" w:hAnsi="Palatino Linotype"/>
                <w:sz w:val="20"/>
                <w:szCs w:val="20"/>
              </w:rPr>
              <w:t>i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s the serum cholesterol. </w:t>
            </w:r>
          </w:p>
        </w:tc>
      </w:tr>
      <w:tr w:rsidR="00804E54" w:rsidRPr="00ED4014" w14:paraId="2DAD3BEE" w14:textId="77777777" w:rsidTr="00ED269D">
        <w:tc>
          <w:tcPr>
            <w:tcW w:w="1696" w:type="dxa"/>
          </w:tcPr>
          <w:p w14:paraId="148D11C3" w14:textId="6034A4B7" w:rsidR="00804E54" w:rsidRPr="00DD1C1C" w:rsidRDefault="00804E5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13750" w:type="dxa"/>
          </w:tcPr>
          <w:p w14:paraId="02EF3412" w14:textId="51B70028" w:rsidR="00804E54" w:rsidRPr="00DD1C1C" w:rsidRDefault="00804E5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The International Life Sciences Institute (ILSI), a group that was largely financed by food and chemical corporations, concludes that trans-fat do</w:t>
            </w:r>
            <w:r w:rsidR="0075746C">
              <w:rPr>
                <w:rFonts w:ascii="Palatino Linotype" w:hAnsi="Palatino Linotype"/>
                <w:sz w:val="20"/>
                <w:szCs w:val="20"/>
              </w:rPr>
              <w:t>es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not raise serum cholesterol levels as much as saturated fat and recommend more studies. </w:t>
            </w:r>
          </w:p>
        </w:tc>
      </w:tr>
      <w:tr w:rsidR="00091DBD" w:rsidRPr="00ED4014" w14:paraId="17DBEF93" w14:textId="77777777" w:rsidTr="00ED269D">
        <w:tc>
          <w:tcPr>
            <w:tcW w:w="1696" w:type="dxa"/>
          </w:tcPr>
          <w:p w14:paraId="4D456F43" w14:textId="0F648C9B" w:rsidR="00091DBD" w:rsidRPr="00091DBD" w:rsidRDefault="00091DBD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13750" w:type="dxa"/>
          </w:tcPr>
          <w:p w14:paraId="7BCA3839" w14:textId="14C2F618" w:rsidR="00091DBD" w:rsidRPr="00091DBD" w:rsidRDefault="00091DBD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AHA launches Healthy-Heart label which endorses low-fat products and margarines with </w:t>
            </w:r>
            <w:r w:rsidRPr="00DD1C1C">
              <w:rPr>
                <w:rFonts w:ascii="Palatino Linotype" w:hAnsi="Palatino Linotype"/>
                <w:i/>
                <w:iCs/>
                <w:sz w:val="20"/>
                <w:szCs w:val="20"/>
              </w:rPr>
              <w:t>trans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>-fats.</w:t>
            </w:r>
          </w:p>
        </w:tc>
      </w:tr>
      <w:tr w:rsidR="00ED4014" w:rsidRPr="00ED4014" w14:paraId="4C9CB633" w14:textId="77777777" w:rsidTr="00ED269D">
        <w:tc>
          <w:tcPr>
            <w:tcW w:w="1696" w:type="dxa"/>
          </w:tcPr>
          <w:p w14:paraId="31B026B5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1999</w:t>
            </w:r>
          </w:p>
        </w:tc>
        <w:tc>
          <w:tcPr>
            <w:tcW w:w="13750" w:type="dxa"/>
          </w:tcPr>
          <w:p w14:paraId="4DC9AA72" w14:textId="77777777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Analysis of the diet in the SCS reveals that the diet contained margarine. </w:t>
            </w:r>
          </w:p>
        </w:tc>
      </w:tr>
      <w:tr w:rsidR="00ED4014" w:rsidRPr="00ED4014" w14:paraId="3DF72741" w14:textId="77777777" w:rsidTr="00ED269D">
        <w:tc>
          <w:tcPr>
            <w:tcW w:w="1696" w:type="dxa"/>
          </w:tcPr>
          <w:p w14:paraId="330693C0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3750" w:type="dxa"/>
          </w:tcPr>
          <w:p w14:paraId="1E5F02B2" w14:textId="534AA273" w:rsidR="00ED4014" w:rsidRPr="00DD1C1C" w:rsidRDefault="00703B75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The </w:t>
            </w:r>
            <w:r w:rsidR="00ED4014" w:rsidRPr="00DD1C1C">
              <w:rPr>
                <w:rFonts w:ascii="Palatino Linotype" w:hAnsi="Palatino Linotype"/>
                <w:sz w:val="20"/>
                <w:szCs w:val="20"/>
              </w:rPr>
              <w:t xml:space="preserve">FDA mandate to label </w:t>
            </w:r>
            <w:r w:rsidR="00ED4014" w:rsidRPr="00DD1C1C">
              <w:rPr>
                <w:rFonts w:ascii="Palatino Linotype" w:hAnsi="Palatino Linotype"/>
                <w:i/>
                <w:iCs/>
                <w:sz w:val="20"/>
                <w:szCs w:val="20"/>
              </w:rPr>
              <w:t>trans</w:t>
            </w:r>
            <w:r w:rsidR="00ED4014" w:rsidRPr="00DD1C1C">
              <w:rPr>
                <w:rFonts w:ascii="Palatino Linotype" w:hAnsi="Palatino Linotype"/>
                <w:sz w:val="20"/>
                <w:szCs w:val="20"/>
              </w:rPr>
              <w:t>-fat takes effect. This allows manufacturers to declare “Zero</w:t>
            </w:r>
            <w:r w:rsidR="00755A1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D4014" w:rsidRPr="00DD1C1C">
              <w:rPr>
                <w:rFonts w:ascii="Palatino Linotype" w:hAnsi="Palatino Linotype"/>
                <w:i/>
                <w:iCs/>
                <w:sz w:val="20"/>
                <w:szCs w:val="20"/>
              </w:rPr>
              <w:t>trans</w:t>
            </w:r>
            <w:r w:rsidR="00900199">
              <w:rPr>
                <w:rFonts w:ascii="Palatino Linotype" w:hAnsi="Palatino Linotype"/>
                <w:i/>
                <w:iCs/>
                <w:sz w:val="20"/>
                <w:szCs w:val="20"/>
              </w:rPr>
              <w:t>-</w:t>
            </w:r>
            <w:r w:rsidR="00ED4014" w:rsidRPr="00DD1C1C">
              <w:rPr>
                <w:rFonts w:ascii="Palatino Linotype" w:hAnsi="Palatino Linotype"/>
                <w:sz w:val="20"/>
                <w:szCs w:val="20"/>
              </w:rPr>
              <w:t xml:space="preserve">fat” if the amount is lower than 0.5 g per serving size. </w:t>
            </w:r>
          </w:p>
        </w:tc>
      </w:tr>
      <w:tr w:rsidR="00ED4014" w:rsidRPr="00ED4014" w14:paraId="1543B1CA" w14:textId="77777777" w:rsidTr="00ED269D">
        <w:tc>
          <w:tcPr>
            <w:tcW w:w="1696" w:type="dxa"/>
          </w:tcPr>
          <w:p w14:paraId="4DA9B21E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3750" w:type="dxa"/>
          </w:tcPr>
          <w:p w14:paraId="02230A02" w14:textId="61EF994B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Ramsden and co-workers publish the results of the Sydney Diet Heart Study from recovered raw data. </w:t>
            </w:r>
            <w:r w:rsidR="00703B75">
              <w:rPr>
                <w:rFonts w:ascii="Palatino Linotype" w:hAnsi="Palatino Linotype"/>
                <w:sz w:val="20"/>
                <w:szCs w:val="20"/>
              </w:rPr>
              <w:t>The results show that the PUFA diet lowers serum cholesterol much more effectively compared to control</w:t>
            </w:r>
            <w:r w:rsidR="00833213">
              <w:rPr>
                <w:rFonts w:ascii="Palatino Linotype" w:hAnsi="Palatino Linotype"/>
                <w:sz w:val="20"/>
                <w:szCs w:val="20"/>
              </w:rPr>
              <w:t>,</w:t>
            </w:r>
            <w:r w:rsidR="00703B75">
              <w:rPr>
                <w:rFonts w:ascii="Palatino Linotype" w:hAnsi="Palatino Linotype"/>
                <w:sz w:val="20"/>
                <w:szCs w:val="20"/>
              </w:rPr>
              <w:t xml:space="preserve"> but </w:t>
            </w:r>
            <w:r w:rsidR="001D2510" w:rsidRPr="00DD1C1C">
              <w:rPr>
                <w:rFonts w:ascii="Palatino Linotype" w:hAnsi="Palatino Linotype"/>
                <w:sz w:val="20"/>
                <w:szCs w:val="20"/>
              </w:rPr>
              <w:t xml:space="preserve">the PUFA group had significantly higher rates of all-cause and </w:t>
            </w:r>
            <w:r w:rsidR="00703B75">
              <w:rPr>
                <w:rFonts w:ascii="Palatino Linotype" w:hAnsi="Palatino Linotype"/>
                <w:sz w:val="20"/>
                <w:szCs w:val="20"/>
              </w:rPr>
              <w:t>CVD</w:t>
            </w:r>
            <w:r w:rsidR="001D2510" w:rsidRPr="00DD1C1C">
              <w:rPr>
                <w:rFonts w:ascii="Palatino Linotype" w:hAnsi="Palatino Linotype"/>
                <w:sz w:val="20"/>
                <w:szCs w:val="20"/>
              </w:rPr>
              <w:t xml:space="preserve"> deaths.</w:t>
            </w:r>
          </w:p>
        </w:tc>
      </w:tr>
      <w:tr w:rsidR="00ED4014" w:rsidRPr="00ED4014" w14:paraId="6987A916" w14:textId="77777777" w:rsidTr="00ED269D">
        <w:tc>
          <w:tcPr>
            <w:tcW w:w="1696" w:type="dxa"/>
          </w:tcPr>
          <w:p w14:paraId="61085BAA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3750" w:type="dxa"/>
          </w:tcPr>
          <w:p w14:paraId="18B16BF7" w14:textId="1A08E2C0" w:rsidR="00ED4014" w:rsidRPr="00DD1C1C" w:rsidRDefault="0017196F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17196F">
              <w:rPr>
                <w:rFonts w:ascii="Palatino Linotype" w:hAnsi="Palatino Linotype"/>
                <w:i/>
                <w:iCs/>
                <w:sz w:val="20"/>
                <w:szCs w:val="20"/>
              </w:rPr>
              <w:t>DGA 2015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removes the warning to limit dietary cholesterol to below 300 mg per day</w:t>
            </w:r>
            <w:r w:rsidR="00833213">
              <w:rPr>
                <w:rFonts w:ascii="Palatino Linotype" w:hAnsi="Palatino Linotype"/>
                <w:sz w:val="20"/>
                <w:szCs w:val="20"/>
              </w:rPr>
              <w:t>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but it continues to warn </w:t>
            </w:r>
            <w:r w:rsidR="00ED4014" w:rsidRPr="00DD1C1C">
              <w:rPr>
                <w:rFonts w:ascii="Palatino Linotype" w:hAnsi="Palatino Linotype"/>
                <w:sz w:val="20"/>
                <w:szCs w:val="20"/>
              </w:rPr>
              <w:t>against dietary cholesterol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as part of a </w:t>
            </w:r>
            <w:r w:rsidRPr="0017196F">
              <w:rPr>
                <w:rFonts w:ascii="Palatino Linotype" w:hAnsi="Palatino Linotype"/>
                <w:sz w:val="20"/>
                <w:szCs w:val="20"/>
              </w:rPr>
              <w:t>healthy eating pattern.</w:t>
            </w:r>
          </w:p>
        </w:tc>
      </w:tr>
      <w:tr w:rsidR="00ED4014" w:rsidRPr="00ED4014" w14:paraId="5BFA85BB" w14:textId="77777777" w:rsidTr="00ED269D">
        <w:tc>
          <w:tcPr>
            <w:tcW w:w="1696" w:type="dxa"/>
          </w:tcPr>
          <w:p w14:paraId="146EA057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3750" w:type="dxa"/>
          </w:tcPr>
          <w:p w14:paraId="7309D9EE" w14:textId="1891AC6D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FDA revokes GRAS recognition for partially hydrogenated oils</w:t>
            </w:r>
            <w:r w:rsidR="00A35A94">
              <w:rPr>
                <w:rFonts w:ascii="Palatino Linotype" w:hAnsi="Palatino Linotype"/>
                <w:sz w:val="20"/>
                <w:szCs w:val="20"/>
              </w:rPr>
              <w:t xml:space="preserve"> (PHO)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</w:p>
        </w:tc>
      </w:tr>
      <w:tr w:rsidR="00ED4014" w:rsidRPr="00ED4014" w14:paraId="1211EA59" w14:textId="77777777" w:rsidTr="00ED269D">
        <w:tc>
          <w:tcPr>
            <w:tcW w:w="1696" w:type="dxa"/>
          </w:tcPr>
          <w:p w14:paraId="34E943F5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3750" w:type="dxa"/>
          </w:tcPr>
          <w:p w14:paraId="73E0CC7E" w14:textId="4FDEAD4C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Ramsden and co-workers publish the results of the Minnesota Coronary Experiment from recovered </w:t>
            </w:r>
            <w:r w:rsidR="00703B75">
              <w:rPr>
                <w:rFonts w:ascii="Palatino Linotype" w:hAnsi="Palatino Linotype"/>
                <w:sz w:val="20"/>
                <w:szCs w:val="20"/>
              </w:rPr>
              <w:t xml:space="preserve">raw 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data. </w:t>
            </w:r>
            <w:r w:rsidR="00703B75">
              <w:rPr>
                <w:rFonts w:ascii="Palatino Linotype" w:hAnsi="Palatino Linotype"/>
                <w:sz w:val="20"/>
                <w:szCs w:val="20"/>
              </w:rPr>
              <w:t>The results show that s</w:t>
            </w:r>
            <w:r w:rsidR="009D4B0B" w:rsidRPr="00DD1C1C">
              <w:rPr>
                <w:rFonts w:ascii="Palatino Linotype" w:hAnsi="Palatino Linotype"/>
                <w:sz w:val="20"/>
                <w:szCs w:val="20"/>
              </w:rPr>
              <w:t xml:space="preserve">ubjects who consumed the PUFA corn oil diet </w:t>
            </w:r>
            <w:r w:rsidR="00703B75">
              <w:rPr>
                <w:rFonts w:ascii="Palatino Linotype" w:hAnsi="Palatino Linotype"/>
                <w:sz w:val="20"/>
                <w:szCs w:val="20"/>
              </w:rPr>
              <w:t>showed</w:t>
            </w:r>
            <w:r w:rsidR="009D4B0B" w:rsidRPr="00DD1C1C">
              <w:rPr>
                <w:rFonts w:ascii="Palatino Linotype" w:hAnsi="Palatino Linotype"/>
                <w:sz w:val="20"/>
                <w:szCs w:val="20"/>
              </w:rPr>
              <w:t xml:space="preserve"> reduced serum cholesterol but </w:t>
            </w:r>
            <w:r w:rsidR="00703B75">
              <w:rPr>
                <w:rFonts w:ascii="Palatino Linotype" w:hAnsi="Palatino Linotype"/>
                <w:sz w:val="20"/>
                <w:szCs w:val="20"/>
              </w:rPr>
              <w:t xml:space="preserve">had </w:t>
            </w:r>
            <w:r w:rsidR="009D4B0B" w:rsidRPr="00DD1C1C">
              <w:rPr>
                <w:rFonts w:ascii="Palatino Linotype" w:hAnsi="Palatino Linotype"/>
                <w:sz w:val="20"/>
                <w:szCs w:val="20"/>
              </w:rPr>
              <w:t xml:space="preserve">a higher </w:t>
            </w:r>
            <w:r w:rsidR="001A7B33" w:rsidRPr="00DD1C1C">
              <w:rPr>
                <w:rFonts w:ascii="Palatino Linotype" w:hAnsi="Palatino Linotype"/>
                <w:sz w:val="20"/>
                <w:szCs w:val="20"/>
              </w:rPr>
              <w:t>incidence</w:t>
            </w:r>
            <w:r w:rsidR="009D4B0B" w:rsidRPr="00DD1C1C">
              <w:rPr>
                <w:rFonts w:ascii="Palatino Linotype" w:hAnsi="Palatino Linotype"/>
                <w:sz w:val="20"/>
                <w:szCs w:val="20"/>
              </w:rPr>
              <w:t xml:space="preserve"> of death compared to the control group.</w:t>
            </w:r>
          </w:p>
        </w:tc>
      </w:tr>
      <w:tr w:rsidR="00ED4014" w:rsidRPr="00ED4014" w14:paraId="5A2CD63F" w14:textId="77777777" w:rsidTr="00ED269D">
        <w:tc>
          <w:tcPr>
            <w:tcW w:w="1696" w:type="dxa"/>
          </w:tcPr>
          <w:p w14:paraId="54581373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3750" w:type="dxa"/>
          </w:tcPr>
          <w:p w14:paraId="51EF08AE" w14:textId="0F354299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>The PURE study, which involved 18 high-, medium-, and low-income countries, concludes that high fat intake</w:t>
            </w:r>
            <w:r w:rsidR="00A67FF7" w:rsidRPr="00DD1C1C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B22AC6" w:rsidRPr="00DD1C1C">
              <w:rPr>
                <w:rFonts w:ascii="Palatino Linotype" w:hAnsi="Palatino Linotype"/>
                <w:sz w:val="20"/>
                <w:szCs w:val="20"/>
              </w:rPr>
              <w:t>including saturated fat,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703B75">
              <w:rPr>
                <w:rFonts w:ascii="Palatino Linotype" w:hAnsi="Palatino Linotype"/>
                <w:sz w:val="20"/>
                <w:szCs w:val="20"/>
              </w:rPr>
              <w:t>is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associated with a lower risk of premature death from all causes, and </w:t>
            </w:r>
            <w:r w:rsidR="00703B75">
              <w:rPr>
                <w:rFonts w:ascii="Palatino Linotype" w:hAnsi="Palatino Linotype"/>
                <w:sz w:val="20"/>
                <w:szCs w:val="20"/>
              </w:rPr>
              <w:t>that saturated fat is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not associated with CVD.  </w:t>
            </w:r>
          </w:p>
        </w:tc>
      </w:tr>
      <w:tr w:rsidR="00ED4014" w:rsidRPr="00ED4014" w14:paraId="09FB901A" w14:textId="77777777" w:rsidTr="00ED269D">
        <w:tc>
          <w:tcPr>
            <w:tcW w:w="1696" w:type="dxa"/>
            <w:shd w:val="clear" w:color="auto" w:fill="auto"/>
          </w:tcPr>
          <w:p w14:paraId="05242354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750" w:type="dxa"/>
            <w:shd w:val="clear" w:color="auto" w:fill="auto"/>
          </w:tcPr>
          <w:p w14:paraId="566C0B55" w14:textId="4E77D0C0" w:rsidR="00ED4014" w:rsidRPr="00DD1C1C" w:rsidRDefault="00ED4014" w:rsidP="001D7B3C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AHA </w:t>
            </w:r>
            <w:r w:rsidR="001D7B3C">
              <w:rPr>
                <w:rFonts w:ascii="Palatino Linotype" w:hAnsi="Palatino Linotype"/>
                <w:sz w:val="20"/>
                <w:szCs w:val="20"/>
              </w:rPr>
              <w:t xml:space="preserve">endorses </w:t>
            </w:r>
            <w:r w:rsidR="0017196F" w:rsidRPr="0017196F">
              <w:rPr>
                <w:rFonts w:ascii="Palatino Linotype" w:hAnsi="Palatino Linotype"/>
                <w:sz w:val="20"/>
                <w:szCs w:val="20"/>
              </w:rPr>
              <w:t>healthy dietary</w:t>
            </w:r>
            <w:r w:rsidR="001D7B3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17196F" w:rsidRPr="0017196F">
              <w:rPr>
                <w:rFonts w:ascii="Palatino Linotype" w:hAnsi="Palatino Linotype"/>
                <w:sz w:val="20"/>
                <w:szCs w:val="20"/>
              </w:rPr>
              <w:t>patterns that are relatively low</w:t>
            </w:r>
            <w:r w:rsidR="001D7B3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17196F" w:rsidRPr="0017196F">
              <w:rPr>
                <w:rFonts w:ascii="Palatino Linotype" w:hAnsi="Palatino Linotype"/>
                <w:sz w:val="20"/>
                <w:szCs w:val="20"/>
              </w:rPr>
              <w:t>in cholesterol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</w:p>
        </w:tc>
      </w:tr>
      <w:tr w:rsidR="00ED4014" w:rsidRPr="00ED4014" w14:paraId="245B68FD" w14:textId="77777777" w:rsidTr="00ED269D">
        <w:tc>
          <w:tcPr>
            <w:tcW w:w="1696" w:type="dxa"/>
            <w:shd w:val="clear" w:color="auto" w:fill="auto"/>
          </w:tcPr>
          <w:p w14:paraId="12D3EF38" w14:textId="77777777" w:rsidR="00ED4014" w:rsidRPr="00DD1C1C" w:rsidRDefault="00ED4014" w:rsidP="0042764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750" w:type="dxa"/>
            <w:shd w:val="clear" w:color="auto" w:fill="auto"/>
          </w:tcPr>
          <w:p w14:paraId="678CEC8A" w14:textId="722AD825" w:rsidR="00ED4014" w:rsidRPr="00DD1C1C" w:rsidRDefault="00ED4014" w:rsidP="00427647">
            <w:pPr>
              <w:rPr>
                <w:rFonts w:ascii="Palatino Linotype" w:hAnsi="Palatino Linotype"/>
                <w:sz w:val="20"/>
                <w:szCs w:val="20"/>
              </w:rPr>
            </w:pPr>
            <w:r w:rsidRPr="00DD1C1C">
              <w:rPr>
                <w:rFonts w:ascii="Palatino Linotype" w:hAnsi="Palatino Linotype"/>
                <w:i/>
                <w:iCs/>
                <w:sz w:val="20"/>
                <w:szCs w:val="20"/>
              </w:rPr>
              <w:t>DGA 2020</w:t>
            </w:r>
            <w:r w:rsidRPr="00DD1C1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703B75">
              <w:rPr>
                <w:rFonts w:ascii="Palatino Linotype" w:hAnsi="Palatino Linotype"/>
                <w:sz w:val="20"/>
                <w:szCs w:val="20"/>
              </w:rPr>
              <w:t>continues to support the lipid-heart hypothesis</w:t>
            </w:r>
            <w:r w:rsidR="00E564E6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</w:p>
        </w:tc>
      </w:tr>
    </w:tbl>
    <w:p w14:paraId="662ED6CA" w14:textId="77777777" w:rsidR="00C031FC" w:rsidRDefault="00C031FC" w:rsidP="00F320C7">
      <w:pPr>
        <w:rPr>
          <w:sz w:val="24"/>
          <w:szCs w:val="24"/>
        </w:rPr>
      </w:pPr>
    </w:p>
    <w:sectPr w:rsidR="00C031FC" w:rsidSect="00833213">
      <w:pgSz w:w="20160" w:h="12240" w:orient="landscape" w:code="5"/>
      <w:pgMar w:top="810" w:right="1440" w:bottom="1440" w:left="81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y Newport" w:date="2024-04-01T17:30:00Z" w:initials="MN">
    <w:p w14:paraId="7EE6FB59" w14:textId="3F30BDAB" w:rsidR="00A940F1" w:rsidRDefault="00A940F1" w:rsidP="00A940F1">
      <w:pPr>
        <w:pStyle w:val="CommentText"/>
      </w:pPr>
      <w:r>
        <w:rPr>
          <w:rStyle w:val="CommentReference"/>
        </w:rPr>
        <w:annotationRef/>
      </w:r>
      <w:r>
        <w:t>Since the results actually showed a negative outcome, this might either be worded differently or deleted since the results are mentioned later in the timeline.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EE6FB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10A738A" w16cex:dateUtc="2024-04-01T2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EE6FB59" w16cid:durableId="510A73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y Newport">
    <w15:presenceInfo w15:providerId="Windows Live" w15:userId="d2e6d5955b554e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81"/>
    <w:rsid w:val="000006F2"/>
    <w:rsid w:val="00010EC7"/>
    <w:rsid w:val="000117F0"/>
    <w:rsid w:val="00011C7C"/>
    <w:rsid w:val="000121EB"/>
    <w:rsid w:val="000144BB"/>
    <w:rsid w:val="00021499"/>
    <w:rsid w:val="0002497B"/>
    <w:rsid w:val="00026540"/>
    <w:rsid w:val="00026915"/>
    <w:rsid w:val="00032198"/>
    <w:rsid w:val="00032E52"/>
    <w:rsid w:val="000335A2"/>
    <w:rsid w:val="00035E19"/>
    <w:rsid w:val="00037272"/>
    <w:rsid w:val="00037E52"/>
    <w:rsid w:val="000421A6"/>
    <w:rsid w:val="0004753B"/>
    <w:rsid w:val="00051490"/>
    <w:rsid w:val="00053549"/>
    <w:rsid w:val="000549C9"/>
    <w:rsid w:val="00054E81"/>
    <w:rsid w:val="000552E7"/>
    <w:rsid w:val="00056145"/>
    <w:rsid w:val="00065F1E"/>
    <w:rsid w:val="00066722"/>
    <w:rsid w:val="00070BD1"/>
    <w:rsid w:val="000736A2"/>
    <w:rsid w:val="00082501"/>
    <w:rsid w:val="00085FAC"/>
    <w:rsid w:val="00091647"/>
    <w:rsid w:val="00091DBD"/>
    <w:rsid w:val="00092571"/>
    <w:rsid w:val="0009257C"/>
    <w:rsid w:val="000957F5"/>
    <w:rsid w:val="000A07C5"/>
    <w:rsid w:val="000A6364"/>
    <w:rsid w:val="000A6C0B"/>
    <w:rsid w:val="000C19E6"/>
    <w:rsid w:val="000C34D8"/>
    <w:rsid w:val="000C45AC"/>
    <w:rsid w:val="000C470A"/>
    <w:rsid w:val="000C5CE2"/>
    <w:rsid w:val="000D615B"/>
    <w:rsid w:val="000E094B"/>
    <w:rsid w:val="000E76FF"/>
    <w:rsid w:val="000F43E3"/>
    <w:rsid w:val="001024C8"/>
    <w:rsid w:val="00104541"/>
    <w:rsid w:val="0011050F"/>
    <w:rsid w:val="00110898"/>
    <w:rsid w:val="00110F3F"/>
    <w:rsid w:val="00113BBC"/>
    <w:rsid w:val="001144F4"/>
    <w:rsid w:val="001151F0"/>
    <w:rsid w:val="00120528"/>
    <w:rsid w:val="001213C0"/>
    <w:rsid w:val="001236FE"/>
    <w:rsid w:val="00123A4D"/>
    <w:rsid w:val="00123CD6"/>
    <w:rsid w:val="001272AE"/>
    <w:rsid w:val="0013507E"/>
    <w:rsid w:val="001353C6"/>
    <w:rsid w:val="001357DE"/>
    <w:rsid w:val="00136B27"/>
    <w:rsid w:val="001467C8"/>
    <w:rsid w:val="001468BC"/>
    <w:rsid w:val="00147768"/>
    <w:rsid w:val="001615C0"/>
    <w:rsid w:val="00162856"/>
    <w:rsid w:val="0016328C"/>
    <w:rsid w:val="00165639"/>
    <w:rsid w:val="0017196F"/>
    <w:rsid w:val="00176A71"/>
    <w:rsid w:val="0019129B"/>
    <w:rsid w:val="00194F10"/>
    <w:rsid w:val="001A13E4"/>
    <w:rsid w:val="001A71E9"/>
    <w:rsid w:val="001A7B33"/>
    <w:rsid w:val="001B66DC"/>
    <w:rsid w:val="001D0770"/>
    <w:rsid w:val="001D2308"/>
    <w:rsid w:val="001D2510"/>
    <w:rsid w:val="001D3DEF"/>
    <w:rsid w:val="001D6576"/>
    <w:rsid w:val="001D7B3C"/>
    <w:rsid w:val="001D7CE3"/>
    <w:rsid w:val="001E5277"/>
    <w:rsid w:val="001E6CAD"/>
    <w:rsid w:val="001E6D95"/>
    <w:rsid w:val="001E74F4"/>
    <w:rsid w:val="001F0AEF"/>
    <w:rsid w:val="001F0B5C"/>
    <w:rsid w:val="001F1F98"/>
    <w:rsid w:val="001F366C"/>
    <w:rsid w:val="001F3F26"/>
    <w:rsid w:val="00200954"/>
    <w:rsid w:val="0020298E"/>
    <w:rsid w:val="00203032"/>
    <w:rsid w:val="00204A6A"/>
    <w:rsid w:val="0021415E"/>
    <w:rsid w:val="00214C83"/>
    <w:rsid w:val="00221707"/>
    <w:rsid w:val="0022256C"/>
    <w:rsid w:val="002262C2"/>
    <w:rsid w:val="0023128C"/>
    <w:rsid w:val="002314C9"/>
    <w:rsid w:val="002319D8"/>
    <w:rsid w:val="00231B09"/>
    <w:rsid w:val="002332C6"/>
    <w:rsid w:val="0023330A"/>
    <w:rsid w:val="00233A25"/>
    <w:rsid w:val="00242CFF"/>
    <w:rsid w:val="00247558"/>
    <w:rsid w:val="00251C47"/>
    <w:rsid w:val="0025236E"/>
    <w:rsid w:val="002552C8"/>
    <w:rsid w:val="002625F0"/>
    <w:rsid w:val="00265D4A"/>
    <w:rsid w:val="00266BCF"/>
    <w:rsid w:val="002725A3"/>
    <w:rsid w:val="0028741E"/>
    <w:rsid w:val="002910E4"/>
    <w:rsid w:val="002A032F"/>
    <w:rsid w:val="002A07E4"/>
    <w:rsid w:val="002B540A"/>
    <w:rsid w:val="002B746B"/>
    <w:rsid w:val="002C01D4"/>
    <w:rsid w:val="002C41CA"/>
    <w:rsid w:val="002C4CC3"/>
    <w:rsid w:val="002C723A"/>
    <w:rsid w:val="002D6133"/>
    <w:rsid w:val="002E0354"/>
    <w:rsid w:val="002E056C"/>
    <w:rsid w:val="002E4967"/>
    <w:rsid w:val="002F535E"/>
    <w:rsid w:val="002F5D24"/>
    <w:rsid w:val="003032F3"/>
    <w:rsid w:val="003046D9"/>
    <w:rsid w:val="003221C1"/>
    <w:rsid w:val="003238B3"/>
    <w:rsid w:val="00324337"/>
    <w:rsid w:val="003351DD"/>
    <w:rsid w:val="003375D2"/>
    <w:rsid w:val="00340EE0"/>
    <w:rsid w:val="00341FFB"/>
    <w:rsid w:val="003437EB"/>
    <w:rsid w:val="00346E3F"/>
    <w:rsid w:val="00352C2E"/>
    <w:rsid w:val="00363BBA"/>
    <w:rsid w:val="00367397"/>
    <w:rsid w:val="0037344F"/>
    <w:rsid w:val="00377E81"/>
    <w:rsid w:val="0038006E"/>
    <w:rsid w:val="003A1287"/>
    <w:rsid w:val="003A4975"/>
    <w:rsid w:val="003A4AB9"/>
    <w:rsid w:val="003A600B"/>
    <w:rsid w:val="003A651B"/>
    <w:rsid w:val="003B2214"/>
    <w:rsid w:val="003B2F6C"/>
    <w:rsid w:val="003B5D08"/>
    <w:rsid w:val="003B5F67"/>
    <w:rsid w:val="003B68FB"/>
    <w:rsid w:val="003C6A2E"/>
    <w:rsid w:val="003D70CB"/>
    <w:rsid w:val="003E03C1"/>
    <w:rsid w:val="003E0491"/>
    <w:rsid w:val="003E4BBD"/>
    <w:rsid w:val="003E7922"/>
    <w:rsid w:val="003F6CC2"/>
    <w:rsid w:val="0040078D"/>
    <w:rsid w:val="0040501D"/>
    <w:rsid w:val="00406FD2"/>
    <w:rsid w:val="00407EBB"/>
    <w:rsid w:val="0041350B"/>
    <w:rsid w:val="00413632"/>
    <w:rsid w:val="00414273"/>
    <w:rsid w:val="0041525D"/>
    <w:rsid w:val="004254DB"/>
    <w:rsid w:val="004260D6"/>
    <w:rsid w:val="00442CB1"/>
    <w:rsid w:val="00446338"/>
    <w:rsid w:val="004465E8"/>
    <w:rsid w:val="00450397"/>
    <w:rsid w:val="00455CA1"/>
    <w:rsid w:val="00473111"/>
    <w:rsid w:val="00486FAC"/>
    <w:rsid w:val="00490FD5"/>
    <w:rsid w:val="004A60BF"/>
    <w:rsid w:val="004B42DC"/>
    <w:rsid w:val="004B4B73"/>
    <w:rsid w:val="004C004D"/>
    <w:rsid w:val="004C386E"/>
    <w:rsid w:val="004C3EBD"/>
    <w:rsid w:val="004D245B"/>
    <w:rsid w:val="004D2EC7"/>
    <w:rsid w:val="004D5CB3"/>
    <w:rsid w:val="004E5A8A"/>
    <w:rsid w:val="004E7263"/>
    <w:rsid w:val="004F192B"/>
    <w:rsid w:val="004F343C"/>
    <w:rsid w:val="004F4664"/>
    <w:rsid w:val="004F4B5F"/>
    <w:rsid w:val="00500237"/>
    <w:rsid w:val="00501149"/>
    <w:rsid w:val="00501AB6"/>
    <w:rsid w:val="00511137"/>
    <w:rsid w:val="00512859"/>
    <w:rsid w:val="0052186F"/>
    <w:rsid w:val="005301FF"/>
    <w:rsid w:val="00530A42"/>
    <w:rsid w:val="00532C01"/>
    <w:rsid w:val="005332C0"/>
    <w:rsid w:val="00535CDE"/>
    <w:rsid w:val="0054184E"/>
    <w:rsid w:val="005420CD"/>
    <w:rsid w:val="00544105"/>
    <w:rsid w:val="00545C6C"/>
    <w:rsid w:val="00546002"/>
    <w:rsid w:val="005550E7"/>
    <w:rsid w:val="0057048C"/>
    <w:rsid w:val="00570DB1"/>
    <w:rsid w:val="0057312B"/>
    <w:rsid w:val="00582B7C"/>
    <w:rsid w:val="00590E38"/>
    <w:rsid w:val="005A0E8B"/>
    <w:rsid w:val="005A56BF"/>
    <w:rsid w:val="005B4D7E"/>
    <w:rsid w:val="005B7A9D"/>
    <w:rsid w:val="005C2C8D"/>
    <w:rsid w:val="005C5A45"/>
    <w:rsid w:val="005D3368"/>
    <w:rsid w:val="005E1B12"/>
    <w:rsid w:val="005E5CB4"/>
    <w:rsid w:val="005F4F0E"/>
    <w:rsid w:val="005F55F8"/>
    <w:rsid w:val="005F752C"/>
    <w:rsid w:val="00600D8D"/>
    <w:rsid w:val="006150C2"/>
    <w:rsid w:val="0061592F"/>
    <w:rsid w:val="006215E6"/>
    <w:rsid w:val="00623E5F"/>
    <w:rsid w:val="00625A04"/>
    <w:rsid w:val="00631EE2"/>
    <w:rsid w:val="00631FA6"/>
    <w:rsid w:val="006333C1"/>
    <w:rsid w:val="00643373"/>
    <w:rsid w:val="00646FDE"/>
    <w:rsid w:val="0065311E"/>
    <w:rsid w:val="00665A9C"/>
    <w:rsid w:val="00666245"/>
    <w:rsid w:val="00667649"/>
    <w:rsid w:val="006715B1"/>
    <w:rsid w:val="00671B10"/>
    <w:rsid w:val="00672AEC"/>
    <w:rsid w:val="00672AF9"/>
    <w:rsid w:val="006753E3"/>
    <w:rsid w:val="00685C11"/>
    <w:rsid w:val="00686638"/>
    <w:rsid w:val="0068736E"/>
    <w:rsid w:val="006978F9"/>
    <w:rsid w:val="006A32EE"/>
    <w:rsid w:val="006A3630"/>
    <w:rsid w:val="006B5906"/>
    <w:rsid w:val="006B6BA2"/>
    <w:rsid w:val="006C0F3B"/>
    <w:rsid w:val="006C21C9"/>
    <w:rsid w:val="006C2935"/>
    <w:rsid w:val="006C3FE6"/>
    <w:rsid w:val="006C5636"/>
    <w:rsid w:val="006E0DE4"/>
    <w:rsid w:val="006E0EBC"/>
    <w:rsid w:val="006E7D5C"/>
    <w:rsid w:val="006F0B82"/>
    <w:rsid w:val="006F1540"/>
    <w:rsid w:val="006F2130"/>
    <w:rsid w:val="006F3C71"/>
    <w:rsid w:val="00703B75"/>
    <w:rsid w:val="00703C5D"/>
    <w:rsid w:val="00707F46"/>
    <w:rsid w:val="00710F32"/>
    <w:rsid w:val="0071207A"/>
    <w:rsid w:val="00714431"/>
    <w:rsid w:val="00715DC6"/>
    <w:rsid w:val="0071729E"/>
    <w:rsid w:val="00720817"/>
    <w:rsid w:val="00722D6A"/>
    <w:rsid w:val="00731656"/>
    <w:rsid w:val="00732E52"/>
    <w:rsid w:val="00740E9E"/>
    <w:rsid w:val="00741739"/>
    <w:rsid w:val="00751459"/>
    <w:rsid w:val="007535CB"/>
    <w:rsid w:val="00753B69"/>
    <w:rsid w:val="00755A15"/>
    <w:rsid w:val="0075746C"/>
    <w:rsid w:val="00763F48"/>
    <w:rsid w:val="00764B26"/>
    <w:rsid w:val="00764DA4"/>
    <w:rsid w:val="0077227B"/>
    <w:rsid w:val="00775EF7"/>
    <w:rsid w:val="00776505"/>
    <w:rsid w:val="00796010"/>
    <w:rsid w:val="007A1EB5"/>
    <w:rsid w:val="007A33EC"/>
    <w:rsid w:val="007B6AD7"/>
    <w:rsid w:val="007B71BE"/>
    <w:rsid w:val="007C29CE"/>
    <w:rsid w:val="007D60B3"/>
    <w:rsid w:val="007D7AF7"/>
    <w:rsid w:val="007D7D1C"/>
    <w:rsid w:val="007E0A7B"/>
    <w:rsid w:val="007E2D49"/>
    <w:rsid w:val="007E7107"/>
    <w:rsid w:val="007F2DB0"/>
    <w:rsid w:val="007F6823"/>
    <w:rsid w:val="007F71A2"/>
    <w:rsid w:val="008030E7"/>
    <w:rsid w:val="00804D5C"/>
    <w:rsid w:val="00804E54"/>
    <w:rsid w:val="0081291B"/>
    <w:rsid w:val="00820242"/>
    <w:rsid w:val="00827D91"/>
    <w:rsid w:val="00833213"/>
    <w:rsid w:val="0083399A"/>
    <w:rsid w:val="00835AAE"/>
    <w:rsid w:val="00840E6D"/>
    <w:rsid w:val="008416A1"/>
    <w:rsid w:val="00843850"/>
    <w:rsid w:val="008440C3"/>
    <w:rsid w:val="008622A6"/>
    <w:rsid w:val="0087142B"/>
    <w:rsid w:val="00872044"/>
    <w:rsid w:val="00872372"/>
    <w:rsid w:val="0087326E"/>
    <w:rsid w:val="0087460C"/>
    <w:rsid w:val="008747FC"/>
    <w:rsid w:val="0088230E"/>
    <w:rsid w:val="008929FE"/>
    <w:rsid w:val="00897338"/>
    <w:rsid w:val="008973C8"/>
    <w:rsid w:val="008A2710"/>
    <w:rsid w:val="008A5B5C"/>
    <w:rsid w:val="008A6738"/>
    <w:rsid w:val="008A6C86"/>
    <w:rsid w:val="008B11D6"/>
    <w:rsid w:val="008B68EB"/>
    <w:rsid w:val="008C00FF"/>
    <w:rsid w:val="008C2761"/>
    <w:rsid w:val="008D1C76"/>
    <w:rsid w:val="008D3BBF"/>
    <w:rsid w:val="008F0FA5"/>
    <w:rsid w:val="008F2A64"/>
    <w:rsid w:val="008F6038"/>
    <w:rsid w:val="008F6AC4"/>
    <w:rsid w:val="00900199"/>
    <w:rsid w:val="009002C3"/>
    <w:rsid w:val="009044E9"/>
    <w:rsid w:val="00906128"/>
    <w:rsid w:val="0091338B"/>
    <w:rsid w:val="00914398"/>
    <w:rsid w:val="00915BF4"/>
    <w:rsid w:val="009165DE"/>
    <w:rsid w:val="00917697"/>
    <w:rsid w:val="00920B78"/>
    <w:rsid w:val="00921E5E"/>
    <w:rsid w:val="00925713"/>
    <w:rsid w:val="00926DAA"/>
    <w:rsid w:val="00926E0E"/>
    <w:rsid w:val="0093305D"/>
    <w:rsid w:val="00940274"/>
    <w:rsid w:val="00944CFF"/>
    <w:rsid w:val="00945518"/>
    <w:rsid w:val="00946531"/>
    <w:rsid w:val="00947C96"/>
    <w:rsid w:val="00967E64"/>
    <w:rsid w:val="009758BD"/>
    <w:rsid w:val="00975E81"/>
    <w:rsid w:val="00983979"/>
    <w:rsid w:val="00986F8E"/>
    <w:rsid w:val="00990052"/>
    <w:rsid w:val="00995E4C"/>
    <w:rsid w:val="009A0758"/>
    <w:rsid w:val="009A27C5"/>
    <w:rsid w:val="009A7854"/>
    <w:rsid w:val="009C094A"/>
    <w:rsid w:val="009C1D12"/>
    <w:rsid w:val="009C5887"/>
    <w:rsid w:val="009C744B"/>
    <w:rsid w:val="009D0AD4"/>
    <w:rsid w:val="009D3CA7"/>
    <w:rsid w:val="009D4B0B"/>
    <w:rsid w:val="009D513F"/>
    <w:rsid w:val="009E175E"/>
    <w:rsid w:val="009E1768"/>
    <w:rsid w:val="009E56AE"/>
    <w:rsid w:val="009E6597"/>
    <w:rsid w:val="009E6BF0"/>
    <w:rsid w:val="009F070E"/>
    <w:rsid w:val="009F073C"/>
    <w:rsid w:val="009F22F9"/>
    <w:rsid w:val="009F3A46"/>
    <w:rsid w:val="009F3E78"/>
    <w:rsid w:val="009F4245"/>
    <w:rsid w:val="00A13421"/>
    <w:rsid w:val="00A20A9F"/>
    <w:rsid w:val="00A22F5B"/>
    <w:rsid w:val="00A3286C"/>
    <w:rsid w:val="00A35A94"/>
    <w:rsid w:val="00A41CAB"/>
    <w:rsid w:val="00A44D0A"/>
    <w:rsid w:val="00A53EDE"/>
    <w:rsid w:val="00A547A3"/>
    <w:rsid w:val="00A55604"/>
    <w:rsid w:val="00A60341"/>
    <w:rsid w:val="00A67FF7"/>
    <w:rsid w:val="00A736B5"/>
    <w:rsid w:val="00A75A23"/>
    <w:rsid w:val="00A809A9"/>
    <w:rsid w:val="00A86605"/>
    <w:rsid w:val="00A87391"/>
    <w:rsid w:val="00A90CDA"/>
    <w:rsid w:val="00A93CB1"/>
    <w:rsid w:val="00A940F1"/>
    <w:rsid w:val="00A96BB9"/>
    <w:rsid w:val="00A96F95"/>
    <w:rsid w:val="00AA22B2"/>
    <w:rsid w:val="00AA5AB3"/>
    <w:rsid w:val="00AA79B3"/>
    <w:rsid w:val="00AC0281"/>
    <w:rsid w:val="00AC3398"/>
    <w:rsid w:val="00AC33C8"/>
    <w:rsid w:val="00AC37F1"/>
    <w:rsid w:val="00AC4A2A"/>
    <w:rsid w:val="00AC63CC"/>
    <w:rsid w:val="00AD2D2E"/>
    <w:rsid w:val="00AD4499"/>
    <w:rsid w:val="00AE0121"/>
    <w:rsid w:val="00AE1B1A"/>
    <w:rsid w:val="00AE5ADF"/>
    <w:rsid w:val="00AF3468"/>
    <w:rsid w:val="00AF4327"/>
    <w:rsid w:val="00B07FA7"/>
    <w:rsid w:val="00B22AC6"/>
    <w:rsid w:val="00B2460F"/>
    <w:rsid w:val="00B26E7D"/>
    <w:rsid w:val="00B2753E"/>
    <w:rsid w:val="00B313F1"/>
    <w:rsid w:val="00B3423F"/>
    <w:rsid w:val="00B3459F"/>
    <w:rsid w:val="00B41C48"/>
    <w:rsid w:val="00B426DB"/>
    <w:rsid w:val="00B431A1"/>
    <w:rsid w:val="00B456AB"/>
    <w:rsid w:val="00B52952"/>
    <w:rsid w:val="00B53A3C"/>
    <w:rsid w:val="00B54D95"/>
    <w:rsid w:val="00B55A3B"/>
    <w:rsid w:val="00B606F6"/>
    <w:rsid w:val="00B74540"/>
    <w:rsid w:val="00B753F5"/>
    <w:rsid w:val="00B76297"/>
    <w:rsid w:val="00B80695"/>
    <w:rsid w:val="00B81B48"/>
    <w:rsid w:val="00B81F1E"/>
    <w:rsid w:val="00B840F1"/>
    <w:rsid w:val="00B867F1"/>
    <w:rsid w:val="00B86A78"/>
    <w:rsid w:val="00B908B3"/>
    <w:rsid w:val="00B91DA2"/>
    <w:rsid w:val="00B926D8"/>
    <w:rsid w:val="00B936AF"/>
    <w:rsid w:val="00BA2831"/>
    <w:rsid w:val="00BA34D7"/>
    <w:rsid w:val="00BA54C1"/>
    <w:rsid w:val="00BA7158"/>
    <w:rsid w:val="00BA7833"/>
    <w:rsid w:val="00BA7F2E"/>
    <w:rsid w:val="00BB107E"/>
    <w:rsid w:val="00BB649B"/>
    <w:rsid w:val="00BB7199"/>
    <w:rsid w:val="00BC08F0"/>
    <w:rsid w:val="00BC5247"/>
    <w:rsid w:val="00BC633E"/>
    <w:rsid w:val="00BD20E5"/>
    <w:rsid w:val="00BD5DE8"/>
    <w:rsid w:val="00BE4EA6"/>
    <w:rsid w:val="00BF327C"/>
    <w:rsid w:val="00BF3551"/>
    <w:rsid w:val="00C031FC"/>
    <w:rsid w:val="00C04122"/>
    <w:rsid w:val="00C0694D"/>
    <w:rsid w:val="00C07CB2"/>
    <w:rsid w:val="00C100B2"/>
    <w:rsid w:val="00C105D4"/>
    <w:rsid w:val="00C111BC"/>
    <w:rsid w:val="00C172FF"/>
    <w:rsid w:val="00C3541B"/>
    <w:rsid w:val="00C40C32"/>
    <w:rsid w:val="00C416F9"/>
    <w:rsid w:val="00C46943"/>
    <w:rsid w:val="00C46FFD"/>
    <w:rsid w:val="00C5255B"/>
    <w:rsid w:val="00C554E9"/>
    <w:rsid w:val="00C622EE"/>
    <w:rsid w:val="00C62CCD"/>
    <w:rsid w:val="00C63721"/>
    <w:rsid w:val="00C7088A"/>
    <w:rsid w:val="00C74772"/>
    <w:rsid w:val="00C74D69"/>
    <w:rsid w:val="00C77288"/>
    <w:rsid w:val="00C82378"/>
    <w:rsid w:val="00C9564E"/>
    <w:rsid w:val="00CA40D3"/>
    <w:rsid w:val="00CA41FF"/>
    <w:rsid w:val="00CA6FF4"/>
    <w:rsid w:val="00CA7DC4"/>
    <w:rsid w:val="00CB737B"/>
    <w:rsid w:val="00CC28EE"/>
    <w:rsid w:val="00CC7787"/>
    <w:rsid w:val="00CC7A05"/>
    <w:rsid w:val="00CD35FC"/>
    <w:rsid w:val="00CE63EB"/>
    <w:rsid w:val="00CE667E"/>
    <w:rsid w:val="00CF6F60"/>
    <w:rsid w:val="00D12074"/>
    <w:rsid w:val="00D152E7"/>
    <w:rsid w:val="00D16A37"/>
    <w:rsid w:val="00D21D7F"/>
    <w:rsid w:val="00D22894"/>
    <w:rsid w:val="00D375C9"/>
    <w:rsid w:val="00D4095C"/>
    <w:rsid w:val="00D40EC7"/>
    <w:rsid w:val="00D4328D"/>
    <w:rsid w:val="00D4469E"/>
    <w:rsid w:val="00D5051D"/>
    <w:rsid w:val="00D532F8"/>
    <w:rsid w:val="00D609EB"/>
    <w:rsid w:val="00D62B2B"/>
    <w:rsid w:val="00D70854"/>
    <w:rsid w:val="00D743C3"/>
    <w:rsid w:val="00D74DB9"/>
    <w:rsid w:val="00D83B4C"/>
    <w:rsid w:val="00D8521B"/>
    <w:rsid w:val="00D86958"/>
    <w:rsid w:val="00D90913"/>
    <w:rsid w:val="00D914F3"/>
    <w:rsid w:val="00D929CB"/>
    <w:rsid w:val="00D93F8E"/>
    <w:rsid w:val="00D94834"/>
    <w:rsid w:val="00DA0B6E"/>
    <w:rsid w:val="00DA604F"/>
    <w:rsid w:val="00DB4856"/>
    <w:rsid w:val="00DB5764"/>
    <w:rsid w:val="00DC3173"/>
    <w:rsid w:val="00DC42BA"/>
    <w:rsid w:val="00DD1C1C"/>
    <w:rsid w:val="00DD427A"/>
    <w:rsid w:val="00DD50BA"/>
    <w:rsid w:val="00DD5A5D"/>
    <w:rsid w:val="00DD7639"/>
    <w:rsid w:val="00DE2E7F"/>
    <w:rsid w:val="00DE2FCA"/>
    <w:rsid w:val="00DE501D"/>
    <w:rsid w:val="00DE618C"/>
    <w:rsid w:val="00DF4956"/>
    <w:rsid w:val="00E04E7D"/>
    <w:rsid w:val="00E1042A"/>
    <w:rsid w:val="00E117B0"/>
    <w:rsid w:val="00E1616D"/>
    <w:rsid w:val="00E31B38"/>
    <w:rsid w:val="00E33B6D"/>
    <w:rsid w:val="00E341CF"/>
    <w:rsid w:val="00E34C36"/>
    <w:rsid w:val="00E377ED"/>
    <w:rsid w:val="00E37BCA"/>
    <w:rsid w:val="00E420D6"/>
    <w:rsid w:val="00E458A0"/>
    <w:rsid w:val="00E564E6"/>
    <w:rsid w:val="00E56DFD"/>
    <w:rsid w:val="00E60FD7"/>
    <w:rsid w:val="00E62206"/>
    <w:rsid w:val="00E748E3"/>
    <w:rsid w:val="00E75624"/>
    <w:rsid w:val="00E91572"/>
    <w:rsid w:val="00E920BB"/>
    <w:rsid w:val="00E954CF"/>
    <w:rsid w:val="00EA106F"/>
    <w:rsid w:val="00EA6E55"/>
    <w:rsid w:val="00EB080F"/>
    <w:rsid w:val="00EB3906"/>
    <w:rsid w:val="00EB4A7C"/>
    <w:rsid w:val="00EB53BD"/>
    <w:rsid w:val="00EC3E09"/>
    <w:rsid w:val="00EC4FF0"/>
    <w:rsid w:val="00EC5051"/>
    <w:rsid w:val="00EC50D6"/>
    <w:rsid w:val="00EC620A"/>
    <w:rsid w:val="00ED10D1"/>
    <w:rsid w:val="00ED1F0B"/>
    <w:rsid w:val="00ED269D"/>
    <w:rsid w:val="00ED4014"/>
    <w:rsid w:val="00ED66BF"/>
    <w:rsid w:val="00EE6408"/>
    <w:rsid w:val="00EF107D"/>
    <w:rsid w:val="00EF1320"/>
    <w:rsid w:val="00EF27E0"/>
    <w:rsid w:val="00EF45A1"/>
    <w:rsid w:val="00F018D6"/>
    <w:rsid w:val="00F057EF"/>
    <w:rsid w:val="00F06F85"/>
    <w:rsid w:val="00F076EC"/>
    <w:rsid w:val="00F13CFB"/>
    <w:rsid w:val="00F15A73"/>
    <w:rsid w:val="00F21D94"/>
    <w:rsid w:val="00F237B9"/>
    <w:rsid w:val="00F320C7"/>
    <w:rsid w:val="00F3433F"/>
    <w:rsid w:val="00F405E5"/>
    <w:rsid w:val="00F40DF9"/>
    <w:rsid w:val="00F436DF"/>
    <w:rsid w:val="00F46EF0"/>
    <w:rsid w:val="00F52E9C"/>
    <w:rsid w:val="00F56EC1"/>
    <w:rsid w:val="00F758C4"/>
    <w:rsid w:val="00F827CC"/>
    <w:rsid w:val="00F84847"/>
    <w:rsid w:val="00F86B46"/>
    <w:rsid w:val="00F91D52"/>
    <w:rsid w:val="00F91E7A"/>
    <w:rsid w:val="00FA6157"/>
    <w:rsid w:val="00FA6630"/>
    <w:rsid w:val="00FA7FE4"/>
    <w:rsid w:val="00FB05BD"/>
    <w:rsid w:val="00FB14E8"/>
    <w:rsid w:val="00FB6290"/>
    <w:rsid w:val="00FB6854"/>
    <w:rsid w:val="00FC2538"/>
    <w:rsid w:val="00FC35BF"/>
    <w:rsid w:val="00FC48A4"/>
    <w:rsid w:val="00FD4F3A"/>
    <w:rsid w:val="00FD55D2"/>
    <w:rsid w:val="00FD7667"/>
    <w:rsid w:val="00FE1ACE"/>
    <w:rsid w:val="00FE64F2"/>
    <w:rsid w:val="00FE6AEE"/>
    <w:rsid w:val="00FE7636"/>
    <w:rsid w:val="00FF44CF"/>
    <w:rsid w:val="00FF5B80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EA304"/>
  <w15:chartTrackingRefBased/>
  <w15:docId w15:val="{893DBCDF-CD92-4B39-B14F-2A685B8E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before="120"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3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2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16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10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3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3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s://fdc.nal.usda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7CBD7-38F0-42D2-B9AF-54968A9B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Dayrit</dc:creator>
  <cp:keywords/>
  <dc:description/>
  <cp:lastModifiedBy>Mary Newport</cp:lastModifiedBy>
  <cp:revision>2</cp:revision>
  <cp:lastPrinted>2024-03-17T22:32:00Z</cp:lastPrinted>
  <dcterms:created xsi:type="dcterms:W3CDTF">2024-04-09T15:19:00Z</dcterms:created>
  <dcterms:modified xsi:type="dcterms:W3CDTF">2024-04-09T15:19:00Z</dcterms:modified>
</cp:coreProperties>
</file>