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D90AC" w14:textId="085B6D19" w:rsidR="00A11CF6" w:rsidRPr="006453D9" w:rsidRDefault="00CE1728" w:rsidP="00A11CF6">
      <w:pPr>
        <w:pStyle w:val="MDPI11articletype"/>
      </w:pPr>
      <w:r>
        <w:t>Supplementary Information</w:t>
      </w:r>
    </w:p>
    <w:p w14:paraId="331E0B79" w14:textId="4CA4DC70" w:rsidR="00CE1728" w:rsidRDefault="00CE1728" w:rsidP="00CE1728">
      <w:pPr>
        <w:pStyle w:val="MDPI13authornames"/>
        <w:rPr>
          <w:snapToGrid w:val="0"/>
          <w:sz w:val="36"/>
          <w:szCs w:val="20"/>
        </w:rPr>
      </w:pPr>
      <w:r w:rsidRPr="00CE1728">
        <w:rPr>
          <w:snapToGrid w:val="0"/>
          <w:sz w:val="36"/>
          <w:szCs w:val="20"/>
        </w:rPr>
        <w:t>Electrochemical characterization of electrodeposited copper catalyst for CCU</w:t>
      </w:r>
      <w:r>
        <w:rPr>
          <w:snapToGrid w:val="0"/>
          <w:sz w:val="36"/>
          <w:szCs w:val="20"/>
        </w:rPr>
        <w:t>: Supplementary information</w:t>
      </w:r>
    </w:p>
    <w:p w14:paraId="1F6E5283" w14:textId="236D4C8A" w:rsidR="00CE1728" w:rsidRDefault="00CE1728" w:rsidP="00CE1728">
      <w:pPr>
        <w:pStyle w:val="MDPI13authornames"/>
      </w:pPr>
      <w:r>
        <w:t>Corentin</w:t>
      </w:r>
      <w:r w:rsidRPr="00D945EC">
        <w:t xml:space="preserve"> </w:t>
      </w:r>
      <w:r>
        <w:t>Penot</w:t>
      </w:r>
      <w:r w:rsidRPr="00D945EC">
        <w:t xml:space="preserve"> </w:t>
      </w:r>
      <w:r w:rsidRPr="001F31D1">
        <w:rPr>
          <w:vertAlign w:val="superscript"/>
        </w:rPr>
        <w:t>1</w:t>
      </w:r>
      <w:r w:rsidRPr="00D945EC">
        <w:t xml:space="preserve">, </w:t>
      </w:r>
      <w:r>
        <w:t xml:space="preserve">Kranthi Kumar </w:t>
      </w:r>
      <w:proofErr w:type="spellStart"/>
      <w:r>
        <w:t>Maniam</w:t>
      </w:r>
      <w:proofErr w:type="spellEnd"/>
      <w:r w:rsidRPr="00D945EC">
        <w:t xml:space="preserve"> </w:t>
      </w:r>
      <w:r>
        <w:rPr>
          <w:vertAlign w:val="superscript"/>
        </w:rPr>
        <w:t>1</w:t>
      </w:r>
      <w:r w:rsidRPr="00D945EC">
        <w:t xml:space="preserve"> and </w:t>
      </w:r>
      <w:r>
        <w:t>Shiladitya Paul</w:t>
      </w:r>
      <w:r w:rsidRPr="00D945EC">
        <w:t xml:space="preserve"> </w:t>
      </w:r>
      <w:r w:rsidRPr="00370A50">
        <w:rPr>
          <w:vertAlign w:val="superscript"/>
        </w:rPr>
        <w:t>1,</w:t>
      </w:r>
      <w:r w:rsidRPr="001F31D1">
        <w:rPr>
          <w:vertAlign w:val="superscript"/>
        </w:rPr>
        <w:t>2,</w:t>
      </w:r>
      <w:r w:rsidRPr="00331633">
        <w:t xml:space="preserve"> *</w:t>
      </w:r>
    </w:p>
    <w:tbl>
      <w:tblPr>
        <w:tblpPr w:leftFromText="198" w:rightFromText="198" w:vertAnchor="page" w:horzAnchor="margin" w:tblpY="11276"/>
        <w:tblW w:w="2410" w:type="dxa"/>
        <w:tblLayout w:type="fixed"/>
        <w:tblCellMar>
          <w:left w:w="0" w:type="dxa"/>
          <w:right w:w="0" w:type="dxa"/>
        </w:tblCellMar>
        <w:tblLook w:val="04A0" w:firstRow="1" w:lastRow="0" w:firstColumn="1" w:lastColumn="0" w:noHBand="0" w:noVBand="1"/>
      </w:tblPr>
      <w:tblGrid>
        <w:gridCol w:w="2410"/>
      </w:tblGrid>
      <w:tr w:rsidR="00C35A6C" w:rsidRPr="000802ED" w14:paraId="37F4E741" w14:textId="77777777" w:rsidTr="0011332D">
        <w:tc>
          <w:tcPr>
            <w:tcW w:w="2410" w:type="dxa"/>
            <w:shd w:val="clear" w:color="auto" w:fill="auto"/>
          </w:tcPr>
          <w:p w14:paraId="4387E21C" w14:textId="77777777" w:rsidR="00C35A6C" w:rsidRPr="00227C97" w:rsidRDefault="00C35A6C" w:rsidP="00CE1728">
            <w:pPr>
              <w:pStyle w:val="MDPI61Citation"/>
              <w:keepNext/>
              <w:spacing w:after="120" w:line="240" w:lineRule="exact"/>
            </w:pPr>
            <w:bookmarkStart w:id="0" w:name="page3"/>
            <w:bookmarkEnd w:id="0"/>
            <w:r w:rsidRPr="0099140B">
              <w:rPr>
                <w:b/>
              </w:rPr>
              <w:t>Citation:</w:t>
            </w:r>
            <w:r>
              <w:rPr>
                <w:b/>
              </w:rPr>
              <w:t xml:space="preserve"> </w:t>
            </w:r>
            <w:r>
              <w:t>To be added by editorial staff during production.</w:t>
            </w:r>
          </w:p>
          <w:p w14:paraId="4EFA197F" w14:textId="77777777" w:rsidR="00C35A6C" w:rsidRDefault="00C35A6C" w:rsidP="00CE1728">
            <w:pPr>
              <w:pStyle w:val="MDPI14history"/>
              <w:keepNext/>
              <w:spacing w:before="120" w:after="120"/>
              <w:rPr>
                <w:rFonts w:ascii="SimSun" w:eastAsia="SimSun" w:hAnsi="SimSun" w:cs="SimSun"/>
                <w:lang w:eastAsia="zh-CN"/>
              </w:rPr>
            </w:pPr>
            <w:r>
              <w:t xml:space="preserve">Academic Editor: </w:t>
            </w:r>
            <w:proofErr w:type="spellStart"/>
            <w:r w:rsidRPr="00562097">
              <w:t>Firstname</w:t>
            </w:r>
            <w:proofErr w:type="spellEnd"/>
            <w:r w:rsidRPr="00562097">
              <w:t xml:space="preserve"> Lastname</w:t>
            </w:r>
          </w:p>
          <w:p w14:paraId="6BB1085B" w14:textId="77777777" w:rsidR="00C35A6C" w:rsidRPr="00D30D71" w:rsidRDefault="00C35A6C" w:rsidP="00CE1728">
            <w:pPr>
              <w:pStyle w:val="MDPI14history"/>
              <w:keepNext/>
              <w:spacing w:before="120"/>
              <w:rPr>
                <w:rFonts w:ascii="SimSun" w:eastAsia="SimSun" w:hAnsi="SimSun" w:cs="SimSun"/>
              </w:rPr>
            </w:pPr>
            <w:r w:rsidRPr="00550626">
              <w:rPr>
                <w:szCs w:val="14"/>
              </w:rPr>
              <w:t xml:space="preserve">Received: </w:t>
            </w:r>
            <w:r w:rsidRPr="00D945EC">
              <w:rPr>
                <w:szCs w:val="14"/>
              </w:rPr>
              <w:t>date</w:t>
            </w:r>
          </w:p>
          <w:p w14:paraId="019A887E" w14:textId="77777777" w:rsidR="00C35A6C" w:rsidRDefault="00C35A6C" w:rsidP="00CE1728">
            <w:pPr>
              <w:pStyle w:val="MDPI14history"/>
              <w:keepNext/>
              <w:rPr>
                <w:szCs w:val="14"/>
              </w:rPr>
            </w:pPr>
            <w:r>
              <w:rPr>
                <w:szCs w:val="14"/>
              </w:rPr>
              <w:t>Revised: date</w:t>
            </w:r>
          </w:p>
          <w:p w14:paraId="2072FFF3" w14:textId="77777777" w:rsidR="00C35A6C" w:rsidRPr="00550626" w:rsidRDefault="00C35A6C" w:rsidP="00CE1728">
            <w:pPr>
              <w:pStyle w:val="MDPI14history"/>
              <w:keepNext/>
              <w:rPr>
                <w:szCs w:val="14"/>
              </w:rPr>
            </w:pPr>
            <w:r>
              <w:rPr>
                <w:szCs w:val="14"/>
              </w:rPr>
              <w:t>Accepted: date</w:t>
            </w:r>
          </w:p>
          <w:p w14:paraId="76D1CD44" w14:textId="77777777" w:rsidR="00C35A6C" w:rsidRPr="00550626" w:rsidRDefault="00C35A6C" w:rsidP="00CE1728">
            <w:pPr>
              <w:pStyle w:val="MDPI14history"/>
              <w:keepNext/>
              <w:spacing w:after="120"/>
              <w:rPr>
                <w:szCs w:val="14"/>
              </w:rPr>
            </w:pPr>
            <w:r w:rsidRPr="00550626">
              <w:rPr>
                <w:szCs w:val="14"/>
              </w:rPr>
              <w:t xml:space="preserve">Published: </w:t>
            </w:r>
            <w:r w:rsidRPr="00D945EC">
              <w:rPr>
                <w:szCs w:val="14"/>
              </w:rPr>
              <w:t>date</w:t>
            </w:r>
          </w:p>
          <w:p w14:paraId="69BC93B0" w14:textId="77777777" w:rsidR="00C35A6C" w:rsidRPr="000802ED" w:rsidRDefault="00C35A6C" w:rsidP="00CE1728">
            <w:pPr>
              <w:keepNext/>
              <w:adjustRightInd w:val="0"/>
              <w:snapToGrid w:val="0"/>
              <w:spacing w:before="120" w:line="240" w:lineRule="atLeast"/>
              <w:ind w:right="113"/>
              <w:jc w:val="left"/>
              <w:rPr>
                <w:rFonts w:eastAsia="DengXian"/>
                <w:bCs/>
                <w:sz w:val="14"/>
                <w:szCs w:val="14"/>
                <w:lang w:bidi="en-US"/>
              </w:rPr>
            </w:pPr>
            <w:r w:rsidRPr="000802ED">
              <w:rPr>
                <w:rFonts w:eastAsia="DengXian"/>
              </w:rPr>
              <w:drawing>
                <wp:inline distT="0" distB="0" distL="0" distR="0" wp14:anchorId="6CF36984" wp14:editId="5123EAC2">
                  <wp:extent cx="692785" cy="24955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027AB16A" w14:textId="77777777" w:rsidR="00C35A6C" w:rsidRPr="000802ED" w:rsidRDefault="00C35A6C" w:rsidP="00CE1728">
            <w:pPr>
              <w:pStyle w:val="MDPI72Copyright"/>
              <w:keepNext/>
              <w:rPr>
                <w:rFonts w:eastAsia="DengXian"/>
                <w:lang w:bidi="en-US"/>
              </w:rPr>
            </w:pPr>
            <w:r w:rsidRPr="000802ED">
              <w:rPr>
                <w:rFonts w:eastAsia="DengXian"/>
                <w:b/>
                <w:lang w:bidi="en-US"/>
              </w:rPr>
              <w:t>Copyright:</w:t>
            </w:r>
            <w:r w:rsidRPr="000802ED">
              <w:rPr>
                <w:rFonts w:eastAsia="DengXian"/>
                <w:lang w:bidi="en-US"/>
              </w:rPr>
              <w:t xml:space="preserve"> </w:t>
            </w:r>
            <w:r w:rsidR="00DF7BCE">
              <w:rPr>
                <w:rFonts w:eastAsia="DengXian"/>
                <w:lang w:bidi="en-US"/>
              </w:rPr>
              <w:t>© 2024 by the</w:t>
            </w:r>
            <w:r>
              <w:rPr>
                <w:rFonts w:eastAsia="DengXian"/>
                <w:lang w:bidi="en-US"/>
              </w:rPr>
              <w:t xml:space="preserve"> authors. Submitted for possible open access publication under the terms and conditions of the Creative Commons </w:t>
            </w:r>
            <w:r w:rsidRPr="000802ED">
              <w:rPr>
                <w:rFonts w:eastAsia="DengXian"/>
                <w:lang w:bidi="en-US"/>
              </w:rPr>
              <w:t>Attribution (CC BY) license (</w:t>
            </w:r>
            <w:r>
              <w:rPr>
                <w:rFonts w:eastAsia="DengXian"/>
                <w:lang w:bidi="en-US"/>
              </w:rPr>
              <w:t>https://</w:t>
            </w:r>
            <w:r w:rsidRPr="000802ED">
              <w:rPr>
                <w:rFonts w:eastAsia="DengXian"/>
                <w:lang w:bidi="en-US"/>
              </w:rPr>
              <w:t>creativecommons.org/licenses/by/4.0/).</w:t>
            </w:r>
          </w:p>
        </w:tc>
      </w:tr>
    </w:tbl>
    <w:p w14:paraId="53E493E9" w14:textId="77777777" w:rsidR="00CE1728" w:rsidRPr="00D945EC" w:rsidRDefault="00CE1728" w:rsidP="00CE1728">
      <w:pPr>
        <w:pStyle w:val="MDPI16affiliation"/>
        <w:keepNext/>
      </w:pPr>
      <w:r w:rsidRPr="00F848A6">
        <w:rPr>
          <w:vertAlign w:val="superscript"/>
        </w:rPr>
        <w:t>1</w:t>
      </w:r>
      <w:r w:rsidRPr="00D945EC">
        <w:tab/>
      </w:r>
      <w:r w:rsidRPr="001E5F6C">
        <w:t>Materials Innovation Centre, School of Engineering, University of Leicester, Leicester, LE1 7RH, UK; km508@leicester.ac.uk</w:t>
      </w:r>
    </w:p>
    <w:p w14:paraId="030B269E" w14:textId="77777777" w:rsidR="00CE1728" w:rsidRPr="00D945EC" w:rsidRDefault="00CE1728" w:rsidP="00CE1728">
      <w:pPr>
        <w:pStyle w:val="MDPI16affiliation"/>
        <w:keepNext/>
      </w:pPr>
      <w:r w:rsidRPr="00D945EC">
        <w:rPr>
          <w:vertAlign w:val="superscript"/>
        </w:rPr>
        <w:t>2</w:t>
      </w:r>
      <w:r w:rsidRPr="00D945EC">
        <w:tab/>
      </w:r>
      <w:r w:rsidRPr="001E5F6C">
        <w:t>Materials</w:t>
      </w:r>
      <w:r>
        <w:t xml:space="preserve"> Performance</w:t>
      </w:r>
      <w:r w:rsidRPr="001E5F6C">
        <w:t xml:space="preserve"> and Integrity Technology Gro</w:t>
      </w:r>
      <w:r>
        <w:t xml:space="preserve">up, TWI, Cambridge, </w:t>
      </w:r>
      <w:r w:rsidRPr="001E5F6C">
        <w:t>CB21 6AL, UK.</w:t>
      </w:r>
    </w:p>
    <w:p w14:paraId="5DD52E20" w14:textId="77777777" w:rsidR="00CE1728" w:rsidRPr="00550626" w:rsidRDefault="00CE1728" w:rsidP="00CE1728">
      <w:pPr>
        <w:pStyle w:val="MDPI16affiliation"/>
        <w:keepNext/>
      </w:pPr>
      <w:r w:rsidRPr="00E16280">
        <w:rPr>
          <w:b/>
        </w:rPr>
        <w:t>*</w:t>
      </w:r>
      <w:r w:rsidRPr="00D945EC">
        <w:tab/>
      </w:r>
      <w:r w:rsidRPr="00877744">
        <w:t xml:space="preserve">Correspondence: </w:t>
      </w:r>
      <w:proofErr w:type="spellStart"/>
      <w:r>
        <w:t>s</w:t>
      </w:r>
      <w:r w:rsidRPr="00877744">
        <w:t>hiladitya.paul</w:t>
      </w:r>
      <w:proofErr w:type="spellEnd"/>
      <w:r w:rsidRPr="00877744">
        <w:rPr>
          <w:lang w:val="en-IN"/>
        </w:rPr>
        <w:t>@twi.co.uk</w:t>
      </w:r>
    </w:p>
    <w:p w14:paraId="2322A57A" w14:textId="0CBC12CD" w:rsidR="00A11CF6" w:rsidRDefault="00A11CF6" w:rsidP="00CE1728">
      <w:pPr>
        <w:pStyle w:val="MDPI31text"/>
        <w:keepNext/>
      </w:pPr>
    </w:p>
    <w:p w14:paraId="295DB1CA" w14:textId="2FA75E52" w:rsidR="008E7793" w:rsidRPr="002C0A06" w:rsidRDefault="008E7793" w:rsidP="008E7793">
      <w:pPr>
        <w:pStyle w:val="MDPI21heading1"/>
        <w:numPr>
          <w:ilvl w:val="0"/>
          <w:numId w:val="24"/>
        </w:numPr>
      </w:pPr>
      <w:r>
        <w:t>Electroplating of copper</w:t>
      </w:r>
    </w:p>
    <w:p w14:paraId="0A7A6CC1" w14:textId="77777777" w:rsidR="008E7793" w:rsidRPr="002C0A06" w:rsidRDefault="008E7793" w:rsidP="008E7793">
      <w:pPr>
        <w:autoSpaceDE w:val="0"/>
        <w:autoSpaceDN w:val="0"/>
        <w:adjustRightInd w:val="0"/>
        <w:spacing w:line="240" w:lineRule="auto"/>
        <w:rPr>
          <w:rFonts w:cs="AdvOTf9433e2d"/>
        </w:rPr>
      </w:pPr>
    </w:p>
    <w:p w14:paraId="15AACE7B" w14:textId="6F05317B" w:rsidR="008E7793" w:rsidRPr="002C0A06" w:rsidRDefault="008E7793" w:rsidP="008E7793">
      <w:pPr>
        <w:pStyle w:val="MDPI22heading2"/>
      </w:pPr>
      <w:r>
        <w:t>1</w:t>
      </w:r>
      <w:r w:rsidRPr="002C0A06">
        <w:t>.1 Materials</w:t>
      </w:r>
    </w:p>
    <w:p w14:paraId="54BFF829" w14:textId="77777777" w:rsidR="008E7793" w:rsidRPr="002C0A06" w:rsidRDefault="008E7793" w:rsidP="008E7793">
      <w:pPr>
        <w:autoSpaceDE w:val="0"/>
        <w:autoSpaceDN w:val="0"/>
        <w:adjustRightInd w:val="0"/>
        <w:spacing w:line="240" w:lineRule="auto"/>
        <w:rPr>
          <w:rFonts w:cs="AdvOTf9433e2d"/>
        </w:rPr>
      </w:pPr>
    </w:p>
    <w:p w14:paraId="63A00E91" w14:textId="77777777" w:rsidR="008E7793" w:rsidRPr="002C0A06" w:rsidRDefault="008E7793" w:rsidP="008E7793">
      <w:pPr>
        <w:pStyle w:val="MDPI31text"/>
      </w:pPr>
      <w:r w:rsidRPr="002C0A06">
        <w:t>Copper sulfate pentahydrate (CuSO4.5H2O), sulfuric acid (H2SO4, 98% purity), and hydrochloric acid (HCl, 37% purity) were procured from Fischer Scientific (United Kingdom). Copper panels were acquired from Schloetter (United Kingdom).</w:t>
      </w:r>
    </w:p>
    <w:p w14:paraId="0E5BAA12" w14:textId="77777777" w:rsidR="008E7793" w:rsidRPr="002C0A06" w:rsidRDefault="008E7793" w:rsidP="008E7793">
      <w:pPr>
        <w:autoSpaceDE w:val="0"/>
        <w:autoSpaceDN w:val="0"/>
        <w:adjustRightInd w:val="0"/>
        <w:spacing w:line="240" w:lineRule="auto"/>
        <w:rPr>
          <w:rFonts w:cs="AdvOTf9433e2d"/>
        </w:rPr>
      </w:pPr>
    </w:p>
    <w:p w14:paraId="6D981C66" w14:textId="453E8EB5" w:rsidR="008E7793" w:rsidRPr="008E7793" w:rsidRDefault="008E7793" w:rsidP="008E7793">
      <w:pPr>
        <w:pStyle w:val="MDPI22heading2"/>
      </w:pPr>
      <w:r>
        <w:t>1</w:t>
      </w:r>
      <w:r w:rsidRPr="008E7793">
        <w:t>.2 Experimental Setup</w:t>
      </w:r>
    </w:p>
    <w:p w14:paraId="7F86672B" w14:textId="77777777" w:rsidR="008E7793" w:rsidRPr="002C0A06" w:rsidRDefault="008E7793" w:rsidP="008E7793">
      <w:pPr>
        <w:autoSpaceDE w:val="0"/>
        <w:autoSpaceDN w:val="0"/>
        <w:adjustRightInd w:val="0"/>
        <w:spacing w:line="240" w:lineRule="auto"/>
        <w:rPr>
          <w:rFonts w:cs="AdvOTf9433e2d"/>
        </w:rPr>
      </w:pPr>
    </w:p>
    <w:p w14:paraId="6230CF09" w14:textId="1CC9DA16" w:rsidR="008E7793" w:rsidRPr="002C0A06" w:rsidRDefault="008E7793" w:rsidP="008E7793">
      <w:pPr>
        <w:pStyle w:val="MDPI23heading3"/>
      </w:pPr>
      <w:r>
        <w:t>1</w:t>
      </w:r>
      <w:r w:rsidRPr="002C0A06">
        <w:t>.2.1 Experimental Preparation</w:t>
      </w:r>
    </w:p>
    <w:p w14:paraId="05837433" w14:textId="77777777" w:rsidR="008E7793" w:rsidRPr="002C0A06" w:rsidRDefault="008E7793" w:rsidP="008E7793">
      <w:pPr>
        <w:autoSpaceDE w:val="0"/>
        <w:autoSpaceDN w:val="0"/>
        <w:adjustRightInd w:val="0"/>
        <w:spacing w:line="240" w:lineRule="auto"/>
        <w:rPr>
          <w:rFonts w:cs="AdvOTf9433e2d"/>
        </w:rPr>
      </w:pPr>
    </w:p>
    <w:p w14:paraId="1F0D7988" w14:textId="77777777" w:rsidR="008E7793" w:rsidRPr="002C0A06" w:rsidRDefault="008E7793" w:rsidP="008E7793">
      <w:pPr>
        <w:pStyle w:val="MDPI31text"/>
      </w:pPr>
      <w:r w:rsidRPr="002C0A06">
        <w:t>Initially, copper substrates were cut into 2.5 x 2.5 cm</w:t>
      </w:r>
      <w:r w:rsidRPr="002C0A06">
        <w:rPr>
          <w:vertAlign w:val="superscript"/>
        </w:rPr>
        <w:t>-2</w:t>
      </w:r>
      <w:r w:rsidRPr="002C0A06">
        <w:t xml:space="preserve"> sized specimens and polished using 600 and 1200 grade emery paper. Subsequently, they were rinsed in deionized water and activated in a 10 wt % HCl solution. Afterward, the samples were rinsed again with deionized water (DI) and utilized as the cathode for the copper deposition process. A copper plate measuring 5 x 10 cm</w:t>
      </w:r>
      <w:r w:rsidRPr="002C0A06">
        <w:rPr>
          <w:vertAlign w:val="superscript"/>
        </w:rPr>
        <w:t>-2</w:t>
      </w:r>
      <w:r w:rsidRPr="002C0A06">
        <w:t xml:space="preserve"> was employed as the anode.</w:t>
      </w:r>
    </w:p>
    <w:p w14:paraId="62FC284D" w14:textId="77777777" w:rsidR="008E7793" w:rsidRPr="002C0A06" w:rsidRDefault="008E7793" w:rsidP="008E7793">
      <w:pPr>
        <w:autoSpaceDE w:val="0"/>
        <w:autoSpaceDN w:val="0"/>
        <w:adjustRightInd w:val="0"/>
        <w:spacing w:line="240" w:lineRule="auto"/>
        <w:rPr>
          <w:rFonts w:cs="AdvOTf9433e2d"/>
        </w:rPr>
      </w:pPr>
    </w:p>
    <w:p w14:paraId="7EA30043" w14:textId="6D3D451B" w:rsidR="008E7793" w:rsidRPr="002C0A06" w:rsidRDefault="008E7793" w:rsidP="008E7793">
      <w:pPr>
        <w:pStyle w:val="MDPI23heading3"/>
      </w:pPr>
      <w:r>
        <w:t>1</w:t>
      </w:r>
      <w:r w:rsidRPr="002C0A06">
        <w:t>.2.2 Electroplating Solution</w:t>
      </w:r>
    </w:p>
    <w:p w14:paraId="4E4E18EE" w14:textId="77777777" w:rsidR="008E7793" w:rsidRPr="002C0A06" w:rsidRDefault="008E7793" w:rsidP="008E7793">
      <w:pPr>
        <w:autoSpaceDE w:val="0"/>
        <w:autoSpaceDN w:val="0"/>
        <w:adjustRightInd w:val="0"/>
        <w:spacing w:line="240" w:lineRule="auto"/>
        <w:rPr>
          <w:rFonts w:cs="AdvOTf9433e2d"/>
        </w:rPr>
      </w:pPr>
    </w:p>
    <w:p w14:paraId="251F2F6A" w14:textId="77777777" w:rsidR="008E7793" w:rsidRPr="00187FFD" w:rsidRDefault="008E7793" w:rsidP="008E7793">
      <w:pPr>
        <w:pStyle w:val="MDPI31text"/>
      </w:pPr>
      <w:r w:rsidRPr="002C0A06">
        <w:t>The electroplating solution was formulated by mixing 150 g.L</w:t>
      </w:r>
      <w:r w:rsidRPr="002C0A06">
        <w:rPr>
          <w:vertAlign w:val="superscript"/>
        </w:rPr>
        <w:t>-1</w:t>
      </w:r>
      <w:r w:rsidRPr="002C0A06">
        <w:t xml:space="preserve"> of CuSO</w:t>
      </w:r>
      <w:r w:rsidRPr="002C0A06">
        <w:rPr>
          <w:vertAlign w:val="subscript"/>
        </w:rPr>
        <w:t>4</w:t>
      </w:r>
      <w:r w:rsidRPr="002C0A06">
        <w:t>.5H</w:t>
      </w:r>
      <w:r w:rsidRPr="002C0A06">
        <w:rPr>
          <w:vertAlign w:val="subscript"/>
        </w:rPr>
        <w:t>2</w:t>
      </w:r>
      <w:r w:rsidRPr="002C0A06">
        <w:t>O, 40 mL.</w:t>
      </w:r>
      <w:r>
        <w:t>L</w:t>
      </w:r>
      <w:r w:rsidRPr="002C0A06">
        <w:rPr>
          <w:vertAlign w:val="superscript"/>
        </w:rPr>
        <w:t>-1</w:t>
      </w:r>
      <w:r w:rsidRPr="002C0A06">
        <w:t xml:space="preserve"> of H</w:t>
      </w:r>
      <w:r w:rsidRPr="002C0A06">
        <w:rPr>
          <w:vertAlign w:val="subscript"/>
        </w:rPr>
        <w:t>2</w:t>
      </w:r>
      <w:r w:rsidRPr="002C0A06">
        <w:t>SO</w:t>
      </w:r>
      <w:r w:rsidRPr="002C0A06">
        <w:rPr>
          <w:vertAlign w:val="subscript"/>
        </w:rPr>
        <w:t>4</w:t>
      </w:r>
      <w:r w:rsidRPr="002C0A06">
        <w:t>, and deionized water.</w:t>
      </w:r>
      <w:r>
        <w:t xml:space="preserve"> Initially, DI water was warmed upto 45-50 deg C followed by the slow addition of </w:t>
      </w:r>
      <w:r w:rsidRPr="002C0A06">
        <w:t>150 g.L</w:t>
      </w:r>
      <w:r w:rsidRPr="002C0A06">
        <w:rPr>
          <w:vertAlign w:val="superscript"/>
        </w:rPr>
        <w:t>-1</w:t>
      </w:r>
      <w:r w:rsidRPr="002C0A06">
        <w:t xml:space="preserve"> of CuSO</w:t>
      </w:r>
      <w:r w:rsidRPr="002C0A06">
        <w:rPr>
          <w:vertAlign w:val="subscript"/>
        </w:rPr>
        <w:t>4</w:t>
      </w:r>
      <w:r w:rsidRPr="002C0A06">
        <w:t>.5H</w:t>
      </w:r>
      <w:r w:rsidRPr="002C0A06">
        <w:rPr>
          <w:vertAlign w:val="subscript"/>
        </w:rPr>
        <w:t>2</w:t>
      </w:r>
      <w:r w:rsidRPr="002C0A06">
        <w:t>O</w:t>
      </w:r>
      <w:r>
        <w:t xml:space="preserve">. Once the solution is well mixed, </w:t>
      </w:r>
      <w:r w:rsidRPr="002C0A06">
        <w:t>40 mL.</w:t>
      </w:r>
      <w:r>
        <w:t>L</w:t>
      </w:r>
      <w:r w:rsidRPr="002C0A06">
        <w:rPr>
          <w:vertAlign w:val="superscript"/>
        </w:rPr>
        <w:t>-1</w:t>
      </w:r>
      <w:r w:rsidRPr="002C0A06">
        <w:t xml:space="preserve"> of H</w:t>
      </w:r>
      <w:r w:rsidRPr="002C0A06">
        <w:rPr>
          <w:vertAlign w:val="subscript"/>
        </w:rPr>
        <w:t>2</w:t>
      </w:r>
      <w:r w:rsidRPr="002C0A06">
        <w:t>SO</w:t>
      </w:r>
      <w:r w:rsidRPr="002C0A06">
        <w:rPr>
          <w:vertAlign w:val="subscript"/>
        </w:rPr>
        <w:t>4</w:t>
      </w:r>
      <w:r>
        <w:rPr>
          <w:vertAlign w:val="subscript"/>
        </w:rPr>
        <w:t xml:space="preserve"> </w:t>
      </w:r>
      <w:r w:rsidRPr="00187FFD">
        <w:t>is added to the solution drop by drop until a homogeneous mixture is obtained. The resultant solution was cooled to laboratory temperature and employed as the electroplating solution</w:t>
      </w:r>
    </w:p>
    <w:p w14:paraId="386ABDE4" w14:textId="77777777" w:rsidR="008E7793" w:rsidRPr="00187FFD" w:rsidRDefault="008E7793" w:rsidP="008E7793">
      <w:pPr>
        <w:autoSpaceDE w:val="0"/>
        <w:autoSpaceDN w:val="0"/>
        <w:adjustRightInd w:val="0"/>
        <w:spacing w:line="240" w:lineRule="auto"/>
        <w:rPr>
          <w:rFonts w:cs="AdvOTf9433e2d"/>
        </w:rPr>
      </w:pPr>
    </w:p>
    <w:p w14:paraId="72039922" w14:textId="77777777" w:rsidR="008E7793" w:rsidRPr="002C0A06" w:rsidRDefault="008E7793" w:rsidP="008E7793">
      <w:pPr>
        <w:pStyle w:val="MDPI23heading3"/>
      </w:pPr>
      <w:r w:rsidRPr="002C0A06">
        <w:t>2.2.3 Electroplating Experiment</w:t>
      </w:r>
    </w:p>
    <w:p w14:paraId="7426D117" w14:textId="506D4B7D" w:rsidR="008E7793" w:rsidRDefault="008E7793" w:rsidP="008E7793">
      <w:pPr>
        <w:pStyle w:val="MDPI31text"/>
      </w:pPr>
      <w:r w:rsidRPr="008E7793">
        <w:t>The electroplating experiment was conducted by applying a voltage of 0.63 V using a DC rectifier (10 A, 12 V, British Electricals Limited, United Kingdom) for a duration of 35 minutes. The distance between the anode and the cathode was maintained at 95 mm (as illustrated in Figure S1), and air agitation was employed to ensure the uniform distribution of concentrations near the cathode.</w:t>
      </w:r>
    </w:p>
    <w:p w14:paraId="0BF5D647" w14:textId="1A81CBBF" w:rsidR="008E7793" w:rsidRDefault="008E7793" w:rsidP="008E7793">
      <w:pPr>
        <w:pStyle w:val="MDPI31text"/>
      </w:pPr>
    </w:p>
    <w:p w14:paraId="7640B712" w14:textId="77777777" w:rsidR="006816DD" w:rsidRDefault="006816DD" w:rsidP="006816DD">
      <w:pPr>
        <w:pStyle w:val="MDPI51figurecaption"/>
        <w:rPr>
          <w:b/>
        </w:rPr>
      </w:pPr>
      <w:r>
        <w:rPr>
          <w:noProof/>
        </w:rPr>
        <w:lastRenderedPageBreak/>
        <w:drawing>
          <wp:inline distT="0" distB="0" distL="0" distR="0" wp14:anchorId="65F45A7C" wp14:editId="49EB7173">
            <wp:extent cx="4684395" cy="1723390"/>
            <wp:effectExtent l="0" t="0" r="190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4395" cy="1723390"/>
                    </a:xfrm>
                    <a:prstGeom prst="rect">
                      <a:avLst/>
                    </a:prstGeom>
                    <a:noFill/>
                    <a:ln>
                      <a:noFill/>
                    </a:ln>
                  </pic:spPr>
                </pic:pic>
              </a:graphicData>
            </a:graphic>
          </wp:inline>
        </w:drawing>
      </w:r>
    </w:p>
    <w:p w14:paraId="07EE5791" w14:textId="32EFB29E" w:rsidR="006816DD" w:rsidRPr="006816DD" w:rsidRDefault="006816DD" w:rsidP="006816DD">
      <w:pPr>
        <w:pStyle w:val="MDPI51figurecaption"/>
      </w:pPr>
      <w:r w:rsidRPr="001A784C">
        <w:rPr>
          <w:b/>
          <w:bCs/>
        </w:rPr>
        <w:t>Figure S1</w:t>
      </w:r>
      <w:r w:rsidRPr="006816DD">
        <w:t>.</w:t>
      </w:r>
      <w:r>
        <w:t xml:space="preserve"> S</w:t>
      </w:r>
      <w:r w:rsidRPr="006816DD">
        <w:t xml:space="preserve">chematic </w:t>
      </w:r>
      <w:r>
        <w:t>representing</w:t>
      </w:r>
      <w:r w:rsidRPr="006816DD">
        <w:t xml:space="preserve"> the electroplating setup, highlighting the positioning of the anode and cathode, maintained at a consistent distance of 95 mm</w:t>
      </w:r>
    </w:p>
    <w:p w14:paraId="68B7795C" w14:textId="563788A5" w:rsidR="008E7793" w:rsidRDefault="008E7793" w:rsidP="006816DD">
      <w:pPr>
        <w:pStyle w:val="MDPI52figure"/>
      </w:pPr>
    </w:p>
    <w:p w14:paraId="52B19515" w14:textId="6CD8E51D" w:rsidR="00D90FF7" w:rsidRPr="002C0A06" w:rsidRDefault="00D90FF7" w:rsidP="00D90FF7">
      <w:pPr>
        <w:pStyle w:val="MDPI21heading1"/>
        <w:numPr>
          <w:ilvl w:val="0"/>
          <w:numId w:val="24"/>
        </w:numPr>
      </w:pPr>
      <w:r>
        <w:t>Electrochemical testing</w:t>
      </w:r>
    </w:p>
    <w:p w14:paraId="56181D6D" w14:textId="77777777" w:rsidR="006816DD" w:rsidRPr="008E7793" w:rsidRDefault="006816DD" w:rsidP="00D90FF7">
      <w:pPr>
        <w:pStyle w:val="MDPI52figure"/>
        <w:ind w:left="1020"/>
        <w:jc w:val="both"/>
      </w:pPr>
    </w:p>
    <w:p w14:paraId="0E6F71FA" w14:textId="742B94F4" w:rsidR="00CE1728" w:rsidRDefault="00CE1728" w:rsidP="00CE1728">
      <w:pPr>
        <w:pStyle w:val="MDPI51figurecaption"/>
        <w:ind w:left="1530"/>
        <w:rPr>
          <w:b/>
        </w:rPr>
      </w:pPr>
      <w:r>
        <w:rPr>
          <w:noProof/>
        </w:rPr>
        <w:drawing>
          <wp:inline distT="0" distB="0" distL="0" distR="0" wp14:anchorId="46FE5524" wp14:editId="261533B3">
            <wp:extent cx="5731510" cy="5410200"/>
            <wp:effectExtent l="0" t="0" r="2540" b="0"/>
            <wp:docPr id="66370339" name="Picture 1" descr="A graph of 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70339" name="Picture 1" descr="A graph of a graph of a graph&#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5410200"/>
                    </a:xfrm>
                    <a:prstGeom prst="rect">
                      <a:avLst/>
                    </a:prstGeom>
                    <a:noFill/>
                    <a:ln>
                      <a:noFill/>
                    </a:ln>
                  </pic:spPr>
                </pic:pic>
              </a:graphicData>
            </a:graphic>
          </wp:inline>
        </w:drawing>
      </w:r>
    </w:p>
    <w:p w14:paraId="6AE84D89" w14:textId="565EF959" w:rsidR="00A11CF6" w:rsidRDefault="00A11CF6" w:rsidP="00CE1728">
      <w:pPr>
        <w:pStyle w:val="MDPI51figurecaption"/>
      </w:pPr>
      <w:r w:rsidRPr="00F63A9B">
        <w:rPr>
          <w:b/>
        </w:rPr>
        <w:lastRenderedPageBreak/>
        <w:t xml:space="preserve">Figure </w:t>
      </w:r>
      <w:r w:rsidR="000E67E7">
        <w:rPr>
          <w:b/>
        </w:rPr>
        <w:t>S</w:t>
      </w:r>
      <w:r w:rsidR="006816DD">
        <w:rPr>
          <w:b/>
        </w:rPr>
        <w:t>2</w:t>
      </w:r>
      <w:r w:rsidRPr="00F63A9B">
        <w:rPr>
          <w:b/>
        </w:rPr>
        <w:t xml:space="preserve">. </w:t>
      </w:r>
      <w:bookmarkStart w:id="1" w:name="_Hlk159228533"/>
      <w:proofErr w:type="spellStart"/>
      <w:r w:rsidR="00392506" w:rsidRPr="00392506">
        <w:rPr>
          <w:bCs/>
          <w:lang w:val="en-GB"/>
        </w:rPr>
        <w:t>Potentiodynamic</w:t>
      </w:r>
      <w:proofErr w:type="spellEnd"/>
      <w:r w:rsidR="00392506" w:rsidRPr="00392506">
        <w:rPr>
          <w:bCs/>
          <w:lang w:val="en-GB"/>
        </w:rPr>
        <w:t xml:space="preserve"> polarization of copper specimens in the different amine-based capture media. </w:t>
      </w:r>
      <w:r w:rsidR="00392506" w:rsidRPr="00392506">
        <w:rPr>
          <w:b/>
          <w:lang w:val="en-GB"/>
        </w:rPr>
        <w:t>(a)</w:t>
      </w:r>
      <w:r w:rsidR="00392506" w:rsidRPr="00392506">
        <w:rPr>
          <w:bCs/>
          <w:lang w:val="en-GB"/>
        </w:rPr>
        <w:t xml:space="preserve"> </w:t>
      </w:r>
      <w:r w:rsidR="00392506">
        <w:rPr>
          <w:bCs/>
          <w:lang w:val="en-GB"/>
        </w:rPr>
        <w:t>MEA,</w:t>
      </w:r>
      <w:r w:rsidR="00392506" w:rsidRPr="00392506">
        <w:rPr>
          <w:bCs/>
          <w:lang w:val="en-GB"/>
        </w:rPr>
        <w:t xml:space="preserve"> </w:t>
      </w:r>
      <w:r w:rsidR="00392506" w:rsidRPr="00392506">
        <w:rPr>
          <w:b/>
          <w:lang w:val="en-GB"/>
        </w:rPr>
        <w:t>(b)</w:t>
      </w:r>
      <w:r w:rsidR="00392506" w:rsidRPr="00392506">
        <w:rPr>
          <w:bCs/>
          <w:lang w:val="en-GB"/>
        </w:rPr>
        <w:t xml:space="preserve"> </w:t>
      </w:r>
      <w:r w:rsidR="00392506">
        <w:rPr>
          <w:bCs/>
          <w:lang w:val="en-GB"/>
        </w:rPr>
        <w:t>MDEA,</w:t>
      </w:r>
      <w:r w:rsidR="00392506" w:rsidRPr="00392506">
        <w:rPr>
          <w:bCs/>
          <w:lang w:val="en-GB"/>
        </w:rPr>
        <w:t xml:space="preserve"> </w:t>
      </w:r>
      <w:r w:rsidR="00392506" w:rsidRPr="00392506">
        <w:rPr>
          <w:b/>
          <w:lang w:val="en-GB"/>
        </w:rPr>
        <w:t>(c)</w:t>
      </w:r>
      <w:r w:rsidR="00392506" w:rsidRPr="00392506">
        <w:rPr>
          <w:bCs/>
          <w:lang w:val="en-GB"/>
        </w:rPr>
        <w:t xml:space="preserve"> </w:t>
      </w:r>
      <w:r w:rsidR="00392506">
        <w:rPr>
          <w:bCs/>
          <w:lang w:val="en-GB"/>
        </w:rPr>
        <w:t>MDEA/PZ,</w:t>
      </w:r>
      <w:r w:rsidR="00392506" w:rsidRPr="00392506">
        <w:rPr>
          <w:bCs/>
          <w:lang w:val="en-GB"/>
        </w:rPr>
        <w:t xml:space="preserve"> </w:t>
      </w:r>
      <w:r w:rsidR="00392506" w:rsidRPr="00392506">
        <w:rPr>
          <w:b/>
          <w:lang w:val="en-GB"/>
        </w:rPr>
        <w:t>(</w:t>
      </w:r>
      <w:r w:rsidR="00392506">
        <w:rPr>
          <w:b/>
          <w:lang w:val="en-GB"/>
        </w:rPr>
        <w:t>d</w:t>
      </w:r>
      <w:r w:rsidR="00392506" w:rsidRPr="00392506">
        <w:rPr>
          <w:b/>
          <w:lang w:val="en-GB"/>
        </w:rPr>
        <w:t>)</w:t>
      </w:r>
      <w:r w:rsidR="00392506" w:rsidRPr="00392506">
        <w:rPr>
          <w:bCs/>
          <w:lang w:val="en-GB"/>
        </w:rPr>
        <w:t xml:space="preserve"> </w:t>
      </w:r>
      <w:r w:rsidR="00392506">
        <w:rPr>
          <w:bCs/>
          <w:lang w:val="en-GB"/>
        </w:rPr>
        <w:t>AMP</w:t>
      </w:r>
      <w:r w:rsidR="00392506" w:rsidRPr="00392506">
        <w:rPr>
          <w:bCs/>
          <w:lang w:val="en-GB"/>
        </w:rPr>
        <w:t>. Scan rate 10 mV min</w:t>
      </w:r>
      <w:r w:rsidR="00392506" w:rsidRPr="00392506">
        <w:rPr>
          <w:bCs/>
          <w:vertAlign w:val="superscript"/>
          <w:lang w:val="en-GB"/>
        </w:rPr>
        <w:t>-1</w:t>
      </w:r>
      <w:r w:rsidR="00392506" w:rsidRPr="00392506">
        <w:rPr>
          <w:bCs/>
          <w:lang w:val="en-GB"/>
        </w:rPr>
        <w:t>.</w:t>
      </w:r>
      <w:bookmarkEnd w:id="1"/>
    </w:p>
    <w:p w14:paraId="29C2AD40" w14:textId="262C7155" w:rsidR="00392506" w:rsidRDefault="00392506" w:rsidP="00392506">
      <w:pPr>
        <w:pStyle w:val="MDPI51figurecaption"/>
        <w:ind w:left="0"/>
      </w:pPr>
      <w:r>
        <w:rPr>
          <w:noProof/>
        </w:rPr>
        <w:drawing>
          <wp:inline distT="0" distB="0" distL="0" distR="0" wp14:anchorId="6B544391" wp14:editId="1AD4C668">
            <wp:extent cx="6645910" cy="4504690"/>
            <wp:effectExtent l="0" t="0" r="2540" b="0"/>
            <wp:docPr id="2083394098"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394098" name="Picture 1" descr="A screenshot of a graph&#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5910" cy="4504690"/>
                    </a:xfrm>
                    <a:prstGeom prst="rect">
                      <a:avLst/>
                    </a:prstGeom>
                    <a:noFill/>
                    <a:ln>
                      <a:noFill/>
                    </a:ln>
                  </pic:spPr>
                </pic:pic>
              </a:graphicData>
            </a:graphic>
          </wp:inline>
        </w:drawing>
      </w:r>
    </w:p>
    <w:p w14:paraId="03C58458" w14:textId="14BC3D09" w:rsidR="00392506" w:rsidRDefault="00392506" w:rsidP="00392506">
      <w:pPr>
        <w:pStyle w:val="MDPI51figurecaption"/>
      </w:pPr>
      <w:r w:rsidRPr="00F63A9B">
        <w:rPr>
          <w:b/>
        </w:rPr>
        <w:t xml:space="preserve">Figure </w:t>
      </w:r>
      <w:r w:rsidR="00D90FF7">
        <w:rPr>
          <w:b/>
        </w:rPr>
        <w:t>S3</w:t>
      </w:r>
      <w:r w:rsidRPr="00F63A9B">
        <w:rPr>
          <w:b/>
        </w:rPr>
        <w:t xml:space="preserve">. </w:t>
      </w:r>
      <w:bookmarkStart w:id="2" w:name="_Hlk159228590"/>
      <w:r>
        <w:rPr>
          <w:bCs/>
          <w:lang w:val="en-GB"/>
        </w:rPr>
        <w:t>Linear</w:t>
      </w:r>
      <w:r w:rsidRPr="00392506">
        <w:rPr>
          <w:bCs/>
          <w:lang w:val="en-GB"/>
        </w:rPr>
        <w:t xml:space="preserve"> polarization</w:t>
      </w:r>
      <w:r>
        <w:rPr>
          <w:bCs/>
          <w:lang w:val="en-GB"/>
        </w:rPr>
        <w:t xml:space="preserve"> resistance</w:t>
      </w:r>
      <w:r w:rsidRPr="00392506">
        <w:rPr>
          <w:bCs/>
          <w:lang w:val="en-GB"/>
        </w:rPr>
        <w:t xml:space="preserve"> of copper specimens in the different amine-based capture media. </w:t>
      </w:r>
      <w:r w:rsidRPr="00392506">
        <w:rPr>
          <w:b/>
          <w:lang w:val="en-GB"/>
        </w:rPr>
        <w:t>(a)</w:t>
      </w:r>
      <w:r w:rsidRPr="00392506">
        <w:rPr>
          <w:bCs/>
          <w:lang w:val="en-GB"/>
        </w:rPr>
        <w:t xml:space="preserve"> </w:t>
      </w:r>
      <w:r>
        <w:rPr>
          <w:bCs/>
          <w:lang w:val="en-GB"/>
        </w:rPr>
        <w:t>MEA,</w:t>
      </w:r>
      <w:r w:rsidRPr="00392506">
        <w:rPr>
          <w:bCs/>
          <w:lang w:val="en-GB"/>
        </w:rPr>
        <w:t xml:space="preserve"> </w:t>
      </w:r>
      <w:r w:rsidRPr="00392506">
        <w:rPr>
          <w:b/>
          <w:lang w:val="en-GB"/>
        </w:rPr>
        <w:t>(b)</w:t>
      </w:r>
      <w:r w:rsidRPr="00392506">
        <w:rPr>
          <w:bCs/>
          <w:lang w:val="en-GB"/>
        </w:rPr>
        <w:t xml:space="preserve"> </w:t>
      </w:r>
      <w:r>
        <w:rPr>
          <w:bCs/>
          <w:lang w:val="en-GB"/>
        </w:rPr>
        <w:t>MDEA,</w:t>
      </w:r>
      <w:r w:rsidRPr="00392506">
        <w:rPr>
          <w:bCs/>
          <w:lang w:val="en-GB"/>
        </w:rPr>
        <w:t xml:space="preserve"> </w:t>
      </w:r>
      <w:r w:rsidRPr="00392506">
        <w:rPr>
          <w:b/>
          <w:lang w:val="en-GB"/>
        </w:rPr>
        <w:t>(c)</w:t>
      </w:r>
      <w:r w:rsidRPr="00392506">
        <w:rPr>
          <w:bCs/>
          <w:lang w:val="en-GB"/>
        </w:rPr>
        <w:t xml:space="preserve"> </w:t>
      </w:r>
      <w:r>
        <w:rPr>
          <w:bCs/>
          <w:lang w:val="en-GB"/>
        </w:rPr>
        <w:t>MDEA/PZ,</w:t>
      </w:r>
      <w:r w:rsidRPr="00392506">
        <w:rPr>
          <w:bCs/>
          <w:lang w:val="en-GB"/>
        </w:rPr>
        <w:t xml:space="preserve"> </w:t>
      </w:r>
      <w:r w:rsidRPr="00392506">
        <w:rPr>
          <w:b/>
          <w:lang w:val="en-GB"/>
        </w:rPr>
        <w:t>(</w:t>
      </w:r>
      <w:r>
        <w:rPr>
          <w:b/>
          <w:lang w:val="en-GB"/>
        </w:rPr>
        <w:t>d</w:t>
      </w:r>
      <w:r w:rsidRPr="00392506">
        <w:rPr>
          <w:b/>
          <w:lang w:val="en-GB"/>
        </w:rPr>
        <w:t>)</w:t>
      </w:r>
      <w:r w:rsidRPr="00392506">
        <w:rPr>
          <w:bCs/>
          <w:lang w:val="en-GB"/>
        </w:rPr>
        <w:t xml:space="preserve"> </w:t>
      </w:r>
      <w:r>
        <w:rPr>
          <w:bCs/>
          <w:lang w:val="en-GB"/>
        </w:rPr>
        <w:t>AMP</w:t>
      </w:r>
      <w:r w:rsidRPr="00392506">
        <w:rPr>
          <w:bCs/>
          <w:lang w:val="en-GB"/>
        </w:rPr>
        <w:t>. Scan rate</w:t>
      </w:r>
      <w:r>
        <w:rPr>
          <w:bCs/>
          <w:lang w:val="en-GB"/>
        </w:rPr>
        <w:t xml:space="preserve"> </w:t>
      </w:r>
      <w:r w:rsidRPr="00392506">
        <w:rPr>
          <w:bCs/>
          <w:lang w:val="en-GB"/>
        </w:rPr>
        <w:t>0.125 mV s</w:t>
      </w:r>
      <w:r w:rsidRPr="00392506">
        <w:rPr>
          <w:bCs/>
          <w:vertAlign w:val="superscript"/>
          <w:lang w:val="en-GB"/>
        </w:rPr>
        <w:t>-1</w:t>
      </w:r>
      <w:r w:rsidRPr="00392506">
        <w:rPr>
          <w:bCs/>
          <w:lang w:val="en-GB"/>
        </w:rPr>
        <w:t>.</w:t>
      </w:r>
      <w:bookmarkEnd w:id="2"/>
    </w:p>
    <w:p w14:paraId="52C253D4" w14:textId="16994055" w:rsidR="00392506" w:rsidRDefault="00392506" w:rsidP="00392506">
      <w:pPr>
        <w:pStyle w:val="MDPI41tablecaption"/>
        <w:keepNext/>
      </w:pPr>
      <w:r>
        <w:rPr>
          <w:b/>
        </w:rPr>
        <w:t xml:space="preserve">Table </w:t>
      </w:r>
      <w:r w:rsidR="000E67E7">
        <w:rPr>
          <w:b/>
        </w:rPr>
        <w:t>S</w:t>
      </w:r>
      <w:r>
        <w:rPr>
          <w:b/>
        </w:rPr>
        <w:t>1</w:t>
      </w:r>
      <w:r w:rsidRPr="00325902">
        <w:rPr>
          <w:b/>
        </w:rPr>
        <w:t>.</w:t>
      </w:r>
      <w:r w:rsidR="000E67E7">
        <w:t xml:space="preserve"> </w:t>
      </w:r>
      <w:bookmarkStart w:id="3" w:name="_Hlk159228655"/>
      <w:r w:rsidR="000E67E7">
        <w:t>Average cell resistances in the different amine solutions</w:t>
      </w:r>
      <w:bookmarkEnd w:id="3"/>
    </w:p>
    <w:tbl>
      <w:tblPr>
        <w:tblW w:w="0" w:type="auto"/>
        <w:tblInd w:w="3972" w:type="dxa"/>
        <w:tblLook w:val="04A0" w:firstRow="1" w:lastRow="0" w:firstColumn="1" w:lastColumn="0" w:noHBand="0" w:noVBand="1"/>
      </w:tblPr>
      <w:tblGrid>
        <w:gridCol w:w="998"/>
        <w:gridCol w:w="521"/>
        <w:gridCol w:w="1014"/>
      </w:tblGrid>
      <w:tr w:rsidR="00392506" w:rsidRPr="00356A38" w14:paraId="282AE9BB" w14:textId="77777777" w:rsidTr="0084381B">
        <w:trPr>
          <w:trHeight w:val="315"/>
        </w:trPr>
        <w:tc>
          <w:tcPr>
            <w:tcW w:w="0" w:type="auto"/>
            <w:tcBorders>
              <w:top w:val="single" w:sz="8" w:space="0" w:color="auto"/>
              <w:left w:val="nil"/>
              <w:bottom w:val="single" w:sz="8" w:space="0" w:color="auto"/>
              <w:right w:val="nil"/>
            </w:tcBorders>
            <w:shd w:val="clear" w:color="auto" w:fill="auto"/>
            <w:noWrap/>
            <w:vAlign w:val="center"/>
            <w:hideMark/>
          </w:tcPr>
          <w:p w14:paraId="0416DAD7" w14:textId="77777777" w:rsidR="00392506" w:rsidRPr="00356A38" w:rsidRDefault="00392506" w:rsidP="0084381B">
            <w:pPr>
              <w:keepNext/>
              <w:spacing w:line="240" w:lineRule="auto"/>
              <w:rPr>
                <w:rFonts w:ascii="Calibri" w:eastAsia="Times New Roman" w:hAnsi="Calibri" w:cs="Calibri"/>
                <w:lang w:eastAsia="en-GB"/>
              </w:rPr>
            </w:pPr>
            <w:r w:rsidRPr="00356A38">
              <w:rPr>
                <w:rFonts w:ascii="Calibri" w:eastAsia="Times New Roman" w:hAnsi="Calibri" w:cs="Calibri"/>
                <w:lang w:eastAsia="en-GB"/>
              </w:rPr>
              <w:t>Media</w:t>
            </w:r>
          </w:p>
        </w:tc>
        <w:tc>
          <w:tcPr>
            <w:tcW w:w="0" w:type="auto"/>
            <w:tcBorders>
              <w:top w:val="single" w:sz="8" w:space="0" w:color="auto"/>
              <w:left w:val="nil"/>
              <w:bottom w:val="single" w:sz="8" w:space="0" w:color="auto"/>
              <w:right w:val="nil"/>
            </w:tcBorders>
            <w:shd w:val="clear" w:color="auto" w:fill="auto"/>
            <w:noWrap/>
            <w:vAlign w:val="center"/>
            <w:hideMark/>
          </w:tcPr>
          <w:p w14:paraId="7BD61004" w14:textId="77777777" w:rsidR="00392506" w:rsidRPr="00356A38" w:rsidRDefault="00392506" w:rsidP="0084381B">
            <w:pPr>
              <w:keepNext/>
              <w:spacing w:line="240" w:lineRule="auto"/>
              <w:rPr>
                <w:rFonts w:ascii="Calibri" w:eastAsia="Times New Roman" w:hAnsi="Calibri" w:cs="Calibri"/>
                <w:lang w:eastAsia="en-GB"/>
              </w:rPr>
            </w:pPr>
            <w:r w:rsidRPr="00356A38">
              <w:rPr>
                <w:rFonts w:ascii="Calibri" w:eastAsia="Times New Roman" w:hAnsi="Calibri" w:cs="Calibri"/>
                <w:lang w:eastAsia="en-GB"/>
              </w:rPr>
              <w:t>CO</w:t>
            </w:r>
            <w:r w:rsidRPr="00356A38">
              <w:rPr>
                <w:rFonts w:ascii="Calibri" w:eastAsia="Times New Roman" w:hAnsi="Calibri" w:cs="Calibri"/>
                <w:vertAlign w:val="subscript"/>
                <w:lang w:eastAsia="en-GB"/>
              </w:rPr>
              <w:t>2</w:t>
            </w:r>
          </w:p>
        </w:tc>
        <w:tc>
          <w:tcPr>
            <w:tcW w:w="0" w:type="auto"/>
            <w:tcBorders>
              <w:top w:val="single" w:sz="8" w:space="0" w:color="auto"/>
              <w:left w:val="nil"/>
              <w:bottom w:val="single" w:sz="8" w:space="0" w:color="auto"/>
              <w:right w:val="nil"/>
            </w:tcBorders>
            <w:shd w:val="clear" w:color="auto" w:fill="auto"/>
            <w:noWrap/>
            <w:vAlign w:val="center"/>
            <w:hideMark/>
          </w:tcPr>
          <w:p w14:paraId="5E316635" w14:textId="77777777" w:rsidR="00392506" w:rsidRPr="00356A38" w:rsidRDefault="00392506" w:rsidP="0084381B">
            <w:pPr>
              <w:keepNext/>
              <w:spacing w:line="240" w:lineRule="auto"/>
              <w:rPr>
                <w:rFonts w:ascii="Calibri" w:eastAsia="Times New Roman" w:hAnsi="Calibri" w:cs="Calibri"/>
                <w:lang w:eastAsia="en-GB"/>
              </w:rPr>
            </w:pPr>
            <w:r w:rsidRPr="00356A38">
              <w:rPr>
                <w:rFonts w:ascii="Calibri" w:eastAsia="Times New Roman" w:hAnsi="Calibri" w:cs="Calibri"/>
                <w:lang w:eastAsia="en-GB"/>
              </w:rPr>
              <w:t>R</w:t>
            </w:r>
            <w:r w:rsidRPr="00356A38">
              <w:rPr>
                <w:rFonts w:ascii="Calibri" w:eastAsia="Times New Roman" w:hAnsi="Calibri" w:cs="Calibri"/>
                <w:vertAlign w:val="subscript"/>
                <w:lang w:eastAsia="en-GB"/>
              </w:rPr>
              <w:t>cell</w:t>
            </w:r>
            <w:r w:rsidRPr="00356A38">
              <w:rPr>
                <w:rFonts w:ascii="Calibri" w:eastAsia="Times New Roman" w:hAnsi="Calibri" w:cs="Calibri"/>
                <w:lang w:eastAsia="en-GB"/>
              </w:rPr>
              <w:t xml:space="preserve"> / Ω</w:t>
            </w:r>
          </w:p>
        </w:tc>
      </w:tr>
      <w:tr w:rsidR="00392506" w:rsidRPr="00356A38" w14:paraId="5722F735" w14:textId="77777777" w:rsidTr="0084381B">
        <w:trPr>
          <w:trHeight w:val="300"/>
        </w:trPr>
        <w:tc>
          <w:tcPr>
            <w:tcW w:w="0" w:type="auto"/>
            <w:vMerge w:val="restart"/>
            <w:tcBorders>
              <w:top w:val="single" w:sz="8" w:space="0" w:color="auto"/>
              <w:left w:val="nil"/>
              <w:bottom w:val="single" w:sz="4" w:space="0" w:color="000000"/>
              <w:right w:val="nil"/>
            </w:tcBorders>
            <w:shd w:val="clear" w:color="auto" w:fill="auto"/>
            <w:noWrap/>
            <w:vAlign w:val="center"/>
            <w:hideMark/>
          </w:tcPr>
          <w:p w14:paraId="115562AF" w14:textId="77777777" w:rsidR="00392506" w:rsidRPr="00356A38" w:rsidRDefault="00392506" w:rsidP="0084381B">
            <w:pPr>
              <w:keepNext/>
              <w:spacing w:line="240" w:lineRule="auto"/>
              <w:rPr>
                <w:rFonts w:ascii="Calibri" w:eastAsia="Times New Roman" w:hAnsi="Calibri" w:cs="Calibri"/>
                <w:lang w:eastAsia="en-GB"/>
              </w:rPr>
            </w:pPr>
            <w:r w:rsidRPr="00356A38">
              <w:rPr>
                <w:rFonts w:ascii="Calibri" w:eastAsia="Times New Roman" w:hAnsi="Calibri" w:cs="Calibri"/>
                <w:lang w:eastAsia="en-GB"/>
              </w:rPr>
              <w:t>MEA</w:t>
            </w:r>
          </w:p>
        </w:tc>
        <w:tc>
          <w:tcPr>
            <w:tcW w:w="0" w:type="auto"/>
            <w:tcBorders>
              <w:top w:val="nil"/>
              <w:left w:val="nil"/>
              <w:bottom w:val="single" w:sz="4" w:space="0" w:color="auto"/>
              <w:right w:val="nil"/>
            </w:tcBorders>
            <w:shd w:val="clear" w:color="auto" w:fill="auto"/>
            <w:noWrap/>
            <w:vAlign w:val="center"/>
            <w:hideMark/>
          </w:tcPr>
          <w:p w14:paraId="13B78C73" w14:textId="77777777" w:rsidR="00392506" w:rsidRPr="00356A38" w:rsidRDefault="00392506" w:rsidP="0084381B">
            <w:pPr>
              <w:keepNext/>
              <w:spacing w:line="240" w:lineRule="auto"/>
              <w:rPr>
                <w:rFonts w:ascii="Calibri" w:eastAsia="Times New Roman" w:hAnsi="Calibri" w:cs="Calibri"/>
                <w:lang w:eastAsia="en-GB"/>
              </w:rPr>
            </w:pPr>
            <w:r w:rsidRPr="00356A38">
              <w:rPr>
                <w:rFonts w:ascii="Calibri" w:eastAsia="Times New Roman" w:hAnsi="Calibri" w:cs="Calibri"/>
                <w:lang w:eastAsia="en-GB"/>
              </w:rPr>
              <w:t>no</w:t>
            </w:r>
          </w:p>
        </w:tc>
        <w:tc>
          <w:tcPr>
            <w:tcW w:w="0" w:type="auto"/>
            <w:tcBorders>
              <w:top w:val="nil"/>
              <w:left w:val="nil"/>
              <w:bottom w:val="single" w:sz="4" w:space="0" w:color="auto"/>
              <w:right w:val="nil"/>
            </w:tcBorders>
            <w:shd w:val="clear" w:color="auto" w:fill="auto"/>
            <w:noWrap/>
            <w:vAlign w:val="center"/>
            <w:hideMark/>
          </w:tcPr>
          <w:p w14:paraId="0393C616" w14:textId="77777777" w:rsidR="00392506" w:rsidRPr="00356A38" w:rsidRDefault="00392506" w:rsidP="0084381B">
            <w:pPr>
              <w:keepNext/>
              <w:spacing w:line="240" w:lineRule="auto"/>
              <w:rPr>
                <w:rFonts w:ascii="Calibri" w:eastAsia="Times New Roman" w:hAnsi="Calibri" w:cs="Calibri"/>
                <w:lang w:eastAsia="en-GB"/>
              </w:rPr>
            </w:pPr>
            <w:r w:rsidRPr="00356A38">
              <w:rPr>
                <w:rFonts w:ascii="Calibri" w:eastAsia="Times New Roman" w:hAnsi="Calibri" w:cs="Calibri"/>
                <w:lang w:eastAsia="en-GB"/>
              </w:rPr>
              <w:t>7.8 ± 0.6</w:t>
            </w:r>
          </w:p>
        </w:tc>
      </w:tr>
      <w:tr w:rsidR="00392506" w:rsidRPr="00356A38" w14:paraId="5A13B381" w14:textId="77777777" w:rsidTr="0084381B">
        <w:trPr>
          <w:trHeight w:val="300"/>
        </w:trPr>
        <w:tc>
          <w:tcPr>
            <w:tcW w:w="0" w:type="auto"/>
            <w:vMerge/>
            <w:tcBorders>
              <w:top w:val="single" w:sz="8" w:space="0" w:color="auto"/>
              <w:left w:val="nil"/>
              <w:bottom w:val="single" w:sz="4" w:space="0" w:color="000000"/>
              <w:right w:val="nil"/>
            </w:tcBorders>
            <w:vAlign w:val="center"/>
            <w:hideMark/>
          </w:tcPr>
          <w:p w14:paraId="73729573" w14:textId="77777777" w:rsidR="00392506" w:rsidRPr="00356A38" w:rsidRDefault="00392506" w:rsidP="0084381B">
            <w:pPr>
              <w:keepNext/>
              <w:spacing w:line="240" w:lineRule="auto"/>
              <w:rPr>
                <w:rFonts w:ascii="Calibri" w:eastAsia="Times New Roman" w:hAnsi="Calibri" w:cs="Calibri"/>
                <w:lang w:eastAsia="en-GB"/>
              </w:rPr>
            </w:pPr>
          </w:p>
        </w:tc>
        <w:tc>
          <w:tcPr>
            <w:tcW w:w="0" w:type="auto"/>
            <w:tcBorders>
              <w:top w:val="nil"/>
              <w:left w:val="nil"/>
              <w:bottom w:val="single" w:sz="4" w:space="0" w:color="auto"/>
              <w:right w:val="nil"/>
            </w:tcBorders>
            <w:shd w:val="clear" w:color="auto" w:fill="auto"/>
            <w:noWrap/>
            <w:vAlign w:val="center"/>
            <w:hideMark/>
          </w:tcPr>
          <w:p w14:paraId="0DDC5DE2" w14:textId="77777777" w:rsidR="00392506" w:rsidRPr="00356A38" w:rsidRDefault="00392506" w:rsidP="0084381B">
            <w:pPr>
              <w:keepNext/>
              <w:spacing w:line="240" w:lineRule="auto"/>
              <w:rPr>
                <w:rFonts w:ascii="Calibri" w:eastAsia="Times New Roman" w:hAnsi="Calibri" w:cs="Calibri"/>
                <w:lang w:eastAsia="en-GB"/>
              </w:rPr>
            </w:pPr>
            <w:r w:rsidRPr="00356A38">
              <w:rPr>
                <w:rFonts w:ascii="Calibri" w:eastAsia="Times New Roman" w:hAnsi="Calibri" w:cs="Calibri"/>
                <w:lang w:eastAsia="en-GB"/>
              </w:rPr>
              <w:t>yes</w:t>
            </w:r>
          </w:p>
        </w:tc>
        <w:tc>
          <w:tcPr>
            <w:tcW w:w="0" w:type="auto"/>
            <w:tcBorders>
              <w:top w:val="nil"/>
              <w:left w:val="nil"/>
              <w:bottom w:val="single" w:sz="4" w:space="0" w:color="auto"/>
              <w:right w:val="nil"/>
            </w:tcBorders>
            <w:shd w:val="clear" w:color="auto" w:fill="auto"/>
            <w:noWrap/>
            <w:vAlign w:val="center"/>
            <w:hideMark/>
          </w:tcPr>
          <w:p w14:paraId="5A0A5961" w14:textId="77777777" w:rsidR="00392506" w:rsidRPr="00356A38" w:rsidRDefault="00392506" w:rsidP="0084381B">
            <w:pPr>
              <w:keepNext/>
              <w:spacing w:line="240" w:lineRule="auto"/>
              <w:rPr>
                <w:rFonts w:ascii="Calibri" w:eastAsia="Times New Roman" w:hAnsi="Calibri" w:cs="Calibri"/>
                <w:lang w:eastAsia="en-GB"/>
              </w:rPr>
            </w:pPr>
            <w:r w:rsidRPr="00356A38">
              <w:rPr>
                <w:rFonts w:ascii="Calibri" w:eastAsia="Times New Roman" w:hAnsi="Calibri" w:cs="Calibri"/>
                <w:lang w:eastAsia="en-GB"/>
              </w:rPr>
              <w:t>2.0 ± 0.2</w:t>
            </w:r>
          </w:p>
        </w:tc>
      </w:tr>
      <w:tr w:rsidR="00392506" w:rsidRPr="00356A38" w14:paraId="71AA5184" w14:textId="77777777" w:rsidTr="0084381B">
        <w:trPr>
          <w:trHeight w:val="300"/>
        </w:trPr>
        <w:tc>
          <w:tcPr>
            <w:tcW w:w="0" w:type="auto"/>
            <w:vMerge w:val="restart"/>
            <w:tcBorders>
              <w:top w:val="nil"/>
              <w:left w:val="nil"/>
              <w:bottom w:val="single" w:sz="4" w:space="0" w:color="000000"/>
              <w:right w:val="nil"/>
            </w:tcBorders>
            <w:shd w:val="clear" w:color="auto" w:fill="auto"/>
            <w:noWrap/>
            <w:vAlign w:val="center"/>
            <w:hideMark/>
          </w:tcPr>
          <w:p w14:paraId="40DA50D4" w14:textId="77777777" w:rsidR="00392506" w:rsidRPr="00356A38" w:rsidRDefault="00392506" w:rsidP="0084381B">
            <w:pPr>
              <w:keepNext/>
              <w:spacing w:line="240" w:lineRule="auto"/>
              <w:rPr>
                <w:rFonts w:ascii="Calibri" w:eastAsia="Times New Roman" w:hAnsi="Calibri" w:cs="Calibri"/>
                <w:lang w:eastAsia="en-GB"/>
              </w:rPr>
            </w:pPr>
            <w:r w:rsidRPr="00356A38">
              <w:rPr>
                <w:rFonts w:ascii="Calibri" w:eastAsia="Times New Roman" w:hAnsi="Calibri" w:cs="Calibri"/>
                <w:lang w:eastAsia="en-GB"/>
              </w:rPr>
              <w:t>MDEA</w:t>
            </w:r>
          </w:p>
        </w:tc>
        <w:tc>
          <w:tcPr>
            <w:tcW w:w="0" w:type="auto"/>
            <w:tcBorders>
              <w:top w:val="nil"/>
              <w:left w:val="nil"/>
              <w:bottom w:val="single" w:sz="4" w:space="0" w:color="auto"/>
              <w:right w:val="nil"/>
            </w:tcBorders>
            <w:shd w:val="clear" w:color="auto" w:fill="auto"/>
            <w:noWrap/>
            <w:vAlign w:val="center"/>
            <w:hideMark/>
          </w:tcPr>
          <w:p w14:paraId="125B9D40" w14:textId="77777777" w:rsidR="00392506" w:rsidRPr="00356A38" w:rsidRDefault="00392506" w:rsidP="0084381B">
            <w:pPr>
              <w:keepNext/>
              <w:spacing w:line="240" w:lineRule="auto"/>
              <w:rPr>
                <w:rFonts w:ascii="Calibri" w:eastAsia="Times New Roman" w:hAnsi="Calibri" w:cs="Calibri"/>
                <w:lang w:eastAsia="en-GB"/>
              </w:rPr>
            </w:pPr>
            <w:r w:rsidRPr="00356A38">
              <w:rPr>
                <w:rFonts w:ascii="Calibri" w:eastAsia="Times New Roman" w:hAnsi="Calibri" w:cs="Calibri"/>
                <w:lang w:eastAsia="en-GB"/>
              </w:rPr>
              <w:t>no</w:t>
            </w:r>
          </w:p>
        </w:tc>
        <w:tc>
          <w:tcPr>
            <w:tcW w:w="0" w:type="auto"/>
            <w:tcBorders>
              <w:top w:val="nil"/>
              <w:left w:val="nil"/>
              <w:bottom w:val="single" w:sz="4" w:space="0" w:color="auto"/>
              <w:right w:val="nil"/>
            </w:tcBorders>
            <w:shd w:val="clear" w:color="auto" w:fill="auto"/>
            <w:noWrap/>
            <w:vAlign w:val="center"/>
            <w:hideMark/>
          </w:tcPr>
          <w:p w14:paraId="5FAC579F" w14:textId="77777777" w:rsidR="00392506" w:rsidRPr="00356A38" w:rsidRDefault="00392506" w:rsidP="0084381B">
            <w:pPr>
              <w:keepNext/>
              <w:spacing w:line="240" w:lineRule="auto"/>
              <w:rPr>
                <w:rFonts w:ascii="Calibri" w:eastAsia="Times New Roman" w:hAnsi="Calibri" w:cs="Calibri"/>
                <w:lang w:eastAsia="en-GB"/>
              </w:rPr>
            </w:pPr>
            <w:r w:rsidRPr="00356A38">
              <w:rPr>
                <w:rFonts w:ascii="Calibri" w:eastAsia="Times New Roman" w:hAnsi="Calibri" w:cs="Calibri"/>
                <w:lang w:eastAsia="en-GB"/>
              </w:rPr>
              <w:t>17.4 ± 2.7</w:t>
            </w:r>
          </w:p>
        </w:tc>
      </w:tr>
      <w:tr w:rsidR="00392506" w:rsidRPr="00356A38" w14:paraId="42DA113A" w14:textId="77777777" w:rsidTr="0084381B">
        <w:trPr>
          <w:trHeight w:val="300"/>
        </w:trPr>
        <w:tc>
          <w:tcPr>
            <w:tcW w:w="0" w:type="auto"/>
            <w:vMerge/>
            <w:tcBorders>
              <w:top w:val="nil"/>
              <w:left w:val="nil"/>
              <w:bottom w:val="single" w:sz="4" w:space="0" w:color="000000"/>
              <w:right w:val="nil"/>
            </w:tcBorders>
            <w:vAlign w:val="center"/>
            <w:hideMark/>
          </w:tcPr>
          <w:p w14:paraId="2E061E3B" w14:textId="77777777" w:rsidR="00392506" w:rsidRPr="00356A38" w:rsidRDefault="00392506" w:rsidP="0084381B">
            <w:pPr>
              <w:keepNext/>
              <w:spacing w:line="240" w:lineRule="auto"/>
              <w:rPr>
                <w:rFonts w:ascii="Calibri" w:eastAsia="Times New Roman" w:hAnsi="Calibri" w:cs="Calibri"/>
                <w:lang w:eastAsia="en-GB"/>
              </w:rPr>
            </w:pPr>
          </w:p>
        </w:tc>
        <w:tc>
          <w:tcPr>
            <w:tcW w:w="0" w:type="auto"/>
            <w:tcBorders>
              <w:top w:val="nil"/>
              <w:left w:val="nil"/>
              <w:bottom w:val="single" w:sz="4" w:space="0" w:color="auto"/>
              <w:right w:val="nil"/>
            </w:tcBorders>
            <w:shd w:val="clear" w:color="auto" w:fill="auto"/>
            <w:noWrap/>
            <w:vAlign w:val="center"/>
            <w:hideMark/>
          </w:tcPr>
          <w:p w14:paraId="3BC278DA" w14:textId="77777777" w:rsidR="00392506" w:rsidRPr="00356A38" w:rsidRDefault="00392506" w:rsidP="0084381B">
            <w:pPr>
              <w:keepNext/>
              <w:spacing w:line="240" w:lineRule="auto"/>
              <w:rPr>
                <w:rFonts w:ascii="Calibri" w:eastAsia="Times New Roman" w:hAnsi="Calibri" w:cs="Calibri"/>
                <w:lang w:eastAsia="en-GB"/>
              </w:rPr>
            </w:pPr>
            <w:r w:rsidRPr="00356A38">
              <w:rPr>
                <w:rFonts w:ascii="Calibri" w:eastAsia="Times New Roman" w:hAnsi="Calibri" w:cs="Calibri"/>
                <w:lang w:eastAsia="en-GB"/>
              </w:rPr>
              <w:t>yes</w:t>
            </w:r>
          </w:p>
        </w:tc>
        <w:tc>
          <w:tcPr>
            <w:tcW w:w="0" w:type="auto"/>
            <w:tcBorders>
              <w:top w:val="nil"/>
              <w:left w:val="nil"/>
              <w:bottom w:val="single" w:sz="4" w:space="0" w:color="auto"/>
              <w:right w:val="nil"/>
            </w:tcBorders>
            <w:shd w:val="clear" w:color="auto" w:fill="auto"/>
            <w:noWrap/>
            <w:vAlign w:val="center"/>
            <w:hideMark/>
          </w:tcPr>
          <w:p w14:paraId="2EA31E9C" w14:textId="77777777" w:rsidR="00392506" w:rsidRPr="00356A38" w:rsidRDefault="00392506" w:rsidP="0084381B">
            <w:pPr>
              <w:keepNext/>
              <w:spacing w:line="240" w:lineRule="auto"/>
              <w:rPr>
                <w:rFonts w:ascii="Calibri" w:eastAsia="Times New Roman" w:hAnsi="Calibri" w:cs="Calibri"/>
                <w:lang w:eastAsia="en-GB"/>
              </w:rPr>
            </w:pPr>
            <w:r w:rsidRPr="00356A38">
              <w:rPr>
                <w:rFonts w:ascii="Calibri" w:eastAsia="Times New Roman" w:hAnsi="Calibri" w:cs="Calibri"/>
                <w:lang w:eastAsia="en-GB"/>
              </w:rPr>
              <w:t>8.3 ± 0.7</w:t>
            </w:r>
          </w:p>
        </w:tc>
      </w:tr>
      <w:tr w:rsidR="00392506" w:rsidRPr="00356A38" w14:paraId="4931EF5F" w14:textId="77777777" w:rsidTr="0084381B">
        <w:trPr>
          <w:trHeight w:val="300"/>
        </w:trPr>
        <w:tc>
          <w:tcPr>
            <w:tcW w:w="0" w:type="auto"/>
            <w:vMerge w:val="restart"/>
            <w:tcBorders>
              <w:top w:val="nil"/>
              <w:left w:val="nil"/>
              <w:bottom w:val="single" w:sz="4" w:space="0" w:color="000000"/>
              <w:right w:val="nil"/>
            </w:tcBorders>
            <w:shd w:val="clear" w:color="auto" w:fill="auto"/>
            <w:noWrap/>
            <w:vAlign w:val="center"/>
            <w:hideMark/>
          </w:tcPr>
          <w:p w14:paraId="42D3ADA5" w14:textId="77777777" w:rsidR="00392506" w:rsidRPr="00356A38" w:rsidRDefault="00392506" w:rsidP="0084381B">
            <w:pPr>
              <w:keepNext/>
              <w:spacing w:line="240" w:lineRule="auto"/>
              <w:rPr>
                <w:rFonts w:ascii="Calibri" w:eastAsia="Times New Roman" w:hAnsi="Calibri" w:cs="Calibri"/>
                <w:lang w:eastAsia="en-GB"/>
              </w:rPr>
            </w:pPr>
            <w:r w:rsidRPr="00356A38">
              <w:rPr>
                <w:rFonts w:ascii="Calibri" w:eastAsia="Times New Roman" w:hAnsi="Calibri" w:cs="Calibri"/>
                <w:lang w:eastAsia="en-GB"/>
              </w:rPr>
              <w:t>MDEA/PZ</w:t>
            </w:r>
          </w:p>
        </w:tc>
        <w:tc>
          <w:tcPr>
            <w:tcW w:w="0" w:type="auto"/>
            <w:tcBorders>
              <w:top w:val="nil"/>
              <w:left w:val="nil"/>
              <w:bottom w:val="single" w:sz="4" w:space="0" w:color="auto"/>
              <w:right w:val="nil"/>
            </w:tcBorders>
            <w:shd w:val="clear" w:color="auto" w:fill="auto"/>
            <w:noWrap/>
            <w:vAlign w:val="center"/>
            <w:hideMark/>
          </w:tcPr>
          <w:p w14:paraId="4DB96909" w14:textId="77777777" w:rsidR="00392506" w:rsidRPr="00356A38" w:rsidRDefault="00392506" w:rsidP="0084381B">
            <w:pPr>
              <w:keepNext/>
              <w:spacing w:line="240" w:lineRule="auto"/>
              <w:rPr>
                <w:rFonts w:ascii="Calibri" w:eastAsia="Times New Roman" w:hAnsi="Calibri" w:cs="Calibri"/>
                <w:lang w:eastAsia="en-GB"/>
              </w:rPr>
            </w:pPr>
            <w:r w:rsidRPr="00356A38">
              <w:rPr>
                <w:rFonts w:ascii="Calibri" w:eastAsia="Times New Roman" w:hAnsi="Calibri" w:cs="Calibri"/>
                <w:lang w:eastAsia="en-GB"/>
              </w:rPr>
              <w:t>no</w:t>
            </w:r>
          </w:p>
        </w:tc>
        <w:tc>
          <w:tcPr>
            <w:tcW w:w="0" w:type="auto"/>
            <w:tcBorders>
              <w:top w:val="nil"/>
              <w:left w:val="nil"/>
              <w:bottom w:val="single" w:sz="4" w:space="0" w:color="auto"/>
              <w:right w:val="nil"/>
            </w:tcBorders>
            <w:shd w:val="clear" w:color="auto" w:fill="auto"/>
            <w:noWrap/>
            <w:vAlign w:val="center"/>
            <w:hideMark/>
          </w:tcPr>
          <w:p w14:paraId="5CFF4CCB" w14:textId="77777777" w:rsidR="00392506" w:rsidRPr="00356A38" w:rsidRDefault="00392506" w:rsidP="0084381B">
            <w:pPr>
              <w:keepNext/>
              <w:spacing w:line="240" w:lineRule="auto"/>
              <w:rPr>
                <w:rFonts w:ascii="Calibri" w:eastAsia="Times New Roman" w:hAnsi="Calibri" w:cs="Calibri"/>
                <w:lang w:eastAsia="en-GB"/>
              </w:rPr>
            </w:pPr>
            <w:r w:rsidRPr="00356A38">
              <w:rPr>
                <w:rFonts w:ascii="Calibri" w:eastAsia="Times New Roman" w:hAnsi="Calibri" w:cs="Calibri"/>
                <w:lang w:eastAsia="en-GB"/>
              </w:rPr>
              <w:t>18.7 ± 9.0</w:t>
            </w:r>
          </w:p>
        </w:tc>
      </w:tr>
      <w:tr w:rsidR="00392506" w:rsidRPr="00356A38" w14:paraId="452BA00E" w14:textId="77777777" w:rsidTr="0084381B">
        <w:trPr>
          <w:trHeight w:val="300"/>
        </w:trPr>
        <w:tc>
          <w:tcPr>
            <w:tcW w:w="0" w:type="auto"/>
            <w:vMerge/>
            <w:tcBorders>
              <w:top w:val="nil"/>
              <w:left w:val="nil"/>
              <w:bottom w:val="single" w:sz="4" w:space="0" w:color="000000"/>
              <w:right w:val="nil"/>
            </w:tcBorders>
            <w:vAlign w:val="center"/>
            <w:hideMark/>
          </w:tcPr>
          <w:p w14:paraId="1BB8F15F" w14:textId="77777777" w:rsidR="00392506" w:rsidRPr="00356A38" w:rsidRDefault="00392506" w:rsidP="0084381B">
            <w:pPr>
              <w:keepNext/>
              <w:spacing w:line="240" w:lineRule="auto"/>
              <w:rPr>
                <w:rFonts w:ascii="Calibri" w:eastAsia="Times New Roman" w:hAnsi="Calibri" w:cs="Calibri"/>
                <w:lang w:eastAsia="en-GB"/>
              </w:rPr>
            </w:pPr>
          </w:p>
        </w:tc>
        <w:tc>
          <w:tcPr>
            <w:tcW w:w="0" w:type="auto"/>
            <w:tcBorders>
              <w:top w:val="nil"/>
              <w:left w:val="nil"/>
              <w:bottom w:val="single" w:sz="4" w:space="0" w:color="auto"/>
              <w:right w:val="nil"/>
            </w:tcBorders>
            <w:shd w:val="clear" w:color="auto" w:fill="auto"/>
            <w:noWrap/>
            <w:vAlign w:val="center"/>
            <w:hideMark/>
          </w:tcPr>
          <w:p w14:paraId="21108588" w14:textId="77777777" w:rsidR="00392506" w:rsidRPr="00356A38" w:rsidRDefault="00392506" w:rsidP="0084381B">
            <w:pPr>
              <w:keepNext/>
              <w:spacing w:line="240" w:lineRule="auto"/>
              <w:rPr>
                <w:rFonts w:ascii="Calibri" w:eastAsia="Times New Roman" w:hAnsi="Calibri" w:cs="Calibri"/>
                <w:lang w:eastAsia="en-GB"/>
              </w:rPr>
            </w:pPr>
            <w:r w:rsidRPr="00356A38">
              <w:rPr>
                <w:rFonts w:ascii="Calibri" w:eastAsia="Times New Roman" w:hAnsi="Calibri" w:cs="Calibri"/>
                <w:lang w:eastAsia="en-GB"/>
              </w:rPr>
              <w:t>yes</w:t>
            </w:r>
          </w:p>
        </w:tc>
        <w:tc>
          <w:tcPr>
            <w:tcW w:w="0" w:type="auto"/>
            <w:tcBorders>
              <w:top w:val="nil"/>
              <w:left w:val="nil"/>
              <w:bottom w:val="single" w:sz="4" w:space="0" w:color="auto"/>
              <w:right w:val="nil"/>
            </w:tcBorders>
            <w:shd w:val="clear" w:color="auto" w:fill="auto"/>
            <w:noWrap/>
            <w:vAlign w:val="center"/>
            <w:hideMark/>
          </w:tcPr>
          <w:p w14:paraId="11DF78D8" w14:textId="77777777" w:rsidR="00392506" w:rsidRPr="00356A38" w:rsidRDefault="00392506" w:rsidP="0084381B">
            <w:pPr>
              <w:keepNext/>
              <w:spacing w:line="240" w:lineRule="auto"/>
              <w:rPr>
                <w:rFonts w:ascii="Calibri" w:eastAsia="Times New Roman" w:hAnsi="Calibri" w:cs="Calibri"/>
                <w:lang w:eastAsia="en-GB"/>
              </w:rPr>
            </w:pPr>
            <w:r w:rsidRPr="00356A38">
              <w:rPr>
                <w:rFonts w:ascii="Calibri" w:eastAsia="Times New Roman" w:hAnsi="Calibri" w:cs="Calibri"/>
                <w:lang w:eastAsia="en-GB"/>
              </w:rPr>
              <w:t>12.6 ± 2.4</w:t>
            </w:r>
          </w:p>
        </w:tc>
      </w:tr>
      <w:tr w:rsidR="00392506" w:rsidRPr="00356A38" w14:paraId="26AB5E90" w14:textId="77777777" w:rsidTr="0084381B">
        <w:trPr>
          <w:trHeight w:val="300"/>
        </w:trPr>
        <w:tc>
          <w:tcPr>
            <w:tcW w:w="0" w:type="auto"/>
            <w:vMerge w:val="restart"/>
            <w:tcBorders>
              <w:top w:val="nil"/>
              <w:left w:val="nil"/>
              <w:bottom w:val="single" w:sz="4" w:space="0" w:color="000000"/>
              <w:right w:val="nil"/>
            </w:tcBorders>
            <w:shd w:val="clear" w:color="auto" w:fill="auto"/>
            <w:noWrap/>
            <w:vAlign w:val="center"/>
            <w:hideMark/>
          </w:tcPr>
          <w:p w14:paraId="35A80BA8" w14:textId="77777777" w:rsidR="00392506" w:rsidRPr="00356A38" w:rsidRDefault="00392506" w:rsidP="0084381B">
            <w:pPr>
              <w:keepNext/>
              <w:spacing w:line="240" w:lineRule="auto"/>
              <w:rPr>
                <w:rFonts w:ascii="Calibri" w:eastAsia="Times New Roman" w:hAnsi="Calibri" w:cs="Calibri"/>
                <w:lang w:eastAsia="en-GB"/>
              </w:rPr>
            </w:pPr>
            <w:r w:rsidRPr="00356A38">
              <w:rPr>
                <w:rFonts w:ascii="Calibri" w:eastAsia="Times New Roman" w:hAnsi="Calibri" w:cs="Calibri"/>
                <w:lang w:eastAsia="en-GB"/>
              </w:rPr>
              <w:t>AMP</w:t>
            </w:r>
          </w:p>
        </w:tc>
        <w:tc>
          <w:tcPr>
            <w:tcW w:w="0" w:type="auto"/>
            <w:tcBorders>
              <w:top w:val="nil"/>
              <w:left w:val="nil"/>
              <w:bottom w:val="single" w:sz="4" w:space="0" w:color="auto"/>
              <w:right w:val="nil"/>
            </w:tcBorders>
            <w:shd w:val="clear" w:color="auto" w:fill="auto"/>
            <w:noWrap/>
            <w:vAlign w:val="center"/>
            <w:hideMark/>
          </w:tcPr>
          <w:p w14:paraId="0AD40C51" w14:textId="77777777" w:rsidR="00392506" w:rsidRPr="00356A38" w:rsidRDefault="00392506" w:rsidP="0084381B">
            <w:pPr>
              <w:keepNext/>
              <w:spacing w:line="240" w:lineRule="auto"/>
              <w:rPr>
                <w:rFonts w:ascii="Calibri" w:eastAsia="Times New Roman" w:hAnsi="Calibri" w:cs="Calibri"/>
                <w:lang w:eastAsia="en-GB"/>
              </w:rPr>
            </w:pPr>
            <w:r w:rsidRPr="00356A38">
              <w:rPr>
                <w:rFonts w:ascii="Calibri" w:eastAsia="Times New Roman" w:hAnsi="Calibri" w:cs="Calibri"/>
                <w:lang w:eastAsia="en-GB"/>
              </w:rPr>
              <w:t>no</w:t>
            </w:r>
          </w:p>
        </w:tc>
        <w:tc>
          <w:tcPr>
            <w:tcW w:w="0" w:type="auto"/>
            <w:tcBorders>
              <w:top w:val="nil"/>
              <w:left w:val="nil"/>
              <w:bottom w:val="single" w:sz="4" w:space="0" w:color="auto"/>
              <w:right w:val="nil"/>
            </w:tcBorders>
            <w:shd w:val="clear" w:color="auto" w:fill="auto"/>
            <w:noWrap/>
            <w:vAlign w:val="center"/>
            <w:hideMark/>
          </w:tcPr>
          <w:p w14:paraId="03E94291" w14:textId="77777777" w:rsidR="00392506" w:rsidRPr="00356A38" w:rsidRDefault="00392506" w:rsidP="0084381B">
            <w:pPr>
              <w:keepNext/>
              <w:spacing w:line="240" w:lineRule="auto"/>
              <w:rPr>
                <w:rFonts w:ascii="Calibri" w:eastAsia="Times New Roman" w:hAnsi="Calibri" w:cs="Calibri"/>
                <w:lang w:eastAsia="en-GB"/>
              </w:rPr>
            </w:pPr>
            <w:r w:rsidRPr="00356A38">
              <w:rPr>
                <w:rFonts w:ascii="Calibri" w:eastAsia="Times New Roman" w:hAnsi="Calibri" w:cs="Calibri"/>
                <w:lang w:eastAsia="en-GB"/>
              </w:rPr>
              <w:t>7.5 ± 1.2</w:t>
            </w:r>
          </w:p>
        </w:tc>
      </w:tr>
      <w:tr w:rsidR="00392506" w:rsidRPr="00356A38" w14:paraId="1920584F" w14:textId="77777777" w:rsidTr="0084381B">
        <w:trPr>
          <w:trHeight w:val="300"/>
        </w:trPr>
        <w:tc>
          <w:tcPr>
            <w:tcW w:w="0" w:type="auto"/>
            <w:vMerge/>
            <w:tcBorders>
              <w:top w:val="nil"/>
              <w:left w:val="nil"/>
              <w:bottom w:val="single" w:sz="4" w:space="0" w:color="000000"/>
              <w:right w:val="nil"/>
            </w:tcBorders>
            <w:vAlign w:val="center"/>
            <w:hideMark/>
          </w:tcPr>
          <w:p w14:paraId="17578265" w14:textId="77777777" w:rsidR="00392506" w:rsidRPr="00356A38" w:rsidRDefault="00392506" w:rsidP="0084381B">
            <w:pPr>
              <w:keepNext/>
              <w:spacing w:line="240" w:lineRule="auto"/>
              <w:rPr>
                <w:rFonts w:ascii="Calibri" w:eastAsia="Times New Roman" w:hAnsi="Calibri" w:cs="Calibri"/>
                <w:lang w:eastAsia="en-GB"/>
              </w:rPr>
            </w:pPr>
          </w:p>
        </w:tc>
        <w:tc>
          <w:tcPr>
            <w:tcW w:w="0" w:type="auto"/>
            <w:tcBorders>
              <w:top w:val="nil"/>
              <w:left w:val="nil"/>
              <w:bottom w:val="single" w:sz="4" w:space="0" w:color="auto"/>
              <w:right w:val="nil"/>
            </w:tcBorders>
            <w:shd w:val="clear" w:color="auto" w:fill="auto"/>
            <w:noWrap/>
            <w:vAlign w:val="center"/>
            <w:hideMark/>
          </w:tcPr>
          <w:p w14:paraId="13322C7E" w14:textId="77777777" w:rsidR="00392506" w:rsidRPr="00356A38" w:rsidRDefault="00392506" w:rsidP="0084381B">
            <w:pPr>
              <w:keepNext/>
              <w:spacing w:line="240" w:lineRule="auto"/>
              <w:rPr>
                <w:rFonts w:ascii="Calibri" w:eastAsia="Times New Roman" w:hAnsi="Calibri" w:cs="Calibri"/>
                <w:lang w:eastAsia="en-GB"/>
              </w:rPr>
            </w:pPr>
            <w:r w:rsidRPr="00356A38">
              <w:rPr>
                <w:rFonts w:ascii="Calibri" w:eastAsia="Times New Roman" w:hAnsi="Calibri" w:cs="Calibri"/>
                <w:lang w:eastAsia="en-GB"/>
              </w:rPr>
              <w:t>yes</w:t>
            </w:r>
          </w:p>
        </w:tc>
        <w:tc>
          <w:tcPr>
            <w:tcW w:w="0" w:type="auto"/>
            <w:tcBorders>
              <w:top w:val="nil"/>
              <w:left w:val="nil"/>
              <w:bottom w:val="single" w:sz="4" w:space="0" w:color="auto"/>
              <w:right w:val="nil"/>
            </w:tcBorders>
            <w:shd w:val="clear" w:color="auto" w:fill="auto"/>
            <w:noWrap/>
            <w:vAlign w:val="center"/>
            <w:hideMark/>
          </w:tcPr>
          <w:p w14:paraId="06E1A269" w14:textId="77777777" w:rsidR="00392506" w:rsidRPr="00356A38" w:rsidRDefault="00392506" w:rsidP="0084381B">
            <w:pPr>
              <w:keepNext/>
              <w:spacing w:line="240" w:lineRule="auto"/>
              <w:rPr>
                <w:rFonts w:ascii="Calibri" w:eastAsia="Times New Roman" w:hAnsi="Calibri" w:cs="Calibri"/>
                <w:lang w:eastAsia="en-GB"/>
              </w:rPr>
            </w:pPr>
            <w:r w:rsidRPr="00356A38">
              <w:rPr>
                <w:rFonts w:ascii="Calibri" w:eastAsia="Times New Roman" w:hAnsi="Calibri" w:cs="Calibri"/>
                <w:lang w:eastAsia="en-GB"/>
              </w:rPr>
              <w:t>4.4 ± 0.2</w:t>
            </w:r>
          </w:p>
        </w:tc>
      </w:tr>
      <w:tr w:rsidR="00392506" w:rsidRPr="00356A38" w14:paraId="1FD446D5" w14:textId="77777777" w:rsidTr="0084381B">
        <w:trPr>
          <w:trHeight w:val="300"/>
        </w:trPr>
        <w:tc>
          <w:tcPr>
            <w:tcW w:w="0" w:type="auto"/>
            <w:tcBorders>
              <w:top w:val="nil"/>
              <w:left w:val="nil"/>
              <w:bottom w:val="single" w:sz="4" w:space="0" w:color="auto"/>
              <w:right w:val="nil"/>
            </w:tcBorders>
            <w:shd w:val="clear" w:color="auto" w:fill="auto"/>
            <w:noWrap/>
            <w:vAlign w:val="center"/>
            <w:hideMark/>
          </w:tcPr>
          <w:p w14:paraId="08E89117" w14:textId="77777777" w:rsidR="00392506" w:rsidRPr="00356A38" w:rsidRDefault="00392506" w:rsidP="0084381B">
            <w:pPr>
              <w:keepNext/>
              <w:spacing w:line="240" w:lineRule="auto"/>
              <w:rPr>
                <w:rFonts w:ascii="Calibri" w:eastAsia="Times New Roman" w:hAnsi="Calibri" w:cs="Calibri"/>
                <w:lang w:eastAsia="en-GB"/>
              </w:rPr>
            </w:pPr>
            <w:r w:rsidRPr="00356A38">
              <w:rPr>
                <w:rFonts w:ascii="Calibri" w:eastAsia="Times New Roman" w:hAnsi="Calibri" w:cs="Calibri"/>
                <w:lang w:eastAsia="en-GB"/>
              </w:rPr>
              <w:t>KCl</w:t>
            </w:r>
          </w:p>
        </w:tc>
        <w:tc>
          <w:tcPr>
            <w:tcW w:w="0" w:type="auto"/>
            <w:tcBorders>
              <w:top w:val="nil"/>
              <w:left w:val="nil"/>
              <w:bottom w:val="single" w:sz="4" w:space="0" w:color="auto"/>
              <w:right w:val="nil"/>
            </w:tcBorders>
            <w:shd w:val="clear" w:color="auto" w:fill="auto"/>
            <w:noWrap/>
            <w:vAlign w:val="center"/>
            <w:hideMark/>
          </w:tcPr>
          <w:p w14:paraId="5D12D048" w14:textId="77777777" w:rsidR="00392506" w:rsidRPr="00356A38" w:rsidRDefault="00392506" w:rsidP="0084381B">
            <w:pPr>
              <w:keepNext/>
              <w:spacing w:line="240" w:lineRule="auto"/>
              <w:rPr>
                <w:rFonts w:ascii="Calibri" w:eastAsia="Times New Roman" w:hAnsi="Calibri" w:cs="Calibri"/>
                <w:lang w:eastAsia="en-GB"/>
              </w:rPr>
            </w:pPr>
            <w:r w:rsidRPr="00356A38">
              <w:rPr>
                <w:rFonts w:ascii="Calibri" w:eastAsia="Times New Roman" w:hAnsi="Calibri" w:cs="Calibri"/>
                <w:lang w:eastAsia="en-GB"/>
              </w:rPr>
              <w:t>no</w:t>
            </w:r>
          </w:p>
        </w:tc>
        <w:tc>
          <w:tcPr>
            <w:tcW w:w="0" w:type="auto"/>
            <w:tcBorders>
              <w:top w:val="nil"/>
              <w:left w:val="nil"/>
              <w:bottom w:val="single" w:sz="4" w:space="0" w:color="auto"/>
              <w:right w:val="nil"/>
            </w:tcBorders>
            <w:shd w:val="clear" w:color="auto" w:fill="auto"/>
            <w:noWrap/>
            <w:vAlign w:val="center"/>
            <w:hideMark/>
          </w:tcPr>
          <w:p w14:paraId="35CD4B73" w14:textId="77777777" w:rsidR="00392506" w:rsidRPr="00356A38" w:rsidRDefault="00392506" w:rsidP="0084381B">
            <w:pPr>
              <w:keepNext/>
              <w:spacing w:line="240" w:lineRule="auto"/>
              <w:rPr>
                <w:rFonts w:ascii="Calibri" w:eastAsia="Times New Roman" w:hAnsi="Calibri" w:cs="Calibri"/>
                <w:lang w:eastAsia="en-GB"/>
              </w:rPr>
            </w:pPr>
            <w:r w:rsidRPr="00356A38">
              <w:rPr>
                <w:rFonts w:ascii="Calibri" w:eastAsia="Times New Roman" w:hAnsi="Calibri" w:cs="Calibri"/>
                <w:lang w:eastAsia="en-GB"/>
              </w:rPr>
              <w:t>2.4 ± 2.1</w:t>
            </w:r>
          </w:p>
        </w:tc>
      </w:tr>
    </w:tbl>
    <w:p w14:paraId="24559AD9" w14:textId="77777777" w:rsidR="00CE1728" w:rsidRPr="00E0508E" w:rsidRDefault="00CE1728" w:rsidP="00CE1728">
      <w:pPr>
        <w:pStyle w:val="MDPI51figurecaption"/>
      </w:pPr>
    </w:p>
    <w:sectPr w:rsidR="00CE1728" w:rsidRPr="00E0508E" w:rsidSect="00A10CE0">
      <w:headerReference w:type="even" r:id="rId11"/>
      <w:headerReference w:type="default" r:id="rId12"/>
      <w:footerReference w:type="default" r:id="rId13"/>
      <w:headerReference w:type="first" r:id="rId14"/>
      <w:footerReference w:type="first" r:id="rId15"/>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46820" w14:textId="77777777" w:rsidR="00A10CE0" w:rsidRDefault="00A10CE0">
      <w:pPr>
        <w:spacing w:line="240" w:lineRule="auto"/>
      </w:pPr>
      <w:r>
        <w:separator/>
      </w:r>
    </w:p>
  </w:endnote>
  <w:endnote w:type="continuationSeparator" w:id="0">
    <w:p w14:paraId="4688F36B" w14:textId="77777777" w:rsidR="00A10CE0" w:rsidRDefault="00A10C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dvOTf9433e2d">
    <w:altName w:val="Cambria"/>
    <w:panose1 w:val="00000000000000000000"/>
    <w:charset w:val="00"/>
    <w:family w:val="roman"/>
    <w:notTrueType/>
    <w:pitch w:val="default"/>
    <w:sig w:usb0="00000003" w:usb1="00000000" w:usb2="00000000" w:usb3="00000000" w:csb0="00000001"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AE3B9" w14:textId="77777777" w:rsidR="00975B88" w:rsidRPr="00EE5642" w:rsidRDefault="00975B88" w:rsidP="00975B88">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BBE51" w14:textId="77777777" w:rsidR="00586845" w:rsidRDefault="00586845" w:rsidP="00B3589F">
    <w:pPr>
      <w:pStyle w:val="MDPIfooterfirstpage"/>
      <w:pBdr>
        <w:top w:val="single" w:sz="4" w:space="0" w:color="000000"/>
      </w:pBdr>
      <w:adjustRightInd w:val="0"/>
      <w:snapToGrid w:val="0"/>
      <w:spacing w:before="480" w:line="100" w:lineRule="exact"/>
      <w:rPr>
        <w:i/>
      </w:rPr>
    </w:pPr>
  </w:p>
  <w:p w14:paraId="1070E5AC" w14:textId="77777777" w:rsidR="00975B88" w:rsidRPr="000E67E7" w:rsidRDefault="00975B88" w:rsidP="001C3497">
    <w:pPr>
      <w:pStyle w:val="MDPIfooterfirstpage"/>
      <w:tabs>
        <w:tab w:val="clear" w:pos="8845"/>
        <w:tab w:val="right" w:pos="10466"/>
      </w:tabs>
      <w:spacing w:line="240" w:lineRule="auto"/>
      <w:jc w:val="both"/>
      <w:rPr>
        <w:lang w:val="en-GB"/>
      </w:rPr>
    </w:pPr>
    <w:r w:rsidRPr="004C57C3">
      <w:rPr>
        <w:i/>
      </w:rPr>
      <w:t>Materials</w:t>
    </w:r>
    <w:r>
      <w:rPr>
        <w:i/>
      </w:rPr>
      <w:t xml:space="preserve"> </w:t>
    </w:r>
    <w:r w:rsidR="003C6A46">
      <w:rPr>
        <w:b/>
      </w:rPr>
      <w:t>2024</w:t>
    </w:r>
    <w:r w:rsidR="00442467" w:rsidRPr="00442467">
      <w:t>,</w:t>
    </w:r>
    <w:r w:rsidR="003C6A46">
      <w:rPr>
        <w:i/>
      </w:rPr>
      <w:t xml:space="preserve"> 17</w:t>
    </w:r>
    <w:r w:rsidR="00442467" w:rsidRPr="00442467">
      <w:t xml:space="preserve">, </w:t>
    </w:r>
    <w:r w:rsidR="00113C77">
      <w:t>x</w:t>
    </w:r>
    <w:r w:rsidR="00586845">
      <w:t>. https://doi.org/10.3390/xxxxx</w:t>
    </w:r>
    <w:r w:rsidR="001C3497" w:rsidRPr="000E67E7">
      <w:rPr>
        <w:lang w:val="en-GB"/>
      </w:rPr>
      <w:tab/>
    </w:r>
    <w:r w:rsidRPr="000E67E7">
      <w:rPr>
        <w:lang w:val="en-GB"/>
      </w:rPr>
      <w:t>www.mdpi.com/journal/</w:t>
    </w:r>
    <w:r w:rsidRPr="004C57C3">
      <w:t>materials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0E394" w14:textId="77777777" w:rsidR="00A10CE0" w:rsidRDefault="00A10CE0">
      <w:pPr>
        <w:spacing w:line="240" w:lineRule="auto"/>
      </w:pPr>
      <w:r>
        <w:separator/>
      </w:r>
    </w:p>
  </w:footnote>
  <w:footnote w:type="continuationSeparator" w:id="0">
    <w:p w14:paraId="105B6943" w14:textId="77777777" w:rsidR="00A10CE0" w:rsidRDefault="00A10C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53791" w14:textId="77777777" w:rsidR="00975B88" w:rsidRDefault="00975B88" w:rsidP="00975B88">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0C9D7" w14:textId="77777777" w:rsidR="00586845" w:rsidRDefault="00975B88" w:rsidP="001C3497">
    <w:pPr>
      <w:tabs>
        <w:tab w:val="right" w:pos="10466"/>
      </w:tabs>
      <w:adjustRightInd w:val="0"/>
      <w:snapToGrid w:val="0"/>
      <w:spacing w:line="240" w:lineRule="auto"/>
      <w:rPr>
        <w:sz w:val="16"/>
      </w:rPr>
    </w:pPr>
    <w:r>
      <w:rPr>
        <w:i/>
        <w:sz w:val="16"/>
      </w:rPr>
      <w:t xml:space="preserve">Materials </w:t>
    </w:r>
    <w:r w:rsidR="003C6A46">
      <w:rPr>
        <w:b/>
        <w:sz w:val="16"/>
      </w:rPr>
      <w:t>2024</w:t>
    </w:r>
    <w:r w:rsidR="00442467" w:rsidRPr="00442467">
      <w:rPr>
        <w:sz w:val="16"/>
      </w:rPr>
      <w:t>,</w:t>
    </w:r>
    <w:r w:rsidR="003C6A46">
      <w:rPr>
        <w:i/>
        <w:sz w:val="16"/>
      </w:rPr>
      <w:t xml:space="preserve"> 17</w:t>
    </w:r>
    <w:r w:rsidR="00113C77">
      <w:rPr>
        <w:sz w:val="16"/>
      </w:rPr>
      <w:t>, x FOR PEER REVIEW</w:t>
    </w:r>
    <w:r w:rsidR="001C3497">
      <w:rPr>
        <w:sz w:val="16"/>
      </w:rPr>
      <w:tab/>
    </w:r>
    <w:r w:rsidR="00113C77">
      <w:rPr>
        <w:sz w:val="16"/>
      </w:rPr>
      <w:fldChar w:fldCharType="begin"/>
    </w:r>
    <w:r w:rsidR="00113C77">
      <w:rPr>
        <w:sz w:val="16"/>
      </w:rPr>
      <w:instrText xml:space="preserve"> PAGE   \* MERGEFORMAT </w:instrText>
    </w:r>
    <w:r w:rsidR="00113C77">
      <w:rPr>
        <w:sz w:val="16"/>
      </w:rPr>
      <w:fldChar w:fldCharType="separate"/>
    </w:r>
    <w:r w:rsidR="00FD2E4E">
      <w:rPr>
        <w:sz w:val="16"/>
      </w:rPr>
      <w:t>5</w:t>
    </w:r>
    <w:r w:rsidR="00113C77">
      <w:rPr>
        <w:sz w:val="16"/>
      </w:rPr>
      <w:fldChar w:fldCharType="end"/>
    </w:r>
    <w:r w:rsidR="00113C77">
      <w:rPr>
        <w:sz w:val="16"/>
      </w:rPr>
      <w:t xml:space="preserve"> of </w:t>
    </w:r>
    <w:r w:rsidR="00113C77">
      <w:rPr>
        <w:sz w:val="16"/>
      </w:rPr>
      <w:fldChar w:fldCharType="begin"/>
    </w:r>
    <w:r w:rsidR="00113C77">
      <w:rPr>
        <w:sz w:val="16"/>
      </w:rPr>
      <w:instrText xml:space="preserve"> NUMPAGES   \* MERGEFORMAT </w:instrText>
    </w:r>
    <w:r w:rsidR="00113C77">
      <w:rPr>
        <w:sz w:val="16"/>
      </w:rPr>
      <w:fldChar w:fldCharType="separate"/>
    </w:r>
    <w:r w:rsidR="00FD2E4E">
      <w:rPr>
        <w:sz w:val="16"/>
      </w:rPr>
      <w:t>5</w:t>
    </w:r>
    <w:r w:rsidR="00113C77">
      <w:rPr>
        <w:sz w:val="16"/>
      </w:rPr>
      <w:fldChar w:fldCharType="end"/>
    </w:r>
  </w:p>
  <w:p w14:paraId="1AABF41B" w14:textId="77777777" w:rsidR="00975B88" w:rsidRPr="00636F25" w:rsidRDefault="00975B88" w:rsidP="00B3589F">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586845" w:rsidRPr="001C3497" w14:paraId="08A9A405" w14:textId="77777777" w:rsidTr="005A70CE">
      <w:trPr>
        <w:trHeight w:val="686"/>
      </w:trPr>
      <w:tc>
        <w:tcPr>
          <w:tcW w:w="3679" w:type="dxa"/>
          <w:shd w:val="clear" w:color="auto" w:fill="auto"/>
          <w:vAlign w:val="center"/>
        </w:tcPr>
        <w:p w14:paraId="212735B0" w14:textId="77777777" w:rsidR="00586845" w:rsidRPr="000802ED" w:rsidRDefault="00B856A5" w:rsidP="001C3497">
          <w:pPr>
            <w:pStyle w:val="Header"/>
            <w:pBdr>
              <w:bottom w:val="none" w:sz="0" w:space="0" w:color="auto"/>
            </w:pBdr>
            <w:jc w:val="left"/>
            <w:rPr>
              <w:rFonts w:eastAsia="DengXian"/>
              <w:b/>
              <w:bCs/>
            </w:rPr>
          </w:pPr>
          <w:r w:rsidRPr="000802ED">
            <w:rPr>
              <w:rFonts w:eastAsia="DengXian"/>
              <w:b/>
              <w:bCs/>
            </w:rPr>
            <w:drawing>
              <wp:inline distT="0" distB="0" distL="0" distR="0" wp14:anchorId="3D3BABD6" wp14:editId="353C0676">
                <wp:extent cx="1628140" cy="429260"/>
                <wp:effectExtent l="0" t="0" r="0" b="0"/>
                <wp:docPr id="1" name="Picture 7" descr="C:\Users\home\Desktop\logos\materials-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ome\Desktop\logos\materials-logo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140" cy="429260"/>
                        </a:xfrm>
                        <a:prstGeom prst="rect">
                          <a:avLst/>
                        </a:prstGeom>
                        <a:noFill/>
                        <a:ln>
                          <a:noFill/>
                        </a:ln>
                      </pic:spPr>
                    </pic:pic>
                  </a:graphicData>
                </a:graphic>
              </wp:inline>
            </w:drawing>
          </w:r>
        </w:p>
      </w:tc>
      <w:tc>
        <w:tcPr>
          <w:tcW w:w="4535" w:type="dxa"/>
          <w:shd w:val="clear" w:color="auto" w:fill="auto"/>
          <w:vAlign w:val="center"/>
        </w:tcPr>
        <w:p w14:paraId="7843638C" w14:textId="77777777" w:rsidR="00586845" w:rsidRPr="000802ED" w:rsidRDefault="00586845" w:rsidP="001C3497">
          <w:pPr>
            <w:pStyle w:val="Header"/>
            <w:pBdr>
              <w:bottom w:val="none" w:sz="0" w:space="0" w:color="auto"/>
            </w:pBdr>
            <w:rPr>
              <w:rFonts w:eastAsia="DengXian"/>
              <w:b/>
              <w:bCs/>
            </w:rPr>
          </w:pPr>
        </w:p>
      </w:tc>
      <w:tc>
        <w:tcPr>
          <w:tcW w:w="2273" w:type="dxa"/>
          <w:shd w:val="clear" w:color="auto" w:fill="auto"/>
          <w:vAlign w:val="center"/>
        </w:tcPr>
        <w:p w14:paraId="4C4EDE0E" w14:textId="77777777" w:rsidR="00586845" w:rsidRPr="000802ED" w:rsidRDefault="005A70CE" w:rsidP="005A70CE">
          <w:pPr>
            <w:pStyle w:val="Header"/>
            <w:pBdr>
              <w:bottom w:val="none" w:sz="0" w:space="0" w:color="auto"/>
            </w:pBdr>
            <w:jc w:val="right"/>
            <w:rPr>
              <w:rFonts w:eastAsia="DengXian"/>
              <w:b/>
              <w:bCs/>
            </w:rPr>
          </w:pPr>
          <w:r>
            <w:rPr>
              <w:rFonts w:eastAsia="DengXian"/>
              <w:b/>
              <w:bCs/>
            </w:rPr>
            <w:drawing>
              <wp:inline distT="0" distB="0" distL="0" distR="0" wp14:anchorId="5AD0AEEA" wp14:editId="12D31CE1">
                <wp:extent cx="540000" cy="360000"/>
                <wp:effectExtent l="0" t="0" r="0" b="2540"/>
                <wp:docPr id="1422827762" name="Picture 1"/>
                <wp:cNvGraphicFramePr/>
                <a:graphic xmlns:a="http://schemas.openxmlformats.org/drawingml/2006/main">
                  <a:graphicData uri="http://schemas.openxmlformats.org/drawingml/2006/picture">
                    <pic:pic xmlns:pic="http://schemas.openxmlformats.org/drawingml/2006/picture">
                      <pic:nvPicPr>
                        <pic:cNvPr id="1422827762" name=""/>
                        <pic:cNvPicPr/>
                      </pic:nvPicPr>
                      <pic:blipFill>
                        <a:blip r:embed="rId2"/>
                        <a:stretch>
                          <a:fillRect/>
                        </a:stretch>
                      </pic:blipFill>
                      <pic:spPr>
                        <a:xfrm>
                          <a:off x="0" y="0"/>
                          <a:ext cx="540000" cy="360000"/>
                        </a:xfrm>
                        <a:prstGeom prst="rect">
                          <a:avLst/>
                        </a:prstGeom>
                      </pic:spPr>
                    </pic:pic>
                  </a:graphicData>
                </a:graphic>
              </wp:inline>
            </w:drawing>
          </w:r>
        </w:p>
      </w:tc>
    </w:tr>
  </w:tbl>
  <w:p w14:paraId="6F05FAA0" w14:textId="77777777" w:rsidR="00975B88" w:rsidRPr="00586845" w:rsidRDefault="00975B88" w:rsidP="00B3589F">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5A9F"/>
    <w:multiLevelType w:val="hybridMultilevel"/>
    <w:tmpl w:val="A35A1BB6"/>
    <w:lvl w:ilvl="0" w:tplc="E3CE17FC">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C6068"/>
    <w:multiLevelType w:val="hybridMultilevel"/>
    <w:tmpl w:val="FDC29C4E"/>
    <w:lvl w:ilvl="0" w:tplc="2C426012">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E6CFA"/>
    <w:multiLevelType w:val="hybridMultilevel"/>
    <w:tmpl w:val="15EE9E40"/>
    <w:lvl w:ilvl="0" w:tplc="C96CCAA8">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3" w15:restartNumberingAfterBreak="0">
    <w:nsid w:val="18B468F5"/>
    <w:multiLevelType w:val="hybridMultilevel"/>
    <w:tmpl w:val="E71CCDD4"/>
    <w:lvl w:ilvl="0" w:tplc="C0A033B4">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5"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9" w15:restartNumberingAfterBreak="0">
    <w:nsid w:val="42D94A5E"/>
    <w:multiLevelType w:val="hybridMultilevel"/>
    <w:tmpl w:val="54141836"/>
    <w:lvl w:ilvl="0" w:tplc="17CA272E">
      <w:start w:val="1"/>
      <w:numFmt w:val="decimal"/>
      <w:lvlText w:val="%1."/>
      <w:lvlJc w:val="left"/>
      <w:pPr>
        <w:ind w:left="2968" w:hanging="360"/>
      </w:pPr>
      <w:rPr>
        <w:rFonts w:hint="default"/>
      </w:rPr>
    </w:lvl>
    <w:lvl w:ilvl="1" w:tplc="08090019" w:tentative="1">
      <w:start w:val="1"/>
      <w:numFmt w:val="lowerLetter"/>
      <w:lvlText w:val="%2."/>
      <w:lvlJc w:val="left"/>
      <w:pPr>
        <w:ind w:left="3688" w:hanging="360"/>
      </w:pPr>
    </w:lvl>
    <w:lvl w:ilvl="2" w:tplc="0809001B" w:tentative="1">
      <w:start w:val="1"/>
      <w:numFmt w:val="lowerRoman"/>
      <w:lvlText w:val="%3."/>
      <w:lvlJc w:val="right"/>
      <w:pPr>
        <w:ind w:left="4408" w:hanging="180"/>
      </w:pPr>
    </w:lvl>
    <w:lvl w:ilvl="3" w:tplc="0809000F" w:tentative="1">
      <w:start w:val="1"/>
      <w:numFmt w:val="decimal"/>
      <w:lvlText w:val="%4."/>
      <w:lvlJc w:val="left"/>
      <w:pPr>
        <w:ind w:left="5128" w:hanging="360"/>
      </w:pPr>
    </w:lvl>
    <w:lvl w:ilvl="4" w:tplc="08090019" w:tentative="1">
      <w:start w:val="1"/>
      <w:numFmt w:val="lowerLetter"/>
      <w:lvlText w:val="%5."/>
      <w:lvlJc w:val="left"/>
      <w:pPr>
        <w:ind w:left="5848" w:hanging="360"/>
      </w:pPr>
    </w:lvl>
    <w:lvl w:ilvl="5" w:tplc="0809001B" w:tentative="1">
      <w:start w:val="1"/>
      <w:numFmt w:val="lowerRoman"/>
      <w:lvlText w:val="%6."/>
      <w:lvlJc w:val="right"/>
      <w:pPr>
        <w:ind w:left="6568" w:hanging="180"/>
      </w:pPr>
    </w:lvl>
    <w:lvl w:ilvl="6" w:tplc="0809000F" w:tentative="1">
      <w:start w:val="1"/>
      <w:numFmt w:val="decimal"/>
      <w:lvlText w:val="%7."/>
      <w:lvlJc w:val="left"/>
      <w:pPr>
        <w:ind w:left="7288" w:hanging="360"/>
      </w:pPr>
    </w:lvl>
    <w:lvl w:ilvl="7" w:tplc="08090019" w:tentative="1">
      <w:start w:val="1"/>
      <w:numFmt w:val="lowerLetter"/>
      <w:lvlText w:val="%8."/>
      <w:lvlJc w:val="left"/>
      <w:pPr>
        <w:ind w:left="8008" w:hanging="360"/>
      </w:pPr>
    </w:lvl>
    <w:lvl w:ilvl="8" w:tplc="0809001B" w:tentative="1">
      <w:start w:val="1"/>
      <w:numFmt w:val="lowerRoman"/>
      <w:lvlText w:val="%9."/>
      <w:lvlJc w:val="right"/>
      <w:pPr>
        <w:ind w:left="8728" w:hanging="180"/>
      </w:pPr>
    </w:lvl>
  </w:abstractNum>
  <w:abstractNum w:abstractNumId="10"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2"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5426630">
    <w:abstractNumId w:val="6"/>
  </w:num>
  <w:num w:numId="2" w16cid:durableId="1106459431">
    <w:abstractNumId w:val="8"/>
  </w:num>
  <w:num w:numId="3" w16cid:durableId="2087915354">
    <w:abstractNumId w:val="5"/>
  </w:num>
  <w:num w:numId="4" w16cid:durableId="8874490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3527102">
    <w:abstractNumId w:val="7"/>
  </w:num>
  <w:num w:numId="6" w16cid:durableId="1815758690">
    <w:abstractNumId w:val="11"/>
  </w:num>
  <w:num w:numId="7" w16cid:durableId="74322723">
    <w:abstractNumId w:val="4"/>
  </w:num>
  <w:num w:numId="8" w16cid:durableId="1757938535">
    <w:abstractNumId w:val="11"/>
  </w:num>
  <w:num w:numId="9" w16cid:durableId="2106341693">
    <w:abstractNumId w:val="4"/>
  </w:num>
  <w:num w:numId="10" w16cid:durableId="408502911">
    <w:abstractNumId w:val="11"/>
  </w:num>
  <w:num w:numId="11" w16cid:durableId="1677733787">
    <w:abstractNumId w:val="4"/>
  </w:num>
  <w:num w:numId="12" w16cid:durableId="1836070291">
    <w:abstractNumId w:val="12"/>
  </w:num>
  <w:num w:numId="13" w16cid:durableId="1534535260">
    <w:abstractNumId w:val="11"/>
  </w:num>
  <w:num w:numId="14" w16cid:durableId="2039508235">
    <w:abstractNumId w:val="4"/>
  </w:num>
  <w:num w:numId="15" w16cid:durableId="2087720452">
    <w:abstractNumId w:val="3"/>
  </w:num>
  <w:num w:numId="16" w16cid:durableId="1250114179">
    <w:abstractNumId w:val="10"/>
  </w:num>
  <w:num w:numId="17" w16cid:durableId="720053639">
    <w:abstractNumId w:val="0"/>
  </w:num>
  <w:num w:numId="18" w16cid:durableId="640773203">
    <w:abstractNumId w:val="11"/>
  </w:num>
  <w:num w:numId="19" w16cid:durableId="955335018">
    <w:abstractNumId w:val="4"/>
  </w:num>
  <w:num w:numId="20" w16cid:durableId="1990480799">
    <w:abstractNumId w:val="3"/>
  </w:num>
  <w:num w:numId="21" w16cid:durableId="411855533">
    <w:abstractNumId w:val="0"/>
  </w:num>
  <w:num w:numId="22" w16cid:durableId="1909653554">
    <w:abstractNumId w:val="2"/>
  </w:num>
  <w:num w:numId="23" w16cid:durableId="882522993">
    <w:abstractNumId w:val="1"/>
  </w:num>
  <w:num w:numId="24" w16cid:durableId="3550392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728"/>
    <w:rsid w:val="00026DCC"/>
    <w:rsid w:val="00032C91"/>
    <w:rsid w:val="00036C6C"/>
    <w:rsid w:val="00041F31"/>
    <w:rsid w:val="00061BB2"/>
    <w:rsid w:val="000802ED"/>
    <w:rsid w:val="000B2395"/>
    <w:rsid w:val="000B5E01"/>
    <w:rsid w:val="000E67E7"/>
    <w:rsid w:val="000F124F"/>
    <w:rsid w:val="000F5859"/>
    <w:rsid w:val="00101BE9"/>
    <w:rsid w:val="00112A02"/>
    <w:rsid w:val="00113C77"/>
    <w:rsid w:val="001162B2"/>
    <w:rsid w:val="00127588"/>
    <w:rsid w:val="00131B3F"/>
    <w:rsid w:val="001723E4"/>
    <w:rsid w:val="001A2DAD"/>
    <w:rsid w:val="001A784C"/>
    <w:rsid w:val="001C0F36"/>
    <w:rsid w:val="001C1C66"/>
    <w:rsid w:val="001C3497"/>
    <w:rsid w:val="001E107B"/>
    <w:rsid w:val="001E2AEB"/>
    <w:rsid w:val="001E6FAA"/>
    <w:rsid w:val="001F5DE1"/>
    <w:rsid w:val="002167C7"/>
    <w:rsid w:val="00225BC4"/>
    <w:rsid w:val="00227C97"/>
    <w:rsid w:val="00236CC4"/>
    <w:rsid w:val="002554D4"/>
    <w:rsid w:val="002B3650"/>
    <w:rsid w:val="002C2622"/>
    <w:rsid w:val="002C6155"/>
    <w:rsid w:val="002F1C37"/>
    <w:rsid w:val="002F5CF2"/>
    <w:rsid w:val="00326141"/>
    <w:rsid w:val="00333CEA"/>
    <w:rsid w:val="00371D15"/>
    <w:rsid w:val="00392506"/>
    <w:rsid w:val="003A1793"/>
    <w:rsid w:val="003B0FFA"/>
    <w:rsid w:val="003B52D1"/>
    <w:rsid w:val="003C6A46"/>
    <w:rsid w:val="003C7549"/>
    <w:rsid w:val="003E7336"/>
    <w:rsid w:val="00401D30"/>
    <w:rsid w:val="00430009"/>
    <w:rsid w:val="00442467"/>
    <w:rsid w:val="00445132"/>
    <w:rsid w:val="004551A1"/>
    <w:rsid w:val="00474483"/>
    <w:rsid w:val="004903F6"/>
    <w:rsid w:val="00503D54"/>
    <w:rsid w:val="005061ED"/>
    <w:rsid w:val="00525340"/>
    <w:rsid w:val="005306F6"/>
    <w:rsid w:val="005323FE"/>
    <w:rsid w:val="00532966"/>
    <w:rsid w:val="005527B4"/>
    <w:rsid w:val="00571190"/>
    <w:rsid w:val="00586845"/>
    <w:rsid w:val="005A70CE"/>
    <w:rsid w:val="005B2D15"/>
    <w:rsid w:val="005C75C4"/>
    <w:rsid w:val="005D00AC"/>
    <w:rsid w:val="005E4C33"/>
    <w:rsid w:val="00610001"/>
    <w:rsid w:val="006133CE"/>
    <w:rsid w:val="00615BC7"/>
    <w:rsid w:val="006369E9"/>
    <w:rsid w:val="00653E2B"/>
    <w:rsid w:val="00655E7C"/>
    <w:rsid w:val="00656518"/>
    <w:rsid w:val="006816DD"/>
    <w:rsid w:val="00683D05"/>
    <w:rsid w:val="00692393"/>
    <w:rsid w:val="006A7653"/>
    <w:rsid w:val="006B6635"/>
    <w:rsid w:val="006C3C9D"/>
    <w:rsid w:val="006C3CAA"/>
    <w:rsid w:val="006C6493"/>
    <w:rsid w:val="006E4318"/>
    <w:rsid w:val="006F438F"/>
    <w:rsid w:val="007105D6"/>
    <w:rsid w:val="00723478"/>
    <w:rsid w:val="00741743"/>
    <w:rsid w:val="007418BF"/>
    <w:rsid w:val="00750DBC"/>
    <w:rsid w:val="00761309"/>
    <w:rsid w:val="007A3854"/>
    <w:rsid w:val="007A4F3C"/>
    <w:rsid w:val="007D0886"/>
    <w:rsid w:val="007D5EA0"/>
    <w:rsid w:val="00803444"/>
    <w:rsid w:val="00804F18"/>
    <w:rsid w:val="00812FAE"/>
    <w:rsid w:val="00824C27"/>
    <w:rsid w:val="00825910"/>
    <w:rsid w:val="00831FA2"/>
    <w:rsid w:val="00832398"/>
    <w:rsid w:val="00832912"/>
    <w:rsid w:val="00853077"/>
    <w:rsid w:val="0085365F"/>
    <w:rsid w:val="00853A88"/>
    <w:rsid w:val="00884EEA"/>
    <w:rsid w:val="008A2009"/>
    <w:rsid w:val="008A669C"/>
    <w:rsid w:val="008B0E22"/>
    <w:rsid w:val="008C2AC6"/>
    <w:rsid w:val="008C731F"/>
    <w:rsid w:val="008D010A"/>
    <w:rsid w:val="008D5720"/>
    <w:rsid w:val="008E7793"/>
    <w:rsid w:val="0092286C"/>
    <w:rsid w:val="009500BB"/>
    <w:rsid w:val="009725CB"/>
    <w:rsid w:val="00975B88"/>
    <w:rsid w:val="0099140B"/>
    <w:rsid w:val="0099195D"/>
    <w:rsid w:val="009A094E"/>
    <w:rsid w:val="009B7AFD"/>
    <w:rsid w:val="009E0A65"/>
    <w:rsid w:val="009F20C1"/>
    <w:rsid w:val="009F70E6"/>
    <w:rsid w:val="00A010C5"/>
    <w:rsid w:val="00A05AA8"/>
    <w:rsid w:val="00A10CE0"/>
    <w:rsid w:val="00A11CF6"/>
    <w:rsid w:val="00A22ECC"/>
    <w:rsid w:val="00A26316"/>
    <w:rsid w:val="00A51DD4"/>
    <w:rsid w:val="00A54C80"/>
    <w:rsid w:val="00A701D0"/>
    <w:rsid w:val="00AF2C0C"/>
    <w:rsid w:val="00B17DC3"/>
    <w:rsid w:val="00B23FAB"/>
    <w:rsid w:val="00B27FC2"/>
    <w:rsid w:val="00B3589F"/>
    <w:rsid w:val="00B42C32"/>
    <w:rsid w:val="00B548E2"/>
    <w:rsid w:val="00B5610A"/>
    <w:rsid w:val="00B56880"/>
    <w:rsid w:val="00B856A5"/>
    <w:rsid w:val="00BA3598"/>
    <w:rsid w:val="00BE5097"/>
    <w:rsid w:val="00C05BA5"/>
    <w:rsid w:val="00C13D9E"/>
    <w:rsid w:val="00C24003"/>
    <w:rsid w:val="00C31539"/>
    <w:rsid w:val="00C35A6C"/>
    <w:rsid w:val="00C3799E"/>
    <w:rsid w:val="00C5103B"/>
    <w:rsid w:val="00C570DE"/>
    <w:rsid w:val="00C63A02"/>
    <w:rsid w:val="00C73876"/>
    <w:rsid w:val="00CE1728"/>
    <w:rsid w:val="00CF5230"/>
    <w:rsid w:val="00D06D1C"/>
    <w:rsid w:val="00D35E04"/>
    <w:rsid w:val="00D46BCE"/>
    <w:rsid w:val="00D75011"/>
    <w:rsid w:val="00D90FF7"/>
    <w:rsid w:val="00D91907"/>
    <w:rsid w:val="00D91A3B"/>
    <w:rsid w:val="00DA3A8B"/>
    <w:rsid w:val="00DA5A24"/>
    <w:rsid w:val="00DC37F2"/>
    <w:rsid w:val="00DE0BDE"/>
    <w:rsid w:val="00DE3510"/>
    <w:rsid w:val="00DE4698"/>
    <w:rsid w:val="00DF7BCE"/>
    <w:rsid w:val="00E0508E"/>
    <w:rsid w:val="00E10552"/>
    <w:rsid w:val="00E16280"/>
    <w:rsid w:val="00E17D10"/>
    <w:rsid w:val="00E2068F"/>
    <w:rsid w:val="00E3272C"/>
    <w:rsid w:val="00E45A72"/>
    <w:rsid w:val="00E47CE8"/>
    <w:rsid w:val="00E52996"/>
    <w:rsid w:val="00E94043"/>
    <w:rsid w:val="00EF52ED"/>
    <w:rsid w:val="00F06833"/>
    <w:rsid w:val="00F07A2C"/>
    <w:rsid w:val="00F25CA1"/>
    <w:rsid w:val="00F324A8"/>
    <w:rsid w:val="00F4128A"/>
    <w:rsid w:val="00F42E7B"/>
    <w:rsid w:val="00F613EC"/>
    <w:rsid w:val="00F746BC"/>
    <w:rsid w:val="00F77B30"/>
    <w:rsid w:val="00F847FC"/>
    <w:rsid w:val="00F848A6"/>
    <w:rsid w:val="00F85C25"/>
    <w:rsid w:val="00F9400C"/>
    <w:rsid w:val="00FB22E5"/>
    <w:rsid w:val="00FB4FBA"/>
    <w:rsid w:val="00FD2E4E"/>
    <w:rsid w:val="00FE2A3A"/>
    <w:rsid w:val="00FE6B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2CA00C"/>
  <w15:chartTrackingRefBased/>
  <w15:docId w15:val="{3ADFAB23-8A49-4196-BB82-D8F4B5B83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CF6"/>
    <w:pPr>
      <w:spacing w:line="26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A11CF6"/>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A11CF6"/>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A11CF6"/>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A11CF6"/>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A11CF6"/>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A11CF6"/>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A11CF6"/>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A11CF6"/>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F42E7B"/>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A11CF6"/>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11CF6"/>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A11CF6"/>
    <w:rPr>
      <w:rFonts w:ascii="Palatino Linotype" w:hAnsi="Palatino Linotype"/>
      <w:noProof/>
      <w:color w:val="000000"/>
      <w:szCs w:val="18"/>
    </w:rPr>
  </w:style>
  <w:style w:type="paragraph" w:styleId="Header">
    <w:name w:val="header"/>
    <w:basedOn w:val="Normal"/>
    <w:link w:val="HeaderChar"/>
    <w:uiPriority w:val="99"/>
    <w:rsid w:val="00A11CF6"/>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A11CF6"/>
    <w:rPr>
      <w:rFonts w:ascii="Palatino Linotype" w:hAnsi="Palatino Linotype"/>
      <w:noProof/>
      <w:color w:val="000000"/>
      <w:szCs w:val="18"/>
    </w:rPr>
  </w:style>
  <w:style w:type="paragraph" w:customStyle="1" w:styleId="MDPIheaderjournallogo">
    <w:name w:val="MDPI_header_journal_logo"/>
    <w:qFormat/>
    <w:rsid w:val="00A11CF6"/>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A11CF6"/>
    <w:pPr>
      <w:ind w:firstLine="0"/>
    </w:pPr>
  </w:style>
  <w:style w:type="paragraph" w:customStyle="1" w:styleId="MDPI31text">
    <w:name w:val="MDPI_3.1_text"/>
    <w:qFormat/>
    <w:rsid w:val="001E107B"/>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A11CF6"/>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A11CF6"/>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A11CF6"/>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A11CF6"/>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5323FE"/>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5323FE"/>
    <w:pPr>
      <w:numPr>
        <w:numId w:val="20"/>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A11CF6"/>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A11CF6"/>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A11CF6"/>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A010C5"/>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A11CF6"/>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A11CF6"/>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A11CF6"/>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A11CF6"/>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A11CF6"/>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footerfirstpage">
    <w:name w:val="MDPI_footer_firstpage"/>
    <w:qFormat/>
    <w:rsid w:val="00A11CF6"/>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A11CF6"/>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A11CF6"/>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A11CF6"/>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032C91"/>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A11CF6"/>
    <w:rPr>
      <w:rFonts w:cs="Tahoma"/>
      <w:szCs w:val="18"/>
    </w:rPr>
  </w:style>
  <w:style w:type="character" w:customStyle="1" w:styleId="BalloonTextChar">
    <w:name w:val="Balloon Text Char"/>
    <w:link w:val="BalloonText"/>
    <w:uiPriority w:val="99"/>
    <w:rsid w:val="00A11CF6"/>
    <w:rPr>
      <w:rFonts w:ascii="Palatino Linotype" w:hAnsi="Palatino Linotype" w:cs="Tahoma"/>
      <w:noProof/>
      <w:color w:val="000000"/>
      <w:szCs w:val="18"/>
    </w:rPr>
  </w:style>
  <w:style w:type="character" w:styleId="LineNumber">
    <w:name w:val="line number"/>
    <w:uiPriority w:val="99"/>
    <w:rsid w:val="00D91907"/>
    <w:rPr>
      <w:rFonts w:ascii="Palatino Linotype" w:hAnsi="Palatino Linotype"/>
      <w:sz w:val="16"/>
    </w:rPr>
  </w:style>
  <w:style w:type="table" w:customStyle="1" w:styleId="MDPI41threelinetable">
    <w:name w:val="MDPI_4.1_three_line_table"/>
    <w:basedOn w:val="TableNormal"/>
    <w:uiPriority w:val="99"/>
    <w:rsid w:val="00A11CF6"/>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A11CF6"/>
    <w:rPr>
      <w:color w:val="0000FF"/>
      <w:u w:val="single"/>
    </w:rPr>
  </w:style>
  <w:style w:type="character" w:styleId="UnresolvedMention">
    <w:name w:val="Unresolved Mention"/>
    <w:uiPriority w:val="99"/>
    <w:semiHidden/>
    <w:unhideWhenUsed/>
    <w:rsid w:val="00474483"/>
    <w:rPr>
      <w:color w:val="605E5C"/>
      <w:shd w:val="clear" w:color="auto" w:fill="E1DFDD"/>
    </w:rPr>
  </w:style>
  <w:style w:type="table" w:styleId="PlainTable4">
    <w:name w:val="Plain Table 4"/>
    <w:basedOn w:val="TableNormal"/>
    <w:uiPriority w:val="44"/>
    <w:rsid w:val="0044246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A11CF6"/>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A11CF6"/>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A11CF6"/>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D35E04"/>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A11CF6"/>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A11CF6"/>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A11CF6"/>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E47CE8"/>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A11CF6"/>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A11CF6"/>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A11CF6"/>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A11CF6"/>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A11CF6"/>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A11CF6"/>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A11CF6"/>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A11CF6"/>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A11CF6"/>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A11CF6"/>
  </w:style>
  <w:style w:type="paragraph" w:styleId="Bibliography">
    <w:name w:val="Bibliography"/>
    <w:basedOn w:val="Normal"/>
    <w:next w:val="Normal"/>
    <w:uiPriority w:val="37"/>
    <w:semiHidden/>
    <w:unhideWhenUsed/>
    <w:rsid w:val="00A11CF6"/>
  </w:style>
  <w:style w:type="paragraph" w:styleId="BodyText">
    <w:name w:val="Body Text"/>
    <w:link w:val="BodyTextChar"/>
    <w:rsid w:val="00A11CF6"/>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A11CF6"/>
    <w:rPr>
      <w:rFonts w:ascii="Palatino Linotype" w:hAnsi="Palatino Linotype"/>
      <w:color w:val="000000"/>
      <w:sz w:val="24"/>
      <w:lang w:eastAsia="de-DE"/>
    </w:rPr>
  </w:style>
  <w:style w:type="character" w:styleId="CommentReference">
    <w:name w:val="annotation reference"/>
    <w:rsid w:val="00A11CF6"/>
    <w:rPr>
      <w:sz w:val="21"/>
      <w:szCs w:val="21"/>
    </w:rPr>
  </w:style>
  <w:style w:type="paragraph" w:styleId="CommentText">
    <w:name w:val="annotation text"/>
    <w:basedOn w:val="Normal"/>
    <w:link w:val="CommentTextChar"/>
    <w:rsid w:val="00A11CF6"/>
  </w:style>
  <w:style w:type="character" w:customStyle="1" w:styleId="CommentTextChar">
    <w:name w:val="Comment Text Char"/>
    <w:link w:val="CommentText"/>
    <w:rsid w:val="00A11CF6"/>
    <w:rPr>
      <w:rFonts w:ascii="Palatino Linotype" w:hAnsi="Palatino Linotype"/>
      <w:noProof/>
      <w:color w:val="000000"/>
    </w:rPr>
  </w:style>
  <w:style w:type="paragraph" w:styleId="CommentSubject">
    <w:name w:val="annotation subject"/>
    <w:basedOn w:val="CommentText"/>
    <w:next w:val="CommentText"/>
    <w:link w:val="CommentSubjectChar"/>
    <w:rsid w:val="00A11CF6"/>
    <w:rPr>
      <w:b/>
      <w:bCs/>
    </w:rPr>
  </w:style>
  <w:style w:type="character" w:customStyle="1" w:styleId="CommentSubjectChar">
    <w:name w:val="Comment Subject Char"/>
    <w:link w:val="CommentSubject"/>
    <w:rsid w:val="00A11CF6"/>
    <w:rPr>
      <w:rFonts w:ascii="Palatino Linotype" w:hAnsi="Palatino Linotype"/>
      <w:b/>
      <w:bCs/>
      <w:noProof/>
      <w:color w:val="000000"/>
    </w:rPr>
  </w:style>
  <w:style w:type="character" w:styleId="EndnoteReference">
    <w:name w:val="endnote reference"/>
    <w:rsid w:val="00A11CF6"/>
    <w:rPr>
      <w:vertAlign w:val="superscript"/>
    </w:rPr>
  </w:style>
  <w:style w:type="paragraph" w:styleId="EndnoteText">
    <w:name w:val="endnote text"/>
    <w:basedOn w:val="Normal"/>
    <w:link w:val="EndnoteTextChar"/>
    <w:semiHidden/>
    <w:unhideWhenUsed/>
    <w:rsid w:val="00A11CF6"/>
    <w:pPr>
      <w:spacing w:line="240" w:lineRule="auto"/>
    </w:pPr>
  </w:style>
  <w:style w:type="character" w:customStyle="1" w:styleId="EndnoteTextChar">
    <w:name w:val="Endnote Text Char"/>
    <w:link w:val="EndnoteText"/>
    <w:semiHidden/>
    <w:rsid w:val="00A11CF6"/>
    <w:rPr>
      <w:rFonts w:ascii="Palatino Linotype" w:hAnsi="Palatino Linotype"/>
      <w:noProof/>
      <w:color w:val="000000"/>
    </w:rPr>
  </w:style>
  <w:style w:type="character" w:styleId="FollowedHyperlink">
    <w:name w:val="FollowedHyperlink"/>
    <w:rsid w:val="00A11CF6"/>
    <w:rPr>
      <w:color w:val="954F72"/>
      <w:u w:val="single"/>
    </w:rPr>
  </w:style>
  <w:style w:type="paragraph" w:styleId="FootnoteText">
    <w:name w:val="footnote text"/>
    <w:basedOn w:val="Normal"/>
    <w:link w:val="FootnoteTextChar"/>
    <w:semiHidden/>
    <w:unhideWhenUsed/>
    <w:rsid w:val="00A11CF6"/>
    <w:pPr>
      <w:spacing w:line="240" w:lineRule="auto"/>
    </w:pPr>
  </w:style>
  <w:style w:type="character" w:customStyle="1" w:styleId="FootnoteTextChar">
    <w:name w:val="Footnote Text Char"/>
    <w:link w:val="FootnoteText"/>
    <w:semiHidden/>
    <w:rsid w:val="00A11CF6"/>
    <w:rPr>
      <w:rFonts w:ascii="Palatino Linotype" w:hAnsi="Palatino Linotype"/>
      <w:noProof/>
      <w:color w:val="000000"/>
    </w:rPr>
  </w:style>
  <w:style w:type="paragraph" w:styleId="NormalWeb">
    <w:name w:val="Normal (Web)"/>
    <w:basedOn w:val="Normal"/>
    <w:uiPriority w:val="99"/>
    <w:rsid w:val="00A11CF6"/>
    <w:rPr>
      <w:szCs w:val="24"/>
    </w:rPr>
  </w:style>
  <w:style w:type="paragraph" w:customStyle="1" w:styleId="MsoFootnoteText0">
    <w:name w:val="MsoFootnoteText"/>
    <w:basedOn w:val="NormalWeb"/>
    <w:qFormat/>
    <w:rsid w:val="00A11CF6"/>
    <w:rPr>
      <w:rFonts w:ascii="Times New Roman" w:hAnsi="Times New Roman"/>
    </w:rPr>
  </w:style>
  <w:style w:type="character" w:styleId="PageNumber">
    <w:name w:val="page number"/>
    <w:rsid w:val="00A11CF6"/>
  </w:style>
  <w:style w:type="character" w:styleId="PlaceholderText">
    <w:name w:val="Placeholder Text"/>
    <w:uiPriority w:val="99"/>
    <w:semiHidden/>
    <w:rsid w:val="00A11CF6"/>
    <w:rPr>
      <w:color w:val="808080"/>
    </w:rPr>
  </w:style>
  <w:style w:type="paragraph" w:customStyle="1" w:styleId="MDPI71FootNotes">
    <w:name w:val="MDPI_7.1_FootNotes"/>
    <w:qFormat/>
    <w:rsid w:val="00225BC4"/>
    <w:pPr>
      <w:numPr>
        <w:numId w:val="21"/>
      </w:numPr>
      <w:adjustRightInd w:val="0"/>
      <w:snapToGrid w:val="0"/>
      <w:spacing w:line="228" w:lineRule="auto"/>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E:\MatIC\Cocacola\Paper\Supplementary%20Inform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Supplementary Information</Template>
  <TotalTime>6</TotalTime>
  <Pages>3</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corentin penot</dc:creator>
  <cp:keywords/>
  <dc:description/>
  <cp:lastModifiedBy>Penot, Corentin</cp:lastModifiedBy>
  <cp:revision>4</cp:revision>
  <dcterms:created xsi:type="dcterms:W3CDTF">2024-02-20T07:07:00Z</dcterms:created>
  <dcterms:modified xsi:type="dcterms:W3CDTF">2024-02-20T11:02:00Z</dcterms:modified>
</cp:coreProperties>
</file>