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9C393" w14:textId="2609E422" w:rsidR="009520F5" w:rsidRPr="008E41B5" w:rsidRDefault="009520F5" w:rsidP="009520F5">
      <w:pPr>
        <w:rPr>
          <w:rFonts w:ascii="Palatino Linotype" w:hAnsi="Palatino Linotype"/>
          <w:b/>
          <w:sz w:val="20"/>
          <w:szCs w:val="20"/>
        </w:rPr>
      </w:pPr>
      <w:r w:rsidRPr="008E41B5">
        <w:rPr>
          <w:rFonts w:ascii="Palatino Linotype" w:hAnsi="Palatino Linotype"/>
          <w:b/>
          <w:sz w:val="20"/>
          <w:szCs w:val="20"/>
        </w:rPr>
        <w:t xml:space="preserve">Supplementary </w:t>
      </w:r>
      <w:r w:rsidR="00F81A35" w:rsidRPr="008E41B5">
        <w:rPr>
          <w:rFonts w:ascii="Palatino Linotype" w:hAnsi="Palatino Linotype"/>
          <w:b/>
          <w:sz w:val="20"/>
          <w:szCs w:val="20"/>
        </w:rPr>
        <w:t>data</w:t>
      </w:r>
    </w:p>
    <w:p w14:paraId="30D0BBD7" w14:textId="77777777" w:rsidR="009520F5" w:rsidRPr="008E41B5" w:rsidRDefault="009520F5" w:rsidP="009520F5">
      <w:pPr>
        <w:rPr>
          <w:rFonts w:ascii="Palatino Linotype" w:hAnsi="Palatino Linotype"/>
          <w:b/>
          <w:sz w:val="20"/>
          <w:szCs w:val="20"/>
        </w:rPr>
      </w:pPr>
    </w:p>
    <w:p w14:paraId="52C2EDFD" w14:textId="77777777" w:rsidR="009520F5" w:rsidRPr="008E41B5" w:rsidRDefault="009520F5" w:rsidP="009520F5">
      <w:pPr>
        <w:rPr>
          <w:rFonts w:ascii="Palatino Linotype" w:hAnsi="Palatino Linotype"/>
          <w:b/>
          <w:sz w:val="20"/>
          <w:szCs w:val="20"/>
        </w:rPr>
      </w:pPr>
      <w:r w:rsidRPr="008E41B5">
        <w:rPr>
          <w:rFonts w:ascii="Palatino Linotype" w:hAnsi="Palatino Linotype"/>
          <w:b/>
          <w:sz w:val="20"/>
          <w:szCs w:val="20"/>
        </w:rPr>
        <w:t>Table S4.  New therapeutic avenues for drug resistant EOC</w:t>
      </w:r>
    </w:p>
    <w:p w14:paraId="1B30D64F" w14:textId="77777777" w:rsidR="009520F5" w:rsidRPr="008E41B5" w:rsidRDefault="009520F5" w:rsidP="009520F5">
      <w:pPr>
        <w:rPr>
          <w:rFonts w:ascii="Palatino Linotype" w:hAnsi="Palatino Linotype"/>
          <w:b/>
          <w:sz w:val="20"/>
          <w:szCs w:val="20"/>
        </w:rPr>
      </w:pPr>
    </w:p>
    <w:tbl>
      <w:tblPr>
        <w:tblW w:w="9045" w:type="dxa"/>
        <w:tblInd w:w="24" w:type="dxa"/>
        <w:tblBorders>
          <w:top w:val="single" w:sz="4" w:space="0" w:color="F3F3F3"/>
          <w:left w:val="single" w:sz="4" w:space="0" w:color="F3F3F3"/>
          <w:bottom w:val="single" w:sz="4" w:space="0" w:color="F3F3F3"/>
          <w:right w:val="single" w:sz="4" w:space="0" w:color="F3F3F3"/>
          <w:insideH w:val="single" w:sz="4" w:space="0" w:color="F3F3F3"/>
          <w:insideV w:val="single" w:sz="4" w:space="0" w:color="F3F3F3"/>
        </w:tblBorders>
        <w:tblLayout w:type="fixed"/>
        <w:tblLook w:val="0600" w:firstRow="0" w:lastRow="0" w:firstColumn="0" w:lastColumn="0" w:noHBand="1" w:noVBand="1"/>
      </w:tblPr>
      <w:tblGrid>
        <w:gridCol w:w="1636"/>
        <w:gridCol w:w="2565"/>
        <w:gridCol w:w="1230"/>
        <w:gridCol w:w="2904"/>
        <w:gridCol w:w="710"/>
      </w:tblGrid>
      <w:tr w:rsidR="009520F5" w:rsidRPr="008E41B5" w14:paraId="5DBC09B6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9A4E8B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Drug class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C40D0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Target/inhibitor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3499E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Phase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016DB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Findings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DAD8CD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Ref.</w:t>
            </w:r>
          </w:p>
        </w:tc>
      </w:tr>
      <w:tr w:rsidR="009520F5" w:rsidRPr="008E41B5" w14:paraId="0E508DFF" w14:textId="77777777" w:rsidTr="00CD3649">
        <w:trPr>
          <w:trHeight w:val="4301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CD71C6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TME-targeted therapies and immunotherapy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92669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CAF/TAM</w:t>
            </w:r>
          </w:p>
          <w:p w14:paraId="38756D8B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PD-1: nivolumab, pembrolizumab</w:t>
            </w:r>
          </w:p>
          <w:p w14:paraId="0BF82F1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PD-L1 (avelumab)</w:t>
            </w:r>
          </w:p>
          <w:p w14:paraId="4B3229D1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- PD-1 + microtubule (pembrolizumab + paclitaxel)</w:t>
            </w:r>
          </w:p>
          <w:p w14:paraId="5E7B08D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- PD-1 + DNA cross-linker + nucleoside analogue (pembrolizumab + cisplatin + gemcitabine)</w:t>
            </w:r>
          </w:p>
          <w:p w14:paraId="310E4E96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- PD-1 + VEGF</w:t>
            </w:r>
          </w:p>
          <w:p w14:paraId="0CE9925C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- PD-1 + VEGF + DNA damage (pembrolizumab + bevacizumab + cyclophosphamide)</w:t>
            </w:r>
          </w:p>
          <w:p w14:paraId="77A079EF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- PD-1 + FR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α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(pembrolizumab + mirvetuximab)</w:t>
            </w:r>
          </w:p>
          <w:p w14:paraId="6272AD9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PD-1 + PARP (pembrolizumab + niraparib) 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7AB673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preclinical</w:t>
            </w:r>
          </w:p>
          <w:p w14:paraId="52B63AE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1, 1b</w:t>
            </w:r>
          </w:p>
          <w:p w14:paraId="33FDD98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2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8ED953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Anti-CAFs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(MFAP5-mAb): reduced EOC proliferation, fibrosis</w:t>
            </w:r>
          </w:p>
          <w:p w14:paraId="7F34115A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Anti-PD-1/PD-L1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good safety profile</w:t>
            </w:r>
          </w:p>
          <w:p w14:paraId="0B8A9F7C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Avelumab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ORR 13.6%</w:t>
            </w:r>
          </w:p>
          <w:p w14:paraId="60152034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Nivolumab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ORR 15%</w:t>
            </w:r>
          </w:p>
          <w:p w14:paraId="258141A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Pembrolizumab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in MSI-H OC (KEYNOTE-158): ORR 33.3%</w:t>
            </w:r>
          </w:p>
          <w:p w14:paraId="6AC0B0E8" w14:textId="0BF3EA7E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Pembrolizumab + Paclitaxel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(synergistic effect): ORR 51%, PFS 6.7 m, OS 13.4 m</w:t>
            </w:r>
          </w:p>
          <w:p w14:paraId="7D4F9D2D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>Pembrolizumab + Cisplatin + Gemcitabine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: ORR 50%, PFS 5.4 m</w:t>
            </w:r>
          </w:p>
          <w:p w14:paraId="724DD2F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>Pembrolizumab + Bevacizumab + Cyclo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: 6m-PFS 59%</w:t>
            </w:r>
          </w:p>
          <w:p w14:paraId="2EA22A5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>Pembrolizumab + Niraparib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: 32% PD, 45% SD, 13% PR</w:t>
            </w:r>
          </w:p>
          <w:p w14:paraId="1E3E12E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>Pembrolizumab + Mirvetuximab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: ORR 43%, PFS 5.2 m.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6831EF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[21,24,33] </w:t>
            </w:r>
          </w:p>
        </w:tc>
      </w:tr>
      <w:tr w:rsidR="009520F5" w:rsidRPr="008E41B5" w14:paraId="432C3D1F" w14:textId="77777777" w:rsidTr="00CD3649">
        <w:trPr>
          <w:trHeight w:val="1383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641FE4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ADCs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2846C4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FRα (mirvetuximab soravtansine)</w:t>
            </w:r>
          </w:p>
          <w:p w14:paraId="6B2FBE58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DPEP3 (Tamrintanab pamozirine +/- budigalimab)</w:t>
            </w:r>
          </w:p>
          <w:p w14:paraId="21A61A9A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Mesothelin (Anetumab ravtansine + PLD)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57375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phase 3 </w:t>
            </w:r>
          </w:p>
          <w:p w14:paraId="38F2398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phase 1 </w:t>
            </w:r>
          </w:p>
          <w:p w14:paraId="3F95C9E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phase 2 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6EB4C5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Mirvetuximab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PFS 4 m, SAEs 26%</w:t>
            </w:r>
          </w:p>
          <w:p w14:paraId="6219E951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Tamrintanab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ORR 4%, SAEs 66%.</w:t>
            </w:r>
          </w:p>
          <w:p w14:paraId="1718BD18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Anetumab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PR 52%, SD 33%, SAEs 95%.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1AEE14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[6]</w:t>
            </w:r>
          </w:p>
        </w:tc>
      </w:tr>
      <w:tr w:rsidR="009520F5" w:rsidRPr="008E41B5" w14:paraId="48ECEA8E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31AF86" w14:textId="79892106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Angiogenesis inhibitors +/- PARP</w:t>
            </w:r>
            <w:r w:rsidR="00F81A35"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inhibitors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27525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VEGFR 1-2-3, PDGFR, c-Kit (pazopanib, cediranib) </w:t>
            </w:r>
          </w:p>
          <w:p w14:paraId="238DAE7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VEGFR 1-2 (aflibercept)</w:t>
            </w:r>
          </w:p>
          <w:p w14:paraId="0D6AD82F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VEGFR 1-3, PDGFR, RET, FLT3, c-KIT, CSF1R (sunitinib)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44B74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phase 2 </w:t>
            </w:r>
          </w:p>
          <w:p w14:paraId="74FF8CCF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3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C9E214" w14:textId="2ACF1129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Bevacizumab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: PFS 6.7 m, OS 16 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m.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  <w:p w14:paraId="7DF2DCEC" w14:textId="61C2A073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Bevacizumab + Olaparib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in 1L EOC (PAOLA-1): PFS HR 0.31 and OS HR 0.60 in tBRCAm, PFS HR 0.33 and OS HR 0.62 in HRD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-positive.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  <w:p w14:paraId="69124AC2" w14:textId="0668F072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Pazopanib + Paclitaxel: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ORR 50%, PFS 6.3 m, OS 18.7 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m.</w:t>
            </w:r>
          </w:p>
          <w:p w14:paraId="7DCAEC95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>Cediranib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: ORR 29%, PF 4.1 m, OS 11.9 m;</w:t>
            </w:r>
          </w:p>
          <w:p w14:paraId="6CE316D9" w14:textId="7136E0A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Aflibercept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: ORR 12%, PFS 3.1 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m.</w:t>
            </w:r>
          </w:p>
          <w:p w14:paraId="5EF07373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Sunitinib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ORR 8.3%, PFS 2.3 m.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89DCEA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[6,24]</w:t>
            </w:r>
          </w:p>
        </w:tc>
      </w:tr>
      <w:tr w:rsidR="009520F5" w:rsidRPr="008E41B5" w14:paraId="1D9B1664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EF127E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Wnt/β-catenin-</w:t>
            </w:r>
          </w:p>
          <w:p w14:paraId="45A53B7F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targeted drugs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E85B2A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-Disheveled (NSC668036, FJ9)</w:t>
            </w:r>
          </w:p>
          <w:p w14:paraId="62FE46E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Frizzled receptor (Ab) </w:t>
            </w:r>
          </w:p>
          <w:p w14:paraId="4FF2F471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lastRenderedPageBreak/>
              <w:t>- β-catenin reverse transport (thiazolidinedione)</w:t>
            </w:r>
          </w:p>
          <w:p w14:paraId="36987BCD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β-catenin proteasome (Sulindac)</w:t>
            </w:r>
          </w:p>
          <w:p w14:paraId="12D23EC4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Wnt/β-catenin + MAPK/AKT signaling (PDE10A inhibitors, e.g.  Pf-2545920 and NSAID-derived MCI-030)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BEB02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lastRenderedPageBreak/>
              <w:t xml:space="preserve">- preclinical </w:t>
            </w:r>
          </w:p>
          <w:p w14:paraId="7C77D46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i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 xml:space="preserve">in vitro </w:t>
            </w:r>
          </w:p>
          <w:p w14:paraId="1C1C5B45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lastRenderedPageBreak/>
              <w:t>- in vivo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results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E6369E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i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lastRenderedPageBreak/>
              <w:t>PDE10A gene knockout:</w:t>
            </w:r>
          </w:p>
          <w:p w14:paraId="48CA08FD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In vitro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: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 xml:space="preserve">anti- 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proliferative, anti-clonogenic potential in OC 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lastRenderedPageBreak/>
              <w:t>(SKOV3; OV-90) cell lines, suppression of major pathways (Wnt/β-catenin, RAS/MAPK, AKT) by RNA sequencing.</w:t>
            </w:r>
          </w:p>
          <w:p w14:paraId="09C7B79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In vivo: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decrease of tumorigenicity in mouse xenografts.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DAE1FD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lastRenderedPageBreak/>
              <w:t>[7,21,</w:t>
            </w:r>
          </w:p>
          <w:p w14:paraId="611C815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b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38]</w:t>
            </w:r>
          </w:p>
        </w:tc>
      </w:tr>
      <w:tr w:rsidR="009520F5" w:rsidRPr="008E41B5" w14:paraId="7C99963A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B6B2BF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PI3K/PTEN/AKT/</w:t>
            </w:r>
          </w:p>
          <w:p w14:paraId="38F440F9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mTOR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6D666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PI3K/AKT pathway inhibitor overexpressed in PTEN loss</w:t>
            </w:r>
          </w:p>
          <w:p w14:paraId="38FE3E0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AKT inhibitor MK-2206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9D9C3C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phase 2 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7F648B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ORR 0%, SD 19 weeks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340EB8E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[6,21,25,32]</w:t>
            </w:r>
          </w:p>
        </w:tc>
      </w:tr>
      <w:tr w:rsidR="009520F5" w:rsidRPr="008E41B5" w14:paraId="7FF38120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2521A3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Notch</w:t>
            </w:r>
          </w:p>
          <w:p w14:paraId="4A8839B7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color w:val="FFFFFF"/>
                <w:sz w:val="18"/>
                <w:szCs w:val="18"/>
              </w:rPr>
            </w:pP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1AF09A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Notch-1 (inhibitors)</w:t>
            </w:r>
          </w:p>
          <w:p w14:paraId="0F8D3CF5" w14:textId="77777777" w:rsidR="009520F5" w:rsidRPr="008E41B5" w:rsidRDefault="009520F5" w:rsidP="00415B56">
            <w:pPr>
              <w:spacing w:line="360" w:lineRule="auto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Gamma-secretase inhibitors (GSI)</w:t>
            </w:r>
          </w:p>
          <w:p w14:paraId="386843E5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016736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preclinical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E12CE1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GSI siRNA transfection or DAPT treatment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may reverse drug resistance through impaired drug efflux or EMT, CSCs depletion, and apoptosis</w:t>
            </w:r>
          </w:p>
          <w:p w14:paraId="5483784C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 xml:space="preserve">Notch-1 inhibition/silencing 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by miR-449a and miR-150 upregulation could reverse cisplatin- and paclitaxel- resistance by a pro-apoptotic effect.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AADD2A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[20,37]</w:t>
            </w:r>
          </w:p>
        </w:tc>
      </w:tr>
      <w:tr w:rsidR="009520F5" w:rsidRPr="008E41B5" w14:paraId="31A0BFEC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ADA5E8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YAP-TEAD/Hippo targeting agents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C283BC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YAP/TEAD (inhibitor verteporfin)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447D98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preclinical 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92EFD5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Verteporfin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: decreased proliferation, EMT, invasion in OVCAR3-OVCAR8 cell lines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in vitro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and tumor burden in OVCAR8 xenografts.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07A063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[21,37]</w:t>
            </w:r>
          </w:p>
        </w:tc>
      </w:tr>
      <w:tr w:rsidR="009520F5" w:rsidRPr="008E41B5" w14:paraId="513D4009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EF7EEC" w14:textId="77777777" w:rsidR="009520F5" w:rsidRPr="008E41B5" w:rsidRDefault="009520F5" w:rsidP="00415B56">
            <w:pPr>
              <w:spacing w:before="20"/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Epigenetic inhibitors</w:t>
            </w:r>
          </w:p>
          <w:p w14:paraId="44E51ACC" w14:textId="77777777" w:rsidR="009520F5" w:rsidRPr="008E41B5" w:rsidRDefault="009520F5" w:rsidP="00415B56">
            <w:pPr>
              <w:spacing w:before="20"/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41CFB7" w14:textId="77777777" w:rsidR="009520F5" w:rsidRPr="008E41B5" w:rsidRDefault="009520F5" w:rsidP="00415B56">
            <w:pPr>
              <w:spacing w:before="20"/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DNMT inhibitors: Decitabine </w:t>
            </w:r>
          </w:p>
          <w:p w14:paraId="0BCA5D86" w14:textId="77777777" w:rsidR="009520F5" w:rsidRPr="008E41B5" w:rsidRDefault="009520F5" w:rsidP="00415B56">
            <w:pPr>
              <w:spacing w:before="20"/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Azacytidine (5-Aza-dC)</w:t>
            </w:r>
          </w:p>
          <w:p w14:paraId="6D72A070" w14:textId="77777777" w:rsidR="009520F5" w:rsidRPr="008E41B5" w:rsidRDefault="009520F5" w:rsidP="00415B56">
            <w:pPr>
              <w:spacing w:before="20"/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81E2D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1/2</w:t>
            </w:r>
          </w:p>
          <w:p w14:paraId="4EE76F2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1</w:t>
            </w:r>
          </w:p>
          <w:p w14:paraId="1F9EFA7D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ongoing </w:t>
            </w:r>
          </w:p>
          <w:p w14:paraId="30FC5B6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MITO 29 (NCT 03467178)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4BA85B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  <w:p w14:paraId="5D868366" w14:textId="3EFA363E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5-Aza-dC + carboplatin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efficacy (ORR 13%, PFS 3.7 m, OS 14 m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).</w:t>
            </w:r>
          </w:p>
          <w:p w14:paraId="0C6BBFD1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5-Aza-dC + carboplatin + HDAC inhibitor</w:t>
            </w:r>
            <w:r w:rsidRPr="008E41B5">
              <w:rPr>
                <w:rFonts w:ascii="Palatino Linotype" w:hAnsi="Palatino Linotype"/>
                <w:sz w:val="18"/>
                <w:szCs w:val="18"/>
                <w:u w:val="single"/>
              </w:rPr>
              <w:t xml:space="preserve"> 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(NCT00529022): efficacy (SD 30%), safety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AA6DA6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[7,21]</w:t>
            </w:r>
          </w:p>
        </w:tc>
      </w:tr>
      <w:tr w:rsidR="009520F5" w:rsidRPr="008E41B5" w14:paraId="339C2B1D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5CE8518" w14:textId="68E68270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Hh targeting-agents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D4ABCE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SMO (sonidegib, vismodegib)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CFDF9E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preclinical (sonidegib)</w:t>
            </w:r>
          </w:p>
          <w:p w14:paraId="74C28BCF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2 (vismodegib)</w:t>
            </w:r>
          </w:p>
          <w:p w14:paraId="667A751D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1/1b (sonidegib + paclitaxel)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EBCF8D" w14:textId="30CD9E1A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Sonidegib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: restores paclitaxel sensitivity, by decreasing 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MDR1.</w:t>
            </w:r>
          </w:p>
          <w:p w14:paraId="2B860AEC" w14:textId="6A487999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Vismodegib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negative results as maintenance therapy in EOC after 2</w:t>
            </w:r>
            <w:r w:rsidRPr="008E41B5">
              <w:rPr>
                <w:rFonts w:ascii="Palatino Linotype" w:hAnsi="Palatino Linotype"/>
                <w:sz w:val="18"/>
                <w:szCs w:val="18"/>
                <w:vertAlign w:val="superscript"/>
              </w:rPr>
              <w:t>nd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- 3</w:t>
            </w:r>
            <w:r w:rsidRPr="008E41B5">
              <w:rPr>
                <w:rFonts w:ascii="Palatino Linotype" w:hAnsi="Palatino Linotype"/>
                <w:sz w:val="18"/>
                <w:szCs w:val="18"/>
                <w:vertAlign w:val="superscript"/>
              </w:rPr>
              <w:t>rd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line complete 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remission.</w:t>
            </w:r>
          </w:p>
          <w:p w14:paraId="505DCA24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Sonidegib + paclitaxel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ORR 22%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209FB8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[7,21]</w:t>
            </w:r>
          </w:p>
        </w:tc>
      </w:tr>
      <w:tr w:rsidR="009520F5" w:rsidRPr="008E41B5" w14:paraId="0459D806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2EC623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DNA repair system doublets (HRR proficiency)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73F4F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PARP (veliparib)</w:t>
            </w:r>
          </w:p>
          <w:p w14:paraId="1588C5A7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PARP + CTLA4 (Olaparib + Tremelimumab)</w:t>
            </w:r>
          </w:p>
          <w:p w14:paraId="3B13541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PARP + VEGF (Olaparib + Cediranib or Paclitaxel)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8CACB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1</w:t>
            </w:r>
          </w:p>
          <w:p w14:paraId="02CB16EB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phase 2 </w:t>
            </w:r>
          </w:p>
          <w:p w14:paraId="443AE374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clinical translational 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34A7D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Veliparib: ORR 20%, safety</w:t>
            </w:r>
          </w:p>
          <w:p w14:paraId="5916E32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Olaparib + Tremelimumab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no SAEs</w:t>
            </w:r>
          </w:p>
          <w:p w14:paraId="5E143989" w14:textId="0703F1CF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Olaparib + Cediranib: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ORR 20% (PR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).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  <w:p w14:paraId="48F020B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lastRenderedPageBreak/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Olaparib + Cediranib/Paclitaxel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PFS 5.7 m</w:t>
            </w:r>
          </w:p>
          <w:p w14:paraId="3F243EE3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Olaparib + Cediranib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(translational): PFS (16 w): 50%; OS (1y): 64.8%.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8D5098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lastRenderedPageBreak/>
              <w:t>[6]</w:t>
            </w:r>
          </w:p>
        </w:tc>
      </w:tr>
      <w:tr w:rsidR="009520F5" w:rsidRPr="008E41B5" w14:paraId="76FBE1A8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C11AF3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Cell cycle checkpoint inhibitors </w:t>
            </w:r>
          </w:p>
          <w:p w14:paraId="5C339BAA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E7BC3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  <w:p w14:paraId="4F2CAD06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WEE1 G2 (tyrosine kinase Adavosertib MK-1775)</w:t>
            </w:r>
          </w:p>
          <w:p w14:paraId="7FF6A29B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HSP90 (17- AAG, Ganetespib)</w:t>
            </w:r>
          </w:p>
          <w:p w14:paraId="33C915F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ATR (M6620, perifosine, chlorambucil) </w:t>
            </w:r>
          </w:p>
          <w:p w14:paraId="445B54F4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bromodomain 4 (AZD 5153)</w:t>
            </w:r>
          </w:p>
          <w:p w14:paraId="7ED6FA64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CHK1/2 (praxerbitin)</w:t>
            </w:r>
          </w:p>
          <w:p w14:paraId="1850C1CC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TP53 (ganetespib)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275F23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preclinical</w:t>
            </w:r>
          </w:p>
          <w:p w14:paraId="1A79AC1E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1/2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CCABAD" w14:textId="30C8563F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Adavosertib + Carboplatin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in p53-mutated refractory/resistant EOCs: efficacy (PFS, ORR) and good safety 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profile.</w:t>
            </w:r>
          </w:p>
          <w:p w14:paraId="6EE2EF33" w14:textId="1D947570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in vitro and in vivo studies with p53 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targeting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decreased proliferation, increased apoptosis, heightened cisplatin sensitivity in OCs with dysfunctional p53</w:t>
            </w:r>
          </w:p>
          <w:p w14:paraId="12FF723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</w:rPr>
              <w:t>Ganetespib + Paclitaxel</w:t>
            </w:r>
            <w:r w:rsidRPr="008E41B5">
              <w:rPr>
                <w:rFonts w:ascii="Palatino Linotype" w:hAnsi="Palatino Linotype"/>
                <w:sz w:val="18"/>
                <w:szCs w:val="18"/>
                <w:u w:val="single"/>
              </w:rPr>
              <w:t>: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ORR 20%, AEs 30%, death 10% 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CC5C40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[6,24]</w:t>
            </w:r>
          </w:p>
        </w:tc>
      </w:tr>
      <w:tr w:rsidR="009520F5" w:rsidRPr="008E41B5" w14:paraId="3B75E082" w14:textId="77777777" w:rsidTr="00CD3649">
        <w:trPr>
          <w:trHeight w:val="1183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0CE524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Exosome-targeted therapies 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BF5A56" w14:textId="71805E1B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Exosomes containing oncogenic promoters (inhibitors, </w:t>
            </w:r>
            <w:r w:rsidR="001009BE" w:rsidRPr="008E41B5">
              <w:rPr>
                <w:rFonts w:ascii="Palatino Linotype" w:hAnsi="Palatino Linotype"/>
                <w:sz w:val="18"/>
                <w:szCs w:val="18"/>
              </w:rPr>
              <w:t>e.g.,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GW4869, Dimethyl amiloride) </w:t>
            </w:r>
          </w:p>
          <w:p w14:paraId="04F9814B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Exosomal secretion (protein inhibitors)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E1CADF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i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preclinical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>in vitro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and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>in vivo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30C8CB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Use of exosome-inhibitors: induction of an antitumorigenic niche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93F048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[24]</w:t>
            </w:r>
          </w:p>
        </w:tc>
      </w:tr>
      <w:tr w:rsidR="009520F5" w:rsidRPr="008E41B5" w14:paraId="4D6481E1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32B9DD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HER2-inhibitors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111693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HER2/HER3 (Pertuzumab)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9BBD3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2</w:t>
            </w:r>
          </w:p>
          <w:p w14:paraId="54B719E9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phase 3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69D03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>Gemcitabine +/- Pertuzumab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: PFS 5.3, ORR 13.8%</w:t>
            </w:r>
          </w:p>
          <w:p w14:paraId="6964CBC1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lang w:val="it-IT"/>
              </w:rPr>
              <w:t>Pertuzumab + Topotecan/paclitaxel/gemcitabine</w:t>
            </w:r>
            <w:r w:rsidRPr="008E41B5">
              <w:rPr>
                <w:rFonts w:ascii="Palatino Linotype" w:hAnsi="Palatino Linotype"/>
                <w:sz w:val="18"/>
                <w:szCs w:val="18"/>
                <w:lang w:val="it-IT"/>
              </w:rPr>
              <w:t>: PFS 4.3m.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E990CA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[6]</w:t>
            </w:r>
          </w:p>
        </w:tc>
      </w:tr>
      <w:tr w:rsidR="009520F5" w:rsidRPr="008E41B5" w14:paraId="5A3196BE" w14:textId="77777777" w:rsidTr="00CD3649">
        <w:trPr>
          <w:trHeight w:val="666"/>
        </w:trPr>
        <w:tc>
          <w:tcPr>
            <w:tcW w:w="1636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D76F2E" w14:textId="77777777" w:rsidR="009520F5" w:rsidRPr="008E41B5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Biomarker-driven targeted therapies</w:t>
            </w:r>
          </w:p>
        </w:tc>
        <w:tc>
          <w:tcPr>
            <w:tcW w:w="25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D0F468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a molecular screening study for umbrella trial in platinum-resistant setting</w:t>
            </w:r>
          </w:p>
          <w:p w14:paraId="5D3CF233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biomarkers: HRD and PD-L1 assessed during screening period</w:t>
            </w:r>
          </w:p>
        </w:tc>
        <w:tc>
          <w:tcPr>
            <w:tcW w:w="12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24861E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biomarker-</w:t>
            </w:r>
          </w:p>
          <w:p w14:paraId="4239DC7A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driven umbrella phase 2 trial</w:t>
            </w:r>
          </w:p>
        </w:tc>
        <w:tc>
          <w:tcPr>
            <w:tcW w:w="2904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CC1B46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- efficacy endpoints: ORR 37%, m-PFS 4.76 m, m-OS: 15.51 m</w:t>
            </w:r>
          </w:p>
          <w:p w14:paraId="713F15EF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u w:val="single"/>
              </w:rPr>
              <w:t>In HRD+ subset: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 promising efficacy and safety with Olaparib + cediranib/durvalumab</w:t>
            </w:r>
          </w:p>
          <w:p w14:paraId="1C3952EF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8E41B5">
              <w:rPr>
                <w:rFonts w:ascii="Palatino Linotype" w:hAnsi="Palatino Linotype"/>
                <w:i/>
                <w:sz w:val="18"/>
                <w:szCs w:val="18"/>
                <w:u w:val="single"/>
              </w:rPr>
              <w:t>In HRD- subset</w:t>
            </w:r>
            <w:r w:rsidRPr="008E41B5">
              <w:rPr>
                <w:rFonts w:ascii="Palatino Linotype" w:hAnsi="Palatino Linotype"/>
                <w:sz w:val="18"/>
                <w:szCs w:val="18"/>
              </w:rPr>
              <w:t>: promising efficacy and safety with ICI + standard CT, regardless of PD-L1 status.</w:t>
            </w:r>
          </w:p>
        </w:tc>
        <w:tc>
          <w:tcPr>
            <w:tcW w:w="71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2F5DE2" w14:textId="77777777" w:rsidR="009520F5" w:rsidRPr="008E41B5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8E41B5">
              <w:rPr>
                <w:rFonts w:ascii="Palatino Linotype" w:hAnsi="Palatino Linotype"/>
                <w:sz w:val="18"/>
                <w:szCs w:val="18"/>
              </w:rPr>
              <w:t>[34-35]</w:t>
            </w:r>
          </w:p>
        </w:tc>
      </w:tr>
    </w:tbl>
    <w:p w14:paraId="3B70E997" w14:textId="77777777" w:rsidR="009520F5" w:rsidRPr="008E41B5" w:rsidRDefault="009520F5" w:rsidP="009520F5">
      <w:pPr>
        <w:spacing w:line="360" w:lineRule="auto"/>
        <w:jc w:val="both"/>
        <w:rPr>
          <w:rFonts w:ascii="Palatino Linotype" w:hAnsi="Palatino Linotype"/>
          <w:sz w:val="16"/>
          <w:szCs w:val="16"/>
        </w:rPr>
      </w:pPr>
    </w:p>
    <w:p w14:paraId="0E2955F4" w14:textId="77777777" w:rsidR="00B24457" w:rsidRPr="008E41B5" w:rsidRDefault="00B24457">
      <w:pPr>
        <w:rPr>
          <w:rFonts w:ascii="Palatino Linotype" w:hAnsi="Palatino Linotype"/>
        </w:rPr>
      </w:pPr>
    </w:p>
    <w:sectPr w:rsidR="00B24457" w:rsidRPr="008E41B5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4808E" w14:textId="77777777" w:rsidR="002F6420" w:rsidRDefault="002F6420">
      <w:pPr>
        <w:spacing w:line="240" w:lineRule="auto"/>
      </w:pPr>
      <w:r>
        <w:separator/>
      </w:r>
    </w:p>
  </w:endnote>
  <w:endnote w:type="continuationSeparator" w:id="0">
    <w:p w14:paraId="1BA3AEB1" w14:textId="77777777" w:rsidR="002F6420" w:rsidRDefault="002F6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45AE7" w14:textId="77777777" w:rsidR="00B24457" w:rsidRDefault="00000000">
    <w:pPr>
      <w:widowControl w:val="0"/>
      <w:ind w:right="-35"/>
      <w:jc w:val="both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7DAF8" w14:textId="77777777" w:rsidR="002F6420" w:rsidRDefault="002F6420">
      <w:pPr>
        <w:spacing w:line="240" w:lineRule="auto"/>
      </w:pPr>
      <w:r>
        <w:separator/>
      </w:r>
    </w:p>
  </w:footnote>
  <w:footnote w:type="continuationSeparator" w:id="0">
    <w:p w14:paraId="32DDD0EE" w14:textId="77777777" w:rsidR="002F6420" w:rsidRDefault="002F64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E1547" w14:textId="77777777" w:rsidR="00B24457" w:rsidRDefault="00B244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129E9"/>
    <w:multiLevelType w:val="multilevel"/>
    <w:tmpl w:val="2522E6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407919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0F5"/>
    <w:rsid w:val="001009BE"/>
    <w:rsid w:val="002F6420"/>
    <w:rsid w:val="00394474"/>
    <w:rsid w:val="003C2879"/>
    <w:rsid w:val="00483668"/>
    <w:rsid w:val="0087740D"/>
    <w:rsid w:val="008A468E"/>
    <w:rsid w:val="008E41B5"/>
    <w:rsid w:val="0090197F"/>
    <w:rsid w:val="009411C4"/>
    <w:rsid w:val="009520F5"/>
    <w:rsid w:val="00B24457"/>
    <w:rsid w:val="00B47755"/>
    <w:rsid w:val="00C43C12"/>
    <w:rsid w:val="00CD3649"/>
    <w:rsid w:val="00F81A35"/>
    <w:rsid w:val="00F8208B"/>
    <w:rsid w:val="00F9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15C3A3"/>
  <w15:chartTrackingRefBased/>
  <w15:docId w15:val="{A3EB9A65-6289-A242-A27C-4A257382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20F5"/>
    <w:pPr>
      <w:spacing w:line="276" w:lineRule="auto"/>
    </w:pPr>
    <w:rPr>
      <w:rFonts w:ascii="Arial" w:eastAsia="Arial" w:hAnsi="Arial" w:cs="Arial"/>
      <w:sz w:val="22"/>
      <w:szCs w:val="22"/>
      <w:lang w:val="en-US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simofrex@icloud.com</dc:creator>
  <cp:keywords/>
  <dc:description/>
  <cp:lastModifiedBy>simofrex@icloud.com</cp:lastModifiedBy>
  <cp:revision>2</cp:revision>
  <dcterms:created xsi:type="dcterms:W3CDTF">2024-02-27T19:13:00Z</dcterms:created>
  <dcterms:modified xsi:type="dcterms:W3CDTF">2024-02-27T19:13:00Z</dcterms:modified>
</cp:coreProperties>
</file>