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3C79" w14:textId="402568E3" w:rsidR="009520F5" w:rsidRPr="004446D7" w:rsidRDefault="009520F5" w:rsidP="009520F5">
      <w:pPr>
        <w:rPr>
          <w:rFonts w:ascii="Palatino Linotype" w:hAnsi="Palatino Linotype"/>
          <w:b/>
          <w:sz w:val="20"/>
          <w:szCs w:val="20"/>
        </w:rPr>
      </w:pPr>
      <w:r w:rsidRPr="004446D7">
        <w:rPr>
          <w:rFonts w:ascii="Palatino Linotype" w:hAnsi="Palatino Linotype"/>
          <w:b/>
          <w:sz w:val="20"/>
          <w:szCs w:val="20"/>
        </w:rPr>
        <w:t xml:space="preserve">Supplementary </w:t>
      </w:r>
      <w:r w:rsidR="00737251" w:rsidRPr="004446D7">
        <w:rPr>
          <w:rFonts w:ascii="Palatino Linotype" w:hAnsi="Palatino Linotype"/>
          <w:b/>
          <w:sz w:val="20"/>
          <w:szCs w:val="20"/>
        </w:rPr>
        <w:t>data</w:t>
      </w:r>
    </w:p>
    <w:p w14:paraId="6DBDE491" w14:textId="77777777" w:rsidR="009520F5" w:rsidRPr="004446D7" w:rsidRDefault="009520F5" w:rsidP="009520F5">
      <w:pPr>
        <w:rPr>
          <w:rFonts w:ascii="Palatino Linotype" w:hAnsi="Palatino Linotype"/>
          <w:b/>
          <w:sz w:val="20"/>
          <w:szCs w:val="20"/>
        </w:rPr>
      </w:pPr>
    </w:p>
    <w:p w14:paraId="09D5ED85" w14:textId="77777777" w:rsidR="009520F5" w:rsidRPr="004446D7" w:rsidRDefault="009520F5" w:rsidP="009520F5">
      <w:pPr>
        <w:rPr>
          <w:rFonts w:ascii="Palatino Linotype" w:hAnsi="Palatino Linotype"/>
          <w:b/>
          <w:sz w:val="20"/>
          <w:szCs w:val="20"/>
        </w:rPr>
      </w:pPr>
    </w:p>
    <w:p w14:paraId="6F05CCFF" w14:textId="0805A44C" w:rsidR="009520F5" w:rsidRPr="004446D7" w:rsidRDefault="009520F5" w:rsidP="009520F5">
      <w:pPr>
        <w:rPr>
          <w:rFonts w:ascii="Palatino Linotype" w:hAnsi="Palatino Linotype"/>
          <w:b/>
          <w:sz w:val="20"/>
          <w:szCs w:val="20"/>
        </w:rPr>
      </w:pPr>
      <w:r w:rsidRPr="004446D7">
        <w:rPr>
          <w:rFonts w:ascii="Palatino Linotype" w:hAnsi="Palatino Linotype"/>
          <w:b/>
          <w:sz w:val="20"/>
          <w:szCs w:val="20"/>
        </w:rPr>
        <w:t>Table S3. Signaling pathways involved in drug</w:t>
      </w:r>
      <w:r w:rsidR="00F065E2">
        <w:rPr>
          <w:rFonts w:ascii="Palatino Linotype" w:hAnsi="Palatino Linotype"/>
          <w:b/>
          <w:sz w:val="20"/>
          <w:szCs w:val="20"/>
        </w:rPr>
        <w:t xml:space="preserve"> </w:t>
      </w:r>
      <w:r w:rsidRPr="004446D7">
        <w:rPr>
          <w:rFonts w:ascii="Palatino Linotype" w:hAnsi="Palatino Linotype"/>
          <w:b/>
          <w:sz w:val="20"/>
          <w:szCs w:val="20"/>
        </w:rPr>
        <w:t xml:space="preserve">resistance and potential targets for </w:t>
      </w:r>
      <w:r w:rsidR="005B5DD9" w:rsidRPr="004446D7">
        <w:rPr>
          <w:rFonts w:ascii="Palatino Linotype" w:hAnsi="Palatino Linotype"/>
          <w:b/>
          <w:sz w:val="20"/>
          <w:szCs w:val="20"/>
        </w:rPr>
        <w:t>EOC.</w:t>
      </w:r>
    </w:p>
    <w:p w14:paraId="4C964FFE" w14:textId="77777777" w:rsidR="009520F5" w:rsidRPr="004446D7" w:rsidRDefault="009520F5" w:rsidP="009520F5">
      <w:pPr>
        <w:rPr>
          <w:rFonts w:ascii="Palatino Linotype" w:hAnsi="Palatino Linotype"/>
          <w:b/>
          <w:sz w:val="20"/>
          <w:szCs w:val="20"/>
        </w:rPr>
      </w:pPr>
    </w:p>
    <w:tbl>
      <w:tblPr>
        <w:tblW w:w="8985" w:type="dxa"/>
        <w:tblInd w:w="24" w:type="dxa"/>
        <w:tblBorders>
          <w:top w:val="single" w:sz="4" w:space="0" w:color="F3F3F3"/>
          <w:left w:val="single" w:sz="4" w:space="0" w:color="F3F3F3"/>
          <w:bottom w:val="single" w:sz="4" w:space="0" w:color="F3F3F3"/>
          <w:right w:val="single" w:sz="4" w:space="0" w:color="F3F3F3"/>
          <w:insideH w:val="single" w:sz="4" w:space="0" w:color="F3F3F3"/>
          <w:insideV w:val="single" w:sz="4" w:space="0" w:color="F3F3F3"/>
        </w:tblBorders>
        <w:tblLayout w:type="fixed"/>
        <w:tblLook w:val="0600" w:firstRow="0" w:lastRow="0" w:firstColumn="0" w:lastColumn="0" w:noHBand="1" w:noVBand="1"/>
      </w:tblPr>
      <w:tblGrid>
        <w:gridCol w:w="1621"/>
        <w:gridCol w:w="2895"/>
        <w:gridCol w:w="2525"/>
        <w:gridCol w:w="999"/>
        <w:gridCol w:w="945"/>
      </w:tblGrid>
      <w:tr w:rsidR="009520F5" w:rsidRPr="004446D7" w14:paraId="3716671F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8798C4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Aberrant signaling </w:t>
            </w:r>
          </w:p>
          <w:p w14:paraId="15FC7AB6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pathway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FC53FD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Dysregulation and significance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2EC969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Reversion mechanisms and (pre)clinical effects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F172F9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Viable targets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D48C48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Ref.</w:t>
            </w:r>
          </w:p>
        </w:tc>
      </w:tr>
      <w:tr w:rsidR="009520F5" w:rsidRPr="004446D7" w14:paraId="33A8DE73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7ED63E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proofErr w:type="spellStart"/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Wnt</w:t>
            </w:r>
            <w:proofErr w:type="spellEnd"/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/β-catenin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EDFB6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Normally: development of ovarian, fallopian tube stem cells</w:t>
            </w:r>
          </w:p>
          <w:p w14:paraId="29D1F057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Dysregulation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promotes stemness, chemoresistance and poor OS</w:t>
            </w:r>
          </w:p>
          <w:p w14:paraId="75FDF83E" w14:textId="565AE695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Differences by </w:t>
            </w:r>
            <w:proofErr w:type="spellStart"/>
            <w:r w:rsidR="00F065E2">
              <w:rPr>
                <w:rFonts w:ascii="Palatino Linotype" w:hAnsi="Palatino Linotype"/>
                <w:sz w:val="18"/>
                <w:szCs w:val="18"/>
              </w:rPr>
              <w:t>hi</w:t>
            </w:r>
            <w:r w:rsidR="00F065E2" w:rsidRPr="004446D7">
              <w:rPr>
                <w:rFonts w:ascii="Palatino Linotype" w:hAnsi="Palatino Linotype"/>
                <w:sz w:val="18"/>
                <w:szCs w:val="18"/>
              </w:rPr>
              <w:t>stotype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(rare in HGS)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295D08" w14:textId="3AB6EE3A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preclinical use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of inhibitors, </w:t>
            </w:r>
            <w:r w:rsidR="005B5DD9" w:rsidRPr="004446D7">
              <w:rPr>
                <w:rFonts w:ascii="Palatino Linotype" w:hAnsi="Palatino Linotype"/>
                <w:sz w:val="18"/>
                <w:szCs w:val="18"/>
              </w:rPr>
              <w:t>epigenetic inactivators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, patient studies, cultures, animal models</w:t>
            </w:r>
          </w:p>
          <w:p w14:paraId="6CE2D525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reversion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of platinum-resistance in OC cell lines, mouse models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7D318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some pathway effectors 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0A13DE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[7,21] </w:t>
            </w:r>
          </w:p>
        </w:tc>
      </w:tr>
      <w:tr w:rsidR="009520F5" w:rsidRPr="004446D7" w14:paraId="6CA74D21" w14:textId="77777777" w:rsidTr="00415B56">
        <w:trPr>
          <w:trHeight w:val="900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6AC175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MAPK/ERK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8CA3F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MAPK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hyperactivation promotes proliferation, survival, metastasis, and chemoresistance</w:t>
            </w:r>
          </w:p>
          <w:p w14:paraId="107BC567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KRAS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: hyper-activated proliferative phenotype in LGSOC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50C580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Endothelin-1 and IL-8-induced MAPK activation by EGFR/RAS signaling in SKOV-3 cells</w:t>
            </w:r>
          </w:p>
          <w:p w14:paraId="70B5AB78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chemo-</w:t>
            </w:r>
            <w:proofErr w:type="spellStart"/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resensitization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by reversion of inhibition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80110F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MAPK effectors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1B26AB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[24] </w:t>
            </w:r>
          </w:p>
        </w:tc>
      </w:tr>
      <w:tr w:rsidR="009520F5" w:rsidRPr="004446D7" w14:paraId="62201345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46D11D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PI3K/PTEN/AKT/</w:t>
            </w:r>
          </w:p>
          <w:p w14:paraId="5CD1358D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mTOR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005144" w14:textId="40CF285C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Normally: cell growth, survival, motility, </w:t>
            </w:r>
            <w:r w:rsidR="005B5DD9" w:rsidRPr="004446D7">
              <w:rPr>
                <w:rFonts w:ascii="Palatino Linotype" w:hAnsi="Palatino Linotype"/>
                <w:sz w:val="18"/>
                <w:szCs w:val="18"/>
              </w:rPr>
              <w:t>angiogenesis.</w:t>
            </w:r>
          </w:p>
          <w:p w14:paraId="643A7EE2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PI3K/AKT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hyperactivation promotes CSCs enrichment, maintenance, drug-resistance (cisplatin, paclitaxel)</w:t>
            </w:r>
          </w:p>
          <w:p w14:paraId="3322947F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hyperactivation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in 70% EOCs, pathogenesis of type I-II EOCs</w:t>
            </w:r>
          </w:p>
          <w:p w14:paraId="50A7914B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hyperexpression of activated AKT (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pAKT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>):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poor survival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rate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7DDD30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preclinical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inhibitors, siRNA- AKT1 knockdown, AKT downregulation and PPM1D loss in cisplatin-resistant A2780 cells, and spheroids from SKOV3, HO8910 cell lines</w:t>
            </w:r>
          </w:p>
          <w:p w14:paraId="429B4657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loss of CSC markers and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drug </w:t>
            </w:r>
            <w:proofErr w:type="spellStart"/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resensitization</w:t>
            </w:r>
            <w:proofErr w:type="spellEnd"/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(cisplatin, paclitaxel)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E65185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PI3K/PTEN/AKT effectors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D233F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[7,21,36]</w:t>
            </w:r>
          </w:p>
        </w:tc>
      </w:tr>
      <w:tr w:rsidR="009520F5" w:rsidRPr="004446D7" w14:paraId="3C370942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90332F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Notch</w:t>
            </w:r>
          </w:p>
          <w:p w14:paraId="4E0841E1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color w:val="FFFFFF"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D42A3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  <w:p w14:paraId="3F64FCF0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Normally: CSCs maintenance</w:t>
            </w:r>
          </w:p>
          <w:p w14:paraId="2048656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TCGA data: Notch 1-3-4/Jagged and downstream target genes (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NICD1-3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)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hyperexpression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promotes CSCs maintenance, EMT, metastasis, angiogenesis, drug-resistance </w:t>
            </w:r>
          </w:p>
          <w:p w14:paraId="146798B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hyperactivation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in various EOCs</w:t>
            </w:r>
          </w:p>
          <w:p w14:paraId="655B161F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poor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clinical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outcomes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(Notch-3/ALDH1, Notch-1/NICD1)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6C9B72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preclinical </w:t>
            </w:r>
            <w:r w:rsidRPr="004446D7">
              <w:rPr>
                <w:rFonts w:ascii="Palatino Linotype" w:hAnsi="Palatino Linotype"/>
                <w:i/>
                <w:sz w:val="18"/>
                <w:szCs w:val="18"/>
              </w:rPr>
              <w:t>in vitro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and </w:t>
            </w:r>
            <w:r w:rsidRPr="004446D7">
              <w:rPr>
                <w:rFonts w:ascii="Palatino Linotype" w:hAnsi="Palatino Linotype"/>
                <w:i/>
                <w:sz w:val="18"/>
                <w:szCs w:val="18"/>
              </w:rPr>
              <w:t xml:space="preserve">in vivo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inhibition of the Notch pathway, PDX models, suppression of Dll4 gene by Dll4-siRNA-conjugated nanoparticles</w:t>
            </w:r>
          </w:p>
          <w:p w14:paraId="4B944BBD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suppressed tumor growth, angiogenesis, drug-resistance reversion in EOC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2A7E16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Notch 1-3-4 Jagged 1-2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33BF19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[7,21]</w:t>
            </w:r>
          </w:p>
        </w:tc>
      </w:tr>
      <w:tr w:rsidR="009520F5" w:rsidRPr="004446D7" w14:paraId="0F4DE95A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6B0763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proofErr w:type="spellStart"/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lastRenderedPageBreak/>
              <w:t>Hh</w:t>
            </w:r>
            <w:proofErr w:type="spellEnd"/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0735B5" w14:textId="6A8C9F0D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Normally: controls tissue polarity and stem cell </w:t>
            </w:r>
            <w:r w:rsidR="005B5DD9" w:rsidRPr="004446D7">
              <w:rPr>
                <w:rFonts w:ascii="Palatino Linotype" w:hAnsi="Palatino Linotype"/>
                <w:sz w:val="18"/>
                <w:szCs w:val="18"/>
              </w:rPr>
              <w:t>maintenance.</w:t>
            </w:r>
          </w:p>
          <w:p w14:paraId="76A44B4D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constitutive activation of Shh ligands or downstream effectors mutations (Patched, SMO, SUFU) or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Gli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transcription factors promote stemness, drug-resistance</w:t>
            </w:r>
          </w:p>
          <w:p w14:paraId="17E9AE3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hyperactivation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in 47% EOCs</w:t>
            </w:r>
          </w:p>
          <w:p w14:paraId="7ACCC3A6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poor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clinical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outcomes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(PTCH, Gli1)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7AB171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siRNA-mediated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Gli1 knockdown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in OC cell lines (SKOV</w:t>
            </w:r>
            <w:proofErr w:type="gramStart"/>
            <w:r w:rsidRPr="004446D7">
              <w:rPr>
                <w:rFonts w:ascii="Palatino Linotype" w:hAnsi="Palatino Linotype"/>
                <w:sz w:val="18"/>
                <w:szCs w:val="18"/>
              </w:rPr>
              <w:t>3,OVCAR</w:t>
            </w:r>
            <w:proofErr w:type="gramEnd"/>
            <w:r w:rsidRPr="004446D7">
              <w:rPr>
                <w:rFonts w:ascii="Palatino Linotype" w:hAnsi="Palatino Linotype"/>
                <w:sz w:val="18"/>
                <w:szCs w:val="18"/>
              </w:rPr>
              <w:t>3, OVCA433)</w:t>
            </w:r>
          </w:p>
          <w:p w14:paraId="29F5F286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suppression of proliferation;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reversion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of cisplatin sensitivity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65DA8A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Hh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effectors (PTCH,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Gli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7DD47E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[7,21]</w:t>
            </w:r>
          </w:p>
        </w:tc>
      </w:tr>
      <w:tr w:rsidR="009520F5" w:rsidRPr="004446D7" w14:paraId="3C950124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FDD3AC" w14:textId="77777777" w:rsidR="009520F5" w:rsidRPr="004446D7" w:rsidRDefault="009520F5" w:rsidP="00415B56">
            <w:pPr>
              <w:spacing w:before="20"/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JAK/STAT 3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AE4D3E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STAT3 hyperphosphorylation linked to CD24 CSC marker and promoter of EOC pathogenesis and </w:t>
            </w:r>
            <w:proofErr w:type="spellStart"/>
            <w:proofErr w:type="gramStart"/>
            <w:r w:rsidRPr="004446D7">
              <w:rPr>
                <w:rFonts w:ascii="Palatino Linotype" w:hAnsi="Palatino Linotype"/>
                <w:sz w:val="18"/>
                <w:szCs w:val="18"/>
              </w:rPr>
              <w:t>metastasization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>;</w:t>
            </w:r>
            <w:proofErr w:type="gramEnd"/>
          </w:p>
          <w:p w14:paraId="57D6229B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highly common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hyperactivation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(85% EOCs, 63% in HGSOC)</w:t>
            </w:r>
          </w:p>
          <w:p w14:paraId="4CFA8167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phospho-STAT3 (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pSTATe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) nuclear expression: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poor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survival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rates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43383D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use of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JAK2 inhibitor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TG101209 alone in CD24+ cells and combined with cisplatin in in vivo mouse model; use of JAK2- inhibitor CYT38 plus paclitaxel in OC cell lines isolated from patient ascites  </w:t>
            </w:r>
          </w:p>
          <w:p w14:paraId="4AD1649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reduced metastasis rate and better mice survival, higher cytotoxicity,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drug resistant reversion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and higher tumor shrinkage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0D967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JAK/STAT pathway effectors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51BB8E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[7,21,24]</w:t>
            </w:r>
          </w:p>
        </w:tc>
      </w:tr>
      <w:tr w:rsidR="009520F5" w:rsidRPr="004446D7" w14:paraId="54866D89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5991A7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NF-KB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3589C2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active promoter of CSCs maintenance, EOC invasiveness,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metastasization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via canonical (NEMO-dep.) and non-canonical (NEMO-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indep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>.) manner</w:t>
            </w:r>
          </w:p>
          <w:p w14:paraId="7EF2CC5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CD44+/MyD88+ CSCs, by TLR4/MyD88/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NFκB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cascade, boosts proinflammatory TME and aggressive EOC phenotype</w:t>
            </w:r>
          </w:p>
          <w:p w14:paraId="4396F369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ReIB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overexpression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in CSCs promotes carboplatin resistance</w:t>
            </w:r>
          </w:p>
          <w:p w14:paraId="1104E51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poor survival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rates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D4F341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in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preclinical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assays, use of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NFκB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inhibitor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Eriocalyxin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B;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ReIB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knock down </w:t>
            </w:r>
          </w:p>
          <w:p w14:paraId="1B84C6ED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CSCs </w:t>
            </w:r>
            <w:proofErr w:type="spellStart"/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resensitization</w:t>
            </w:r>
            <w:proofErr w:type="spellEnd"/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to TNFα- and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FasL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-induced cell death;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chemosensitization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(carbo/cisplatin, paclitaxel sensitivity)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D0426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NF-KB mediators 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90F84A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[7,21]</w:t>
            </w:r>
          </w:p>
          <w:p w14:paraId="6B91D432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520F5" w:rsidRPr="004446D7" w14:paraId="37DA871D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2505D9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YAP-TEAD/Hippo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5E30F2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Normally: controls organ size</w:t>
            </w:r>
          </w:p>
          <w:p w14:paraId="478888F5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YAP/TEAD complex involved in CSCs stemness, pluripotency, progression, chemoresistance</w:t>
            </w:r>
          </w:p>
          <w:p w14:paraId="5BFAFF10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TEAD1/3/4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overexpression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fuels undifferentiated CSCs devoid of stem-like markers</w:t>
            </w:r>
          </w:p>
          <w:p w14:paraId="4717DD68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YAP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crosstalk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with other pathways (EGFR, RAS/MAPK, FOS/JUN, PI3K) for CSCs maintenance</w:t>
            </w:r>
          </w:p>
          <w:p w14:paraId="7995BB6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poor survival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rates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42D8A7" w14:textId="10D455A8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 YAP knock down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in A2780 OC cells; use of YAP </w:t>
            </w:r>
            <w:r w:rsidR="005B5DD9" w:rsidRPr="004446D7">
              <w:rPr>
                <w:rFonts w:ascii="Palatino Linotype" w:hAnsi="Palatino Linotype"/>
                <w:sz w:val="18"/>
                <w:szCs w:val="18"/>
              </w:rPr>
              <w:t>inhibitors in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OVCAR3 and OVCAR8 cell lines in vitro and OVCAR8 xenografts</w:t>
            </w:r>
          </w:p>
          <w:p w14:paraId="1F7E32BF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suppressed growth, migration, invasion, drug-resistance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reversion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; reduced tumor burden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6D861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YAP/TEAD complex </w:t>
            </w: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BD9A6F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[7,21,37]</w:t>
            </w:r>
          </w:p>
        </w:tc>
      </w:tr>
      <w:tr w:rsidR="009520F5" w:rsidRPr="004446D7" w14:paraId="0698234A" w14:textId="77777777" w:rsidTr="00415B56">
        <w:trPr>
          <w:trHeight w:val="666"/>
        </w:trPr>
        <w:tc>
          <w:tcPr>
            <w:tcW w:w="162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7E47DD" w14:textId="77777777" w:rsidR="009520F5" w:rsidRPr="004446D7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lastRenderedPageBreak/>
              <w:t>Epigenetic changes</w:t>
            </w:r>
          </w:p>
        </w:tc>
        <w:tc>
          <w:tcPr>
            <w:tcW w:w="289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97CB70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Histone modifications: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chromatin bivalent state (H3K27me3 chromatin- permissive; H3K4me3 chromatin- repressive role)</w:t>
            </w:r>
          </w:p>
          <w:p w14:paraId="226485F2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H3K27me3 and enhancer of </w:t>
            </w:r>
            <w:proofErr w:type="spellStart"/>
            <w:r w:rsidRPr="004446D7">
              <w:rPr>
                <w:rFonts w:ascii="Palatino Linotype" w:hAnsi="Palatino Linotype"/>
                <w:sz w:val="18"/>
                <w:szCs w:val="18"/>
              </w:rPr>
              <w:t>zeste</w:t>
            </w:r>
            <w:proofErr w:type="spellEnd"/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homologue 2 (EZH2) - mediated transcriptional silencing is typical in platinum-resistant EOC</w:t>
            </w:r>
          </w:p>
          <w:p w14:paraId="05734ADE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histone deacetylation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(HDAC): SIRT1 as a player of chemoresistance in HGSOC by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crosstalk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 with BRCA1, FOXO1 and EGFR</w:t>
            </w:r>
          </w:p>
          <w:p w14:paraId="330BD1BC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>DNA methylation changes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: promoter silencing and drug-resistance. </w:t>
            </w:r>
          </w:p>
        </w:tc>
        <w:tc>
          <w:tcPr>
            <w:tcW w:w="252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79DDC7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b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In cisplatin-resistant EOC cells, </w:t>
            </w:r>
            <w:r w:rsidRPr="004446D7">
              <w:rPr>
                <w:rFonts w:ascii="Palatino Linotype" w:hAnsi="Palatino Linotype"/>
                <w:b/>
                <w:sz w:val="18"/>
                <w:szCs w:val="18"/>
              </w:rPr>
              <w:t xml:space="preserve">reversion (demethylation) </w:t>
            </w:r>
            <w:r w:rsidRPr="004446D7">
              <w:rPr>
                <w:rFonts w:ascii="Palatino Linotype" w:hAnsi="Palatino Linotype"/>
                <w:sz w:val="18"/>
                <w:szCs w:val="18"/>
              </w:rPr>
              <w:t>of the DNA methylation changes in mismatch repair (MMR) genes (MLH1, MSH2) is likely to re-sensitize OC cells to following treatment</w:t>
            </w:r>
          </w:p>
        </w:tc>
        <w:tc>
          <w:tcPr>
            <w:tcW w:w="999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3E1C3F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- DNA methyl-</w:t>
            </w:r>
          </w:p>
          <w:p w14:paraId="6ECE6783" w14:textId="7C46E223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transferases (DNMT</w:t>
            </w:r>
            <w:r w:rsidR="005B5DD9" w:rsidRPr="004446D7">
              <w:rPr>
                <w:rFonts w:ascii="Palatino Linotype" w:hAnsi="Palatino Linotype"/>
                <w:sz w:val="18"/>
                <w:szCs w:val="18"/>
              </w:rPr>
              <w:t>).</w:t>
            </w:r>
          </w:p>
          <w:p w14:paraId="7F66097E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  <w:p w14:paraId="08871F30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 xml:space="preserve">- Histone deacetylase (SIRT1) </w:t>
            </w:r>
          </w:p>
          <w:p w14:paraId="42C42404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A69467" w14:textId="77777777" w:rsidR="009520F5" w:rsidRPr="004446D7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4446D7">
              <w:rPr>
                <w:rFonts w:ascii="Palatino Linotype" w:hAnsi="Palatino Linotype"/>
                <w:sz w:val="18"/>
                <w:szCs w:val="18"/>
              </w:rPr>
              <w:t>[6,15,21]</w:t>
            </w:r>
          </w:p>
        </w:tc>
      </w:tr>
    </w:tbl>
    <w:p w14:paraId="45230B5D" w14:textId="77777777" w:rsidR="009520F5" w:rsidRPr="004446D7" w:rsidRDefault="009520F5" w:rsidP="009520F5">
      <w:pPr>
        <w:rPr>
          <w:rFonts w:ascii="Palatino Linotype" w:hAnsi="Palatino Linotype"/>
          <w:b/>
          <w:sz w:val="20"/>
          <w:szCs w:val="20"/>
        </w:rPr>
      </w:pPr>
    </w:p>
    <w:sectPr w:rsidR="009520F5" w:rsidRPr="004446D7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EC341" w14:textId="77777777" w:rsidR="006B3416" w:rsidRDefault="006B3416">
      <w:pPr>
        <w:spacing w:line="240" w:lineRule="auto"/>
      </w:pPr>
      <w:r>
        <w:separator/>
      </w:r>
    </w:p>
  </w:endnote>
  <w:endnote w:type="continuationSeparator" w:id="0">
    <w:p w14:paraId="5EEEA2EB" w14:textId="77777777" w:rsidR="006B3416" w:rsidRDefault="006B3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45AE7" w14:textId="77777777" w:rsidR="00B24457" w:rsidRDefault="00000000">
    <w:pPr>
      <w:widowControl w:val="0"/>
      <w:ind w:right="-35"/>
      <w:jc w:val="both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20852" w14:textId="77777777" w:rsidR="006B3416" w:rsidRDefault="006B3416">
      <w:pPr>
        <w:spacing w:line="240" w:lineRule="auto"/>
      </w:pPr>
      <w:r>
        <w:separator/>
      </w:r>
    </w:p>
  </w:footnote>
  <w:footnote w:type="continuationSeparator" w:id="0">
    <w:p w14:paraId="5A360B36" w14:textId="77777777" w:rsidR="006B3416" w:rsidRDefault="006B34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1547" w14:textId="77777777" w:rsidR="00B24457" w:rsidRDefault="00B244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29E9"/>
    <w:multiLevelType w:val="multilevel"/>
    <w:tmpl w:val="2522E6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07919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0F5"/>
    <w:rsid w:val="00394474"/>
    <w:rsid w:val="003D55F5"/>
    <w:rsid w:val="004446D7"/>
    <w:rsid w:val="005B5DD9"/>
    <w:rsid w:val="006367DC"/>
    <w:rsid w:val="006B3416"/>
    <w:rsid w:val="00737251"/>
    <w:rsid w:val="0087740D"/>
    <w:rsid w:val="008A468E"/>
    <w:rsid w:val="009520F5"/>
    <w:rsid w:val="00A76BB6"/>
    <w:rsid w:val="00B24457"/>
    <w:rsid w:val="00C43C12"/>
    <w:rsid w:val="00CD345E"/>
    <w:rsid w:val="00F065E2"/>
    <w:rsid w:val="00FC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15C3A3"/>
  <w15:chartTrackingRefBased/>
  <w15:docId w15:val="{A3EB9A65-6289-A242-A27C-4A257382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20F5"/>
    <w:pPr>
      <w:spacing w:line="276" w:lineRule="auto"/>
    </w:pPr>
    <w:rPr>
      <w:rFonts w:ascii="Arial" w:eastAsia="Arial" w:hAnsi="Arial" w:cs="Arial"/>
      <w:sz w:val="22"/>
      <w:szCs w:val="22"/>
      <w:lang w:val="en-US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742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simofrex@icloud.com</dc:creator>
  <cp:keywords/>
  <dc:description/>
  <cp:lastModifiedBy>simofrex@icloud.com</cp:lastModifiedBy>
  <cp:revision>2</cp:revision>
  <dcterms:created xsi:type="dcterms:W3CDTF">2024-02-27T19:13:00Z</dcterms:created>
  <dcterms:modified xsi:type="dcterms:W3CDTF">2024-02-27T19:13:00Z</dcterms:modified>
</cp:coreProperties>
</file>