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153C79" w14:textId="6EDC4DDB" w:rsidR="009520F5" w:rsidRPr="009271DB" w:rsidRDefault="009520F5" w:rsidP="009271DB">
      <w:pPr>
        <w:pStyle w:val="MDPI37itemize"/>
        <w:numPr>
          <w:ilvl w:val="0"/>
          <w:numId w:val="0"/>
        </w:numPr>
        <w:ind w:left="425" w:hanging="425"/>
        <w:rPr>
          <w:b/>
          <w:bCs/>
          <w:snapToGrid w:val="0"/>
        </w:rPr>
      </w:pPr>
      <w:r w:rsidRPr="009271DB">
        <w:rPr>
          <w:b/>
          <w:bCs/>
          <w:snapToGrid w:val="0"/>
        </w:rPr>
        <w:t xml:space="preserve">Supplementary </w:t>
      </w:r>
      <w:r w:rsidR="002A4712" w:rsidRPr="009271DB">
        <w:rPr>
          <w:b/>
          <w:bCs/>
          <w:snapToGrid w:val="0"/>
        </w:rPr>
        <w:t>data</w:t>
      </w:r>
    </w:p>
    <w:p w14:paraId="6DBDE491" w14:textId="77777777" w:rsidR="009520F5" w:rsidRPr="009271DB" w:rsidRDefault="009520F5" w:rsidP="009271DB">
      <w:pPr>
        <w:pStyle w:val="MDPI37itemize"/>
        <w:numPr>
          <w:ilvl w:val="0"/>
          <w:numId w:val="0"/>
        </w:numPr>
        <w:ind w:left="425" w:hanging="425"/>
        <w:rPr>
          <w:b/>
          <w:bCs/>
          <w:snapToGrid w:val="0"/>
        </w:rPr>
      </w:pPr>
    </w:p>
    <w:p w14:paraId="28F67D32" w14:textId="2950B597" w:rsidR="009520F5" w:rsidRPr="009271DB" w:rsidRDefault="009520F5" w:rsidP="009271DB">
      <w:pPr>
        <w:pStyle w:val="MDPI37itemize"/>
        <w:numPr>
          <w:ilvl w:val="0"/>
          <w:numId w:val="0"/>
        </w:numPr>
        <w:ind w:left="425" w:hanging="425"/>
        <w:rPr>
          <w:b/>
          <w:bCs/>
          <w:snapToGrid w:val="0"/>
        </w:rPr>
      </w:pPr>
      <w:r w:rsidRPr="009271DB">
        <w:rPr>
          <w:b/>
          <w:bCs/>
          <w:snapToGrid w:val="0"/>
        </w:rPr>
        <w:t xml:space="preserve">Table S1. Current treatment regimens in </w:t>
      </w:r>
      <w:r w:rsidR="00F05EEC" w:rsidRPr="009271DB">
        <w:rPr>
          <w:b/>
          <w:bCs/>
          <w:snapToGrid w:val="0"/>
        </w:rPr>
        <w:t>platinum resistant</w:t>
      </w:r>
      <w:r w:rsidRPr="009271DB">
        <w:rPr>
          <w:b/>
          <w:bCs/>
          <w:snapToGrid w:val="0"/>
        </w:rPr>
        <w:t xml:space="preserve"> EOC</w:t>
      </w:r>
    </w:p>
    <w:p w14:paraId="132DBE02" w14:textId="77777777" w:rsidR="009520F5" w:rsidRDefault="009520F5" w:rsidP="009520F5">
      <w:pPr>
        <w:rPr>
          <w:b/>
          <w:sz w:val="20"/>
          <w:szCs w:val="20"/>
        </w:rPr>
      </w:pPr>
    </w:p>
    <w:tbl>
      <w:tblPr>
        <w:tblW w:w="8985" w:type="dxa"/>
        <w:tblInd w:w="24" w:type="dxa"/>
        <w:tblBorders>
          <w:top w:val="single" w:sz="4" w:space="0" w:color="F3F3F3"/>
          <w:left w:val="single" w:sz="4" w:space="0" w:color="F3F3F3"/>
          <w:bottom w:val="single" w:sz="4" w:space="0" w:color="F3F3F3"/>
          <w:right w:val="single" w:sz="4" w:space="0" w:color="F3F3F3"/>
          <w:insideH w:val="single" w:sz="4" w:space="0" w:color="F3F3F3"/>
          <w:insideV w:val="single" w:sz="4" w:space="0" w:color="F3F3F3"/>
        </w:tblBorders>
        <w:tblLayout w:type="fixed"/>
        <w:tblLook w:val="0600" w:firstRow="0" w:lastRow="0" w:firstColumn="0" w:lastColumn="0" w:noHBand="1" w:noVBand="1"/>
      </w:tblPr>
      <w:tblGrid>
        <w:gridCol w:w="1575"/>
        <w:gridCol w:w="6345"/>
        <w:gridCol w:w="1065"/>
      </w:tblGrid>
      <w:tr w:rsidR="009520F5" w14:paraId="10C14083" w14:textId="77777777" w:rsidTr="00415B56">
        <w:trPr>
          <w:trHeight w:val="540"/>
        </w:trPr>
        <w:tc>
          <w:tcPr>
            <w:tcW w:w="7920" w:type="dxa"/>
            <w:gridSpan w:val="2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CDF1A35" w14:textId="761436C3" w:rsidR="009520F5" w:rsidRPr="009271DB" w:rsidRDefault="009520F5" w:rsidP="00415B56">
            <w:pPr>
              <w:spacing w:before="20" w:line="256" w:lineRule="auto"/>
              <w:ind w:left="60" w:right="40"/>
              <w:jc w:val="center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       PLATINUM</w:t>
            </w:r>
            <w:r w:rsidR="006E3BCF"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</w:t>
            </w: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RESISTANT EOC</w:t>
            </w:r>
          </w:p>
        </w:tc>
        <w:tc>
          <w:tcPr>
            <w:tcW w:w="10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5FD4808" w14:textId="77777777" w:rsidR="009520F5" w:rsidRPr="009271DB" w:rsidRDefault="009520F5" w:rsidP="00415B56">
            <w:pPr>
              <w:spacing w:line="240" w:lineRule="auto"/>
              <w:ind w:right="40"/>
              <w:jc w:val="center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Ref.</w:t>
            </w:r>
          </w:p>
        </w:tc>
      </w:tr>
      <w:tr w:rsidR="009520F5" w14:paraId="60813739" w14:textId="77777777" w:rsidTr="00415B56">
        <w:trPr>
          <w:trHeight w:val="666"/>
        </w:trPr>
        <w:tc>
          <w:tcPr>
            <w:tcW w:w="15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0D4A0C1" w14:textId="10604F17" w:rsidR="009520F5" w:rsidRPr="009271DB" w:rsidRDefault="009520F5" w:rsidP="00415B56">
            <w:pPr>
              <w:spacing w:before="20" w:line="256" w:lineRule="auto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Cytotoxic</w:t>
            </w:r>
            <w:r w:rsidR="002A4712"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drug</w:t>
            </w: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s (preferred)</w:t>
            </w:r>
          </w:p>
        </w:tc>
        <w:tc>
          <w:tcPr>
            <w:tcW w:w="63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27EAAC" w14:textId="77777777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Liposomal doxorubicin (PLD), gemcitabine, topotecan, etoposide, paclitaxel, cyclophosphamide, melphalan, vinorelbine, oxaliplatin:</w:t>
            </w:r>
          </w:p>
          <w:p w14:paraId="0E62AB2B" w14:textId="77777777" w:rsidR="009520F5" w:rsidRPr="009271DB" w:rsidRDefault="009520F5" w:rsidP="00415B56">
            <w:pPr>
              <w:numPr>
                <w:ilvl w:val="0"/>
                <w:numId w:val="1"/>
              </w:num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 xml:space="preserve">overall response rate (RR): 10-15%, progression-free survival (PFS): 3-4 m, </w:t>
            </w:r>
          </w:p>
          <w:p w14:paraId="7A4D4C8F" w14:textId="77777777" w:rsidR="009520F5" w:rsidRPr="009271DB" w:rsidRDefault="009520F5" w:rsidP="00415B56">
            <w:pPr>
              <w:numPr>
                <w:ilvl w:val="0"/>
                <w:numId w:val="1"/>
              </w:num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overall survival (OS): 1 year</w:t>
            </w:r>
          </w:p>
        </w:tc>
        <w:tc>
          <w:tcPr>
            <w:tcW w:w="10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27F1625" w14:textId="77777777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[2-3]</w:t>
            </w:r>
          </w:p>
        </w:tc>
      </w:tr>
      <w:tr w:rsidR="009520F5" w14:paraId="6CC6E57A" w14:textId="77777777" w:rsidTr="00415B56">
        <w:trPr>
          <w:trHeight w:val="780"/>
        </w:trPr>
        <w:tc>
          <w:tcPr>
            <w:tcW w:w="15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8305EDF" w14:textId="77777777" w:rsidR="009520F5" w:rsidRPr="009271DB" w:rsidRDefault="009520F5" w:rsidP="00415B56">
            <w:pPr>
              <w:spacing w:before="20" w:line="256" w:lineRule="auto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Targeted therapies</w:t>
            </w:r>
          </w:p>
          <w:p w14:paraId="52B487B3" w14:textId="77777777" w:rsidR="009520F5" w:rsidRPr="009271DB" w:rsidRDefault="009520F5" w:rsidP="00415B56">
            <w:pPr>
              <w:spacing w:before="20" w:line="256" w:lineRule="auto"/>
              <w:ind w:left="60"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(preferred)</w:t>
            </w:r>
          </w:p>
        </w:tc>
        <w:tc>
          <w:tcPr>
            <w:tcW w:w="63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2C6AD13" w14:textId="51A3713B" w:rsidR="009520F5" w:rsidRPr="009271DB" w:rsidRDefault="00F05EEC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Single agent</w:t>
            </w:r>
            <w:r w:rsidR="009520F5" w:rsidRPr="009271DB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r w:rsidR="0056018D" w:rsidRPr="009271DB">
              <w:rPr>
                <w:rFonts w:ascii="Palatino Linotype" w:hAnsi="Palatino Linotype"/>
                <w:sz w:val="18"/>
                <w:szCs w:val="18"/>
              </w:rPr>
              <w:t>Bevacizumab</w:t>
            </w:r>
          </w:p>
          <w:p w14:paraId="4AEAA3F1" w14:textId="700BC5BF" w:rsidR="009520F5" w:rsidRPr="009271DB" w:rsidRDefault="00000000" w:rsidP="00415B56">
            <w:pPr>
              <w:ind w:right="40"/>
              <w:rPr>
                <w:rFonts w:ascii="Palatino Linotype" w:hAnsi="Palatino Linotype"/>
                <w:i/>
                <w:sz w:val="18"/>
                <w:szCs w:val="18"/>
              </w:rPr>
            </w:pPr>
            <w:sdt>
              <w:sdtPr>
                <w:rPr>
                  <w:rFonts w:ascii="Palatino Linotype" w:hAnsi="Palatino Linotype"/>
                  <w:sz w:val="18"/>
                  <w:szCs w:val="18"/>
                </w:rPr>
                <w:tag w:val="goog_rdk_0"/>
                <w:id w:val="1992910119"/>
              </w:sdtPr>
              <w:sdtContent>
                <w:r w:rsidR="009520F5" w:rsidRPr="009271DB">
                  <w:rPr>
                    <w:rFonts w:ascii="Palatino Linotype" w:eastAsia="Arial Unicode MS" w:hAnsi="Palatino Linotype"/>
                    <w:sz w:val="18"/>
                    <w:szCs w:val="18"/>
                  </w:rPr>
                  <w:t xml:space="preserve">Bevacizumab </w:t>
                </w:r>
                <w:r w:rsidR="009520F5" w:rsidRPr="009271DB">
                  <w:rPr>
                    <w:rFonts w:ascii="Palatino Linotype" w:eastAsia="Arial Unicode MS" w:hAnsi="Palatino Linotype"/>
                    <w:sz w:val="18"/>
                    <w:szCs w:val="18"/>
                  </w:rPr>
                  <w:t>土</w:t>
                </w:r>
                <w:r w:rsidR="009520F5" w:rsidRPr="009271DB">
                  <w:rPr>
                    <w:rFonts w:ascii="Palatino Linotype" w:eastAsia="Arial Unicode MS" w:hAnsi="Palatino Linotype"/>
                    <w:sz w:val="18"/>
                    <w:szCs w:val="18"/>
                  </w:rPr>
                  <w:t xml:space="preserve"> paclitaxel (only PFS benefit) </w:t>
                </w:r>
                <w:r w:rsidR="009520F5" w:rsidRPr="009271DB">
                  <w:rPr>
                    <w:rFonts w:ascii="Times New Roman" w:eastAsia="Arial Unicode MS" w:hAnsi="Times New Roman" w:cs="Times New Roman"/>
                    <w:sz w:val="18"/>
                    <w:szCs w:val="18"/>
                  </w:rPr>
                  <w:t>→</w:t>
                </w:r>
                <w:r w:rsidR="009520F5" w:rsidRPr="009271DB">
                  <w:rPr>
                    <w:rFonts w:ascii="Palatino Linotype" w:eastAsia="Arial Unicode MS" w:hAnsi="Palatino Linotype"/>
                    <w:sz w:val="18"/>
                    <w:szCs w:val="18"/>
                  </w:rPr>
                  <w:t xml:space="preserve"> </w:t>
                </w:r>
              </w:sdtContent>
            </w:sdt>
            <w:r w:rsidR="009520F5" w:rsidRPr="009271DB">
              <w:rPr>
                <w:rFonts w:ascii="Palatino Linotype" w:hAnsi="Palatino Linotype"/>
                <w:i/>
                <w:sz w:val="18"/>
                <w:szCs w:val="18"/>
              </w:rPr>
              <w:t>EMA-FDA license</w:t>
            </w:r>
          </w:p>
        </w:tc>
        <w:tc>
          <w:tcPr>
            <w:tcW w:w="10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6A04013" w14:textId="77777777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[2-3]</w:t>
            </w:r>
          </w:p>
        </w:tc>
      </w:tr>
      <w:tr w:rsidR="009520F5" w14:paraId="627918D4" w14:textId="77777777" w:rsidTr="00415B56">
        <w:trPr>
          <w:trHeight w:val="666"/>
        </w:trPr>
        <w:tc>
          <w:tcPr>
            <w:tcW w:w="15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5E6B97" w14:textId="77777777" w:rsidR="009520F5" w:rsidRPr="009271DB" w:rsidRDefault="009520F5" w:rsidP="00415B56">
            <w:pPr>
              <w:spacing w:before="20" w:line="256" w:lineRule="auto"/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Hormone </w:t>
            </w:r>
          </w:p>
          <w:p w14:paraId="3252337B" w14:textId="77777777" w:rsidR="009520F5" w:rsidRPr="009271DB" w:rsidRDefault="009520F5" w:rsidP="00415B56">
            <w:pPr>
              <w:spacing w:before="20" w:line="256" w:lineRule="auto"/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agents</w:t>
            </w:r>
          </w:p>
          <w:p w14:paraId="168DD54C" w14:textId="77777777" w:rsidR="009520F5" w:rsidRPr="009271DB" w:rsidRDefault="009520F5" w:rsidP="00415B56">
            <w:pPr>
              <w:spacing w:before="20" w:line="256" w:lineRule="auto"/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(preferred)</w:t>
            </w:r>
          </w:p>
        </w:tc>
        <w:tc>
          <w:tcPr>
            <w:tcW w:w="63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3C6F64" w14:textId="77777777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Aromatase inhibitors (anastrozole, letrozole, exemestane), tamoxifen, leuprolide acetate, megestrol acetate</w:t>
            </w:r>
          </w:p>
        </w:tc>
        <w:tc>
          <w:tcPr>
            <w:tcW w:w="10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B8A44AA" w14:textId="77777777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[2-3]</w:t>
            </w:r>
          </w:p>
        </w:tc>
      </w:tr>
      <w:tr w:rsidR="009520F5" w14:paraId="5CCD019E" w14:textId="77777777" w:rsidTr="00415B56">
        <w:trPr>
          <w:trHeight w:val="732"/>
        </w:trPr>
        <w:tc>
          <w:tcPr>
            <w:tcW w:w="157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021E6E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ABA6C82" w14:textId="77777777" w:rsidR="009520F5" w:rsidRPr="009271DB" w:rsidRDefault="009520F5" w:rsidP="00415B56">
            <w:pPr>
              <w:spacing w:before="20" w:line="256" w:lineRule="auto"/>
              <w:ind w:right="40"/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 xml:space="preserve"> Other therapies</w:t>
            </w:r>
          </w:p>
          <w:p w14:paraId="3CE19BDB" w14:textId="77777777" w:rsidR="009520F5" w:rsidRPr="009271DB" w:rsidRDefault="009520F5" w:rsidP="00415B56">
            <w:pPr>
              <w:spacing w:before="20" w:line="256" w:lineRule="auto"/>
              <w:ind w:right="40"/>
              <w:rPr>
                <w:rFonts w:ascii="Palatino Linotype" w:hAnsi="Palatino Linotype"/>
                <w:color w:val="FFFFFF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b/>
                <w:color w:val="FFFFFF"/>
                <w:sz w:val="18"/>
                <w:szCs w:val="18"/>
              </w:rPr>
              <w:t>(special settings)</w:t>
            </w:r>
          </w:p>
        </w:tc>
        <w:tc>
          <w:tcPr>
            <w:tcW w:w="634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624F83A" w14:textId="70C7A5E8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Single-agent pembrolizumab for microsatellite instability-high (</w:t>
            </w:r>
            <w:sdt>
              <w:sdtPr>
                <w:rPr>
                  <w:rFonts w:ascii="Palatino Linotype" w:hAnsi="Palatino Linotype"/>
                  <w:sz w:val="18"/>
                  <w:szCs w:val="18"/>
                </w:rPr>
                <w:tag w:val="goog_rdk_1"/>
                <w:id w:val="-198012011"/>
              </w:sdtPr>
              <w:sdtContent>
                <w:r w:rsidRPr="009271DB">
                  <w:rPr>
                    <w:rFonts w:ascii="Palatino Linotype" w:hAnsi="Palatino Linotype"/>
                    <w:sz w:val="18"/>
                    <w:szCs w:val="18"/>
                  </w:rPr>
                  <w:t>MSI-H) or tumor</w:t>
                </w:r>
                <w:r w:rsidR="00F05EEC" w:rsidRPr="009271DB">
                  <w:rPr>
                    <w:rFonts w:ascii="Palatino Linotype" w:hAnsi="Palatino Linotype"/>
                    <w:sz w:val="18"/>
                    <w:szCs w:val="18"/>
                  </w:rPr>
                  <w:t xml:space="preserve"> </w:t>
                </w:r>
                <w:r w:rsidRPr="009271DB">
                  <w:rPr>
                    <w:rFonts w:ascii="Palatino Linotype" w:hAnsi="Palatino Linotype"/>
                    <w:sz w:val="18"/>
                    <w:szCs w:val="18"/>
                  </w:rPr>
                  <w:t xml:space="preserve">mutational burden-high (TMB-H) tumors ≥10 mutations/ </w:t>
                </w:r>
                <w:proofErr w:type="spellStart"/>
                <w:r w:rsidRPr="009271DB">
                  <w:rPr>
                    <w:rFonts w:ascii="Palatino Linotype" w:hAnsi="Palatino Linotype"/>
                    <w:sz w:val="18"/>
                    <w:szCs w:val="18"/>
                  </w:rPr>
                  <w:t>megabase</w:t>
                </w:r>
                <w:proofErr w:type="spellEnd"/>
                <w:r w:rsidRPr="009271DB">
                  <w:rPr>
                    <w:rFonts w:ascii="Palatino Linotype" w:hAnsi="Palatino Linotype"/>
                    <w:sz w:val="18"/>
                    <w:szCs w:val="18"/>
                  </w:rPr>
                  <w:t xml:space="preserve">) without alternative options </w:t>
                </w:r>
              </w:sdtContent>
            </w:sdt>
          </w:p>
          <w:p w14:paraId="4353907A" w14:textId="4C797CB5" w:rsidR="009520F5" w:rsidRPr="009271DB" w:rsidRDefault="00F05EEC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Single agent</w:t>
            </w:r>
            <w:r w:rsidR="009520F5" w:rsidRPr="009271DB">
              <w:rPr>
                <w:rFonts w:ascii="Palatino Linotype" w:hAnsi="Palatino Linotype"/>
                <w:sz w:val="18"/>
                <w:szCs w:val="18"/>
              </w:rPr>
              <w:t xml:space="preserve"> pazopanib, trametinib (LGS) and </w:t>
            </w:r>
            <w:proofErr w:type="spellStart"/>
            <w:r w:rsidR="009520F5" w:rsidRPr="009271DB">
              <w:rPr>
                <w:rFonts w:ascii="Palatino Linotype" w:hAnsi="Palatino Linotype"/>
                <w:sz w:val="18"/>
                <w:szCs w:val="18"/>
              </w:rPr>
              <w:t>Fulvestrant</w:t>
            </w:r>
            <w:proofErr w:type="spellEnd"/>
            <w:r w:rsidR="009520F5" w:rsidRPr="009271DB">
              <w:rPr>
                <w:rFonts w:ascii="Palatino Linotype" w:hAnsi="Palatino Linotype"/>
                <w:sz w:val="18"/>
                <w:szCs w:val="18"/>
              </w:rPr>
              <w:t xml:space="preserve"> (LGS)</w:t>
            </w:r>
          </w:p>
          <w:p w14:paraId="77DA7621" w14:textId="77777777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>Dabrafenib + trametinib (for BRAF V600E-positive tumors)</w:t>
            </w:r>
          </w:p>
          <w:p w14:paraId="12F2B9B7" w14:textId="77777777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9271DB">
              <w:rPr>
                <w:rFonts w:ascii="Palatino Linotype" w:hAnsi="Palatino Linotype"/>
                <w:sz w:val="18"/>
                <w:szCs w:val="18"/>
              </w:rPr>
              <w:t>Entrectinib</w:t>
            </w:r>
            <w:proofErr w:type="spellEnd"/>
            <w:r w:rsidRPr="009271DB">
              <w:rPr>
                <w:rFonts w:ascii="Palatino Linotype" w:hAnsi="Palatino Linotype"/>
                <w:sz w:val="18"/>
                <w:szCs w:val="18"/>
              </w:rPr>
              <w:t xml:space="preserve"> and </w:t>
            </w:r>
            <w:proofErr w:type="spellStart"/>
            <w:r w:rsidRPr="009271DB">
              <w:rPr>
                <w:rFonts w:ascii="Palatino Linotype" w:hAnsi="Palatino Linotype"/>
                <w:sz w:val="18"/>
                <w:szCs w:val="18"/>
              </w:rPr>
              <w:t>Selpercatinib</w:t>
            </w:r>
            <w:proofErr w:type="spellEnd"/>
            <w:r w:rsidRPr="009271DB">
              <w:rPr>
                <w:rFonts w:ascii="Palatino Linotype" w:hAnsi="Palatino Linotype"/>
                <w:sz w:val="18"/>
                <w:szCs w:val="18"/>
              </w:rPr>
              <w:t xml:space="preserve"> (for NTRK and RET gene fusion positive tumors)</w:t>
            </w:r>
          </w:p>
          <w:p w14:paraId="04CB6059" w14:textId="77777777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proofErr w:type="spellStart"/>
            <w:r w:rsidRPr="009271DB">
              <w:rPr>
                <w:rFonts w:ascii="Palatino Linotype" w:hAnsi="Palatino Linotype"/>
                <w:sz w:val="18"/>
                <w:szCs w:val="18"/>
              </w:rPr>
              <w:t>Mirvetuximab</w:t>
            </w:r>
            <w:proofErr w:type="spellEnd"/>
            <w:r w:rsidRPr="009271DB">
              <w:rPr>
                <w:rFonts w:ascii="Palatino Linotype" w:hAnsi="Palatino Linotype"/>
                <w:sz w:val="18"/>
                <w:szCs w:val="18"/>
              </w:rPr>
              <w:t xml:space="preserve"> </w:t>
            </w:r>
            <w:proofErr w:type="spellStart"/>
            <w:r w:rsidRPr="009271DB">
              <w:rPr>
                <w:rFonts w:ascii="Palatino Linotype" w:hAnsi="Palatino Linotype"/>
                <w:sz w:val="18"/>
                <w:szCs w:val="18"/>
              </w:rPr>
              <w:t>soravtansine-gynx</w:t>
            </w:r>
            <w:proofErr w:type="spellEnd"/>
            <w:r w:rsidRPr="009271DB">
              <w:rPr>
                <w:rFonts w:ascii="Palatino Linotype" w:hAnsi="Palatino Linotype"/>
                <w:sz w:val="18"/>
                <w:szCs w:val="18"/>
              </w:rPr>
              <w:t xml:space="preserve">/bevacizumab (for FRα-expressing tumors). </w:t>
            </w:r>
          </w:p>
        </w:tc>
        <w:tc>
          <w:tcPr>
            <w:tcW w:w="1065" w:type="dxa"/>
            <w:tcBorders>
              <w:top w:val="single" w:sz="4" w:space="0" w:color="F3F3F3"/>
              <w:left w:val="single" w:sz="4" w:space="0" w:color="F3F3F3"/>
              <w:bottom w:val="single" w:sz="4" w:space="0" w:color="F3F3F3"/>
            </w:tcBorders>
            <w:shd w:val="clear" w:color="auto" w:fill="FFFFFF"/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93BF906" w14:textId="77777777" w:rsidR="009520F5" w:rsidRPr="009271DB" w:rsidRDefault="009520F5" w:rsidP="00415B56">
            <w:pPr>
              <w:ind w:right="40"/>
              <w:rPr>
                <w:rFonts w:ascii="Palatino Linotype" w:hAnsi="Palatino Linotype"/>
                <w:sz w:val="18"/>
                <w:szCs w:val="18"/>
              </w:rPr>
            </w:pPr>
            <w:r w:rsidRPr="009271DB">
              <w:rPr>
                <w:rFonts w:ascii="Palatino Linotype" w:hAnsi="Palatino Linotype"/>
                <w:sz w:val="18"/>
                <w:szCs w:val="18"/>
              </w:rPr>
              <w:t xml:space="preserve">[3] </w:t>
            </w:r>
          </w:p>
        </w:tc>
      </w:tr>
    </w:tbl>
    <w:p w14:paraId="3FC3EB35" w14:textId="77777777" w:rsidR="009520F5" w:rsidRDefault="009520F5" w:rsidP="009520F5">
      <w:pPr>
        <w:rPr>
          <w:b/>
          <w:sz w:val="20"/>
          <w:szCs w:val="20"/>
        </w:rPr>
      </w:pPr>
    </w:p>
    <w:p w14:paraId="5A231DCE" w14:textId="77777777" w:rsidR="009520F5" w:rsidRDefault="009520F5" w:rsidP="009520F5">
      <w:pPr>
        <w:rPr>
          <w:b/>
          <w:sz w:val="20"/>
          <w:szCs w:val="20"/>
        </w:rPr>
      </w:pPr>
    </w:p>
    <w:p w14:paraId="103B419A" w14:textId="77777777" w:rsidR="009520F5" w:rsidRDefault="009520F5" w:rsidP="009520F5">
      <w:pPr>
        <w:rPr>
          <w:b/>
          <w:sz w:val="20"/>
          <w:szCs w:val="20"/>
        </w:rPr>
      </w:pPr>
    </w:p>
    <w:p w14:paraId="4C507BA6" w14:textId="77777777" w:rsidR="009520F5" w:rsidRDefault="009520F5" w:rsidP="009520F5">
      <w:pPr>
        <w:rPr>
          <w:b/>
          <w:sz w:val="20"/>
          <w:szCs w:val="20"/>
        </w:rPr>
      </w:pPr>
    </w:p>
    <w:p w14:paraId="46A46CD1" w14:textId="77777777" w:rsidR="009520F5" w:rsidRDefault="009520F5" w:rsidP="009520F5">
      <w:pPr>
        <w:rPr>
          <w:b/>
          <w:sz w:val="20"/>
          <w:szCs w:val="20"/>
        </w:rPr>
      </w:pPr>
    </w:p>
    <w:p w14:paraId="2CEF5BC7" w14:textId="77777777" w:rsidR="009520F5" w:rsidRDefault="009520F5" w:rsidP="009520F5">
      <w:pPr>
        <w:rPr>
          <w:b/>
          <w:sz w:val="20"/>
          <w:szCs w:val="20"/>
        </w:rPr>
      </w:pPr>
    </w:p>
    <w:p w14:paraId="41C6AB8A" w14:textId="77777777" w:rsidR="009520F5" w:rsidRDefault="009520F5" w:rsidP="009520F5">
      <w:pPr>
        <w:shd w:val="clear" w:color="auto" w:fill="FFFFFF"/>
        <w:spacing w:line="360" w:lineRule="auto"/>
        <w:jc w:val="both"/>
        <w:rPr>
          <w:b/>
          <w:sz w:val="20"/>
          <w:szCs w:val="20"/>
        </w:rPr>
      </w:pPr>
    </w:p>
    <w:sectPr w:rsidR="009520F5">
      <w:headerReference w:type="default" r:id="rId7"/>
      <w:footerReference w:type="default" r:id="rId8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FFA56" w14:textId="77777777" w:rsidR="00A221A0" w:rsidRDefault="00A221A0">
      <w:pPr>
        <w:spacing w:line="240" w:lineRule="auto"/>
      </w:pPr>
      <w:r>
        <w:separator/>
      </w:r>
    </w:p>
  </w:endnote>
  <w:endnote w:type="continuationSeparator" w:id="0">
    <w:p w14:paraId="02DBB35C" w14:textId="77777777" w:rsidR="00A221A0" w:rsidRDefault="00A221A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145AE7" w14:textId="77777777" w:rsidR="00B24457" w:rsidRDefault="00000000">
    <w:pPr>
      <w:widowControl w:val="0"/>
      <w:ind w:right="-35"/>
      <w:jc w:val="both"/>
    </w:pPr>
    <w:r>
      <w:rPr>
        <w:sz w:val="18"/>
        <w:szCs w:val="18"/>
      </w:rPr>
      <w:fldChar w:fldCharType="begin"/>
    </w:r>
    <w:r>
      <w:rPr>
        <w:sz w:val="18"/>
        <w:szCs w:val="18"/>
      </w:rPr>
      <w:instrText>PAGE</w:instrText>
    </w:r>
    <w:r>
      <w:rPr>
        <w:sz w:val="18"/>
        <w:szCs w:val="18"/>
      </w:rPr>
      <w:fldChar w:fldCharType="separate"/>
    </w:r>
    <w:r>
      <w:rPr>
        <w:noProof/>
        <w:sz w:val="18"/>
        <w:szCs w:val="18"/>
      </w:rPr>
      <w:t>1</w:t>
    </w:r>
    <w:r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0A1E7A" w14:textId="77777777" w:rsidR="00A221A0" w:rsidRDefault="00A221A0">
      <w:pPr>
        <w:spacing w:line="240" w:lineRule="auto"/>
      </w:pPr>
      <w:r>
        <w:separator/>
      </w:r>
    </w:p>
  </w:footnote>
  <w:footnote w:type="continuationSeparator" w:id="0">
    <w:p w14:paraId="23197D08" w14:textId="77777777" w:rsidR="00A221A0" w:rsidRDefault="00A221A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BE1547" w14:textId="77777777" w:rsidR="00B24457" w:rsidRDefault="00B2445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4725"/>
    <w:multiLevelType w:val="multilevel"/>
    <w:tmpl w:val="35323898"/>
    <w:lvl w:ilvl="0">
      <w:start w:val="1"/>
      <w:numFmt w:val="decimal"/>
      <w:pStyle w:val="MDPI37itemize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072129E9"/>
    <w:multiLevelType w:val="multilevel"/>
    <w:tmpl w:val="2522E6F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 w16cid:durableId="1407919161">
    <w:abstractNumId w:val="1"/>
  </w:num>
  <w:num w:numId="2" w16cid:durableId="982390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20F5"/>
    <w:rsid w:val="002A4712"/>
    <w:rsid w:val="0043631A"/>
    <w:rsid w:val="0056018D"/>
    <w:rsid w:val="005A3FF7"/>
    <w:rsid w:val="006E3BCF"/>
    <w:rsid w:val="007E622C"/>
    <w:rsid w:val="0080309C"/>
    <w:rsid w:val="0087740D"/>
    <w:rsid w:val="008A468E"/>
    <w:rsid w:val="009271DB"/>
    <w:rsid w:val="009520F5"/>
    <w:rsid w:val="009D07C1"/>
    <w:rsid w:val="00A221A0"/>
    <w:rsid w:val="00B24457"/>
    <w:rsid w:val="00B24597"/>
    <w:rsid w:val="00C43C12"/>
    <w:rsid w:val="00D94CF9"/>
    <w:rsid w:val="00F05E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915C3A3"/>
  <w15:chartTrackingRefBased/>
  <w15:docId w15:val="{A3EB9A65-6289-A242-A27C-4A257382F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520F5"/>
    <w:pPr>
      <w:spacing w:line="276" w:lineRule="auto"/>
    </w:pPr>
    <w:rPr>
      <w:rFonts w:ascii="Arial" w:eastAsia="Arial" w:hAnsi="Arial" w:cs="Arial"/>
      <w:sz w:val="22"/>
      <w:szCs w:val="22"/>
      <w:lang w:val="en-US"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37itemize">
    <w:name w:val="MDPI_3.7_itemize"/>
    <w:qFormat/>
    <w:rsid w:val="009271DB"/>
    <w:pPr>
      <w:numPr>
        <w:numId w:val="2"/>
      </w:numPr>
      <w:adjustRightInd w:val="0"/>
      <w:snapToGrid w:val="0"/>
      <w:spacing w:line="228" w:lineRule="auto"/>
      <w:ind w:left="3033" w:hanging="425"/>
      <w:jc w:val="both"/>
    </w:pPr>
    <w:rPr>
      <w:rFonts w:ascii="Palatino Linotype" w:eastAsia="Times New Roman" w:hAnsi="Palatino Linotype" w:cs="Times New Roman"/>
      <w:color w:val="000000"/>
      <w:sz w:val="20"/>
      <w:szCs w:val="22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173</Words>
  <Characters>987</Characters>
  <Application>Microsoft Office Word</Application>
  <DocSecurity>0</DocSecurity>
  <Lines>8</Lines>
  <Paragraphs>2</Paragraphs>
  <ScaleCrop>false</ScaleCrop>
  <Company/>
  <LinksUpToDate>false</LinksUpToDate>
  <CharactersWithSpaces>1158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simofrex@icloud.com</dc:creator>
  <cp:keywords/>
  <dc:description/>
  <cp:lastModifiedBy>simofrex@icloud.com</cp:lastModifiedBy>
  <cp:revision>2</cp:revision>
  <cp:lastPrinted>2024-01-27T12:08:00Z</cp:lastPrinted>
  <dcterms:created xsi:type="dcterms:W3CDTF">2024-02-27T19:14:00Z</dcterms:created>
  <dcterms:modified xsi:type="dcterms:W3CDTF">2024-02-27T19:14:00Z</dcterms:modified>
</cp:coreProperties>
</file>