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7B" w:rsidRDefault="00CC4769" w:rsidP="00571570">
      <w:pPr>
        <w:spacing w:after="0" w:line="240" w:lineRule="auto"/>
        <w:jc w:val="center"/>
      </w:pPr>
      <w:r>
        <w:t>SUPPLEMENTAL MATERIAL</w:t>
      </w:r>
    </w:p>
    <w:p w:rsidR="00CC4769" w:rsidRDefault="00CC4769" w:rsidP="00571570">
      <w:pPr>
        <w:spacing w:after="0" w:line="240" w:lineRule="auto"/>
        <w:jc w:val="center"/>
      </w:pPr>
    </w:p>
    <w:p w:rsidR="00CC4769" w:rsidRPr="00CC4769" w:rsidRDefault="00CC4769" w:rsidP="00571570">
      <w:pPr>
        <w:spacing w:after="0" w:line="240" w:lineRule="auto"/>
        <w:jc w:val="center"/>
        <w:rPr>
          <w:lang w:val="en-GB"/>
        </w:rPr>
      </w:pPr>
      <w:r w:rsidRPr="00CC4769">
        <w:rPr>
          <w:lang w:val="en-GB"/>
        </w:rPr>
        <w:t xml:space="preserve">The figures and tables provided below </w:t>
      </w:r>
      <w:r>
        <w:rPr>
          <w:lang w:val="en-GB"/>
        </w:rPr>
        <w:t xml:space="preserve">gives additional details regarding the sorting activities as well as the methods and strategies used for sampling. Please note that </w:t>
      </w:r>
    </w:p>
    <w:p w:rsidR="00CC4769" w:rsidRDefault="00CC4769" w:rsidP="00571570">
      <w:pPr>
        <w:spacing w:after="0" w:line="240" w:lineRule="auto"/>
        <w:jc w:val="center"/>
      </w:pPr>
      <w:r>
        <w:t>-----</w:t>
      </w:r>
    </w:p>
    <w:p w:rsidR="00CC4769" w:rsidRDefault="00CC4769" w:rsidP="00571570">
      <w:pPr>
        <w:spacing w:after="0" w:line="240" w:lineRule="auto"/>
        <w:jc w:val="center"/>
      </w:pPr>
    </w:p>
    <w:p w:rsidR="00CC4769" w:rsidRDefault="00CC4769" w:rsidP="00571570">
      <w:pPr>
        <w:spacing w:after="0" w:line="240" w:lineRule="auto"/>
        <w:jc w:val="center"/>
      </w:pPr>
    </w:p>
    <w:p w:rsidR="00CC4769" w:rsidRDefault="00CC4769" w:rsidP="00571570">
      <w:pPr>
        <w:spacing w:after="0" w:line="240" w:lineRule="auto"/>
        <w:jc w:val="center"/>
      </w:pPr>
    </w:p>
    <w:p w:rsidR="00CC4769" w:rsidRDefault="00CC4769" w:rsidP="00571570">
      <w:pPr>
        <w:spacing w:after="0" w:line="240" w:lineRule="auto"/>
        <w:jc w:val="center"/>
      </w:pPr>
    </w:p>
    <w:p w:rsidR="00CC4769" w:rsidRDefault="00CC4769" w:rsidP="00571570">
      <w:pPr>
        <w:spacing w:after="0" w:line="240" w:lineRule="auto"/>
        <w:jc w:val="center"/>
      </w:pPr>
    </w:p>
    <w:p w:rsidR="00CC4769" w:rsidRDefault="00CC4769" w:rsidP="00571570">
      <w:pPr>
        <w:spacing w:after="0" w:line="240" w:lineRule="auto"/>
        <w:jc w:val="center"/>
      </w:pPr>
    </w:p>
    <w:p w:rsidR="00C01C7B" w:rsidRDefault="001847BF" w:rsidP="00C01C7B">
      <w:pPr>
        <w:jc w:val="center"/>
        <w:rPr>
          <w:sz w:val="22"/>
          <w:szCs w:val="22"/>
        </w:rPr>
      </w:pPr>
      <w:r w:rsidRPr="001847BF">
        <w:rPr>
          <w:noProof/>
          <w:sz w:val="22"/>
          <w:szCs w:val="22"/>
          <w:lang w:eastAsia="fr-FR"/>
        </w:rPr>
        <w:drawing>
          <wp:inline distT="0" distB="0" distL="0" distR="0" wp14:anchorId="22A97FF0" wp14:editId="514C3464">
            <wp:extent cx="5760720" cy="4479925"/>
            <wp:effectExtent l="0" t="0" r="0" b="0"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352" w:rsidRDefault="00423352" w:rsidP="00C01C7B">
      <w:pPr>
        <w:jc w:val="center"/>
        <w:rPr>
          <w:sz w:val="22"/>
          <w:szCs w:val="22"/>
        </w:rPr>
      </w:pPr>
    </w:p>
    <w:p w:rsidR="00571570" w:rsidRDefault="00C01C7B" w:rsidP="00C01C7B">
      <w:pPr>
        <w:pStyle w:val="Lgende"/>
        <w:jc w:val="both"/>
        <w:rPr>
          <w:b w:val="0"/>
          <w:color w:val="000000" w:themeColor="text1"/>
          <w:sz w:val="22"/>
          <w:szCs w:val="22"/>
          <w:lang w:val="en-GB"/>
        </w:rPr>
      </w:pPr>
      <w:bookmarkStart w:id="0" w:name="_Ref404006771"/>
      <w:r w:rsidRPr="00423352">
        <w:rPr>
          <w:color w:val="000000" w:themeColor="text1"/>
          <w:sz w:val="22"/>
          <w:szCs w:val="22"/>
          <w:lang w:val="en-GB"/>
        </w:rPr>
        <w:t xml:space="preserve">Figure </w:t>
      </w:r>
      <w:r w:rsidR="00DC0BCC">
        <w:rPr>
          <w:color w:val="000000" w:themeColor="text1"/>
          <w:sz w:val="22"/>
          <w:szCs w:val="22"/>
          <w:lang w:val="en-GB"/>
        </w:rPr>
        <w:t>S1</w:t>
      </w:r>
      <w:bookmarkEnd w:id="0"/>
      <w:r w:rsidR="00636F2A">
        <w:rPr>
          <w:color w:val="000000" w:themeColor="text1"/>
          <w:sz w:val="22"/>
          <w:szCs w:val="22"/>
          <w:lang w:val="en-GB"/>
        </w:rPr>
        <w:t>:</w:t>
      </w:r>
      <w:r w:rsidR="00D67F91">
        <w:rPr>
          <w:b w:val="0"/>
          <w:color w:val="000000" w:themeColor="text1"/>
          <w:sz w:val="22"/>
          <w:szCs w:val="22"/>
          <w:lang w:val="en-GB"/>
        </w:rPr>
        <w:t xml:space="preserve"> </w:t>
      </w:r>
      <w:r w:rsidR="00E854D1" w:rsidRPr="00E854D1">
        <w:rPr>
          <w:b w:val="0"/>
          <w:color w:val="000000" w:themeColor="text1"/>
          <w:sz w:val="22"/>
          <w:szCs w:val="22"/>
          <w:lang w:val="en-GB"/>
        </w:rPr>
        <w:t xml:space="preserve">Schematic representation of the workflow for waste sorting in the WSP. </w:t>
      </w:r>
      <w:r w:rsidR="00E854D1" w:rsidRPr="00B03CAA">
        <w:rPr>
          <w:color w:val="000000" w:themeColor="text1"/>
          <w:sz w:val="22"/>
          <w:szCs w:val="22"/>
          <w:lang w:val="en-GB"/>
        </w:rPr>
        <w:t>Hollow waste</w:t>
      </w:r>
      <w:r w:rsidR="00E854D1">
        <w:rPr>
          <w:b w:val="0"/>
          <w:color w:val="000000" w:themeColor="text1"/>
          <w:sz w:val="22"/>
          <w:szCs w:val="22"/>
          <w:lang w:val="en-GB"/>
        </w:rPr>
        <w:t>:</w:t>
      </w:r>
      <w:r w:rsidR="00E854D1" w:rsidRPr="00B03CAA">
        <w:rPr>
          <w:b w:val="0"/>
          <w:color w:val="000000" w:themeColor="text1"/>
          <w:sz w:val="22"/>
          <w:szCs w:val="22"/>
          <w:lang w:val="en-GB"/>
        </w:rPr>
        <w:t xml:space="preserve"> cardboard boxes for packaging, steel and a</w:t>
      </w:r>
      <w:r w:rsidR="00390690">
        <w:rPr>
          <w:b w:val="0"/>
          <w:color w:val="000000" w:themeColor="text1"/>
          <w:sz w:val="22"/>
          <w:szCs w:val="22"/>
          <w:lang w:val="en-GB"/>
        </w:rPr>
        <w:t>luminium metal packaging (metal</w:t>
      </w:r>
      <w:r w:rsidR="00E854D1" w:rsidRPr="00B03CAA">
        <w:rPr>
          <w:b w:val="0"/>
          <w:color w:val="000000" w:themeColor="text1"/>
          <w:sz w:val="22"/>
          <w:szCs w:val="22"/>
          <w:lang w:val="en-GB"/>
        </w:rPr>
        <w:t xml:space="preserve"> beverage can</w:t>
      </w:r>
      <w:r w:rsidR="00390690">
        <w:rPr>
          <w:b w:val="0"/>
          <w:color w:val="000000" w:themeColor="text1"/>
          <w:sz w:val="22"/>
          <w:szCs w:val="22"/>
          <w:lang w:val="en-GB"/>
        </w:rPr>
        <w:t>s</w:t>
      </w:r>
      <w:r w:rsidR="00E854D1" w:rsidRPr="00B03CAA">
        <w:rPr>
          <w:b w:val="0"/>
          <w:color w:val="000000" w:themeColor="text1"/>
          <w:sz w:val="22"/>
          <w:szCs w:val="22"/>
          <w:lang w:val="en-GB"/>
        </w:rPr>
        <w:t xml:space="preserve"> and tins), plastic bottles and flasks as well as food bricks</w:t>
      </w:r>
      <w:r w:rsidR="00E854D1">
        <w:rPr>
          <w:b w:val="0"/>
          <w:color w:val="000000" w:themeColor="text1"/>
          <w:sz w:val="22"/>
          <w:szCs w:val="22"/>
          <w:lang w:val="en-GB"/>
        </w:rPr>
        <w:t xml:space="preserve">; </w:t>
      </w:r>
      <w:r w:rsidR="00E854D1" w:rsidRPr="00B03CAA">
        <w:rPr>
          <w:color w:val="000000" w:themeColor="text1"/>
          <w:sz w:val="22"/>
          <w:szCs w:val="22"/>
          <w:lang w:val="en-GB"/>
        </w:rPr>
        <w:t xml:space="preserve">Flat </w:t>
      </w:r>
      <w:r w:rsidR="00493C3E" w:rsidRPr="00B03CAA">
        <w:rPr>
          <w:color w:val="000000" w:themeColor="text1"/>
          <w:sz w:val="22"/>
          <w:szCs w:val="22"/>
          <w:lang w:val="en-GB"/>
        </w:rPr>
        <w:t>waste</w:t>
      </w:r>
      <w:r w:rsidR="00493C3E">
        <w:rPr>
          <w:b w:val="0"/>
          <w:color w:val="000000" w:themeColor="text1"/>
          <w:sz w:val="22"/>
          <w:szCs w:val="22"/>
          <w:lang w:val="en-GB"/>
        </w:rPr>
        <w:t>:</w:t>
      </w:r>
      <w:r w:rsidR="00E854D1">
        <w:rPr>
          <w:b w:val="0"/>
          <w:color w:val="000000" w:themeColor="text1"/>
          <w:sz w:val="22"/>
          <w:szCs w:val="22"/>
          <w:lang w:val="en-GB"/>
        </w:rPr>
        <w:t xml:space="preserve"> </w:t>
      </w:r>
      <w:r w:rsidR="00E854D1" w:rsidRPr="00B03CAA">
        <w:rPr>
          <w:b w:val="0"/>
          <w:color w:val="000000" w:themeColor="text1"/>
          <w:sz w:val="22"/>
          <w:szCs w:val="22"/>
          <w:lang w:val="en-GB"/>
        </w:rPr>
        <w:t>paper, magazines, newspapers and other flat waste (flattened paper and small cardboard packaging)</w:t>
      </w:r>
      <w:r w:rsidR="00E854D1">
        <w:rPr>
          <w:b w:val="0"/>
          <w:color w:val="000000" w:themeColor="text1"/>
          <w:sz w:val="22"/>
          <w:szCs w:val="22"/>
          <w:lang w:val="en-GB"/>
        </w:rPr>
        <w:t>.</w:t>
      </w:r>
    </w:p>
    <w:p w:rsidR="00CC4769" w:rsidRDefault="00CC4769" w:rsidP="00CC4769">
      <w:pPr>
        <w:rPr>
          <w:lang w:val="en-GB"/>
        </w:rPr>
      </w:pPr>
    </w:p>
    <w:p w:rsidR="00CC4769" w:rsidRDefault="00CC4769">
      <w:pPr>
        <w:rPr>
          <w:lang w:val="en-GB"/>
        </w:rPr>
      </w:pPr>
      <w:r>
        <w:rPr>
          <w:lang w:val="en-GB"/>
        </w:rPr>
        <w:br w:type="page"/>
      </w:r>
    </w:p>
    <w:p w:rsidR="00CC4769" w:rsidRDefault="00CC4769" w:rsidP="00CC4769">
      <w:pPr>
        <w:rPr>
          <w:lang w:val="en-GB"/>
        </w:rPr>
      </w:pPr>
    </w:p>
    <w:p w:rsidR="00CC4769" w:rsidRDefault="00CC4769" w:rsidP="00CC4769">
      <w:pPr>
        <w:jc w:val="center"/>
        <w:rPr>
          <w:sz w:val="22"/>
          <w:szCs w:val="22"/>
        </w:rPr>
      </w:pPr>
      <w:r w:rsidRPr="00DB38B3">
        <w:rPr>
          <w:noProof/>
          <w:sz w:val="22"/>
          <w:szCs w:val="22"/>
          <w:lang w:eastAsia="fr-FR"/>
        </w:rPr>
        <w:drawing>
          <wp:inline distT="0" distB="0" distL="0" distR="0" wp14:anchorId="725E7FEE" wp14:editId="2E5EB8D6">
            <wp:extent cx="6254312" cy="4015461"/>
            <wp:effectExtent l="0" t="0" r="0" b="444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929" cy="402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69" w:rsidRDefault="00CC4769" w:rsidP="00CC4769">
      <w:pPr>
        <w:pStyle w:val="Lgende"/>
        <w:jc w:val="both"/>
        <w:rPr>
          <w:b w:val="0"/>
          <w:color w:val="auto"/>
          <w:sz w:val="22"/>
          <w:szCs w:val="22"/>
          <w:lang w:val="en-GB"/>
        </w:rPr>
      </w:pPr>
      <w:r w:rsidRPr="00423352">
        <w:rPr>
          <w:color w:val="000000" w:themeColor="text1"/>
          <w:sz w:val="22"/>
          <w:szCs w:val="22"/>
          <w:lang w:val="en-GB"/>
        </w:rPr>
        <w:t xml:space="preserve">Figure </w:t>
      </w:r>
      <w:r>
        <w:rPr>
          <w:color w:val="000000" w:themeColor="text1"/>
          <w:sz w:val="22"/>
          <w:szCs w:val="22"/>
          <w:lang w:val="en-GB"/>
        </w:rPr>
        <w:t>S2:</w:t>
      </w:r>
      <w:r>
        <w:rPr>
          <w:b w:val="0"/>
          <w:color w:val="000000" w:themeColor="text1"/>
          <w:sz w:val="22"/>
          <w:szCs w:val="22"/>
          <w:lang w:val="en-GB"/>
        </w:rPr>
        <w:t xml:space="preserve"> Schematic representation of the off-line measurement process used for assessing the </w:t>
      </w:r>
      <w:r w:rsidRPr="006E5B4D">
        <w:rPr>
          <w:b w:val="0"/>
          <w:color w:val="000000" w:themeColor="text1"/>
          <w:sz w:val="22"/>
          <w:szCs w:val="22"/>
          <w:lang w:val="en-GB"/>
        </w:rPr>
        <w:t xml:space="preserve">concentration levels of airborne </w:t>
      </w:r>
      <w:proofErr w:type="spellStart"/>
      <w:r w:rsidRPr="006E5B4D">
        <w:rPr>
          <w:b w:val="0"/>
          <w:color w:val="000000" w:themeColor="text1"/>
          <w:sz w:val="22"/>
          <w:szCs w:val="22"/>
          <w:lang w:val="en-GB"/>
        </w:rPr>
        <w:t>culturable</w:t>
      </w:r>
      <w:proofErr w:type="spellEnd"/>
      <w:r w:rsidRPr="006E5B4D">
        <w:rPr>
          <w:b w:val="0"/>
          <w:color w:val="000000" w:themeColor="text1"/>
          <w:sz w:val="22"/>
          <w:szCs w:val="22"/>
          <w:lang w:val="en-GB"/>
        </w:rPr>
        <w:t xml:space="preserve"> bacteria and fungi, endotoxins, inhalable dust</w:t>
      </w:r>
      <w:r>
        <w:rPr>
          <w:b w:val="0"/>
          <w:color w:val="000000" w:themeColor="text1"/>
          <w:sz w:val="22"/>
          <w:szCs w:val="22"/>
          <w:lang w:val="en-GB"/>
        </w:rPr>
        <w:t xml:space="preserve"> as well as</w:t>
      </w:r>
      <w:r w:rsidRPr="006E5B4D">
        <w:rPr>
          <w:b w:val="0"/>
          <w:color w:val="000000" w:themeColor="text1"/>
          <w:sz w:val="22"/>
          <w:szCs w:val="22"/>
          <w:lang w:val="en-GB"/>
        </w:rPr>
        <w:t xml:space="preserve"> the biodiversity of microbial communities in bioaerosols and the size distribution of a</w:t>
      </w:r>
      <w:r>
        <w:rPr>
          <w:b w:val="0"/>
          <w:color w:val="000000" w:themeColor="text1"/>
          <w:sz w:val="22"/>
          <w:szCs w:val="22"/>
          <w:lang w:val="en-GB"/>
        </w:rPr>
        <w:t xml:space="preserve">irborne microorganisms and dust in the WSP. </w:t>
      </w:r>
      <w:r w:rsidRPr="006E5B4D">
        <w:rPr>
          <w:color w:val="000000" w:themeColor="text1"/>
          <w:sz w:val="22"/>
          <w:szCs w:val="22"/>
          <w:lang w:val="en-GB"/>
        </w:rPr>
        <w:t>CFC</w:t>
      </w:r>
      <w:r>
        <w:rPr>
          <w:b w:val="0"/>
          <w:color w:val="000000" w:themeColor="text1"/>
          <w:sz w:val="22"/>
          <w:szCs w:val="22"/>
          <w:lang w:val="en-GB"/>
        </w:rPr>
        <w:t>: C</w:t>
      </w:r>
      <w:r w:rsidRPr="006E5B4D">
        <w:rPr>
          <w:b w:val="0"/>
          <w:color w:val="000000" w:themeColor="text1"/>
          <w:sz w:val="22"/>
          <w:szCs w:val="22"/>
          <w:lang w:val="en-GB"/>
        </w:rPr>
        <w:t>losed-</w:t>
      </w:r>
      <w:r>
        <w:rPr>
          <w:b w:val="0"/>
          <w:color w:val="000000" w:themeColor="text1"/>
          <w:sz w:val="22"/>
          <w:szCs w:val="22"/>
          <w:lang w:val="en-GB"/>
        </w:rPr>
        <w:t>Face C</w:t>
      </w:r>
      <w:r w:rsidRPr="006E5B4D">
        <w:rPr>
          <w:b w:val="0"/>
          <w:color w:val="000000" w:themeColor="text1"/>
          <w:sz w:val="22"/>
          <w:szCs w:val="22"/>
          <w:lang w:val="en-GB"/>
        </w:rPr>
        <w:t>assette;</w:t>
      </w:r>
      <w:r>
        <w:rPr>
          <w:b w:val="0"/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MCI</w:t>
      </w:r>
      <w:r>
        <w:rPr>
          <w:b w:val="0"/>
          <w:color w:val="000000" w:themeColor="text1"/>
          <w:sz w:val="22"/>
          <w:szCs w:val="22"/>
          <w:lang w:val="en-GB"/>
        </w:rPr>
        <w:t xml:space="preserve">: MARPLE Cascade Impactor. </w:t>
      </w:r>
    </w:p>
    <w:p w:rsidR="00CC4769" w:rsidRDefault="00CC4769" w:rsidP="00CC4769">
      <w:pPr>
        <w:rPr>
          <w:lang w:val="en-GB"/>
        </w:rPr>
      </w:pPr>
    </w:p>
    <w:p w:rsidR="00CC4769" w:rsidRDefault="00CC4769" w:rsidP="00CC4769">
      <w:pPr>
        <w:rPr>
          <w:lang w:val="en-GB"/>
        </w:rPr>
      </w:pPr>
    </w:p>
    <w:p w:rsidR="00CC4769" w:rsidRDefault="00CC4769" w:rsidP="00CC4769">
      <w:pPr>
        <w:rPr>
          <w:lang w:val="en-GB"/>
        </w:rPr>
      </w:pPr>
    </w:p>
    <w:p w:rsidR="00CC4769" w:rsidRDefault="00CC4769">
      <w:pPr>
        <w:rPr>
          <w:lang w:val="en-GB"/>
        </w:rPr>
      </w:pPr>
      <w:r>
        <w:rPr>
          <w:lang w:val="en-GB"/>
        </w:rPr>
        <w:br w:type="page"/>
      </w:r>
    </w:p>
    <w:p w:rsidR="00CC4769" w:rsidRDefault="00CC4769" w:rsidP="00CC4769">
      <w:pPr>
        <w:rPr>
          <w:lang w:val="en-GB"/>
        </w:rPr>
      </w:pPr>
    </w:p>
    <w:p w:rsidR="00CC4769" w:rsidRDefault="00CC4769" w:rsidP="00CC4769"/>
    <w:p w:rsidR="00CC4769" w:rsidRDefault="00CC4769" w:rsidP="00CC4769"/>
    <w:p w:rsidR="00CC4769" w:rsidRDefault="00CC4769" w:rsidP="00CC4769">
      <w:pPr>
        <w:jc w:val="center"/>
      </w:pPr>
      <w:r w:rsidRPr="00A60AB3">
        <w:rPr>
          <w:noProof/>
          <w:lang w:eastAsia="fr-FR"/>
        </w:rPr>
        <w:drawing>
          <wp:inline distT="0" distB="0" distL="0" distR="0" wp14:anchorId="2DA997C0" wp14:editId="5E2F751E">
            <wp:extent cx="5760720" cy="543496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69" w:rsidRDefault="00CC4769" w:rsidP="00CC4769">
      <w:pPr>
        <w:jc w:val="center"/>
      </w:pPr>
    </w:p>
    <w:p w:rsidR="00CC4769" w:rsidRDefault="00CC4769" w:rsidP="00CC4769">
      <w:pPr>
        <w:pStyle w:val="Lgende"/>
        <w:jc w:val="both"/>
        <w:rPr>
          <w:b w:val="0"/>
          <w:color w:val="auto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Table</w:t>
      </w:r>
      <w:r w:rsidRPr="00423352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S1:</w:t>
      </w:r>
      <w:r>
        <w:rPr>
          <w:b w:val="0"/>
          <w:color w:val="000000" w:themeColor="text1"/>
          <w:sz w:val="22"/>
          <w:szCs w:val="22"/>
          <w:lang w:val="en-GB"/>
        </w:rPr>
        <w:t xml:space="preserve"> Details of the sampling plan designed for the stationary assessment of bioaerosols and airborne dust in 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the </w:t>
      </w:r>
      <w:r>
        <w:rPr>
          <w:b w:val="0"/>
          <w:color w:val="000000" w:themeColor="text1"/>
          <w:sz w:val="22"/>
          <w:szCs w:val="22"/>
          <w:lang w:val="en-GB"/>
        </w:rPr>
        <w:t xml:space="preserve">investigated 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WSP. </w:t>
      </w:r>
      <w:r w:rsidRPr="00B03CAA">
        <w:rPr>
          <w:color w:val="000000" w:themeColor="text1"/>
          <w:sz w:val="22"/>
          <w:szCs w:val="22"/>
          <w:lang w:val="en-GB"/>
        </w:rPr>
        <w:t>DRHW</w:t>
      </w:r>
      <w:r>
        <w:rPr>
          <w:b w:val="0"/>
          <w:color w:val="000000" w:themeColor="text1"/>
          <w:sz w:val="22"/>
          <w:szCs w:val="22"/>
          <w:lang w:val="en-GB"/>
        </w:rPr>
        <w:t xml:space="preserve">: </w:t>
      </w:r>
      <w:r w:rsidRPr="00B03CAA">
        <w:rPr>
          <w:b w:val="0"/>
          <w:color w:val="000000" w:themeColor="text1"/>
          <w:sz w:val="22"/>
          <w:szCs w:val="22"/>
          <w:lang w:val="en-GB"/>
        </w:rPr>
        <w:t>Dry Recyclable Household Waste</w:t>
      </w:r>
      <w:r>
        <w:rPr>
          <w:b w:val="0"/>
          <w:color w:val="000000" w:themeColor="text1"/>
          <w:sz w:val="22"/>
          <w:szCs w:val="22"/>
          <w:lang w:val="en-GB"/>
        </w:rPr>
        <w:t xml:space="preserve">; </w:t>
      </w:r>
      <w:r w:rsidRPr="00B03CAA">
        <w:rPr>
          <w:color w:val="000000" w:themeColor="text1"/>
          <w:sz w:val="22"/>
          <w:szCs w:val="22"/>
          <w:lang w:val="en-GB"/>
        </w:rPr>
        <w:t>DRCIW</w:t>
      </w:r>
      <w:r>
        <w:rPr>
          <w:b w:val="0"/>
          <w:color w:val="000000" w:themeColor="text1"/>
          <w:sz w:val="22"/>
          <w:szCs w:val="22"/>
          <w:lang w:val="en-GB"/>
        </w:rPr>
        <w:t xml:space="preserve">: 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Dry Recyclable </w:t>
      </w:r>
      <w:r>
        <w:rPr>
          <w:b w:val="0"/>
          <w:color w:val="000000" w:themeColor="text1"/>
          <w:sz w:val="22"/>
          <w:szCs w:val="22"/>
          <w:lang w:val="en-GB"/>
        </w:rPr>
        <w:t xml:space="preserve">Commercial and Industrial Waste; </w:t>
      </w:r>
      <w:r w:rsidRPr="00B03CAA">
        <w:rPr>
          <w:color w:val="000000" w:themeColor="text1"/>
          <w:sz w:val="22"/>
          <w:szCs w:val="22"/>
          <w:lang w:val="en-GB"/>
        </w:rPr>
        <w:t>Hollow waste</w:t>
      </w:r>
      <w:r>
        <w:rPr>
          <w:b w:val="0"/>
          <w:color w:val="000000" w:themeColor="text1"/>
          <w:sz w:val="22"/>
          <w:szCs w:val="22"/>
          <w:lang w:val="en-GB"/>
        </w:rPr>
        <w:t>: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 cardboard boxes for packaging, steel and aluminium metal packaging (metals beverage can and tins), plastic bottles and flasks as well as food bricks</w:t>
      </w:r>
      <w:r>
        <w:rPr>
          <w:b w:val="0"/>
          <w:color w:val="000000" w:themeColor="text1"/>
          <w:sz w:val="22"/>
          <w:szCs w:val="22"/>
          <w:lang w:val="en-GB"/>
        </w:rPr>
        <w:t xml:space="preserve">; </w:t>
      </w:r>
      <w:r w:rsidRPr="00B03CAA">
        <w:rPr>
          <w:color w:val="000000" w:themeColor="text1"/>
          <w:sz w:val="22"/>
          <w:szCs w:val="22"/>
          <w:lang w:val="en-GB"/>
        </w:rPr>
        <w:t>Flat waste</w:t>
      </w:r>
      <w:r>
        <w:rPr>
          <w:b w:val="0"/>
          <w:color w:val="000000" w:themeColor="text1"/>
          <w:sz w:val="22"/>
          <w:szCs w:val="22"/>
          <w:lang w:val="en-GB"/>
        </w:rPr>
        <w:t xml:space="preserve">: 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paper, </w:t>
      </w:r>
      <w:r>
        <w:rPr>
          <w:b w:val="0"/>
          <w:color w:val="000000" w:themeColor="text1"/>
          <w:sz w:val="22"/>
          <w:szCs w:val="22"/>
          <w:lang w:val="en-GB"/>
        </w:rPr>
        <w:t>magazines, newspapers and others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 (flattened paper and small cardboard packaging)</w:t>
      </w:r>
      <w:r>
        <w:rPr>
          <w:b w:val="0"/>
          <w:color w:val="000000" w:themeColor="text1"/>
          <w:sz w:val="22"/>
          <w:szCs w:val="22"/>
          <w:lang w:val="en-GB"/>
        </w:rPr>
        <w:t xml:space="preserve">. </w:t>
      </w:r>
    </w:p>
    <w:p w:rsidR="00CC4769" w:rsidRDefault="00CC4769" w:rsidP="00CC4769">
      <w:pPr>
        <w:rPr>
          <w:lang w:val="en-GB"/>
        </w:rPr>
      </w:pPr>
    </w:p>
    <w:p w:rsidR="00CC4769" w:rsidRDefault="00CC4769" w:rsidP="00CC4769">
      <w:pPr>
        <w:rPr>
          <w:lang w:val="en-GB"/>
        </w:rPr>
      </w:pPr>
    </w:p>
    <w:p w:rsidR="00CC4769" w:rsidRDefault="00CC4769">
      <w:pPr>
        <w:rPr>
          <w:lang w:val="en-GB"/>
        </w:rPr>
      </w:pPr>
      <w:r>
        <w:rPr>
          <w:lang w:val="en-GB"/>
        </w:rPr>
        <w:br w:type="page"/>
      </w:r>
    </w:p>
    <w:p w:rsidR="00CC4769" w:rsidRDefault="00CC4769" w:rsidP="00CC4769">
      <w:pPr>
        <w:rPr>
          <w:lang w:val="en-GB"/>
        </w:rPr>
      </w:pPr>
    </w:p>
    <w:p w:rsidR="00CC4769" w:rsidRDefault="00CC4769" w:rsidP="00CC4769">
      <w:pPr>
        <w:rPr>
          <w:lang w:val="en-GB"/>
        </w:rPr>
      </w:pPr>
    </w:p>
    <w:p w:rsidR="00CC4769" w:rsidRDefault="00CC4769" w:rsidP="00CC4769"/>
    <w:p w:rsidR="00CC4769" w:rsidRDefault="00CC4769" w:rsidP="00CC4769"/>
    <w:p w:rsidR="00CC4769" w:rsidRDefault="00CC4769" w:rsidP="00CC4769">
      <w:pPr>
        <w:jc w:val="center"/>
      </w:pPr>
      <w:r w:rsidRPr="00D62E08">
        <w:rPr>
          <w:noProof/>
          <w:lang w:eastAsia="fr-FR"/>
        </w:rPr>
        <w:drawing>
          <wp:inline distT="0" distB="0" distL="0" distR="0" wp14:anchorId="4AEA8EF6" wp14:editId="237B4F9B">
            <wp:extent cx="5760720" cy="64363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69" w:rsidRDefault="00CC4769" w:rsidP="00CC4769">
      <w:pPr>
        <w:pStyle w:val="Lgende"/>
        <w:jc w:val="both"/>
        <w:rPr>
          <w:b w:val="0"/>
          <w:color w:val="auto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Table</w:t>
      </w:r>
      <w:r w:rsidRPr="00423352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S2:</w:t>
      </w:r>
      <w:r>
        <w:rPr>
          <w:b w:val="0"/>
          <w:color w:val="000000" w:themeColor="text1"/>
          <w:sz w:val="22"/>
          <w:szCs w:val="22"/>
          <w:lang w:val="en-GB"/>
        </w:rPr>
        <w:t xml:space="preserve"> Details of the sampling plan designed for the assessment of personal exposure to bioaerosols and airborne dust in 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the </w:t>
      </w:r>
      <w:r>
        <w:rPr>
          <w:b w:val="0"/>
          <w:color w:val="000000" w:themeColor="text1"/>
          <w:sz w:val="22"/>
          <w:szCs w:val="22"/>
          <w:lang w:val="en-GB"/>
        </w:rPr>
        <w:t xml:space="preserve">investigated 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WSP. </w:t>
      </w:r>
      <w:r w:rsidRPr="00B03CAA">
        <w:rPr>
          <w:color w:val="000000" w:themeColor="text1"/>
          <w:sz w:val="22"/>
          <w:szCs w:val="22"/>
          <w:lang w:val="en-GB"/>
        </w:rPr>
        <w:t>DRHW</w:t>
      </w:r>
      <w:r>
        <w:rPr>
          <w:b w:val="0"/>
          <w:color w:val="000000" w:themeColor="text1"/>
          <w:sz w:val="22"/>
          <w:szCs w:val="22"/>
          <w:lang w:val="en-GB"/>
        </w:rPr>
        <w:t xml:space="preserve">: </w:t>
      </w:r>
      <w:r w:rsidRPr="00B03CAA">
        <w:rPr>
          <w:b w:val="0"/>
          <w:color w:val="000000" w:themeColor="text1"/>
          <w:sz w:val="22"/>
          <w:szCs w:val="22"/>
          <w:lang w:val="en-GB"/>
        </w:rPr>
        <w:t>Dry Recyclable Household Waste</w:t>
      </w:r>
      <w:r>
        <w:rPr>
          <w:b w:val="0"/>
          <w:color w:val="000000" w:themeColor="text1"/>
          <w:sz w:val="22"/>
          <w:szCs w:val="22"/>
          <w:lang w:val="en-GB"/>
        </w:rPr>
        <w:t xml:space="preserve">; </w:t>
      </w:r>
      <w:r w:rsidRPr="00B03CAA">
        <w:rPr>
          <w:color w:val="000000" w:themeColor="text1"/>
          <w:sz w:val="22"/>
          <w:szCs w:val="22"/>
          <w:lang w:val="en-GB"/>
        </w:rPr>
        <w:t>DRCIW</w:t>
      </w:r>
      <w:r>
        <w:rPr>
          <w:b w:val="0"/>
          <w:color w:val="000000" w:themeColor="text1"/>
          <w:sz w:val="22"/>
          <w:szCs w:val="22"/>
          <w:lang w:val="en-GB"/>
        </w:rPr>
        <w:t xml:space="preserve">: 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Dry Recyclable </w:t>
      </w:r>
      <w:r>
        <w:rPr>
          <w:b w:val="0"/>
          <w:color w:val="000000" w:themeColor="text1"/>
          <w:sz w:val="22"/>
          <w:szCs w:val="22"/>
          <w:lang w:val="en-GB"/>
        </w:rPr>
        <w:t xml:space="preserve">Commercial and Industrial Waste; </w:t>
      </w:r>
      <w:r w:rsidRPr="00B03CAA">
        <w:rPr>
          <w:color w:val="000000" w:themeColor="text1"/>
          <w:sz w:val="22"/>
          <w:szCs w:val="22"/>
          <w:lang w:val="en-GB"/>
        </w:rPr>
        <w:t>Hollow waste</w:t>
      </w:r>
      <w:r>
        <w:rPr>
          <w:b w:val="0"/>
          <w:color w:val="000000" w:themeColor="text1"/>
          <w:sz w:val="22"/>
          <w:szCs w:val="22"/>
          <w:lang w:val="en-GB"/>
        </w:rPr>
        <w:t>: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 cardboard boxes for packaging, steel and aluminium metal packaging (metals beverage can and tins), plastic bottles and flasks as well as food bricks</w:t>
      </w:r>
      <w:r>
        <w:rPr>
          <w:b w:val="0"/>
          <w:color w:val="000000" w:themeColor="text1"/>
          <w:sz w:val="22"/>
          <w:szCs w:val="22"/>
          <w:lang w:val="en-GB"/>
        </w:rPr>
        <w:t xml:space="preserve">; </w:t>
      </w:r>
      <w:r w:rsidRPr="00B03CAA">
        <w:rPr>
          <w:color w:val="000000" w:themeColor="text1"/>
          <w:sz w:val="22"/>
          <w:szCs w:val="22"/>
          <w:lang w:val="en-GB"/>
        </w:rPr>
        <w:t>Flat waste</w:t>
      </w:r>
      <w:r>
        <w:rPr>
          <w:b w:val="0"/>
          <w:color w:val="000000" w:themeColor="text1"/>
          <w:sz w:val="22"/>
          <w:szCs w:val="22"/>
          <w:lang w:val="en-GB"/>
        </w:rPr>
        <w:t xml:space="preserve">: </w:t>
      </w:r>
      <w:r w:rsidRPr="00B03CAA">
        <w:rPr>
          <w:b w:val="0"/>
          <w:color w:val="000000" w:themeColor="text1"/>
          <w:sz w:val="22"/>
          <w:szCs w:val="22"/>
          <w:lang w:val="en-GB"/>
        </w:rPr>
        <w:t>paper, magazines, newspapers and other</w:t>
      </w:r>
      <w:r>
        <w:rPr>
          <w:b w:val="0"/>
          <w:color w:val="000000" w:themeColor="text1"/>
          <w:sz w:val="22"/>
          <w:szCs w:val="22"/>
          <w:lang w:val="en-GB"/>
        </w:rPr>
        <w:t>s</w:t>
      </w:r>
      <w:r w:rsidRPr="00B03CAA">
        <w:rPr>
          <w:b w:val="0"/>
          <w:color w:val="000000" w:themeColor="text1"/>
          <w:sz w:val="22"/>
          <w:szCs w:val="22"/>
          <w:lang w:val="en-GB"/>
        </w:rPr>
        <w:t xml:space="preserve"> (flattened paper and small cardboard packaging)</w:t>
      </w:r>
      <w:r>
        <w:rPr>
          <w:b w:val="0"/>
          <w:color w:val="000000" w:themeColor="text1"/>
          <w:sz w:val="22"/>
          <w:szCs w:val="22"/>
          <w:lang w:val="en-GB"/>
        </w:rPr>
        <w:t xml:space="preserve">. </w:t>
      </w:r>
    </w:p>
    <w:p w:rsidR="00CC4769" w:rsidRDefault="00CC4769" w:rsidP="00CC4769">
      <w:pPr>
        <w:rPr>
          <w:lang w:val="en-GB"/>
        </w:rPr>
        <w:sectPr w:rsidR="00CC4769" w:rsidSect="005715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4769" w:rsidRDefault="00CC4769" w:rsidP="00CC4769">
      <w:pPr>
        <w:rPr>
          <w:lang w:val="en-GB"/>
        </w:rPr>
      </w:pPr>
    </w:p>
    <w:p w:rsidR="00CC4769" w:rsidRDefault="00CC4769" w:rsidP="00CC4769"/>
    <w:p w:rsidR="00CC4769" w:rsidRDefault="00CC4769" w:rsidP="00CC4769">
      <w:pPr>
        <w:jc w:val="center"/>
      </w:pPr>
    </w:p>
    <w:p w:rsidR="00CC4769" w:rsidRDefault="00CC4769" w:rsidP="00CC4769">
      <w:pPr>
        <w:jc w:val="center"/>
      </w:pP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120"/>
        <w:gridCol w:w="792"/>
        <w:gridCol w:w="968"/>
        <w:gridCol w:w="186"/>
        <w:gridCol w:w="828"/>
        <w:gridCol w:w="1012"/>
        <w:gridCol w:w="186"/>
        <w:gridCol w:w="792"/>
        <w:gridCol w:w="968"/>
        <w:gridCol w:w="186"/>
        <w:gridCol w:w="792"/>
        <w:gridCol w:w="968"/>
        <w:gridCol w:w="186"/>
        <w:gridCol w:w="792"/>
        <w:gridCol w:w="968"/>
      </w:tblGrid>
      <w:tr w:rsidR="00CC4769" w:rsidRPr="00F55676" w:rsidTr="00DD043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July D1 - End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July D2 - Beginning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July D2 - End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October D3 - Half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October D4 - Half</w:t>
            </w:r>
          </w:p>
        </w:tc>
      </w:tr>
      <w:tr w:rsidR="00CC4769" w:rsidRPr="00F55676" w:rsidTr="00DD0431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Sampling point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T (°C)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RH (%)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T (°C)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RH (%)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T (°C)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RH (%)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T (°C)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RH (%)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T (°C)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RH (%)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Unloading area DHRW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30.2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40.2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49.1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28.2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44.0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21.5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57.6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Sorting cabin A (cardboard)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53.6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24.9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56.2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52.4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24.9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64.7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Sorting cabin B (hollow waste)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28.3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44.0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47.8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28.1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45.5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23.2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65.0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Hollow waste area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27.0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47.8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51.2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28.3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46.3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22.8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62.6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Sorting cabin C (flat waste)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30.5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43.0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24.0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48.0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45.3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21.6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59.8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22.9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66.0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DRCIW waste area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29.0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46.0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48.8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31.3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38.0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22.7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54.0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Indoor reference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29.8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43.3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48.1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31.7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40.0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24.6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50.5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Outdoor reference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30.0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43.4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27.9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49.3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32.2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33.5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20.2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62.5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21.6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67.2</w:t>
            </w:r>
          </w:p>
        </w:tc>
      </w:tr>
      <w:tr w:rsidR="00CC4769" w:rsidRPr="00F55676" w:rsidTr="00DD04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Compactor for hollow waste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27.1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46.5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26.5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50.4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28.7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44.7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</w:tr>
      <w:tr w:rsidR="00CC4769" w:rsidRPr="00F55676" w:rsidTr="00DD0431">
        <w:trPr>
          <w:trHeight w:val="315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Cardboard area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25.6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51.5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27.6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49.4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/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24.2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/>
                <w:lang w:val="en-GB" w:eastAsia="fr-FR"/>
              </w:rPr>
              <w:t>62.3</w:t>
            </w:r>
          </w:p>
        </w:tc>
      </w:tr>
      <w:tr w:rsidR="00CC4769" w:rsidRPr="00F55676" w:rsidTr="00DD0431">
        <w:trPr>
          <w:trHeight w:val="315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City local weather station</w:t>
            </w:r>
            <w:r w:rsidRPr="00F55676">
              <w:rPr>
                <w:rFonts w:ascii="Calibri" w:eastAsia="Times New Roman" w:hAnsi="Calibri" w:cs="Calibri"/>
                <w:b/>
                <w:color w:val="FF0000"/>
                <w:vertAlign w:val="superscript"/>
                <w:lang w:val="en-GB" w:eastAsia="fr-FR"/>
              </w:rPr>
              <w:t>*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28.3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56.0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26.0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48.0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41.0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20.8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61.0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21.4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C4769" w:rsidRPr="00F55676" w:rsidRDefault="00CC4769" w:rsidP="00DD04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</w:pPr>
            <w:r w:rsidRPr="00F55676">
              <w:rPr>
                <w:rFonts w:ascii="Calibri" w:eastAsia="Times New Roman" w:hAnsi="Calibri" w:cs="Calibri"/>
                <w:color w:val="000000" w:themeColor="text1"/>
                <w:lang w:val="en-GB" w:eastAsia="fr-FR"/>
              </w:rPr>
              <w:t>64.0</w:t>
            </w:r>
          </w:p>
        </w:tc>
      </w:tr>
    </w:tbl>
    <w:p w:rsidR="00CC4769" w:rsidRDefault="00CC4769" w:rsidP="00CC4769">
      <w:pPr>
        <w:jc w:val="center"/>
      </w:pPr>
    </w:p>
    <w:p w:rsidR="00CC4769" w:rsidRDefault="00CC4769" w:rsidP="00CC4769">
      <w:pPr>
        <w:jc w:val="center"/>
      </w:pPr>
    </w:p>
    <w:p w:rsidR="00CC4769" w:rsidRPr="00EE1F73" w:rsidRDefault="00CC4769" w:rsidP="00CC4769">
      <w:pPr>
        <w:pStyle w:val="Lgende"/>
        <w:jc w:val="center"/>
        <w:rPr>
          <w:color w:val="FF0000"/>
          <w:lang w:val="en-GB"/>
        </w:rPr>
      </w:pPr>
      <w:r>
        <w:rPr>
          <w:color w:val="000000" w:themeColor="text1"/>
          <w:sz w:val="22"/>
          <w:szCs w:val="22"/>
          <w:lang w:val="en-GB"/>
        </w:rPr>
        <w:t>Table</w:t>
      </w:r>
      <w:r w:rsidRPr="00423352">
        <w:rPr>
          <w:color w:val="000000" w:themeColor="text1"/>
          <w:sz w:val="22"/>
          <w:szCs w:val="22"/>
          <w:lang w:val="en-GB"/>
        </w:rPr>
        <w:t xml:space="preserve"> </w:t>
      </w:r>
      <w:r>
        <w:rPr>
          <w:color w:val="000000" w:themeColor="text1"/>
          <w:sz w:val="22"/>
          <w:szCs w:val="22"/>
          <w:lang w:val="en-GB"/>
        </w:rPr>
        <w:t>S3:</w:t>
      </w:r>
      <w:r>
        <w:rPr>
          <w:b w:val="0"/>
          <w:color w:val="000000" w:themeColor="text1"/>
          <w:sz w:val="22"/>
          <w:szCs w:val="22"/>
          <w:lang w:val="en-GB"/>
        </w:rPr>
        <w:t xml:space="preserve"> Data of temperature and relative humidity of air at the sampling points in the investigated WSP</w:t>
      </w:r>
      <w:r w:rsidRPr="00E01181">
        <w:rPr>
          <w:b w:val="0"/>
          <w:color w:val="000000" w:themeColor="text1"/>
          <w:sz w:val="22"/>
          <w:szCs w:val="22"/>
          <w:lang w:val="en-GB"/>
        </w:rPr>
        <w:t>.</w:t>
      </w:r>
      <w:r>
        <w:rPr>
          <w:b w:val="0"/>
          <w:color w:val="000000" w:themeColor="text1"/>
          <w:sz w:val="22"/>
          <w:szCs w:val="22"/>
          <w:lang w:val="en-GB"/>
        </w:rPr>
        <w:t xml:space="preserve"> </w:t>
      </w:r>
      <w:r w:rsidRPr="00DC2596">
        <w:rPr>
          <w:color w:val="FF0000"/>
          <w:sz w:val="22"/>
          <w:szCs w:val="22"/>
          <w:vertAlign w:val="superscript"/>
          <w:lang w:val="en-GB"/>
        </w:rPr>
        <w:t>*</w:t>
      </w:r>
      <w:r w:rsidRPr="00DC2596">
        <w:rPr>
          <w:b w:val="0"/>
          <w:color w:val="000000" w:themeColor="text1"/>
          <w:sz w:val="22"/>
          <w:szCs w:val="22"/>
          <w:lang w:val="en-GB"/>
        </w:rPr>
        <w:t xml:space="preserve"> https://www.infoclimat.fr</w:t>
      </w:r>
    </w:p>
    <w:p w:rsidR="00CC4769" w:rsidRPr="00E646B4" w:rsidRDefault="00CC4769" w:rsidP="00CC4769">
      <w:pPr>
        <w:rPr>
          <w:lang w:val="en-GB"/>
        </w:rPr>
      </w:pPr>
    </w:p>
    <w:p w:rsidR="00CC4769" w:rsidRDefault="00CC4769" w:rsidP="00CC4769">
      <w:pPr>
        <w:rPr>
          <w:lang w:val="en-GB"/>
        </w:rPr>
      </w:pPr>
    </w:p>
    <w:p w:rsidR="00CC4769" w:rsidRDefault="00CC4769" w:rsidP="00CC4769">
      <w:pPr>
        <w:rPr>
          <w:lang w:val="en-GB"/>
        </w:rPr>
      </w:pPr>
    </w:p>
    <w:p w:rsidR="00CC4769" w:rsidRDefault="00CC4769">
      <w:pPr>
        <w:rPr>
          <w:lang w:val="en-GB"/>
        </w:rPr>
      </w:pPr>
      <w:r>
        <w:rPr>
          <w:lang w:val="en-GB"/>
        </w:rPr>
        <w:br w:type="page"/>
      </w:r>
    </w:p>
    <w:p w:rsidR="00CC4769" w:rsidRDefault="00CC4769" w:rsidP="00CC4769">
      <w:pPr>
        <w:rPr>
          <w:lang w:val="en-GB"/>
        </w:rPr>
        <w:sectPr w:rsidR="00CC4769" w:rsidSect="00CC476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C4769" w:rsidRDefault="00CC4769">
      <w:pPr>
        <w:rPr>
          <w:lang w:val="en-GB"/>
        </w:rPr>
      </w:pPr>
      <w:bookmarkStart w:id="1" w:name="_GoBack"/>
      <w:bookmarkEnd w:id="1"/>
    </w:p>
    <w:p w:rsidR="00CC4769" w:rsidRDefault="00CC4769" w:rsidP="00CC4769">
      <w:pPr>
        <w:rPr>
          <w:lang w:val="en-GB"/>
        </w:rPr>
      </w:pPr>
    </w:p>
    <w:p w:rsidR="00CC4769" w:rsidRDefault="00CC4769" w:rsidP="00CC4769">
      <w:pPr>
        <w:rPr>
          <w:lang w:val="en-GB"/>
        </w:rPr>
      </w:pPr>
    </w:p>
    <w:p w:rsidR="00CC4769" w:rsidRPr="00CC4769" w:rsidRDefault="00CC4769" w:rsidP="00CC4769">
      <w:pPr>
        <w:rPr>
          <w:lang w:val="en-GB"/>
        </w:rPr>
      </w:pPr>
    </w:p>
    <w:sectPr w:rsidR="00CC4769" w:rsidRPr="00CC4769" w:rsidSect="00CC47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plied Environ Microbio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zzvt5dx6r5terew2xopap2jav05e2ztaver&quot;&gt;Bioaérosol&lt;record-ids&gt;&lt;item&gt;605&lt;/item&gt;&lt;item&gt;858&lt;/item&gt;&lt;item&gt;1103&lt;/item&gt;&lt;item&gt;1105&lt;/item&gt;&lt;item&gt;14479&lt;/item&gt;&lt;item&gt;14653&lt;/item&gt;&lt;/record-ids&gt;&lt;/item&gt;&lt;/Libraries&gt;"/>
  </w:docVars>
  <w:rsids>
    <w:rsidRoot w:val="00097D48"/>
    <w:rsid w:val="00003DF1"/>
    <w:rsid w:val="000045C6"/>
    <w:rsid w:val="000346B0"/>
    <w:rsid w:val="00043A2C"/>
    <w:rsid w:val="000817FE"/>
    <w:rsid w:val="00097D48"/>
    <w:rsid w:val="000A0351"/>
    <w:rsid w:val="000B5EBC"/>
    <w:rsid w:val="000E21FA"/>
    <w:rsid w:val="00110342"/>
    <w:rsid w:val="00124827"/>
    <w:rsid w:val="00126556"/>
    <w:rsid w:val="001574C1"/>
    <w:rsid w:val="001847BF"/>
    <w:rsid w:val="001938DA"/>
    <w:rsid w:val="001E46A9"/>
    <w:rsid w:val="002218CD"/>
    <w:rsid w:val="00223BDC"/>
    <w:rsid w:val="00240C49"/>
    <w:rsid w:val="00250FA6"/>
    <w:rsid w:val="00255E3E"/>
    <w:rsid w:val="002656C9"/>
    <w:rsid w:val="00274C0C"/>
    <w:rsid w:val="0028632A"/>
    <w:rsid w:val="002A5ADD"/>
    <w:rsid w:val="002A65D6"/>
    <w:rsid w:val="002C039B"/>
    <w:rsid w:val="002E3163"/>
    <w:rsid w:val="00303BE8"/>
    <w:rsid w:val="00337609"/>
    <w:rsid w:val="0035245C"/>
    <w:rsid w:val="00354CEC"/>
    <w:rsid w:val="00372531"/>
    <w:rsid w:val="00390690"/>
    <w:rsid w:val="003A49DF"/>
    <w:rsid w:val="003A7A31"/>
    <w:rsid w:val="003D04E8"/>
    <w:rsid w:val="003E00B7"/>
    <w:rsid w:val="003E1BD6"/>
    <w:rsid w:val="004011B3"/>
    <w:rsid w:val="004012E3"/>
    <w:rsid w:val="00404395"/>
    <w:rsid w:val="00423352"/>
    <w:rsid w:val="0043081F"/>
    <w:rsid w:val="0044405E"/>
    <w:rsid w:val="0045394B"/>
    <w:rsid w:val="00493C3E"/>
    <w:rsid w:val="004B3ACB"/>
    <w:rsid w:val="004B7DC0"/>
    <w:rsid w:val="004C2C0C"/>
    <w:rsid w:val="004D5BDB"/>
    <w:rsid w:val="004D5E79"/>
    <w:rsid w:val="00551B51"/>
    <w:rsid w:val="00571570"/>
    <w:rsid w:val="005977DC"/>
    <w:rsid w:val="00597C54"/>
    <w:rsid w:val="005C4FE6"/>
    <w:rsid w:val="005F2A5F"/>
    <w:rsid w:val="005F59A4"/>
    <w:rsid w:val="006127CB"/>
    <w:rsid w:val="00612B5C"/>
    <w:rsid w:val="00625598"/>
    <w:rsid w:val="0062585A"/>
    <w:rsid w:val="00627617"/>
    <w:rsid w:val="00636F2A"/>
    <w:rsid w:val="0064047D"/>
    <w:rsid w:val="00651411"/>
    <w:rsid w:val="0066003A"/>
    <w:rsid w:val="00672CE7"/>
    <w:rsid w:val="006755E1"/>
    <w:rsid w:val="00693C58"/>
    <w:rsid w:val="006A774C"/>
    <w:rsid w:val="006C3B2D"/>
    <w:rsid w:val="006E1BFF"/>
    <w:rsid w:val="006F5F1C"/>
    <w:rsid w:val="0072015C"/>
    <w:rsid w:val="007216F7"/>
    <w:rsid w:val="007265F3"/>
    <w:rsid w:val="00737A45"/>
    <w:rsid w:val="007C194C"/>
    <w:rsid w:val="007C2142"/>
    <w:rsid w:val="00822D8E"/>
    <w:rsid w:val="00862182"/>
    <w:rsid w:val="008778E7"/>
    <w:rsid w:val="00881192"/>
    <w:rsid w:val="00895B99"/>
    <w:rsid w:val="0089602E"/>
    <w:rsid w:val="008C032D"/>
    <w:rsid w:val="008C3ED1"/>
    <w:rsid w:val="008D142F"/>
    <w:rsid w:val="008E13AC"/>
    <w:rsid w:val="00905F24"/>
    <w:rsid w:val="00912830"/>
    <w:rsid w:val="00922577"/>
    <w:rsid w:val="00926807"/>
    <w:rsid w:val="009450B8"/>
    <w:rsid w:val="00975332"/>
    <w:rsid w:val="009F09BF"/>
    <w:rsid w:val="00A12FC3"/>
    <w:rsid w:val="00A52A12"/>
    <w:rsid w:val="00A5768E"/>
    <w:rsid w:val="00A73F35"/>
    <w:rsid w:val="00A87BA5"/>
    <w:rsid w:val="00AF41B8"/>
    <w:rsid w:val="00B1162F"/>
    <w:rsid w:val="00B1345A"/>
    <w:rsid w:val="00B32365"/>
    <w:rsid w:val="00B5695C"/>
    <w:rsid w:val="00B61F87"/>
    <w:rsid w:val="00B815C0"/>
    <w:rsid w:val="00B81BB1"/>
    <w:rsid w:val="00BC1712"/>
    <w:rsid w:val="00BD3528"/>
    <w:rsid w:val="00BF009D"/>
    <w:rsid w:val="00C01C7B"/>
    <w:rsid w:val="00C06613"/>
    <w:rsid w:val="00C57E9A"/>
    <w:rsid w:val="00C6121F"/>
    <w:rsid w:val="00C640F6"/>
    <w:rsid w:val="00C775E7"/>
    <w:rsid w:val="00CC4769"/>
    <w:rsid w:val="00D3414D"/>
    <w:rsid w:val="00D4212F"/>
    <w:rsid w:val="00D46286"/>
    <w:rsid w:val="00D57B78"/>
    <w:rsid w:val="00D6722F"/>
    <w:rsid w:val="00D67F91"/>
    <w:rsid w:val="00D91623"/>
    <w:rsid w:val="00DC0BCC"/>
    <w:rsid w:val="00DD739B"/>
    <w:rsid w:val="00DE604E"/>
    <w:rsid w:val="00E00BDB"/>
    <w:rsid w:val="00E26FC6"/>
    <w:rsid w:val="00E30211"/>
    <w:rsid w:val="00E32730"/>
    <w:rsid w:val="00E340DF"/>
    <w:rsid w:val="00E54BFA"/>
    <w:rsid w:val="00E812A8"/>
    <w:rsid w:val="00E81D91"/>
    <w:rsid w:val="00E854D1"/>
    <w:rsid w:val="00EA02D7"/>
    <w:rsid w:val="00EB2CE4"/>
    <w:rsid w:val="00EE2A78"/>
    <w:rsid w:val="00EE52E2"/>
    <w:rsid w:val="00F16E7A"/>
    <w:rsid w:val="00F17667"/>
    <w:rsid w:val="00F26D01"/>
    <w:rsid w:val="00F7015B"/>
    <w:rsid w:val="00F91FE5"/>
    <w:rsid w:val="00FA4E5E"/>
    <w:rsid w:val="00FB4392"/>
    <w:rsid w:val="00FC0D68"/>
    <w:rsid w:val="00FC4C81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77E5"/>
  <w15:docId w15:val="{9283324A-CBAC-4FBE-B1C5-22BDBAC4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7B"/>
    <w:rPr>
      <w:rFonts w:ascii="Arial" w:eastAsia="Calibri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5ADD"/>
    <w:rPr>
      <w:color w:val="0000FF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01C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C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6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DUQUENNE</dc:creator>
  <cp:lastModifiedBy>Philippe DUQUENNE</cp:lastModifiedBy>
  <cp:revision>111</cp:revision>
  <dcterms:created xsi:type="dcterms:W3CDTF">2015-07-27T17:57:00Z</dcterms:created>
  <dcterms:modified xsi:type="dcterms:W3CDTF">2023-10-16T14:29:00Z</dcterms:modified>
</cp:coreProperties>
</file>