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903C1" w14:textId="77777777" w:rsidR="00B439E0" w:rsidRPr="00C90607" w:rsidRDefault="00B439E0" w:rsidP="00B439E0">
      <w:pPr>
        <w:jc w:val="both"/>
        <w:rPr>
          <w:rFonts w:ascii="Palatino Linotype" w:hAnsi="Palatino Linotype" w:cs="Times New Roman"/>
          <w:b/>
          <w:bCs/>
          <w:sz w:val="20"/>
          <w:szCs w:val="20"/>
          <w:lang w:val="en-US"/>
        </w:rPr>
      </w:pPr>
      <w:r w:rsidRPr="00C90607">
        <w:rPr>
          <w:rFonts w:ascii="Palatino Linotype" w:hAnsi="Palatino Linotype" w:cs="Times New Roman"/>
          <w:b/>
          <w:bCs/>
          <w:sz w:val="20"/>
          <w:szCs w:val="20"/>
          <w:lang w:val="en-US"/>
        </w:rPr>
        <w:t>Figure legends</w:t>
      </w:r>
    </w:p>
    <w:p w14:paraId="2D61C7C0" w14:textId="77777777" w:rsidR="00B439E0" w:rsidRPr="00C90607" w:rsidRDefault="00B439E0" w:rsidP="00B439E0">
      <w:pPr>
        <w:jc w:val="both"/>
        <w:rPr>
          <w:rFonts w:ascii="Palatino Linotype" w:hAnsi="Palatino Linotype" w:cs="Times New Roman"/>
          <w:sz w:val="20"/>
          <w:szCs w:val="20"/>
          <w:lang w:val="en-US"/>
        </w:rPr>
      </w:pPr>
    </w:p>
    <w:p w14:paraId="1B38D2EA" w14:textId="77777777" w:rsidR="00B439E0" w:rsidRPr="00C90607" w:rsidRDefault="00B439E0" w:rsidP="00B439E0">
      <w:pPr>
        <w:jc w:val="both"/>
        <w:rPr>
          <w:rFonts w:ascii="Palatino Linotype" w:hAnsi="Palatino Linotype" w:cs="Times New Roman"/>
          <w:sz w:val="20"/>
          <w:szCs w:val="20"/>
          <w:lang w:val="en-US"/>
        </w:rPr>
      </w:pPr>
      <w:r w:rsidRPr="00C90607">
        <w:rPr>
          <w:rFonts w:ascii="Palatino Linotype" w:hAnsi="Palatino Linotype" w:cs="Times New Roman"/>
          <w:b/>
          <w:bCs/>
          <w:sz w:val="20"/>
          <w:szCs w:val="20"/>
          <w:lang w:val="en-US"/>
        </w:rPr>
        <w:t>Figure 1.</w:t>
      </w:r>
      <w:r w:rsidRPr="00C90607">
        <w:rPr>
          <w:rFonts w:ascii="Palatino Linotype" w:hAnsi="Palatino Linotype" w:cs="Times New Roman"/>
          <w:sz w:val="20"/>
          <w:szCs w:val="20"/>
          <w:lang w:val="en-US"/>
        </w:rPr>
        <w:t xml:space="preserve"> Flowchart depicting case numbers at each step of the study. The two major groups compared (prevalent T2DM cases and non-diabetic controls) are highlighted with bold style.</w:t>
      </w:r>
    </w:p>
    <w:p w14:paraId="6E001D64" w14:textId="7A7C0A25" w:rsidR="00B439E0" w:rsidRPr="00C90607" w:rsidRDefault="00B439E0" w:rsidP="00B439E0">
      <w:pPr>
        <w:jc w:val="both"/>
        <w:rPr>
          <w:rFonts w:ascii="Palatino Linotype" w:hAnsi="Palatino Linotype" w:cs="Times New Roman"/>
          <w:sz w:val="20"/>
          <w:szCs w:val="20"/>
          <w:lang w:val="en-US"/>
        </w:rPr>
      </w:pPr>
      <w:r w:rsidRPr="00C90607">
        <w:rPr>
          <w:rFonts w:ascii="Palatino Linotype" w:hAnsi="Palatino Linotype" w:cs="Times New Roman"/>
          <w:b/>
          <w:bCs/>
          <w:sz w:val="20"/>
          <w:szCs w:val="20"/>
          <w:lang w:val="en-US"/>
        </w:rPr>
        <w:t>Figure 2.</w:t>
      </w:r>
      <w:r w:rsidRPr="00C90607">
        <w:rPr>
          <w:rFonts w:ascii="Palatino Linotype" w:hAnsi="Palatino Linotype" w:cs="Times New Roman"/>
          <w:sz w:val="20"/>
          <w:szCs w:val="20"/>
          <w:lang w:val="en-US"/>
        </w:rPr>
        <w:t xml:space="preserve"> Change in incidence of cancer cases per 1.000 prevalent T2DM cases (</w:t>
      </w:r>
      <w:r w:rsidR="00C90607" w:rsidRPr="00C90607">
        <w:rPr>
          <w:rFonts w:ascii="Palatino Linotype" w:hAnsi="Palatino Linotype" w:cs="Times New Roman"/>
          <w:b/>
          <w:bCs/>
          <w:sz w:val="20"/>
          <w:szCs w:val="20"/>
          <w:lang w:val="en-US"/>
        </w:rPr>
        <w:t>a, c, e</w:t>
      </w:r>
      <w:r w:rsidRPr="00C90607">
        <w:rPr>
          <w:rFonts w:ascii="Palatino Linotype" w:hAnsi="Palatino Linotype" w:cs="Times New Roman"/>
          <w:sz w:val="20"/>
          <w:szCs w:val="20"/>
          <w:lang w:val="en-US"/>
        </w:rPr>
        <w:t>) and in nondiabetic controls (</w:t>
      </w:r>
      <w:r w:rsidR="00C90607" w:rsidRPr="00C90607">
        <w:rPr>
          <w:rFonts w:ascii="Palatino Linotype" w:hAnsi="Palatino Linotype" w:cs="Times New Roman"/>
          <w:b/>
          <w:bCs/>
          <w:sz w:val="20"/>
          <w:szCs w:val="20"/>
          <w:lang w:val="en-US"/>
        </w:rPr>
        <w:t>b, d, f</w:t>
      </w:r>
      <w:r w:rsidRPr="00C90607">
        <w:rPr>
          <w:rFonts w:ascii="Palatino Linotype" w:hAnsi="Palatino Linotype" w:cs="Times New Roman"/>
          <w:sz w:val="20"/>
          <w:szCs w:val="20"/>
          <w:lang w:val="en-US"/>
        </w:rPr>
        <w:t xml:space="preserve">) in the time interval of 2015-2019 in distinct age groups. </w:t>
      </w:r>
      <w:r w:rsidR="00C90607" w:rsidRPr="00C90607">
        <w:rPr>
          <w:rFonts w:ascii="Palatino Linotype" w:hAnsi="Palatino Linotype" w:cs="Times New Roman"/>
          <w:sz w:val="20"/>
          <w:szCs w:val="20"/>
          <w:lang w:val="en-US"/>
        </w:rPr>
        <w:t>(</w:t>
      </w:r>
      <w:r w:rsidR="00C90607" w:rsidRPr="00C90607">
        <w:rPr>
          <w:rFonts w:ascii="Palatino Linotype" w:hAnsi="Palatino Linotype" w:cs="Times New Roman"/>
          <w:b/>
          <w:bCs/>
          <w:sz w:val="20"/>
          <w:szCs w:val="20"/>
          <w:lang w:val="en-US"/>
        </w:rPr>
        <w:t>a, b</w:t>
      </w:r>
      <w:r w:rsidRPr="00C90607">
        <w:rPr>
          <w:rFonts w:ascii="Palatino Linotype" w:hAnsi="Palatino Linotype" w:cs="Times New Roman"/>
          <w:sz w:val="20"/>
          <w:szCs w:val="20"/>
          <w:lang w:val="en-US"/>
        </w:rPr>
        <w:t xml:space="preserve">) total population, </w:t>
      </w:r>
      <w:r w:rsidR="00C90607" w:rsidRPr="00C90607">
        <w:rPr>
          <w:rFonts w:ascii="Palatino Linotype" w:hAnsi="Palatino Linotype" w:cs="Times New Roman"/>
          <w:sz w:val="20"/>
          <w:szCs w:val="20"/>
          <w:lang w:val="en-US"/>
        </w:rPr>
        <w:t>(</w:t>
      </w:r>
      <w:r w:rsidR="00C90607" w:rsidRPr="00C90607">
        <w:rPr>
          <w:rFonts w:ascii="Palatino Linotype" w:hAnsi="Palatino Linotype" w:cs="Times New Roman"/>
          <w:b/>
          <w:bCs/>
          <w:sz w:val="20"/>
          <w:szCs w:val="20"/>
          <w:lang w:val="en-US"/>
        </w:rPr>
        <w:t>c, d</w:t>
      </w:r>
      <w:r w:rsidRPr="00C90607">
        <w:rPr>
          <w:rFonts w:ascii="Palatino Linotype" w:hAnsi="Palatino Linotype" w:cs="Times New Roman"/>
          <w:sz w:val="20"/>
          <w:szCs w:val="20"/>
          <w:lang w:val="en-US"/>
        </w:rPr>
        <w:t xml:space="preserve">) male patients, </w:t>
      </w:r>
      <w:r w:rsidR="00C90607" w:rsidRPr="00C90607">
        <w:rPr>
          <w:rFonts w:ascii="Palatino Linotype" w:hAnsi="Palatino Linotype" w:cs="Times New Roman"/>
          <w:sz w:val="20"/>
          <w:szCs w:val="20"/>
          <w:lang w:val="en-US"/>
        </w:rPr>
        <w:t>(</w:t>
      </w:r>
      <w:r w:rsidR="00C90607" w:rsidRPr="00C90607">
        <w:rPr>
          <w:rFonts w:ascii="Palatino Linotype" w:hAnsi="Palatino Linotype" w:cs="Times New Roman"/>
          <w:b/>
          <w:bCs/>
          <w:sz w:val="20"/>
          <w:szCs w:val="20"/>
          <w:lang w:val="en-US"/>
        </w:rPr>
        <w:t>e, f</w:t>
      </w:r>
      <w:r w:rsidRPr="00C90607">
        <w:rPr>
          <w:rFonts w:ascii="Palatino Linotype" w:hAnsi="Palatino Linotype" w:cs="Times New Roman"/>
          <w:sz w:val="20"/>
          <w:szCs w:val="20"/>
          <w:lang w:val="en-US"/>
        </w:rPr>
        <w:t>) female patients. Crude incidence data are shown.</w:t>
      </w:r>
    </w:p>
    <w:p w14:paraId="36533A15" w14:textId="6AF92A14" w:rsidR="00C90607" w:rsidRPr="00C90607" w:rsidRDefault="00B439E0" w:rsidP="00B439E0">
      <w:pPr>
        <w:jc w:val="both"/>
        <w:rPr>
          <w:rFonts w:ascii="Palatino Linotype" w:hAnsi="Palatino Linotype" w:cs="Times New Roman"/>
          <w:sz w:val="20"/>
          <w:szCs w:val="20"/>
          <w:lang w:val="en-US"/>
        </w:rPr>
      </w:pPr>
      <w:r w:rsidRPr="00C90607">
        <w:rPr>
          <w:rFonts w:ascii="Palatino Linotype" w:hAnsi="Palatino Linotype" w:cs="Times New Roman"/>
          <w:b/>
          <w:bCs/>
          <w:sz w:val="20"/>
          <w:szCs w:val="20"/>
          <w:lang w:val="en-US"/>
        </w:rPr>
        <w:t>Figure 3.</w:t>
      </w:r>
      <w:r w:rsidRPr="00C90607">
        <w:rPr>
          <w:rFonts w:ascii="Palatino Linotype" w:hAnsi="Palatino Linotype" w:cs="Times New Roman"/>
          <w:sz w:val="20"/>
          <w:szCs w:val="20"/>
          <w:lang w:val="en-US"/>
        </w:rPr>
        <w:t xml:space="preserve"> </w:t>
      </w:r>
      <w:r w:rsidR="00C90607" w:rsidRPr="00C90607">
        <w:rPr>
          <w:rFonts w:ascii="Palatino Linotype" w:hAnsi="Palatino Linotype" w:cs="Times New Roman"/>
          <w:sz w:val="20"/>
          <w:szCs w:val="20"/>
          <w:lang w:val="en-US"/>
        </w:rPr>
        <w:t>Age distribution of (</w:t>
      </w:r>
      <w:r w:rsidR="00C90607" w:rsidRPr="00C90607">
        <w:rPr>
          <w:rFonts w:ascii="Palatino Linotype" w:hAnsi="Palatino Linotype" w:cs="Times New Roman"/>
          <w:b/>
          <w:bCs/>
          <w:sz w:val="20"/>
          <w:szCs w:val="20"/>
          <w:lang w:val="en-US"/>
        </w:rPr>
        <w:t>a</w:t>
      </w:r>
      <w:r w:rsidR="00C90607" w:rsidRPr="00C90607">
        <w:rPr>
          <w:rFonts w:ascii="Palatino Linotype" w:hAnsi="Palatino Linotype" w:cs="Times New Roman"/>
          <w:sz w:val="20"/>
          <w:szCs w:val="20"/>
          <w:lang w:val="en-US"/>
        </w:rPr>
        <w:t>) total cases and (</w:t>
      </w:r>
      <w:r w:rsidR="00C90607" w:rsidRPr="00C90607">
        <w:rPr>
          <w:rFonts w:ascii="Palatino Linotype" w:hAnsi="Palatino Linotype" w:cs="Times New Roman"/>
          <w:b/>
          <w:bCs/>
          <w:sz w:val="20"/>
          <w:szCs w:val="20"/>
          <w:lang w:val="en-US"/>
        </w:rPr>
        <w:t>b</w:t>
      </w:r>
      <w:r w:rsidR="00C90607" w:rsidRPr="00C90607">
        <w:rPr>
          <w:rFonts w:ascii="Palatino Linotype" w:hAnsi="Palatino Linotype" w:cs="Times New Roman"/>
          <w:sz w:val="20"/>
          <w:szCs w:val="20"/>
          <w:lang w:val="en-US"/>
        </w:rPr>
        <w:t>) incidental cases of cancer in patients with type 2 diabetes mellitus and in nondiabetic controls.</w:t>
      </w:r>
    </w:p>
    <w:p w14:paraId="157482FC" w14:textId="358662C7" w:rsidR="00B439E0" w:rsidRPr="00C90607" w:rsidRDefault="00C90607" w:rsidP="00B439E0">
      <w:pPr>
        <w:jc w:val="both"/>
        <w:rPr>
          <w:rFonts w:ascii="Palatino Linotype" w:hAnsi="Palatino Linotype" w:cs="Times New Roman"/>
          <w:sz w:val="20"/>
          <w:szCs w:val="20"/>
          <w:lang w:val="en-US"/>
        </w:rPr>
      </w:pPr>
      <w:r w:rsidRPr="00C90607">
        <w:rPr>
          <w:rFonts w:ascii="Palatino Linotype" w:hAnsi="Palatino Linotype" w:cs="Times New Roman"/>
          <w:b/>
          <w:bCs/>
          <w:sz w:val="20"/>
          <w:szCs w:val="20"/>
          <w:lang w:val="en-US"/>
        </w:rPr>
        <w:t>Figure 4.</w:t>
      </w:r>
      <w:r w:rsidRPr="00C90607">
        <w:rPr>
          <w:rFonts w:ascii="Palatino Linotype" w:hAnsi="Palatino Linotype" w:cs="Times New Roman"/>
          <w:sz w:val="20"/>
          <w:szCs w:val="20"/>
          <w:lang w:val="en-US"/>
        </w:rPr>
        <w:t xml:space="preserve"> </w:t>
      </w:r>
      <w:r w:rsidR="00B439E0" w:rsidRPr="00C90607">
        <w:rPr>
          <w:rFonts w:ascii="Palatino Linotype" w:hAnsi="Palatino Linotype" w:cs="Times New Roman"/>
          <w:sz w:val="20"/>
          <w:szCs w:val="20"/>
          <w:lang w:val="en-US"/>
        </w:rPr>
        <w:t xml:space="preserve">Data related to incidental cancer development in different age groups, irrespective of location and histological type. </w:t>
      </w:r>
      <w:r w:rsidRPr="00C90607">
        <w:rPr>
          <w:rFonts w:ascii="Palatino Linotype" w:hAnsi="Palatino Linotype" w:cs="Times New Roman"/>
          <w:sz w:val="20"/>
          <w:szCs w:val="20"/>
          <w:lang w:val="en-US"/>
        </w:rPr>
        <w:t>(</w:t>
      </w:r>
      <w:r w:rsidRPr="00C90607">
        <w:rPr>
          <w:rFonts w:ascii="Palatino Linotype" w:hAnsi="Palatino Linotype" w:cs="Times New Roman"/>
          <w:b/>
          <w:bCs/>
          <w:sz w:val="20"/>
          <w:szCs w:val="20"/>
          <w:lang w:val="en-US"/>
        </w:rPr>
        <w:t>a</w:t>
      </w:r>
      <w:r w:rsidRPr="00C90607">
        <w:rPr>
          <w:rFonts w:ascii="Palatino Linotype" w:hAnsi="Palatino Linotype" w:cs="Times New Roman"/>
          <w:sz w:val="20"/>
          <w:szCs w:val="20"/>
          <w:lang w:val="en-US"/>
        </w:rPr>
        <w:t>)</w:t>
      </w:r>
      <w:r w:rsidR="00B439E0" w:rsidRPr="00C90607">
        <w:rPr>
          <w:rFonts w:ascii="Palatino Linotype" w:hAnsi="Palatino Linotype" w:cs="Times New Roman"/>
          <w:sz w:val="20"/>
          <w:szCs w:val="20"/>
          <w:lang w:val="en-US"/>
        </w:rPr>
        <w:t xml:space="preserve"> odds ratio of cases with T2DM vs. controls is shown for the total population, both males and females, respectively. </w:t>
      </w:r>
      <w:r w:rsidRPr="00C90607">
        <w:rPr>
          <w:rFonts w:ascii="Palatino Linotype" w:hAnsi="Palatino Linotype" w:cs="Times New Roman"/>
          <w:bCs/>
          <w:sz w:val="20"/>
          <w:szCs w:val="20"/>
          <w:lang w:val="en-US"/>
        </w:rPr>
        <w:t>(</w:t>
      </w:r>
      <w:r w:rsidRPr="00C90607">
        <w:rPr>
          <w:rFonts w:ascii="Palatino Linotype" w:hAnsi="Palatino Linotype" w:cs="Times New Roman"/>
          <w:b/>
          <w:sz w:val="20"/>
          <w:szCs w:val="20"/>
          <w:lang w:val="en-US"/>
        </w:rPr>
        <w:t>b</w:t>
      </w:r>
      <w:r w:rsidRPr="00C90607">
        <w:rPr>
          <w:rFonts w:ascii="Palatino Linotype" w:hAnsi="Palatino Linotype" w:cs="Times New Roman"/>
          <w:bCs/>
          <w:sz w:val="20"/>
          <w:szCs w:val="20"/>
          <w:lang w:val="en-US"/>
        </w:rPr>
        <w:t>)</w:t>
      </w:r>
      <w:r w:rsidR="00B439E0" w:rsidRPr="00C90607">
        <w:rPr>
          <w:rFonts w:ascii="Palatino Linotype" w:hAnsi="Palatino Linotype" w:cs="Times New Roman"/>
          <w:sz w:val="20"/>
          <w:szCs w:val="20"/>
          <w:lang w:val="en-US"/>
        </w:rPr>
        <w:t xml:space="preserve"> average annual percent changes in total cancer incidence in cases with T2DM and controls. Also here, data of the total population, as well as</w:t>
      </w:r>
      <w:r w:rsidRPr="00C90607">
        <w:rPr>
          <w:rFonts w:ascii="Palatino Linotype" w:hAnsi="Palatino Linotype" w:cs="Times New Roman"/>
          <w:sz w:val="20"/>
          <w:szCs w:val="20"/>
          <w:lang w:val="en-US"/>
        </w:rPr>
        <w:t xml:space="preserve"> m</w:t>
      </w:r>
      <w:r w:rsidR="00B439E0" w:rsidRPr="00C90607">
        <w:rPr>
          <w:rFonts w:ascii="Palatino Linotype" w:hAnsi="Palatino Linotype" w:cs="Times New Roman"/>
          <w:sz w:val="20"/>
          <w:szCs w:val="20"/>
          <w:lang w:val="en-US"/>
        </w:rPr>
        <w:t>ale and female cases are shown.</w:t>
      </w:r>
    </w:p>
    <w:p w14:paraId="1248C284" w14:textId="401723CB" w:rsidR="00C90607" w:rsidRPr="00C90607" w:rsidRDefault="00C90607" w:rsidP="00B439E0">
      <w:pPr>
        <w:jc w:val="both"/>
        <w:rPr>
          <w:rFonts w:ascii="Palatino Linotype" w:hAnsi="Palatino Linotype" w:cs="Times New Roman"/>
          <w:sz w:val="20"/>
          <w:szCs w:val="20"/>
          <w:lang w:val="en-US"/>
        </w:rPr>
      </w:pPr>
      <w:r w:rsidRPr="00C90607">
        <w:rPr>
          <w:rFonts w:ascii="Palatino Linotype" w:hAnsi="Palatino Linotype" w:cs="Times New Roman"/>
          <w:b/>
          <w:bCs/>
          <w:sz w:val="20"/>
          <w:szCs w:val="20"/>
          <w:lang w:val="en-US"/>
        </w:rPr>
        <w:t>Figure 5.</w:t>
      </w:r>
      <w:r w:rsidRPr="00C90607">
        <w:rPr>
          <w:rFonts w:ascii="Palatino Linotype" w:hAnsi="Palatino Linotype" w:cs="Times New Roman"/>
          <w:sz w:val="20"/>
          <w:szCs w:val="20"/>
          <w:lang w:val="en-US"/>
        </w:rPr>
        <w:t xml:space="preserve"> Cumulative frequency (crude, non-adjusted data) of different cancer types in non-diabetic controls and in cases with Type 2 diabetes. (</w:t>
      </w:r>
      <w:r w:rsidRPr="00C90607">
        <w:rPr>
          <w:rFonts w:ascii="Palatino Linotype" w:hAnsi="Palatino Linotype" w:cs="Times New Roman"/>
          <w:b/>
          <w:bCs/>
          <w:sz w:val="20"/>
          <w:szCs w:val="20"/>
          <w:lang w:val="en-US"/>
        </w:rPr>
        <w:t>a</w:t>
      </w:r>
      <w:r w:rsidRPr="00C90607">
        <w:rPr>
          <w:rFonts w:ascii="Palatino Linotype" w:hAnsi="Palatino Linotype" w:cs="Times New Roman"/>
          <w:sz w:val="20"/>
          <w:szCs w:val="20"/>
          <w:lang w:val="en-US"/>
        </w:rPr>
        <w:t>) total data, (</w:t>
      </w:r>
      <w:r w:rsidRPr="00C90607">
        <w:rPr>
          <w:rFonts w:ascii="Palatino Linotype" w:hAnsi="Palatino Linotype" w:cs="Times New Roman"/>
          <w:b/>
          <w:bCs/>
          <w:sz w:val="20"/>
          <w:szCs w:val="20"/>
          <w:lang w:val="en-US"/>
        </w:rPr>
        <w:t>b</w:t>
      </w:r>
      <w:r w:rsidRPr="00C90607">
        <w:rPr>
          <w:rFonts w:ascii="Palatino Linotype" w:hAnsi="Palatino Linotype" w:cs="Times New Roman"/>
          <w:sz w:val="20"/>
          <w:szCs w:val="20"/>
          <w:lang w:val="en-US"/>
        </w:rPr>
        <w:t>) cancer site distribution in males, (</w:t>
      </w:r>
      <w:r w:rsidRPr="00C90607">
        <w:rPr>
          <w:rFonts w:ascii="Palatino Linotype" w:hAnsi="Palatino Linotype" w:cs="Times New Roman"/>
          <w:b/>
          <w:bCs/>
          <w:sz w:val="20"/>
          <w:szCs w:val="20"/>
          <w:lang w:val="en-US"/>
        </w:rPr>
        <w:t>c</w:t>
      </w:r>
      <w:r w:rsidRPr="00C90607">
        <w:rPr>
          <w:rFonts w:ascii="Palatino Linotype" w:hAnsi="Palatino Linotype" w:cs="Times New Roman"/>
          <w:sz w:val="20"/>
          <w:szCs w:val="20"/>
          <w:lang w:val="en-US"/>
        </w:rPr>
        <w:t>) cancer site distribution in female patients</w:t>
      </w:r>
    </w:p>
    <w:p w14:paraId="31D1C88D" w14:textId="69B07CF2" w:rsidR="00B439E0" w:rsidRPr="00C90607" w:rsidRDefault="00B439E0" w:rsidP="00B439E0">
      <w:pPr>
        <w:jc w:val="both"/>
        <w:rPr>
          <w:rFonts w:ascii="Palatino Linotype" w:hAnsi="Palatino Linotype" w:cs="Times New Roman"/>
          <w:sz w:val="20"/>
          <w:szCs w:val="20"/>
          <w:lang w:val="en-US"/>
        </w:rPr>
      </w:pPr>
      <w:r w:rsidRPr="00C90607">
        <w:rPr>
          <w:rFonts w:ascii="Palatino Linotype" w:hAnsi="Palatino Linotype" w:cs="Times New Roman"/>
          <w:b/>
          <w:bCs/>
          <w:sz w:val="20"/>
          <w:szCs w:val="20"/>
          <w:lang w:val="en-US"/>
        </w:rPr>
        <w:t xml:space="preserve">Figure </w:t>
      </w:r>
      <w:r w:rsidR="00C90607" w:rsidRPr="00C90607">
        <w:rPr>
          <w:rFonts w:ascii="Palatino Linotype" w:hAnsi="Palatino Linotype" w:cs="Times New Roman"/>
          <w:b/>
          <w:bCs/>
          <w:sz w:val="20"/>
          <w:szCs w:val="20"/>
          <w:lang w:val="en-US"/>
        </w:rPr>
        <w:t>6</w:t>
      </w:r>
      <w:r w:rsidRPr="00C90607">
        <w:rPr>
          <w:rFonts w:ascii="Palatino Linotype" w:hAnsi="Palatino Linotype" w:cs="Times New Roman"/>
          <w:b/>
          <w:bCs/>
          <w:sz w:val="20"/>
          <w:szCs w:val="20"/>
          <w:lang w:val="en-US"/>
        </w:rPr>
        <w:t>.</w:t>
      </w:r>
      <w:r w:rsidRPr="00C90607">
        <w:rPr>
          <w:rFonts w:ascii="Palatino Linotype" w:hAnsi="Palatino Linotype" w:cs="Times New Roman"/>
          <w:sz w:val="20"/>
          <w:szCs w:val="20"/>
          <w:lang w:val="en-US"/>
        </w:rPr>
        <w:t xml:space="preserve"> Odds ratio of development of cancer in T2DM cases compared to controls. Detailed data for individual cancer sites are shown. The panel shows data for the total population, for a male-to-female comparison as well as comparison of 18-59 vs. 60+ age groups.</w:t>
      </w:r>
    </w:p>
    <w:p w14:paraId="58079C3E" w14:textId="16F5C308" w:rsidR="00B439E0" w:rsidRPr="00C90607" w:rsidRDefault="00B439E0" w:rsidP="00B439E0">
      <w:pPr>
        <w:jc w:val="both"/>
        <w:rPr>
          <w:rFonts w:ascii="Palatino Linotype" w:hAnsi="Palatino Linotype" w:cs="Times New Roman"/>
          <w:sz w:val="20"/>
          <w:szCs w:val="20"/>
          <w:lang w:val="en-US"/>
        </w:rPr>
      </w:pPr>
      <w:r w:rsidRPr="00C90607">
        <w:rPr>
          <w:rFonts w:ascii="Palatino Linotype" w:hAnsi="Palatino Linotype" w:cs="Times New Roman"/>
          <w:b/>
          <w:bCs/>
          <w:sz w:val="20"/>
          <w:szCs w:val="20"/>
          <w:lang w:val="en-US"/>
        </w:rPr>
        <w:t xml:space="preserve">Figure </w:t>
      </w:r>
      <w:r w:rsidR="00C90607" w:rsidRPr="00C90607">
        <w:rPr>
          <w:rFonts w:ascii="Palatino Linotype" w:hAnsi="Palatino Linotype" w:cs="Times New Roman"/>
          <w:b/>
          <w:bCs/>
          <w:sz w:val="20"/>
          <w:szCs w:val="20"/>
          <w:lang w:val="en-US"/>
        </w:rPr>
        <w:t>7</w:t>
      </w:r>
      <w:r w:rsidRPr="00C90607">
        <w:rPr>
          <w:rFonts w:ascii="Palatino Linotype" w:hAnsi="Palatino Linotype" w:cs="Times New Roman"/>
          <w:b/>
          <w:bCs/>
          <w:sz w:val="20"/>
          <w:szCs w:val="20"/>
          <w:lang w:val="en-US"/>
        </w:rPr>
        <w:t>.</w:t>
      </w:r>
      <w:r w:rsidRPr="00C90607">
        <w:rPr>
          <w:rFonts w:ascii="Palatino Linotype" w:hAnsi="Palatino Linotype" w:cs="Times New Roman"/>
          <w:sz w:val="20"/>
          <w:szCs w:val="20"/>
          <w:lang w:val="en-US"/>
        </w:rPr>
        <w:t xml:space="preserve"> Average annual percent changes in incidence for individual cancer types in cases with T2DM and in controls. Detailed data for individual cancer sites. Data for the total population, for a male-to-female comparison as well as comparison of 18-59 vs. 60+ age groups are shown.</w:t>
      </w:r>
    </w:p>
    <w:p w14:paraId="04325BCF" w14:textId="1CE26CD7" w:rsidR="00B439E0" w:rsidRPr="00C90607" w:rsidRDefault="00C90607">
      <w:pPr>
        <w:rPr>
          <w:rFonts w:ascii="Palatino Linotype" w:hAnsi="Palatino Linotype"/>
          <w:sz w:val="20"/>
          <w:szCs w:val="20"/>
          <w:lang w:val="en-US"/>
        </w:rPr>
      </w:pPr>
      <w:r w:rsidRPr="00C90607">
        <w:rPr>
          <w:rFonts w:ascii="Palatino Linotype" w:hAnsi="Palatino Linotype"/>
          <w:b/>
          <w:bCs/>
          <w:sz w:val="20"/>
          <w:szCs w:val="20"/>
          <w:lang w:val="en-US"/>
        </w:rPr>
        <w:t>Figure 8.</w:t>
      </w:r>
      <w:r w:rsidRPr="00C90607">
        <w:rPr>
          <w:rFonts w:ascii="Palatino Linotype" w:hAnsi="Palatino Linotype"/>
          <w:sz w:val="20"/>
          <w:szCs w:val="20"/>
          <w:lang w:val="en-US"/>
        </w:rPr>
        <w:t xml:space="preserve"> Age distribution of site-specific incident cancer types in non-diabetic controls and in patients with type 2 diabetes mellitus. Cancer sites are ordered according to the relative frequency of the 18-39</w:t>
      </w:r>
      <w:r w:rsidR="00CB5019">
        <w:rPr>
          <w:rFonts w:ascii="Palatino Linotype" w:hAnsi="Palatino Linotype"/>
          <w:sz w:val="20"/>
          <w:szCs w:val="20"/>
          <w:lang w:val="en-US"/>
        </w:rPr>
        <w:t>-</w:t>
      </w:r>
      <w:r w:rsidRPr="00C90607">
        <w:rPr>
          <w:rFonts w:ascii="Palatino Linotype" w:hAnsi="Palatino Linotype"/>
          <w:sz w:val="20"/>
          <w:szCs w:val="20"/>
          <w:lang w:val="en-US"/>
        </w:rPr>
        <w:t>year-old group in non-diabetic controls.</w:t>
      </w:r>
    </w:p>
    <w:sectPr w:rsidR="00B439E0" w:rsidRPr="00C906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9E0"/>
    <w:rsid w:val="00B439E0"/>
    <w:rsid w:val="00C90607"/>
    <w:rsid w:val="00CB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87324"/>
  <w15:chartTrackingRefBased/>
  <w15:docId w15:val="{4A4487D0-0724-40C1-B2FB-90CFC70AC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439E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267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M</dc:creator>
  <cp:keywords/>
  <dc:description/>
  <cp:lastModifiedBy>Bosnyák-Horváth Viktória</cp:lastModifiedBy>
  <cp:revision>3</cp:revision>
  <dcterms:created xsi:type="dcterms:W3CDTF">2024-02-16T00:14:00Z</dcterms:created>
  <dcterms:modified xsi:type="dcterms:W3CDTF">2024-02-19T10:01:00Z</dcterms:modified>
</cp:coreProperties>
</file>