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E2AC" w14:textId="77777777" w:rsidR="00190DBA" w:rsidRDefault="00190DBA" w:rsidP="00190DBA">
      <w:pPr>
        <w:pStyle w:val="MDPI21heading1"/>
      </w:pPr>
      <w:bookmarkStart w:id="0" w:name="_GoBack"/>
      <w:bookmarkEnd w:id="0"/>
      <w:r w:rsidRPr="00613B31">
        <w:t xml:space="preserve">Appendix </w:t>
      </w:r>
      <w:r>
        <w:t>S1</w:t>
      </w:r>
    </w:p>
    <w:p w14:paraId="4EE5B441" w14:textId="77777777" w:rsidR="00190DBA" w:rsidRDefault="00190DBA" w:rsidP="00190DBA">
      <w:pPr>
        <w:pStyle w:val="MDPI52figure"/>
        <w:rPr>
          <w:szCs w:val="18"/>
        </w:rPr>
      </w:pPr>
      <w:r>
        <w:rPr>
          <w:lang w:val="fr-FR" w:eastAsia="fr-FR"/>
        </w:rPr>
        <w:drawing>
          <wp:inline distT="0" distB="0" distL="0" distR="0" wp14:anchorId="21689DE6" wp14:editId="457E56CC">
            <wp:extent cx="3877056" cy="3419736"/>
            <wp:effectExtent l="0" t="0" r="9525" b="0"/>
            <wp:docPr id="612267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67982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" b="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056" cy="3419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40FE4C" w14:textId="1871CAA5" w:rsidR="00190DBA" w:rsidRPr="00F65FDE" w:rsidRDefault="00190DBA" w:rsidP="00190DBA">
      <w:pPr>
        <w:pStyle w:val="MDPI51figurecaption"/>
        <w:ind w:left="425" w:right="425"/>
        <w:jc w:val="both"/>
        <w:rPr>
          <w:b/>
          <w:i/>
          <w:snapToGrid w:val="0"/>
        </w:rPr>
      </w:pPr>
      <w:r w:rsidRPr="00190DBA">
        <w:rPr>
          <w:b/>
          <w:iCs/>
          <w:snapToGrid w:val="0"/>
        </w:rPr>
        <w:t xml:space="preserve">Figure S1. </w:t>
      </w:r>
      <w:r w:rsidRPr="00837F09">
        <w:rPr>
          <w:b/>
          <w:iCs/>
          <w:snapToGrid w:val="0"/>
        </w:rPr>
        <w:t>Nanopore and Illumina relative frequency at level 6</w:t>
      </w:r>
      <w:r w:rsidRPr="00F65FDE">
        <w:rPr>
          <w:b/>
          <w:i/>
          <w:snapToGrid w:val="0"/>
        </w:rPr>
        <w:t>.</w:t>
      </w:r>
      <w:r w:rsidRPr="00F65FDE">
        <w:t xml:space="preserve"> </w:t>
      </w:r>
      <w:r w:rsidRPr="00F65FDE">
        <w:rPr>
          <w:snapToGrid w:val="0"/>
        </w:rPr>
        <w:t xml:space="preserve">The alignment identity of Nanopore sequencing reads to Silva database is shown. A dashed red line represents </w:t>
      </w:r>
      <w:proofErr w:type="gramStart"/>
      <w:r w:rsidRPr="00F65FDE">
        <w:rPr>
          <w:snapToGrid w:val="0"/>
        </w:rPr>
        <w:t>minimum</w:t>
      </w:r>
      <w:proofErr w:type="gramEnd"/>
      <w:r w:rsidRPr="00F65FDE">
        <w:rPr>
          <w:snapToGrid w:val="0"/>
        </w:rPr>
        <w:t xml:space="preserve"> identity threshold used for filtering hits.</w:t>
      </w:r>
    </w:p>
    <w:p w14:paraId="149CB6AC" w14:textId="77777777" w:rsidR="00055DDB" w:rsidRPr="00E06592" w:rsidRDefault="00055DDB" w:rsidP="00325C08"/>
    <w:sectPr w:rsidR="00055DDB" w:rsidRPr="00E06592" w:rsidSect="00D16AC5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2321" w14:textId="77777777" w:rsidR="00D16AC5" w:rsidRDefault="00D16AC5" w:rsidP="00C1340D">
      <w:r>
        <w:separator/>
      </w:r>
    </w:p>
  </w:endnote>
  <w:endnote w:type="continuationSeparator" w:id="0">
    <w:p w14:paraId="54F05872" w14:textId="77777777" w:rsidR="00D16AC5" w:rsidRDefault="00D16AC5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D605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40013118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08C54974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C660" w14:textId="77777777" w:rsidR="00D16AC5" w:rsidRDefault="00D16AC5" w:rsidP="00C1340D">
      <w:r>
        <w:separator/>
      </w:r>
    </w:p>
  </w:footnote>
  <w:footnote w:type="continuationSeparator" w:id="0">
    <w:p w14:paraId="4D7E6F99" w14:textId="77777777" w:rsidR="00D16AC5" w:rsidRDefault="00D16AC5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15ED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D81A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BA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DBA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DC"/>
    <w:rsid w:val="00580CA8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AC5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7A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3EC827"/>
  <w15:chartTrackingRefBased/>
  <w15:docId w15:val="{5CA60ED3-8665-4AF8-AD92-BFA08737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2024-02-12T08:25:00Z</dcterms:created>
  <dcterms:modified xsi:type="dcterms:W3CDTF">2024-02-12T08:25:00Z</dcterms:modified>
</cp:coreProperties>
</file>