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6B3E8" w14:textId="6AB0A1DD" w:rsidR="0038477E" w:rsidRPr="005342A5" w:rsidRDefault="005D790F" w:rsidP="0038477E">
      <w:pPr>
        <w:pStyle w:val="Heading2"/>
        <w:rPr>
          <w:rFonts w:asciiTheme="minorHAnsi" w:hAnsiTheme="minorHAnsi" w:cstheme="minorHAnsi"/>
          <w:b/>
          <w:color w:val="auto"/>
          <w:lang w:val="en-US"/>
        </w:rPr>
      </w:pPr>
      <w:bookmarkStart w:id="0" w:name="_Hlk105422945"/>
      <w:r>
        <w:rPr>
          <w:rFonts w:asciiTheme="minorHAnsi" w:hAnsiTheme="minorHAnsi" w:cstheme="minorHAnsi"/>
          <w:b/>
          <w:color w:val="auto"/>
          <w:lang w:val="en-US"/>
        </w:rPr>
        <w:t>Supplementary Material</w:t>
      </w:r>
      <w:r w:rsidR="009C32EC" w:rsidRPr="005342A5">
        <w:rPr>
          <w:rFonts w:asciiTheme="minorHAnsi" w:hAnsiTheme="minorHAnsi" w:cstheme="minorHAnsi"/>
          <w:b/>
          <w:color w:val="auto"/>
          <w:lang w:val="en-US"/>
        </w:rPr>
        <w:t xml:space="preserve"> </w:t>
      </w:r>
    </w:p>
    <w:p w14:paraId="2030ABA4" w14:textId="77777777" w:rsidR="0038477E" w:rsidRPr="005342A5" w:rsidRDefault="0038477E" w:rsidP="0038477E">
      <w:pPr>
        <w:rPr>
          <w:lang w:val="en-US"/>
        </w:rPr>
      </w:pPr>
    </w:p>
    <w:p w14:paraId="69F40A97" w14:textId="51D2F73E" w:rsidR="00E02FDF" w:rsidRPr="005342A5" w:rsidRDefault="00E02FDF" w:rsidP="00E02FDF">
      <w:pPr>
        <w:pStyle w:val="Heading2"/>
        <w:numPr>
          <w:ilvl w:val="0"/>
          <w:numId w:val="21"/>
        </w:numPr>
        <w:rPr>
          <w:b/>
          <w:bCs/>
          <w:color w:val="auto"/>
          <w:lang w:val="en-US"/>
        </w:rPr>
      </w:pPr>
      <w:r w:rsidRPr="005342A5">
        <w:rPr>
          <w:b/>
          <w:bCs/>
          <w:color w:val="auto"/>
          <w:lang w:val="en-US"/>
        </w:rPr>
        <w:t>General description</w:t>
      </w:r>
    </w:p>
    <w:p w14:paraId="33FCF7E2" w14:textId="24443B51" w:rsidR="00B91160" w:rsidRPr="00CF6570" w:rsidRDefault="0038477E" w:rsidP="0038477E">
      <w:pPr>
        <w:rPr>
          <w:lang w:val="en-US"/>
        </w:rPr>
      </w:pPr>
      <w:r w:rsidRPr="005342A5">
        <w:rPr>
          <w:lang w:val="en-US"/>
        </w:rPr>
        <w:t>The current document describes a</w:t>
      </w:r>
      <w:r w:rsidR="00B91160" w:rsidRPr="005342A5">
        <w:rPr>
          <w:lang w:val="en-US"/>
        </w:rPr>
        <w:t xml:space="preserve"> </w:t>
      </w:r>
      <w:r w:rsidR="008D3817" w:rsidRPr="005342A5">
        <w:rPr>
          <w:lang w:val="en-US"/>
        </w:rPr>
        <w:t>network</w:t>
      </w:r>
      <w:r w:rsidR="00B91160" w:rsidRPr="005342A5">
        <w:rPr>
          <w:lang w:val="en-US"/>
        </w:rPr>
        <w:t>-based</w:t>
      </w:r>
      <w:r w:rsidRPr="005342A5">
        <w:rPr>
          <w:lang w:val="en-US"/>
        </w:rPr>
        <w:t xml:space="preserve"> model for </w:t>
      </w:r>
      <w:r w:rsidR="00EA0A5F">
        <w:rPr>
          <w:lang w:val="en-US"/>
        </w:rPr>
        <w:t xml:space="preserve">estimating the duration of partnerships among </w:t>
      </w:r>
      <w:r w:rsidRPr="005342A5">
        <w:rPr>
          <w:lang w:val="en-US"/>
        </w:rPr>
        <w:t>men who have sex with men (MSM) and the modules accompanying it. The whole project is developed as an extension of the EpiModel platform (</w:t>
      </w:r>
      <w:hyperlink r:id="rId8" w:history="1">
        <w:r w:rsidRPr="005342A5">
          <w:rPr>
            <w:lang w:val="en-US"/>
          </w:rPr>
          <w:t>https://www.epimodel.org/</w:t>
        </w:r>
      </w:hyperlink>
      <w:r w:rsidRPr="005342A5">
        <w:rPr>
          <w:lang w:val="en-US"/>
        </w:rPr>
        <w:t>)</w:t>
      </w:r>
      <w:r w:rsidR="00EA0A5F">
        <w:rPr>
          <w:lang w:val="en-US"/>
        </w:rPr>
        <w:t>. T</w:t>
      </w:r>
      <w:r w:rsidRPr="005342A5">
        <w:rPr>
          <w:lang w:val="en-US"/>
        </w:rPr>
        <w:t>he current project uses the statistical framework of separable temporal exponential-family random graph models</w:t>
      </w:r>
      <w:r w:rsidR="00B91160" w:rsidRPr="005342A5">
        <w:rPr>
          <w:lang w:val="en-US"/>
        </w:rPr>
        <w:t xml:space="preserve"> (STERGMs)</w:t>
      </w:r>
      <w:r w:rsidRPr="005342A5">
        <w:rPr>
          <w:lang w:val="en-US"/>
        </w:rPr>
        <w:t xml:space="preserve"> to fit and simulate dynamic networks</w:t>
      </w:r>
      <w:r w:rsidR="009C5A52">
        <w:rPr>
          <w:lang w:val="en-US"/>
        </w:rPr>
        <w:fldChar w:fldCharType="begin" w:fldLock="1"/>
      </w:r>
      <w:r w:rsidR="00CA43B3">
        <w:rPr>
          <w:lang w:val="en-US"/>
        </w:rPr>
        <w:instrText>ADDIN CSL_CITATION {"citationItems":[{"id":"ITEM-1","itemData":{"DOI":"10.1111/rssb.12014","ISSN":"13697412","abstract":"Models of dynamic networks-networks that evolve over time-have manifold applications. We develop a discrete time generative model for social network evolution that inherits the richness and flexibility of the class of exponential family random-graph models. The model-a separable temporal exponential family random-graph model-facilitates separable modelling of the tie duration distributions and the structural dynamics of tie formation. We develop likelihood-based inference for the model and provide computational algorithms for maximum likelihood estimation. We illustrate the interpretability of the model in analysing a longitudinal network of friendship ties within a school. © 2013 Royal Statistical Society.","author":[{"dropping-particle":"","family":"Krivitsky","given":"Pavel N.","non-dropping-particle":"","parse-names":false,"suffix":""},{"dropping-particle":"","family":"Handcock","given":"Mark S.","non-dropping-particle":"","parse-names":false,"suffix":""}],"container-title":"Journal of the Royal Statistical Society. Series B: Statistical Methodology","id":"ITEM-1","issue":"1","issued":{"date-parts":[["2014"]]},"page":"29-46","title":"A separable model for dynamic networks","type":"article-journal","volume":"76"},"uris":["http://www.mendeley.com/documents/?uuid=1f57e140-ee66-4735-92dd-310b8dcbd359"]},{"id":"ITEM-2","itemData":{"DOI":"10.18637/jss.v024.i03","ISSN":"15487660","PMID":"19756229","abstract":"We describe some of the capabilities of the ergm package and the statistical theory underlying it. This package contains tools for accomplishing three important, and interrelated, tasks involving exponential-family random graph models (ERGMs): estimation, simulation, and goodness of fit. More precisely, ergm has the capability of approximating a maximum likelihood estimator for an ERGM given a network data set; simulating new network data sets from a fitted ERGM using Markov chain Monte Carlo; and assessing how well a fitted ERGM does at capturing characteristics of a particular network data set.","author":[{"dropping-particle":"","family":"Hunter","given":"David R.","non-dropping-particle":"","parse-names":false,"suffix":""},{"dropping-particle":"","family":"Handcock","given":"Mark S.","non-dropping-particle":"","parse-names":false,"suffix":""},{"dropping-particle":"","family":"Butts","given":"Carter T.","non-dropping-particle":"","parse-names":false,"suffix":""},{"dropping-particle":"","family":"Goodreau","given":"Steven M.","non-dropping-particle":"","parse-names":false,"suffix":""},{"dropping-particle":"","family":"Morris","given":"Martina","non-dropping-particle":"","parse-names":false,"suffix":""}],"container-title":"Journal of Statistical Software","id":"ITEM-2","issue":"3","issued":{"date-parts":[["2008"]]},"page":"1-29","title":"ergm: A package to fit, simulate and diagnose exponential-family models for networks","type":"article-journal","volume":"24"},"uris":["http://www.mendeley.com/documents/?uuid=fa439736-067c-4b30-b2e4-c50d3597bdff"]}],"mendeley":{"formattedCitation":"&lt;sup&gt;1,2&lt;/sup&gt;","plainTextFormattedCitation":"1,2","previouslyFormattedCitation":"&lt;sup&gt;1,2&lt;/sup&gt;"},"properties":{"noteIndex":0},"schema":"https://github.com/citation-style-language/schema/raw/master/csl-citation.json"}</w:instrText>
      </w:r>
      <w:r w:rsidR="009C5A52">
        <w:rPr>
          <w:lang w:val="en-US"/>
        </w:rPr>
        <w:fldChar w:fldCharType="separate"/>
      </w:r>
      <w:r w:rsidR="009C5A52" w:rsidRPr="009C5A52">
        <w:rPr>
          <w:noProof/>
          <w:vertAlign w:val="superscript"/>
          <w:lang w:val="en-US"/>
        </w:rPr>
        <w:t>1,2</w:t>
      </w:r>
      <w:r w:rsidR="009C5A52">
        <w:rPr>
          <w:lang w:val="en-US"/>
        </w:rPr>
        <w:fldChar w:fldCharType="end"/>
      </w:r>
      <w:r w:rsidRPr="005342A5">
        <w:rPr>
          <w:lang w:val="en-US"/>
        </w:rPr>
        <w:t xml:space="preserve">. </w:t>
      </w:r>
      <w:r w:rsidR="003053C5" w:rsidRPr="005342A5">
        <w:rPr>
          <w:lang w:val="en-US"/>
        </w:rPr>
        <w:t>The framework has been extensively described in Goodreau</w:t>
      </w:r>
      <w:r w:rsidR="00F32E41" w:rsidRPr="005342A5">
        <w:rPr>
          <w:lang w:val="en-US"/>
        </w:rPr>
        <w:t xml:space="preserve"> et al</w:t>
      </w:r>
      <w:r w:rsidR="00996386" w:rsidRPr="005342A5">
        <w:rPr>
          <w:lang w:val="en-US"/>
        </w:rPr>
        <w:fldChar w:fldCharType="begin" w:fldLock="1"/>
      </w:r>
      <w:r w:rsidR="00CA43B3">
        <w:rPr>
          <w:lang w:val="en-US"/>
        </w:rPr>
        <w:instrText>ADDIN CSL_CITATION {"citationItems":[{"id":"ITEM-1","itemData":{"DOI":"10.1371/journal.pone.0050522","ISSN":"19326203","PMID":"23209768","abstract":"In this work, we estimate the proportions of transmissions occurring in main vs. casual partnerships, and by the sexual role, infection stage, and testing and treatment history of the infected partner, for men who have sex with men (MSM) in the US and Peru. We use dynamic, stochastic models based in exponential random graph models (ERGMs), obtaining inputs from multiple large-scale MSM surveys. Parallel main partnership and casual sexual networks are simulated. Each man is characterized by age, race, circumcision status, sexual role behavior, and propensity for unprotected anal intercourse (UAI); his history is modeled from entry into the adult population, with potential transitions including HIV infection, detection, treatment, AIDS diagnosis, and death. We implemented two model variants differing in assumptions about acute infectiousness, and assessed sensitivity to other key inputs. Our two models suggested that only 4-5% (Model 1) or 22-29% (Model 2) of HIV transmission results from contacts with acute-stage partners; the plurality (80-81% and 49%, respectively) stem from chronic-stage partners and the remainder (14-16% and 27-35%, respectively) from AIDS-stage partners. Similar proportions of infections stem from partners whose infection is undiagnosed (24-31%), diagnosed but untreated (36-46%), and currently being treated (30-36%). Roughly one-third of infections (32-39%) occur within main partnerships. Results by country were qualitatively similar, despite key behavioral differences; one exception was that transmission from the receptive to insertive partner appears more important in Peru (34%) than the US (21%). The broad balance in transmission contexts suggests that education about risk, careful assessment, pre-exposure prophylaxis, more frequent testing, earlier treatment, and risk-reduction, disclosure, and adherence counseling may all contribute substantially to reducing the HIV incidence among MSM in the US and Peru. © 2012 Goodreau et al.","author":[{"dropping-particle":"","family":"Goodreau","given":"Steven M.","non-dropping-particle":"","parse-names":false,"suffix":""},{"dropping-particle":"","family":"Carnegie","given":"Nicole B.","non-dropping-particle":"","parse-names":false,"suffix":""},{"dropping-particle":"","family":"Vittinghoff","given":"Eric","non-dropping-particle":"","parse-names":false,"suffix":""},{"dropping-particle":"","family":"Lama","given":"Javier R.","non-dropping-particle":"","parse-names":false,"suffix":""},{"dropping-particle":"","family":"Sanchez","given":"Jorge","non-dropping-particle":"","parse-names":false,"suffix":""},{"dropping-particle":"","family":"Grinsztejn","given":"Beatriz","non-dropping-particle":"","parse-names":false,"suffix":""},{"dropping-particle":"","family":"Koblin","given":"Beryl A.","non-dropping-particle":"","parse-names":false,"suffix":""},{"dropping-particle":"","family":"Mayer","given":"Kenneth H.","non-dropping-particle":"","parse-names":false,"suffix":""},{"dropping-particle":"","family":"Buchbinder","given":"Susan P.","non-dropping-particle":"","parse-names":false,"suffix":""}],"container-title":"PLoS ONE","id":"ITEM-1","issue":"11","issued":{"date-parts":[["2012"]]},"title":"What Drives the US and Peruvian HIV Epidemics in Men Who Have Sex with Men (MSM)?","type":"article-journal","volume":"7"},"uris":["http://www.mendeley.com/documents/?uuid=e1fe2720-48a0-4afd-9317-673d1e7c4791"]}],"mendeley":{"formattedCitation":"&lt;sup&gt;3&lt;/sup&gt;","plainTextFormattedCitation":"3","previouslyFormattedCitation":"&lt;sup&gt;3&lt;/sup&gt;"},"properties":{"noteIndex":0},"schema":"https://github.com/citation-style-language/schema/raw/master/csl-citation.json"}</w:instrText>
      </w:r>
      <w:r w:rsidR="00996386" w:rsidRPr="005342A5">
        <w:rPr>
          <w:lang w:val="en-US"/>
        </w:rPr>
        <w:fldChar w:fldCharType="separate"/>
      </w:r>
      <w:r w:rsidR="009C5A52" w:rsidRPr="009C5A52">
        <w:rPr>
          <w:noProof/>
          <w:vertAlign w:val="superscript"/>
          <w:lang w:val="en-US"/>
        </w:rPr>
        <w:t>3</w:t>
      </w:r>
      <w:r w:rsidR="00996386" w:rsidRPr="005342A5">
        <w:rPr>
          <w:lang w:val="en-US"/>
        </w:rPr>
        <w:fldChar w:fldCharType="end"/>
      </w:r>
      <w:r w:rsidR="00996386" w:rsidRPr="005342A5">
        <w:rPr>
          <w:lang w:val="en-US"/>
        </w:rPr>
        <w:t xml:space="preserve"> and</w:t>
      </w:r>
      <w:r w:rsidR="003053C5" w:rsidRPr="005342A5">
        <w:rPr>
          <w:lang w:val="en-US"/>
        </w:rPr>
        <w:t xml:space="preserve"> Jenness</w:t>
      </w:r>
      <w:r w:rsidR="00996386" w:rsidRPr="005342A5">
        <w:rPr>
          <w:lang w:val="en-US"/>
        </w:rPr>
        <w:t xml:space="preserve"> et al</w:t>
      </w:r>
      <w:r w:rsidR="00996386" w:rsidRPr="005342A5">
        <w:rPr>
          <w:lang w:val="en-US"/>
        </w:rPr>
        <w:fldChar w:fldCharType="begin" w:fldLock="1"/>
      </w:r>
      <w:r w:rsidR="00CA43B3">
        <w:rPr>
          <w:lang w:val="en-US"/>
        </w:rPr>
        <w:instrText>ADDIN CSL_CITATION {"citationItems":[{"id":"ITEM-1","itemData":{"DOI":"10.1093/infdis/jiw223","ISSN":"15376613","PMID":"27418048","abstract":"Background. Preexposure prophylaxis (PrEP) is effective for preventing human immunodeficiency virus (HIV) infection among men who have sex with men (MSM) within trial settings. Population impact will depend on clinical indications for PrEP initiation, coverage levels, and drug adherence. No modeling studies have estimated the impact of clinical practice guidelines for PrEP issued by the Centers for Disease Control and Prevention (CDC). Methods. Mathematical models of HIV transmission among MSM were used to estimate the percentage of infections averted (PIA) and the number needed to treat (NNT) under behavioral indications of the CDC's PrEP guidelines. We modeled the contribution of these indications while varying treatment coverage and adherence. Results. At 40% coverage of indicated MSM over the next decade, application of CDC guidelines would avert 1162 infections per 100 000 person-years, 33.0% of expected infections. The predicted NNT for the guidelines would be 25. Increasing coverage and adherence jointly raise the PIA, but reductions to the NNT were associated with better adherence only. Conclusions. Implementation of CDC PrEP guidelines would result in strong and sustained reductions in HIV incidence among MSM in the United States. The guidelines strike a good balance between epidemiological impact (PIA) and efficiency (NNT) at plausible scale-up levels. Adherence counseling could maximize public health investment in PrEP by decreasing the NNT.","author":[{"dropping-particle":"","family":"Jenness","given":"Samuel M.","non-dropping-particle":"","parse-names":false,"suffix":""},{"dropping-particle":"","family":"Goodreau","given":"Steven M.","non-dropping-particle":"","parse-names":false,"suffix":""},{"dropping-particle":"","family":"Rosenberg","given":"Eli","non-dropping-particle":"","parse-names":false,"suffix":""},{"dropping-particle":"","family":"Beylerian","given":"Emily N.","non-dropping-particle":"","parse-names":false,"suffix":""},{"dropping-particle":"","family":"Hoover","given":"Karen W.","non-dropping-particle":"","parse-names":false,"suffix":""},{"dropping-particle":"","family":"Smith","given":"Dawn K.","non-dropping-particle":"","parse-names":false,"suffix":""},{"dropping-particle":"","family":"Sullivan","given":"Patrick","non-dropping-particle":"","parse-names":false,"suffix":""}],"container-title":"Journal of Infectious Diseases","id":"ITEM-1","issue":"12","issued":{"date-parts":[["2016"]]},"page":"1800-1807","title":"Impact of the centers for disease control's HIV preexposure prophylaxis guidelines for men who have sex with men in the United States","type":"article-journal","volume":"214"},"uris":["http://www.mendeley.com/documents/?uuid=694050ef-97f4-4ceb-a1ef-d631e55ac98d"]},{"id":"ITEM-2","itemData":{"DOI":"10.1093/cid/cix439","ISSN":"15376591","PMID":"28505240","abstract":"Background. Preexposure prophylaxis (PrEP) is highly effective for preventing human immunodeficiency virus (HIV) infection, but risk compensation (RC) in men who have sex with men (MSM) raises concerns about increased sexually transmitted infections (STIs). The Center for Disease Control and Prevention's (CDC's) PrEP guidelines recommend biannual STI screening, which may reduce incidence by treating STIs that would otherwise remain undiagnosed. We investigated these two counteracting phenomena. Methods. With a network-based mathematical model of HIV, Neisseria gonorrhoeae (NG), and Chlamydia trachomatis (CT) transmission dynamics among MSM in the United States, we simulated PrEP uptake following the prescription indications and HIV/ STI screening recommendations in the CDC guidelines. Scenarios varied PrEP coverage (the proportion of MSM indicated for PrEP who received it), RC (a reduction in the per-act probability of condom use), and the STI screening interval. Results. In our reference scenario (40% coverage, 40% RC), 42% of NG and 40% of CT infections would be averted over the next decade. A doubling of RC would still result in net STI prevention relative to no PrEP. STIs declined because PrEP-related STI screening resulted in a 17% and 16% absolute increase in the treatment of asymptomatic and rectal STIs, respectively. Screening and timely treatment at quarterly vs biannual intervals would reduce STI incidence an additional 50%. Conclusions. Implementation of the CDC PrEP guidelines while scaling up PrEP coverage could result in a significant decline in STI incidence among MSM. Our study highlights the design of PrEP not only as antiretroviral medication but as combination HIV/ STI prevention incorporating STI screening.","author":[{"dropping-particle":"","family":"Jenness","given":"Samuel M.","non-dropping-particle":"","parse-names":false,"suffix":""},{"dropping-particle":"","family":"Weiss","given":"Kevin M.","non-dropping-particle":"","parse-names":false,"suffix":""},{"dropping-particle":"","family":"Goodreau","given":"Steven M.","non-dropping-particle":"","parse-names":false,"suffix":""},{"dropping-particle":"","family":"Gift","given":"Thomas","non-dropping-particle":"","parse-names":false,"suffix":""},{"dropping-particle":"","family":"Chesson","given":"Harrell","non-dropping-particle":"","parse-names":false,"suffix":""},{"dropping-particle":"","family":"Hoover","given":"Karen W.","non-dropping-particle":"","parse-names":false,"suffix":""},{"dropping-particle":"","family":"Smith","given":"Dawn K.","non-dropping-particle":"","parse-names":false,"suffix":""},{"dropping-particle":"","family":"Liu","given":"Albert Y.","non-dropping-particle":"","parse-names":false,"suffix":""},{"dropping-particle":"","family":"Sullivan","given":"Patrick S.","non-dropping-particle":"","parse-names":false,"suffix":""},{"dropping-particle":"","family":"Rosenberg","given":"Eli S.","non-dropping-particle":"","parse-names":false,"suffix":""}],"container-title":"Clinical Infectious Diseases","id":"ITEM-2","issue":"5","issued":{"date-parts":[["2017"]]},"page":"712-718","title":"Incidence of gonorrhea and chlamydia following human immunodeficiency virus preexposure prophylaxis among men who have sex with men: A modeling study","type":"article-journal","volume":"65"},"uris":["http://www.mendeley.com/documents/?uuid=540db0c7-3605-427b-b2f8-76e71ac042df"]}],"mendeley":{"formattedCitation":"&lt;sup&gt;4,5&lt;/sup&gt;","plainTextFormattedCitation":"4,5","previouslyFormattedCitation":"&lt;sup&gt;4,5&lt;/sup&gt;"},"properties":{"noteIndex":0},"schema":"https://github.com/citation-style-language/schema/raw/master/csl-citation.json"}</w:instrText>
      </w:r>
      <w:r w:rsidR="00996386" w:rsidRPr="005342A5">
        <w:rPr>
          <w:lang w:val="en-US"/>
        </w:rPr>
        <w:fldChar w:fldCharType="separate"/>
      </w:r>
      <w:r w:rsidR="009C5A52" w:rsidRPr="009C5A52">
        <w:rPr>
          <w:noProof/>
          <w:vertAlign w:val="superscript"/>
          <w:lang w:val="en-US"/>
        </w:rPr>
        <w:t>4,5</w:t>
      </w:r>
      <w:r w:rsidR="00996386" w:rsidRPr="005342A5">
        <w:rPr>
          <w:lang w:val="en-US"/>
        </w:rPr>
        <w:fldChar w:fldCharType="end"/>
      </w:r>
      <w:r w:rsidR="00996386" w:rsidRPr="005342A5">
        <w:rPr>
          <w:lang w:val="en-US"/>
        </w:rPr>
        <w:t>,</w:t>
      </w:r>
      <w:r w:rsidR="003053C5" w:rsidRPr="005342A5">
        <w:rPr>
          <w:lang w:val="en-US"/>
        </w:rPr>
        <w:t xml:space="preserve"> as well as in </w:t>
      </w:r>
      <w:r w:rsidRPr="005342A5">
        <w:rPr>
          <w:lang w:val="en-US"/>
        </w:rPr>
        <w:t>the EpiModel page</w:t>
      </w:r>
      <w:r w:rsidR="003053C5" w:rsidRPr="005342A5">
        <w:rPr>
          <w:lang w:val="en-US"/>
        </w:rPr>
        <w:t xml:space="preserve"> </w:t>
      </w:r>
      <w:r w:rsidR="00996386" w:rsidRPr="005342A5">
        <w:rPr>
          <w:lang w:val="en-US"/>
        </w:rPr>
        <w:t>(</w:t>
      </w:r>
      <w:r w:rsidR="00230B3E" w:rsidRPr="005342A5">
        <w:rPr>
          <w:lang w:val="en-US"/>
        </w:rPr>
        <w:t>www.epimodel.org</w:t>
      </w:r>
      <w:r w:rsidR="00996386" w:rsidRPr="005342A5">
        <w:rPr>
          <w:lang w:val="en-US"/>
        </w:rPr>
        <w:t>)</w:t>
      </w:r>
      <w:r w:rsidR="006E0EF9" w:rsidRPr="005342A5">
        <w:rPr>
          <w:lang w:val="en-US"/>
        </w:rPr>
        <w:t xml:space="preserve">. </w:t>
      </w:r>
      <w:r w:rsidR="00CE075F" w:rsidRPr="005342A5">
        <w:rPr>
          <w:lang w:val="en-US"/>
        </w:rPr>
        <w:t xml:space="preserve">Individual attributes related to </w:t>
      </w:r>
      <w:r w:rsidR="000C6DB4">
        <w:rPr>
          <w:lang w:val="en-US"/>
        </w:rPr>
        <w:t>this</w:t>
      </w:r>
      <w:r w:rsidR="000C6DB4" w:rsidRPr="005342A5">
        <w:rPr>
          <w:lang w:val="en-US"/>
        </w:rPr>
        <w:t xml:space="preserve"> </w:t>
      </w:r>
      <w:r w:rsidR="00EA0A5F">
        <w:rPr>
          <w:lang w:val="en-US"/>
        </w:rPr>
        <w:t>partnership formation</w:t>
      </w:r>
      <w:r w:rsidR="00CE075F" w:rsidRPr="005342A5">
        <w:rPr>
          <w:lang w:val="en-US"/>
        </w:rPr>
        <w:t xml:space="preserve"> are stored and updated in discrete time over the course of each epidemic simulation. </w:t>
      </w:r>
      <w:r w:rsidR="006F2023" w:rsidRPr="005342A5">
        <w:rPr>
          <w:lang w:val="en-US"/>
        </w:rPr>
        <w:t xml:space="preserve">Statistical software R </w:t>
      </w:r>
      <w:r w:rsidR="00991B24" w:rsidRPr="005342A5">
        <w:rPr>
          <w:lang w:val="en-US"/>
        </w:rPr>
        <w:t>v.4.3</w:t>
      </w:r>
      <w:r w:rsidR="00FA6CA7" w:rsidRPr="005342A5">
        <w:rPr>
          <w:lang w:val="en-US"/>
        </w:rPr>
        <w:t>.0</w:t>
      </w:r>
      <w:r w:rsidR="00991B24" w:rsidRPr="005342A5">
        <w:rPr>
          <w:lang w:val="en-US"/>
        </w:rPr>
        <w:t xml:space="preserve"> </w:t>
      </w:r>
      <w:r w:rsidR="005060A7" w:rsidRPr="005342A5">
        <w:rPr>
          <w:lang w:val="en-US"/>
        </w:rPr>
        <w:fldChar w:fldCharType="begin" w:fldLock="1"/>
      </w:r>
      <w:r w:rsidR="00CA43B3">
        <w:rPr>
          <w:lang w:val="en-US"/>
        </w:rPr>
        <w:instrText>ADDIN CSL_CITATION {"citationItems":[{"id":"ITEM-1","itemData":{"id":"ITEM-1","issued":{"date-parts":[["0"]]},"title":"R Core Team (2017). R: A language and environment for statistical computing. R Foundation for Statistical Computing, Vienna, Austria. URL https://www.R-project.org/.","type":"article-journal"},"uris":["http://www.mendeley.com/documents/?uuid=698ab7d3-d6bb-4be5-93bf-29d4bc6c5290","http://www.mendeley.com/documents/?uuid=d7753834-9a13-4d0d-b5fa-8873bec2f64c","http://www.mendeley.com/documents/?uuid=9d00a5b6-635f-46f1-a91b-0bfe5b535baf"]}],"mendeley":{"formattedCitation":"&lt;sup&gt;6&lt;/sup&gt;","plainTextFormattedCitation":"6","previouslyFormattedCitation":"&lt;sup&gt;6&lt;/sup&gt;"},"properties":{"noteIndex":0},"schema":"https://github.com/citation-style-language/schema/raw/master/csl-citation.json"}</w:instrText>
      </w:r>
      <w:r w:rsidR="005060A7" w:rsidRPr="005342A5">
        <w:rPr>
          <w:lang w:val="en-US"/>
        </w:rPr>
        <w:fldChar w:fldCharType="separate"/>
      </w:r>
      <w:r w:rsidR="009C5A52" w:rsidRPr="009C5A52">
        <w:rPr>
          <w:noProof/>
          <w:vertAlign w:val="superscript"/>
          <w:lang w:val="en-US"/>
        </w:rPr>
        <w:t>6</w:t>
      </w:r>
      <w:r w:rsidR="005060A7" w:rsidRPr="005342A5">
        <w:rPr>
          <w:lang w:val="en-US"/>
        </w:rPr>
        <w:fldChar w:fldCharType="end"/>
      </w:r>
      <w:r w:rsidR="006F2023" w:rsidRPr="005342A5">
        <w:rPr>
          <w:lang w:val="en-US"/>
        </w:rPr>
        <w:t xml:space="preserve"> and </w:t>
      </w:r>
      <w:r w:rsidR="00036319" w:rsidRPr="005342A5">
        <w:rPr>
          <w:lang w:val="en-US"/>
        </w:rPr>
        <w:t>packages</w:t>
      </w:r>
      <w:r w:rsidR="005060A7" w:rsidRPr="005342A5">
        <w:rPr>
          <w:lang w:val="en-US"/>
        </w:rPr>
        <w:t xml:space="preserve"> Epimodel</w:t>
      </w:r>
      <w:r w:rsidR="005060A7" w:rsidRPr="005342A5">
        <w:rPr>
          <w:lang w:val="en-US"/>
        </w:rPr>
        <w:fldChar w:fldCharType="begin" w:fldLock="1"/>
      </w:r>
      <w:r w:rsidR="00CA43B3">
        <w:rPr>
          <w:lang w:val="en-US"/>
        </w:rPr>
        <w:instrText xml:space="preserve">ADDIN CSL_CITATION {"citationItems":[{"id":"ITEM-1","itemData":{"DOI":"10.18637/jss.v084.i08","ISSN":"15487660","abstract":"Package EpiModel provides tools for building, simulating, and analyzing mathematical models for the population dynamics of infectious disease transmission in R. Several classes of models are included, but the unique contribution of this software package is a general stochastic framework for modeling the spread of epidemics on networks. EpiModel </w:instrText>
      </w:r>
      <w:r w:rsidR="00CA43B3" w:rsidRPr="00CF6570">
        <w:rPr>
          <w:lang w:val="en-US"/>
        </w:rPr>
        <w:instrText>integrates recent advances in statistical methods for network analysis (temporal exponential random graph models) that allow the epidemic modeling to be grounded in empirical data on contacts that can spread infection. This article provides an overview of both the modeling tools built into EpiModel, designed to facilitate learning for students new to modeling, and the application programming interface for extending package EpiModel, designed to facilitate the exploration of novel research questions for advanced modelers.","author":[{"dropping-particle":"","family":"Jenness","given":"Samuel M.","non-dropping-particle":"","parse-names":false,"suffix":""},{"dropping-particle":"","family":"Goodreau","given":"Steven M.","non-dropping-particle":"","parse-names":false,"suffix":""},{"dropping-particle":"","family":"Morris","given":"Martina","non-dropping-particle":"","parse-names":false,"suffix":""}],"container-title":"Journal of Statistical Software","id":"ITEM-1","issue":"8","issued":{"date-parts":[["2018"]]},"title":"Epimodel: An R package for mathematical modeling of infectious disease over networks","type":"article-journal","volume":"84"},"uris":["http://www.mendeley.com/documents/?uuid=72e97531-ee5c-4b34-bd72-f470238ad4cd"]}],"mendeley":{"formattedCitation":"&lt;sup&gt;7&lt;/sup&gt;","plainTextFormattedCitation":"7","previouslyFormattedCitation":"&lt;sup&gt;7&lt;/sup&gt;"},"properties":{"noteIndex":0},"schema":"https://github.com/citation-style-language/schema/raw/master/csl-citation.json"}</w:instrText>
      </w:r>
      <w:r w:rsidR="005060A7" w:rsidRPr="005342A5">
        <w:rPr>
          <w:lang w:val="en-US"/>
        </w:rPr>
        <w:fldChar w:fldCharType="separate"/>
      </w:r>
      <w:r w:rsidR="009C5A52" w:rsidRPr="00CF6570">
        <w:rPr>
          <w:noProof/>
          <w:vertAlign w:val="superscript"/>
          <w:lang w:val="en-US"/>
        </w:rPr>
        <w:t>7</w:t>
      </w:r>
      <w:r w:rsidR="005060A7" w:rsidRPr="005342A5">
        <w:rPr>
          <w:lang w:val="en-US"/>
        </w:rPr>
        <w:fldChar w:fldCharType="end"/>
      </w:r>
      <w:r w:rsidR="005060A7" w:rsidRPr="00CF6570">
        <w:rPr>
          <w:lang w:val="en-US"/>
        </w:rPr>
        <w:t xml:space="preserve"> v2.</w:t>
      </w:r>
      <w:r w:rsidR="00B20F5C" w:rsidRPr="00CF6570">
        <w:rPr>
          <w:lang w:val="en-US"/>
        </w:rPr>
        <w:t>4.</w:t>
      </w:r>
      <w:r w:rsidR="005060A7" w:rsidRPr="00CF6570">
        <w:rPr>
          <w:lang w:val="en-US"/>
        </w:rPr>
        <w:t>0</w:t>
      </w:r>
      <w:r w:rsidR="00CF6570">
        <w:rPr>
          <w:lang w:val="en-US"/>
        </w:rPr>
        <w:t xml:space="preserve"> </w:t>
      </w:r>
      <w:r w:rsidR="00164C24" w:rsidRPr="00CF6570">
        <w:rPr>
          <w:lang w:val="en-US"/>
        </w:rPr>
        <w:t xml:space="preserve">were </w:t>
      </w:r>
      <w:r w:rsidR="00036319" w:rsidRPr="00CF6570">
        <w:rPr>
          <w:lang w:val="en-US"/>
        </w:rPr>
        <w:t xml:space="preserve">used for the programming of this model. </w:t>
      </w:r>
    </w:p>
    <w:p w14:paraId="4D6CC698" w14:textId="2EDBCE79" w:rsidR="00E02FDF" w:rsidRPr="005342A5" w:rsidRDefault="00E02FDF" w:rsidP="00E02FDF">
      <w:pPr>
        <w:pStyle w:val="Heading2"/>
        <w:numPr>
          <w:ilvl w:val="0"/>
          <w:numId w:val="21"/>
        </w:numPr>
        <w:rPr>
          <w:b/>
          <w:bCs/>
          <w:color w:val="auto"/>
          <w:lang w:val="en-US"/>
        </w:rPr>
      </w:pPr>
      <w:r w:rsidRPr="005342A5">
        <w:rPr>
          <w:b/>
          <w:bCs/>
          <w:color w:val="auto"/>
          <w:lang w:val="en-US"/>
        </w:rPr>
        <w:t>Data</w:t>
      </w:r>
    </w:p>
    <w:p w14:paraId="65D792E6" w14:textId="2D398365" w:rsidR="00BD6C33" w:rsidRDefault="00BD6C33" w:rsidP="00BD6C33">
      <w:pPr>
        <w:rPr>
          <w:color w:val="000000"/>
          <w:shd w:val="clear" w:color="auto" w:fill="FFFFFF"/>
          <w:lang w:val="en-US"/>
        </w:rPr>
      </w:pPr>
      <w:bookmarkStart w:id="1" w:name="_Hlk151973533"/>
      <w:r w:rsidRPr="005342A5">
        <w:rPr>
          <w:lang w:val="en-US"/>
        </w:rPr>
        <w:t>Data from the Belgian-based participants of the European MSM Internet Survey (EMIS) 2017 were the primary data source for network structure and behavioral parameters used in the model. EMIS</w:t>
      </w:r>
      <w:r w:rsidR="000C6DB4">
        <w:rPr>
          <w:lang w:val="en-US"/>
        </w:rPr>
        <w:t>-2017</w:t>
      </w:r>
      <w:r w:rsidRPr="005342A5">
        <w:rPr>
          <w:lang w:val="en-US"/>
        </w:rPr>
        <w:t xml:space="preserve"> was an anonymous, self-administered online survey conducted in </w:t>
      </w:r>
      <w:r w:rsidR="00D044C7" w:rsidRPr="005342A5">
        <w:rPr>
          <w:lang w:val="en-US"/>
        </w:rPr>
        <w:t>50</w:t>
      </w:r>
      <w:r w:rsidRPr="005342A5">
        <w:rPr>
          <w:lang w:val="en-US"/>
        </w:rPr>
        <w:t xml:space="preserve"> countries</w:t>
      </w:r>
      <w:r w:rsidR="000C6DB4" w:rsidRPr="000C6DB4">
        <w:rPr>
          <w:lang w:val="en-US"/>
        </w:rPr>
        <w:t xml:space="preserve"> </w:t>
      </w:r>
      <w:r w:rsidR="000C6DB4">
        <w:rPr>
          <w:lang w:val="en-US"/>
        </w:rPr>
        <w:t>and 33 languages</w:t>
      </w:r>
      <w:r w:rsidRPr="005342A5">
        <w:rPr>
          <w:lang w:val="en-US"/>
        </w:rPr>
        <w:t xml:space="preserve">. </w:t>
      </w:r>
      <w:r w:rsidRPr="005342A5">
        <w:rPr>
          <w:color w:val="000000"/>
          <w:shd w:val="clear" w:color="auto" w:fill="FFFFFF"/>
          <w:lang w:val="en-US"/>
        </w:rPr>
        <w:t>Participants were recruited from dating and other social networking websites targeting MSM. The methods of EMIS</w:t>
      </w:r>
      <w:r w:rsidR="000C6DB4">
        <w:rPr>
          <w:color w:val="000000"/>
          <w:shd w:val="clear" w:color="auto" w:fill="FFFFFF"/>
          <w:lang w:val="en-US"/>
        </w:rPr>
        <w:t>-2017</w:t>
      </w:r>
      <w:r w:rsidRPr="005342A5">
        <w:rPr>
          <w:color w:val="000000"/>
          <w:shd w:val="clear" w:color="auto" w:fill="FFFFFF"/>
          <w:lang w:val="en-US"/>
        </w:rPr>
        <w:t xml:space="preserve"> have been described in detail </w:t>
      </w:r>
      <w:r w:rsidR="00331A5E">
        <w:rPr>
          <w:color w:val="000000"/>
          <w:shd w:val="clear" w:color="auto" w:fill="FFFFFF"/>
          <w:lang w:val="en-US"/>
        </w:rPr>
        <w:t>elsewhere</w:t>
      </w:r>
      <w:r w:rsidR="00E202C4">
        <w:rPr>
          <w:color w:val="000000"/>
          <w:shd w:val="clear" w:color="auto" w:fill="FFFFFF"/>
          <w:lang w:val="en-US"/>
        </w:rPr>
        <w:fldChar w:fldCharType="begin" w:fldLock="1"/>
      </w:r>
      <w:r w:rsidR="00702287">
        <w:rPr>
          <w:color w:val="000000"/>
          <w:shd w:val="clear" w:color="auto" w:fill="FFFFFF"/>
          <w:lang w:val="en-US"/>
        </w:rPr>
        <w:instrText>ADDIN CSL_CITATION {"citationItems":[{"id":"ITEM-1","itemData":{"DOI":"10.1007/s13178-019-00413-0","ISSN":"1868-9884","abstract":"Men-who-have-sex-with-men (MSM) carry a disproportionate burden of sexually transmitted infections across Europe. Health planners require sexual health needs assessment data to respond appropriately. In addition, surveillance of risk and precaution behaviours in this population enables evaluative judgements of policy responses. The European MSM Internet Survey (EMIS-2017) aimed to repeat the pan-European online survey on male homosexual behaviour conducted in 2010, both to update information required to plan and monitor health promotion interventions and consolidate harmonisation of existing behavioural surveillance approaches. Our study team collaborated with more than 200 partners from academia, public health and civil society across 50 countries. Starting from our previous EMIS-2010 questionnaire, partners engaged in three rounds of iterative survey development and piloting until the final content was agreed. Transfer to an online survey application was followed by further pre-testing before translation into 32 additional languages, final testing and sign-off. The survey was available to complete online in 33 languages simultaneously from 18 October 2017 to 31 January 2018. Ten international MSM dating mobile apps were paid to send short promotional messages, and national partners promoted the survey via at least another 272 websites and social media accounts. Real-time monitoring of responses facilitated targeted advertising by country and recruitment source. Ultimately 144,305 cases were submitted of which 137,358 (95.2%) were eligible for inclusion. EMIS-2017 demonstrated the feasibility of multi-country online MSM surveying with public funding. Meaningful involvement of a large number of collaborators in the survey design and its execution ensured successful recruitment. Careful design, piloting and presentation ensured the survey was acceptable and had authority and perceived community benefit. Partners in 38 countries have already been supplied with a national database of 100 or more respondents for national analysis, while the study team has focussed on international comparisons among 137,358 respondents in 50 countries.","author":[{"dropping-particle":"","family":"Weatherburn","given":"Peter","non-dropping-particle":"","parse-names":false,"suffix":""},{"dropping-particle":"","family":"Hickson","given":"Ford","non-dropping-particle":"","parse-names":false,"suffix":""},{"dropping-particle":"","family":"Reid","given":"David S.","non-dropping-particle":"","parse-names":false,"suffix":""},{"dropping-particle":"","family":"Marcus","given":"Ulrich","non-dropping-particle":"","parse-names":false,"suffix":""},{"dropping-particle":"","family":"Schmidt","given":"Axel J.","non-dropping-particle":"","parse-names":false,"suffix":""}],"container-title":"Sexuality Research and Social Policy","id":"ITEM-1","issue":"4","issued":{"date-parts":[["2020","12","18"]]},"page":"543-557","publisher":"Sexuality Research and Social Policy","title":"European Men-Who-Have-Sex-With-Men Internet Survey (EMIS-2017): Design and Methods","type":"article-journal","volume":"17"},"uris":["http://www.mendeley.com/documents/?uuid=4c4a933a-e792-4933-84f3-fb569c36db92"]}],"mendeley":{"formattedCitation":"&lt;sup&gt;8&lt;/sup&gt;","plainTextFormattedCitation":"8","previouslyFormattedCitation":"&lt;sup&gt;11&lt;/sup&gt;"},"properties":{"noteIndex":0},"schema":"https://github.com/citation-style-language/schema/raw/master/csl-citation.json"}</w:instrText>
      </w:r>
      <w:r w:rsidR="00E202C4">
        <w:rPr>
          <w:color w:val="000000"/>
          <w:shd w:val="clear" w:color="auto" w:fill="FFFFFF"/>
          <w:lang w:val="en-US"/>
        </w:rPr>
        <w:fldChar w:fldCharType="separate"/>
      </w:r>
      <w:r w:rsidR="00702287" w:rsidRPr="00702287">
        <w:rPr>
          <w:noProof/>
          <w:color w:val="000000"/>
          <w:shd w:val="clear" w:color="auto" w:fill="FFFFFF"/>
          <w:vertAlign w:val="superscript"/>
          <w:lang w:val="en-US"/>
        </w:rPr>
        <w:t>8</w:t>
      </w:r>
      <w:r w:rsidR="00E202C4">
        <w:rPr>
          <w:color w:val="000000"/>
          <w:shd w:val="clear" w:color="auto" w:fill="FFFFFF"/>
          <w:lang w:val="en-US"/>
        </w:rPr>
        <w:fldChar w:fldCharType="end"/>
      </w:r>
      <w:r w:rsidRPr="005342A5">
        <w:rPr>
          <w:color w:val="000000"/>
          <w:shd w:val="clear" w:color="auto" w:fill="FFFFFF"/>
          <w:lang w:val="en-US"/>
        </w:rPr>
        <w:t>. In total 3</w:t>
      </w:r>
      <w:r w:rsidR="00801EB9" w:rsidRPr="005342A5">
        <w:rPr>
          <w:color w:val="000000"/>
          <w:shd w:val="clear" w:color="auto" w:fill="FFFFFF"/>
          <w:lang w:val="en-US"/>
        </w:rPr>
        <w:t>038</w:t>
      </w:r>
      <w:r w:rsidRPr="005342A5">
        <w:rPr>
          <w:color w:val="000000"/>
          <w:shd w:val="clear" w:color="auto" w:fill="FFFFFF"/>
          <w:lang w:val="en-US"/>
        </w:rPr>
        <w:t xml:space="preserve"> persons based in Belgium filled in the study questionnaire</w:t>
      </w:r>
      <w:r w:rsidR="00801EB9" w:rsidRPr="005342A5">
        <w:rPr>
          <w:color w:val="000000"/>
          <w:shd w:val="clear" w:color="auto" w:fill="FFFFFF"/>
          <w:lang w:val="en-US"/>
        </w:rPr>
        <w:t>, with 2763 reporting answers without any inconsistencies</w:t>
      </w:r>
      <w:r w:rsidRPr="005342A5">
        <w:rPr>
          <w:color w:val="000000"/>
          <w:shd w:val="clear" w:color="auto" w:fill="FFFFFF"/>
          <w:lang w:val="en-US"/>
        </w:rPr>
        <w:t xml:space="preserve">. Data recorded in the EMIS </w:t>
      </w:r>
      <w:r w:rsidR="005342A5" w:rsidRPr="005342A5">
        <w:rPr>
          <w:color w:val="000000"/>
          <w:shd w:val="clear" w:color="auto" w:fill="FFFFFF"/>
          <w:lang w:val="en-US"/>
        </w:rPr>
        <w:t>dataset</w:t>
      </w:r>
      <w:r w:rsidRPr="005342A5">
        <w:rPr>
          <w:color w:val="000000"/>
          <w:shd w:val="clear" w:color="auto" w:fill="FFFFFF"/>
          <w:lang w:val="en-US"/>
        </w:rPr>
        <w:t xml:space="preserve"> included information on the</w:t>
      </w:r>
      <w:r w:rsidR="005342A5" w:rsidRPr="005342A5">
        <w:rPr>
          <w:color w:val="000000"/>
          <w:shd w:val="clear" w:color="auto" w:fill="FFFFFF"/>
          <w:lang w:val="en-US"/>
        </w:rPr>
        <w:t xml:space="preserve"> participants’ partnership status, behavioral and epidemiological characteristics. </w:t>
      </w:r>
    </w:p>
    <w:p w14:paraId="30CCE64C" w14:textId="32D44DC6" w:rsidR="00EA0A5F" w:rsidRPr="00EA0A5F" w:rsidRDefault="005A1835" w:rsidP="00BD6C33">
      <w:pPr>
        <w:rPr>
          <w:rFonts w:cstheme="minorHAnsi"/>
          <w:lang w:val="en-US"/>
        </w:rPr>
      </w:pPr>
      <w:r w:rsidRPr="005A1835">
        <w:rPr>
          <w:lang w:val="en-US"/>
        </w:rPr>
        <w:t>The term “</w:t>
      </w:r>
      <w:r w:rsidR="000C6DB4">
        <w:rPr>
          <w:lang w:val="en-US"/>
        </w:rPr>
        <w:t>steady</w:t>
      </w:r>
      <w:r w:rsidRPr="005A1835">
        <w:rPr>
          <w:rFonts w:cstheme="minorHAnsi"/>
          <w:lang w:val="en-US"/>
        </w:rPr>
        <w:t xml:space="preserve"> partners” was used to describe husbands, boyfriends or the partners with whom EMIS participants would not identify themselves as single.</w:t>
      </w:r>
      <w:r w:rsidR="00EA0A5F" w:rsidRPr="00EA0A5F">
        <w:rPr>
          <w:rFonts w:cstheme="minorHAnsi"/>
          <w:lang w:val="en-US"/>
        </w:rPr>
        <w:t xml:space="preserve"> Persistent casual partners </w:t>
      </w:r>
      <w:r w:rsidR="005E1C8E">
        <w:rPr>
          <w:rFonts w:cstheme="minorHAnsi"/>
          <w:lang w:val="en-US"/>
        </w:rPr>
        <w:t>were</w:t>
      </w:r>
      <w:r w:rsidR="00EA0A5F" w:rsidRPr="00EA0A5F">
        <w:rPr>
          <w:rFonts w:cstheme="minorHAnsi"/>
          <w:lang w:val="en-US"/>
        </w:rPr>
        <w:t xml:space="preserve"> the partners that would not qualify as </w:t>
      </w:r>
      <w:r w:rsidR="000C6DB4">
        <w:rPr>
          <w:rFonts w:cstheme="minorHAnsi"/>
          <w:lang w:val="en-US"/>
        </w:rPr>
        <w:t>steady</w:t>
      </w:r>
      <w:r w:rsidR="00EA0A5F" w:rsidRPr="00EA0A5F">
        <w:rPr>
          <w:rFonts w:cstheme="minorHAnsi"/>
          <w:lang w:val="en-US"/>
        </w:rPr>
        <w:t xml:space="preserve">, but the EMIS participants would have sex with more than one time. One-off partners </w:t>
      </w:r>
      <w:r w:rsidR="005E1C8E">
        <w:rPr>
          <w:rFonts w:cstheme="minorHAnsi"/>
          <w:lang w:val="en-US"/>
        </w:rPr>
        <w:t>were</w:t>
      </w:r>
      <w:r w:rsidR="00EA0A5F" w:rsidRPr="00EA0A5F">
        <w:rPr>
          <w:rFonts w:cstheme="minorHAnsi"/>
          <w:lang w:val="en-US"/>
        </w:rPr>
        <w:t xml:space="preserve"> casual partners </w:t>
      </w:r>
      <w:r w:rsidR="005E1C8E">
        <w:rPr>
          <w:rFonts w:cstheme="minorHAnsi"/>
          <w:lang w:val="en-US"/>
        </w:rPr>
        <w:t>whom</w:t>
      </w:r>
      <w:r w:rsidR="005E1C8E" w:rsidRPr="00EA0A5F">
        <w:rPr>
          <w:rFonts w:cstheme="minorHAnsi"/>
          <w:lang w:val="en-US"/>
        </w:rPr>
        <w:t xml:space="preserve"> </w:t>
      </w:r>
      <w:r w:rsidR="00EA0A5F" w:rsidRPr="00EA0A5F">
        <w:rPr>
          <w:rFonts w:cstheme="minorHAnsi"/>
          <w:lang w:val="en-US"/>
        </w:rPr>
        <w:t>EMIS participants would only have sex with once.</w:t>
      </w:r>
    </w:p>
    <w:bookmarkEnd w:id="1"/>
    <w:p w14:paraId="436F85B6" w14:textId="6DBFB9A7" w:rsidR="00B91160" w:rsidRDefault="00B91160" w:rsidP="00E02FDF">
      <w:pPr>
        <w:pStyle w:val="Heading2"/>
        <w:numPr>
          <w:ilvl w:val="0"/>
          <w:numId w:val="21"/>
        </w:numPr>
        <w:rPr>
          <w:b/>
          <w:bCs/>
          <w:color w:val="auto"/>
          <w:lang w:val="en-US"/>
        </w:rPr>
      </w:pPr>
      <w:r w:rsidRPr="005342A5">
        <w:rPr>
          <w:b/>
          <w:bCs/>
          <w:color w:val="auto"/>
          <w:lang w:val="en-US"/>
        </w:rPr>
        <w:t>Model structure</w:t>
      </w:r>
    </w:p>
    <w:p w14:paraId="35D9FB28" w14:textId="17FCDE0C" w:rsidR="00706638" w:rsidRPr="00706638" w:rsidRDefault="00706638" w:rsidP="00706638">
      <w:pPr>
        <w:pStyle w:val="Heading3"/>
        <w:rPr>
          <w:rFonts w:asciiTheme="minorHAnsi" w:hAnsiTheme="minorHAnsi" w:cstheme="minorHAnsi"/>
          <w:color w:val="auto"/>
          <w:lang w:val="en-US"/>
        </w:rPr>
      </w:pPr>
      <w:r w:rsidRPr="00706638">
        <w:rPr>
          <w:rFonts w:asciiTheme="minorHAnsi" w:hAnsiTheme="minorHAnsi" w:cstheme="minorHAnsi"/>
          <w:color w:val="auto"/>
          <w:lang w:val="en-US"/>
        </w:rPr>
        <w:t xml:space="preserve">3.1. Population groups and </w:t>
      </w:r>
      <w:r>
        <w:rPr>
          <w:rFonts w:asciiTheme="minorHAnsi" w:hAnsiTheme="minorHAnsi" w:cstheme="minorHAnsi"/>
          <w:color w:val="auto"/>
          <w:lang w:val="en-US"/>
        </w:rPr>
        <w:t>model initialization</w:t>
      </w:r>
      <w:r w:rsidRPr="00706638">
        <w:rPr>
          <w:rFonts w:asciiTheme="minorHAnsi" w:hAnsiTheme="minorHAnsi" w:cstheme="minorHAnsi"/>
          <w:color w:val="auto"/>
          <w:lang w:val="en-US"/>
        </w:rPr>
        <w:t xml:space="preserve"> </w:t>
      </w:r>
    </w:p>
    <w:p w14:paraId="2BB6EED6" w14:textId="0A2DE7CB" w:rsidR="0095312F" w:rsidRPr="005342A5" w:rsidRDefault="00706638" w:rsidP="0095312F">
      <w:pPr>
        <w:rPr>
          <w:lang w:val="en-US"/>
        </w:rPr>
      </w:pPr>
      <w:r w:rsidRPr="005342A5">
        <w:rPr>
          <w:color w:val="000000"/>
          <w:shd w:val="clear" w:color="auto" w:fill="FFFFFF"/>
          <w:lang w:val="en-US"/>
        </w:rPr>
        <w:t>Individuals</w:t>
      </w:r>
      <w:r w:rsidR="00791D24">
        <w:rPr>
          <w:color w:val="000000"/>
          <w:shd w:val="clear" w:color="auto" w:fill="FFFFFF"/>
          <w:lang w:val="en-US"/>
        </w:rPr>
        <w:t xml:space="preserve"> in the network</w:t>
      </w:r>
      <w:r w:rsidRPr="005342A5">
        <w:rPr>
          <w:color w:val="000000"/>
          <w:shd w:val="clear" w:color="auto" w:fill="FFFFFF"/>
          <w:lang w:val="en-US"/>
        </w:rPr>
        <w:t xml:space="preserve"> were categorized into </w:t>
      </w:r>
      <w:r w:rsidR="00791D24">
        <w:rPr>
          <w:color w:val="000000"/>
          <w:shd w:val="clear" w:color="auto" w:fill="FFFFFF"/>
          <w:lang w:val="en-US"/>
        </w:rPr>
        <w:t xml:space="preserve">two groups, according to their sexual activity level </w:t>
      </w:r>
      <w:r w:rsidRPr="005342A5">
        <w:rPr>
          <w:lang w:val="en-US"/>
        </w:rPr>
        <w:t xml:space="preserve">to account for systematic behavioral patterns within the MSM population. </w:t>
      </w:r>
      <w:r w:rsidR="007D5BA5">
        <w:rPr>
          <w:lang w:val="en-US"/>
        </w:rPr>
        <w:t>Three different definitions were used to define high-activity behavior.  E</w:t>
      </w:r>
      <w:r w:rsidR="0095312F" w:rsidRPr="005342A5">
        <w:rPr>
          <w:lang w:val="en-US"/>
        </w:rPr>
        <w:t>ligibility to receive PrEP</w:t>
      </w:r>
      <w:r w:rsidR="007D5BA5">
        <w:rPr>
          <w:lang w:val="en-US"/>
        </w:rPr>
        <w:t xml:space="preserve">, individuals reporting more than 15 partners over 12 months and individuals reporting more than 15 casual partners over 12 months were all used , </w:t>
      </w:r>
      <w:r w:rsidR="0095312F" w:rsidRPr="005342A5">
        <w:rPr>
          <w:lang w:val="en-US"/>
        </w:rPr>
        <w:t xml:space="preserve">as a proxy to define </w:t>
      </w:r>
      <w:r w:rsidR="0095312F">
        <w:rPr>
          <w:lang w:val="en-US"/>
        </w:rPr>
        <w:t>MSM with a higher</w:t>
      </w:r>
      <w:r w:rsidR="0095312F" w:rsidRPr="005342A5">
        <w:rPr>
          <w:lang w:val="en-US"/>
        </w:rPr>
        <w:t>-risk</w:t>
      </w:r>
      <w:r w:rsidR="0095312F">
        <w:rPr>
          <w:lang w:val="en-US"/>
        </w:rPr>
        <w:t xml:space="preserve"> sex</w:t>
      </w:r>
      <w:r w:rsidR="0095312F" w:rsidRPr="005342A5">
        <w:rPr>
          <w:lang w:val="en-US"/>
        </w:rPr>
        <w:t xml:space="preserve"> behavior. In Belgium, eligibility for PrEP includes being above 18 years old, being HIV negative and fulfilling one of the following criteria: </w:t>
      </w:r>
    </w:p>
    <w:p w14:paraId="23F5408A" w14:textId="797143E9" w:rsidR="0095312F" w:rsidRPr="005342A5" w:rsidRDefault="0095312F" w:rsidP="0095312F">
      <w:pPr>
        <w:pStyle w:val="ListParagraph"/>
        <w:numPr>
          <w:ilvl w:val="0"/>
          <w:numId w:val="37"/>
        </w:numPr>
        <w:rPr>
          <w:lang w:val="en-US"/>
        </w:rPr>
      </w:pPr>
      <w:r w:rsidRPr="005342A5">
        <w:rPr>
          <w:lang w:val="en-US"/>
        </w:rPr>
        <w:t xml:space="preserve">Anal sex without a condom with at least two partners in the </w:t>
      </w:r>
      <w:r w:rsidR="000C6DB4">
        <w:rPr>
          <w:lang w:val="en-US"/>
        </w:rPr>
        <w:t>previous</w:t>
      </w:r>
      <w:r w:rsidR="000C6DB4" w:rsidRPr="005342A5">
        <w:rPr>
          <w:lang w:val="en-US"/>
        </w:rPr>
        <w:t xml:space="preserve"> </w:t>
      </w:r>
      <w:r w:rsidRPr="005342A5">
        <w:rPr>
          <w:lang w:val="en-US"/>
        </w:rPr>
        <w:t>6 months</w:t>
      </w:r>
    </w:p>
    <w:p w14:paraId="12B9BBD6" w14:textId="23C8A3D7" w:rsidR="0095312F" w:rsidRPr="005342A5" w:rsidRDefault="0095312F" w:rsidP="0095312F">
      <w:pPr>
        <w:pStyle w:val="ListParagraph"/>
        <w:numPr>
          <w:ilvl w:val="0"/>
          <w:numId w:val="37"/>
        </w:numPr>
        <w:rPr>
          <w:lang w:val="en-US"/>
        </w:rPr>
      </w:pPr>
      <w:r w:rsidRPr="005342A5">
        <w:rPr>
          <w:lang w:val="en-US"/>
        </w:rPr>
        <w:t xml:space="preserve">Multiple sexually transmitted infections (STIs) in the </w:t>
      </w:r>
      <w:r w:rsidR="000C6DB4">
        <w:rPr>
          <w:lang w:val="en-US"/>
        </w:rPr>
        <w:t>previous 12 months</w:t>
      </w:r>
    </w:p>
    <w:p w14:paraId="7A67C214" w14:textId="2E90A81F" w:rsidR="0095312F" w:rsidRPr="0095312F" w:rsidRDefault="0095312F" w:rsidP="0095312F">
      <w:pPr>
        <w:pStyle w:val="ListParagraph"/>
        <w:numPr>
          <w:ilvl w:val="0"/>
          <w:numId w:val="37"/>
        </w:numPr>
        <w:rPr>
          <w:color w:val="000000"/>
          <w:shd w:val="clear" w:color="auto" w:fill="FFFFFF"/>
          <w:lang w:val="en-US"/>
        </w:rPr>
      </w:pPr>
      <w:r w:rsidRPr="0095312F">
        <w:rPr>
          <w:lang w:val="en-US"/>
        </w:rPr>
        <w:t xml:space="preserve">Post-exposure prophylaxis (PEP) multiple times in the </w:t>
      </w:r>
      <w:r w:rsidR="000C6DB4">
        <w:rPr>
          <w:lang w:val="en-US"/>
        </w:rPr>
        <w:t>previous 12 months</w:t>
      </w:r>
    </w:p>
    <w:p w14:paraId="798D6216" w14:textId="48EC9080" w:rsidR="0095312F" w:rsidRPr="0095312F" w:rsidRDefault="0095312F" w:rsidP="0095312F">
      <w:pPr>
        <w:pStyle w:val="ListParagraph"/>
        <w:numPr>
          <w:ilvl w:val="0"/>
          <w:numId w:val="37"/>
        </w:numPr>
        <w:rPr>
          <w:rStyle w:val="normaltextrun"/>
          <w:color w:val="000000"/>
          <w:shd w:val="clear" w:color="auto" w:fill="FFFFFF"/>
          <w:lang w:val="en-US"/>
        </w:rPr>
      </w:pPr>
      <w:r w:rsidRPr="0095312F">
        <w:rPr>
          <w:lang w:val="en-US"/>
        </w:rPr>
        <w:t xml:space="preserve">Use of </w:t>
      </w:r>
      <w:bookmarkStart w:id="2" w:name="_Hlk152939813"/>
      <w:r w:rsidRPr="0095312F">
        <w:rPr>
          <w:lang w:val="en-US"/>
        </w:rPr>
        <w:t>psycho</w:t>
      </w:r>
      <w:r w:rsidR="00C17F46">
        <w:rPr>
          <w:lang w:val="en-US"/>
        </w:rPr>
        <w:t>tropic</w:t>
      </w:r>
      <w:r w:rsidRPr="0095312F">
        <w:rPr>
          <w:lang w:val="en-US"/>
        </w:rPr>
        <w:t xml:space="preserve"> substances (drugs) during sexual activities</w:t>
      </w:r>
      <w:bookmarkEnd w:id="2"/>
    </w:p>
    <w:p w14:paraId="79ED4DD3" w14:textId="01E9326D" w:rsidR="00706638" w:rsidRPr="0095312F" w:rsidRDefault="00706638" w:rsidP="00706638">
      <w:pPr>
        <w:rPr>
          <w:color w:val="000000"/>
          <w:shd w:val="clear" w:color="auto" w:fill="FFFFFF"/>
          <w:lang w:val="en-US"/>
        </w:rPr>
      </w:pPr>
      <w:r w:rsidRPr="005342A5">
        <w:rPr>
          <w:lang w:val="en-US"/>
        </w:rPr>
        <w:t>Individuals were considered to belong to the high</w:t>
      </w:r>
      <w:r w:rsidR="00791D24">
        <w:rPr>
          <w:lang w:val="en-US"/>
        </w:rPr>
        <w:t>er</w:t>
      </w:r>
      <w:r w:rsidRPr="005342A5">
        <w:rPr>
          <w:lang w:val="en-US"/>
        </w:rPr>
        <w:t>-</w:t>
      </w:r>
      <w:r w:rsidR="00791D24">
        <w:rPr>
          <w:lang w:val="en-US"/>
        </w:rPr>
        <w:t>activity</w:t>
      </w:r>
      <w:r w:rsidRPr="005342A5">
        <w:rPr>
          <w:lang w:val="en-US"/>
        </w:rPr>
        <w:t xml:space="preserve"> group </w:t>
      </w:r>
      <w:r w:rsidR="00791D24">
        <w:rPr>
          <w:lang w:val="en-US"/>
        </w:rPr>
        <w:t xml:space="preserve">(HA-MSM) </w:t>
      </w:r>
      <w:r w:rsidRPr="005342A5">
        <w:rPr>
          <w:lang w:val="en-US"/>
        </w:rPr>
        <w:t xml:space="preserve">if they </w:t>
      </w:r>
      <w:r w:rsidR="00791D24">
        <w:rPr>
          <w:lang w:val="en-US"/>
        </w:rPr>
        <w:t xml:space="preserve">were either taking </w:t>
      </w:r>
      <w:r w:rsidR="00791D24">
        <w:rPr>
          <w:rStyle w:val="normaltextrun"/>
          <w:color w:val="000000"/>
          <w:shd w:val="clear" w:color="auto" w:fill="FFFFFF"/>
          <w:lang w:val="en-US"/>
        </w:rPr>
        <w:t xml:space="preserve">PrEP, or if they were eligible to participate in the PrEP program. </w:t>
      </w:r>
      <w:r w:rsidR="007D5BA5">
        <w:rPr>
          <w:rStyle w:val="normaltextrun"/>
          <w:color w:val="000000"/>
          <w:shd w:val="clear" w:color="auto" w:fill="FFFFFF"/>
          <w:lang w:val="en-US"/>
        </w:rPr>
        <w:t xml:space="preserve">Similarly participants reporting more than 15 </w:t>
      </w:r>
      <w:r w:rsidR="000F39C0">
        <w:rPr>
          <w:rStyle w:val="normaltextrun"/>
          <w:color w:val="000000"/>
          <w:shd w:val="clear" w:color="auto" w:fill="FFFFFF"/>
          <w:lang w:val="en-US"/>
        </w:rPr>
        <w:t xml:space="preserve">(steady and non-steady) </w:t>
      </w:r>
      <w:r w:rsidR="007D5BA5">
        <w:rPr>
          <w:rStyle w:val="normaltextrun"/>
          <w:color w:val="000000"/>
          <w:shd w:val="clear" w:color="auto" w:fill="FFFFFF"/>
          <w:lang w:val="en-US"/>
        </w:rPr>
        <w:t xml:space="preserve">partners over a period of 12 months or participants reporting more than 15 casual partners (non-steady partners) were classified as HA-MSM in their </w:t>
      </w:r>
      <w:r w:rsidR="007D5BA5">
        <w:rPr>
          <w:rStyle w:val="normaltextrun"/>
          <w:color w:val="000000"/>
          <w:shd w:val="clear" w:color="auto" w:fill="FFFFFF"/>
          <w:lang w:val="en-US"/>
        </w:rPr>
        <w:lastRenderedPageBreak/>
        <w:t xml:space="preserve">respective scenarios. </w:t>
      </w:r>
      <w:r w:rsidRPr="005342A5">
        <w:rPr>
          <w:lang w:val="en-US"/>
        </w:rPr>
        <w:t xml:space="preserve">Those not classified </w:t>
      </w:r>
      <w:r w:rsidR="0095312F">
        <w:rPr>
          <w:lang w:val="en-US"/>
        </w:rPr>
        <w:t xml:space="preserve">as HA-MSM, were </w:t>
      </w:r>
      <w:r w:rsidRPr="005342A5">
        <w:rPr>
          <w:lang w:val="en-US"/>
        </w:rPr>
        <w:t>classified in the low</w:t>
      </w:r>
      <w:r w:rsidR="0095312F">
        <w:rPr>
          <w:lang w:val="en-US"/>
        </w:rPr>
        <w:t>er</w:t>
      </w:r>
      <w:r w:rsidRPr="005342A5">
        <w:rPr>
          <w:lang w:val="en-US"/>
        </w:rPr>
        <w:t>-</w:t>
      </w:r>
      <w:r w:rsidR="0095312F">
        <w:rPr>
          <w:lang w:val="en-US"/>
        </w:rPr>
        <w:t>activity</w:t>
      </w:r>
      <w:r w:rsidRPr="005342A5">
        <w:rPr>
          <w:lang w:val="en-US"/>
        </w:rPr>
        <w:t xml:space="preserve"> group</w:t>
      </w:r>
      <w:r w:rsidR="0095312F">
        <w:rPr>
          <w:lang w:val="en-US"/>
        </w:rPr>
        <w:t xml:space="preserve"> (LA-MSM)</w:t>
      </w:r>
      <w:r w:rsidRPr="005342A5">
        <w:rPr>
          <w:lang w:val="en-US"/>
        </w:rPr>
        <w:t>.</w:t>
      </w:r>
    </w:p>
    <w:p w14:paraId="3DB6A74C" w14:textId="38DF929D" w:rsidR="00706638" w:rsidRPr="005342A5" w:rsidRDefault="0095312F" w:rsidP="00706638">
      <w:pPr>
        <w:rPr>
          <w:lang w:val="en-US"/>
        </w:rPr>
      </w:pPr>
      <w:r>
        <w:rPr>
          <w:lang w:val="en-US"/>
        </w:rPr>
        <w:t>According to the EMIS dataset, 3</w:t>
      </w:r>
      <w:r w:rsidR="00EE79B5">
        <w:rPr>
          <w:lang w:val="en-US"/>
        </w:rPr>
        <w:t>4</w:t>
      </w:r>
      <w:r>
        <w:rPr>
          <w:lang w:val="en-US"/>
        </w:rPr>
        <w:t>.</w:t>
      </w:r>
      <w:r w:rsidR="00EE79B5">
        <w:rPr>
          <w:lang w:val="en-US"/>
        </w:rPr>
        <w:t>6</w:t>
      </w:r>
      <w:r>
        <w:rPr>
          <w:lang w:val="en-US"/>
        </w:rPr>
        <w:t>% classified as HA-MSM. This estimate is similar to previously published studies from Belgium and Europe</w:t>
      </w:r>
      <w:r w:rsidR="00706638" w:rsidRPr="005342A5">
        <w:rPr>
          <w:lang w:val="en-US"/>
        </w:rPr>
        <w:fldChar w:fldCharType="begin" w:fldLock="1"/>
      </w:r>
      <w:r w:rsidR="00702287">
        <w:rPr>
          <w:lang w:val="en-US"/>
        </w:rPr>
        <w:instrText>ADDIN CSL_CITATION {"citationItems":[{"id":"ITEM-1","itemData":{"DOI":"10.1007/s10461-021-03526-z","ISBN":"0123456789","ISSN":"15733254","PMID":"34817766","abstract":"We examined PrEP awareness, willingness to take it and early PrEP use among men who have sex with men (MSM) at increased risk of HIV acquisition in Belgium. This analysis of the Belgian EMIS online data of 2017–2018 adopts a cascade approach, with the following steps quantified as conditional probabilities: being eligible for, aware of, willing to take PrEP, and PrEP use. One out of three MSM was eligible to use PrEP according to the operationalized Belgian reimbursement criteria. PrEP awareness was lower among socioeconomically vulnerable MSM, MSM living outside large cities, MSM who were less open about their sexuality and those who did not identify as gay or homosexual. A lack of PrEP knowledge, a higher self-efficacy regarding safe sex, having a steady partner and reporting more symptoms of depression were related to unwillingness to use PrEP. Among those willing to take PrEP, less than one third were actually using PrEP. Not using PrEP was associated with living in small cities and experiencing financial problems.","author":[{"dropping-particle":"","family":"Buffel","given":"Veerle","non-dropping-particle":"","parse-names":false,"suffix":""},{"dropping-particle":"","family":"Reyniers","given":"Thijs","non-dropping-particle":"","parse-names":false,"suffix":""},{"dropping-particle":"","family":"Masquillier","given":"Caroline","non-dropping-particle":"","parse-names":false,"suffix":""},{"dropping-particle":"","family":"Thunissen","given":"Estrelle","non-dropping-particle":"","parse-names":false,"suffix":""},{"dropping-particle":"","family":"Nöstlinger","given":"Christiana","non-dropping-particle":"","parse-names":false,"suffix":""},{"dropping-particle":"","family":"Laga","given":"Marie","non-dropping-particle":"","parse-names":false,"suffix":""},{"dropping-particle":"","family":"Wouters","given":"Edwin","non-dropping-particle":"","parse-names":false,"suffix":""},{"dropping-particle":"Vanden","family":"Berghe","given":"Wim","non-dropping-particle":"","parse-names":false,"suffix":""},{"dropping-particle":"","family":"Deblonde","given":"Jessika","non-dropping-particle":"","parse-names":false,"suffix":""},{"dropping-particle":"","family":"Vuylsteke","given":"Bea","non-dropping-particle":"","parse-names":false,"suffix":""}],"container-title":"AIDS and Behavior","id":"ITEM-1","issue":"6","issued":{"date-parts":[["2022"]]},"page":"1793-1807","publisher":"Springer US","title":"Awareness of, Willingness to Take PrEP and Its Actual Use Among Belgian MSM at High Risk of HIV Infection: Secondary Analysis of the Belgian European MSM Internet Survey","type":"article-journal","volume":"26"},"uris":["http://www.mendeley.com/documents/?uuid=dc5326e5-d8f1-4f1b-ba26-a87d0704ee9d"]},{"id":"ITEM-2","itemData":{"DOI":"10.1093/pubmed/fdz052","ISSN":"17413850","PMID":"31090894","abstract":"Background: Relationship status is an important factor associated with condomless anal intercourse (CAI) amongst men who have sex with men (MSM). Methods: A multi-centre bio-behavioural survey with MSM was conducted in 13 European cities (n = 4901) exploring factors associated with CAI via bivariate and multivariate multilevel logistic regression analyses. Results: Likelihood of CAI with casual partners was associated with being 'out' to a majority (AOR = 1.19;95% CI 1,1.42); knowing their HIV status (AOR = 1.86; 95% CI 1.25,2.76); using substances (1-2 AOR = 1.39; 95% CI 1.16,1.63, 2+ AOR = 1.81; 95% CI 1.35,2.42); being older (AOR = 0.98; 95% CI 0.97,0.99); successful sero-communication (AOR = 0.79; 95% CI 0.67,0.94); and, not having a recent HIV test (AOR = 0.78; 95% CI 0.66,0.92). CAI with steady partners was associated with successful sero-communication (AOR = 2.72; 95% CI 2.72,3.66); not having a recent HIV test (AOR = 1.26; 95% CI 1.09,1.46), and; being older (AOR = 0.99; 95% CI 0.98,0.99). Conclusions: Understandings of partner type and/or relationship status in relation to CAI amongst MSM can potentially play an important role in the development of culturally appropriate HIV/STI prevention and risk-reduction efforts targeting at-risk MSM. Our results speak to the need to consider segmented and tailored public health and health promotion initiatives for MSM with differing CAI behaviours and relationship profiles.","author":[{"dropping-particle":"","family":"Sherriff","given":"Nigel S.","non-dropping-particle":"","parse-names":false,"suffix":""},{"dropping-particle":"","family":"Jones","given":"A. M.","non-dropping-particle":"","parse-names":false,"suffix":""},{"dropping-particle":"","family":"Mirandola","given":"Massimo","non-dropping-particle":"","parse-names":false,"suffix":""},{"dropping-particle":"","family":"Gios","given":"Lorenzo","non-dropping-particle":"","parse-names":false,"suffix":""},{"dropping-particle":"","family":"Marcus","given":"Ulrich","non-dropping-particle":"","parse-names":false,"suffix":""},{"dropping-particle":"","family":"Llewellyn","given":"C.","non-dropping-particle":"","parse-names":false,"suffix":""},{"dropping-particle":"","family":"Rosinska","given":"M.","non-dropping-particle":"","parse-names":false,"suffix":""},{"dropping-particle":"","family":"Folch","given":"Cinta","non-dropping-particle":"","parse-names":false,"suffix":""},{"dropping-particle":"","family":"Dias","given":"Sónia Ferreira","non-dropping-particle":"","parse-names":false,"suffix":""},{"dropping-particle":"","family":"Toskin","given":"Igor","non-dropping-particle":"","parse-names":false,"suffix":""},{"dropping-particle":"","family":"Alexiev","given":"Ivailo","non-dropping-particle":"","parse-names":false,"suffix":""},{"dropping-particle":"","family":"Kühlmann-Berenzon","given":"Sharon","non-dropping-particle":"","parse-names":false,"suffix":""},{"dropping-particle":"","family":"Nöstlinger","given":"Christiana","non-dropping-particle":"","parse-names":false,"suffix":""},{"dropping-particle":"","family":"Berghe","given":"Wim","non-dropping-particle":"Vanden","parse-names":false,"suffix":""},{"dropping-particle":"","family":"Schink","given":"Susanne Barbara","non-dropping-particle":"","parse-names":false,"suffix":""},{"dropping-particle":"","family":"Suligoi","given":"Barbara","non-dropping-particle":"","parse-names":false,"suffix":""},{"dropping-particle":"","family":"Regine","given":"Vincenza","non-dropping-particle":"","parse-names":false,"suffix":""},{"dropping-particle":"","family":"Caplinskas","given":"Saulius","non-dropping-particle":"","parse-names":false,"suffix":""},{"dropping-particle":"","family":"Caplinskiene","given":"Irma","non-dropping-particle":"","parse-names":false,"suffix":""},{"dropping-particle":"","family":"Rosińska","given":"Magdalena","non-dropping-particle":"","parse-names":false,"suffix":""},{"dropping-particle":"","family":"Niedźwiedzka-Stadnik","given":"Marta","non-dropping-particle":"","parse-names":false,"suffix":""},{"dropping-particle":"","family":"Rafila","given":"Alexandru","non-dropping-particle":"","parse-names":false,"suffix":""},{"dropping-particle":"","family":"Pitigoi","given":"Daniela","non-dropping-particle":"","parse-names":false,"suffix":""},{"dropping-particle":"","family":"Bals","given":"Matei","non-dropping-particle":"","parse-names":false,"suffix":""},{"dropping-particle":"","family":"Staneková","given":"Danica","non-dropping-particle":"","parse-names":false,"suffix":""},{"dropping-particle":"","family":"Hábeková","given":"Monika","non-dropping-particle":"","parse-names":false,"suffix":""},{"dropping-particle":"","family":"Klavs","given":"Irena","non-dropping-particle":"","parse-names":false,"suffix":""},{"dropping-particle":"","family":"Ferrer","given":"Laia","non-dropping-particle":"","parse-names":false,"suffix":""},{"dropping-particle":"","family":"Velicko","given":"Inga","non-dropping-particle":"","parse-names":false,"suffix":""}],"container-title":"Journal of Public Health (United Kingdom)","id":"ITEM-2","issue":"2","issued":{"date-parts":[["2020"]]},"page":"1-13","title":"Factors related to condomless anal intercourse between men who have sex with men: Results from a European bio-behavioural survey","type":"article-journal","volume":"42"},"uris":["http://www.mendeley.com/documents/?uuid=a9827706-0a63-40e4-9412-e40bb86b51c3"]},{"id":"ITEM-3","itemData":{"DOI":"10.1136/bmjopen-2019-033852","ISBN":"2019033852","ISSN":"20446055","PMID":"32029492","abstract":"Objectives Since 2017, the Public Health Agency of Sweden recommends that pre-exposure prophylaxis (PrEP) for HIV should be offered to high-risk individuals, in particular to men who have sex with men (MSM). The objective of this study is to develop a mathematical model investigating the effect of introducing PrEP to MSM in Sweden. Design A pair formation model, including steady and casual sex partners, is developed to study the impact of introducing PrEP. Two groups are included in the model: sexually high active MSM and sexually low active MSM. Three mixing assumptions between the groups are considered. Setting A gay-friendly MSM HIV/sexually transmitted infection testing clinic in Stockholm, Sweden. This clinic started offering PrEP to MSM in October 2018. Participants The model is calibrated according to detailed sexual behaviour data gathered in 2015 among 403 MSM. Results By targeting sexually high active MSM, a PrEP coverage of 3.5% of the MSM population (10% of all high actives) would result in the long-term HIV prevalence to drop considerably (close to 0%). While targeting only low actives would require a PrEP coverage of 35% for a similar reduction. The main effect of PrEP is the reduced susceptibility, whereas the increased HIV testing rate (every third month) among PrEP users plays a lesser role. Conclusions To create a multifaceted picture of the effects of interventions against HIV, we need models that include the different stages of HIV infection and real-world data on detailed sexual behaviour to calibrate the mathematical models. Our findings conclude that targeting HIV high-risk individuals, within HIV risk populations such as MSM, with PrEP programmes could greatly decrease the long-term HIV prevalence in Sweden. Therefore, risk stratification of individuals is of importance in PrEP implementation programmes, to ensure optimising the effect and cost-effectiveness of such programmes.","author":[{"dropping-particle":"","family":"Hansson","given":"Disa","non-dropping-particle":"","parse-names":false,"suffix":""},{"dropping-particle":"","family":"Strömdahl","given":"Susanne","non-dropping-particle":"","parse-names":false,"suffix":""},{"dropping-particle":"","family":"Leung","given":"Ka Yin","non-dropping-particle":"","parse-names":false,"suffix":""},{"dropping-particle":"","family":"Britton","given":"Tom","non-dropping-particle":"","parse-names":false,"suffix":""}],"container-title":"BMJ Open","id":"ITEM-3","issue":"2","issued":{"date-parts":[["2020"]]},"title":"Introducing pre-exposure prophylaxis to prevent HIV acquisition among men who have sex with men in Sweden: Insights from a mathematical pair formation model","type":"book","volume":"10"},"uris":["http://www.mendeley.com/documents/?uuid=9f8307bc-afd7-42e8-b465-99bfe7dc1c58"]}],"mendeley":{"formattedCitation":"&lt;sup&gt;9–11&lt;/sup&gt;","plainTextFormattedCitation":"9–11","previouslyFormattedCitation":"&lt;sup&gt;16–18&lt;/sup&gt;"},"properties":{"noteIndex":0},"schema":"https://github.com/citation-style-language/schema/raw/master/csl-citation.json"}</w:instrText>
      </w:r>
      <w:r w:rsidR="00706638" w:rsidRPr="005342A5">
        <w:rPr>
          <w:lang w:val="en-US"/>
        </w:rPr>
        <w:fldChar w:fldCharType="separate"/>
      </w:r>
      <w:r w:rsidR="00702287" w:rsidRPr="00702287">
        <w:rPr>
          <w:noProof/>
          <w:vertAlign w:val="superscript"/>
          <w:lang w:val="en-US"/>
        </w:rPr>
        <w:t>9–11</w:t>
      </w:r>
      <w:r w:rsidR="00706638" w:rsidRPr="005342A5">
        <w:rPr>
          <w:lang w:val="en-US"/>
        </w:rPr>
        <w:fldChar w:fldCharType="end"/>
      </w:r>
      <w:r w:rsidR="00706638" w:rsidRPr="005342A5">
        <w:rPr>
          <w:lang w:val="en-US"/>
        </w:rPr>
        <w:t>. The two groups were assumed to have different sex act rates and condom use</w:t>
      </w:r>
      <w:r w:rsidR="00EE79B5">
        <w:rPr>
          <w:lang w:val="en-US"/>
        </w:rPr>
        <w:t xml:space="preserve"> and screening</w:t>
      </w:r>
      <w:r w:rsidR="00706638" w:rsidRPr="005342A5">
        <w:rPr>
          <w:lang w:val="en-US"/>
        </w:rPr>
        <w:t xml:space="preserve"> behaviors.</w:t>
      </w:r>
    </w:p>
    <w:p w14:paraId="233CD292" w14:textId="0C950DB9" w:rsidR="00706638" w:rsidRDefault="00706638" w:rsidP="00706638">
      <w:pPr>
        <w:rPr>
          <w:lang w:val="en-US"/>
        </w:rPr>
      </w:pPr>
      <w:r w:rsidRPr="005342A5">
        <w:rPr>
          <w:lang w:val="en-US"/>
        </w:rPr>
        <w:t xml:space="preserve">We initialized a population of 10,000 Belgian MSM and randomly allocated them to the two groups according to the estimated proportions. </w:t>
      </w:r>
    </w:p>
    <w:p w14:paraId="5CC02E17" w14:textId="76EB1A3D" w:rsidR="00706638" w:rsidRPr="00706638" w:rsidRDefault="00706638" w:rsidP="00706638">
      <w:pPr>
        <w:pStyle w:val="Heading3"/>
        <w:rPr>
          <w:rFonts w:asciiTheme="minorHAnsi" w:hAnsiTheme="minorHAnsi" w:cstheme="minorHAnsi"/>
          <w:color w:val="auto"/>
          <w:lang w:val="en-US"/>
        </w:rPr>
      </w:pPr>
      <w:r w:rsidRPr="00706638">
        <w:rPr>
          <w:rFonts w:asciiTheme="minorHAnsi" w:hAnsiTheme="minorHAnsi" w:cstheme="minorHAnsi"/>
          <w:color w:val="auto"/>
          <w:lang w:val="en-US"/>
        </w:rPr>
        <w:t>3.</w:t>
      </w:r>
      <w:r>
        <w:rPr>
          <w:rFonts w:asciiTheme="minorHAnsi" w:hAnsiTheme="minorHAnsi" w:cstheme="minorHAnsi"/>
          <w:color w:val="auto"/>
          <w:lang w:val="en-US"/>
        </w:rPr>
        <w:t>2</w:t>
      </w:r>
      <w:r w:rsidRPr="00706638">
        <w:rPr>
          <w:rFonts w:asciiTheme="minorHAnsi" w:hAnsiTheme="minorHAnsi" w:cstheme="minorHAnsi"/>
          <w:color w:val="auto"/>
          <w:lang w:val="en-US"/>
        </w:rPr>
        <w:t xml:space="preserve">. </w:t>
      </w:r>
      <w:r>
        <w:rPr>
          <w:rFonts w:asciiTheme="minorHAnsi" w:hAnsiTheme="minorHAnsi" w:cstheme="minorHAnsi"/>
          <w:color w:val="auto"/>
          <w:lang w:val="en-US"/>
        </w:rPr>
        <w:t>Partnership type</w:t>
      </w:r>
      <w:r w:rsidR="00791D24">
        <w:rPr>
          <w:rFonts w:asciiTheme="minorHAnsi" w:hAnsiTheme="minorHAnsi" w:cstheme="minorHAnsi"/>
          <w:color w:val="auto"/>
          <w:lang w:val="en-US"/>
        </w:rPr>
        <w:t>s</w:t>
      </w:r>
      <w:r w:rsidRPr="00706638">
        <w:rPr>
          <w:rFonts w:asciiTheme="minorHAnsi" w:hAnsiTheme="minorHAnsi" w:cstheme="minorHAnsi"/>
          <w:color w:val="auto"/>
          <w:lang w:val="en-US"/>
        </w:rPr>
        <w:t xml:space="preserve"> </w:t>
      </w:r>
    </w:p>
    <w:p w14:paraId="6A965C71" w14:textId="2994192B" w:rsidR="003D2F66" w:rsidRPr="005342A5" w:rsidRDefault="003D2F66" w:rsidP="00F16BC8">
      <w:pPr>
        <w:rPr>
          <w:lang w:val="en-US"/>
        </w:rPr>
      </w:pPr>
      <w:r w:rsidRPr="005342A5">
        <w:rPr>
          <w:lang w:val="en-US"/>
        </w:rPr>
        <w:t>T</w:t>
      </w:r>
      <w:r w:rsidR="0038477E" w:rsidRPr="005342A5">
        <w:rPr>
          <w:lang w:val="en-US"/>
        </w:rPr>
        <w:t>he model consist</w:t>
      </w:r>
      <w:r w:rsidR="005B7D5A" w:rsidRPr="005342A5">
        <w:rPr>
          <w:lang w:val="en-US"/>
        </w:rPr>
        <w:t>s</w:t>
      </w:r>
      <w:r w:rsidR="0038477E" w:rsidRPr="005342A5">
        <w:rPr>
          <w:lang w:val="en-US"/>
        </w:rPr>
        <w:t xml:space="preserve"> of </w:t>
      </w:r>
      <w:r w:rsidR="00684380">
        <w:rPr>
          <w:lang w:val="en-US"/>
        </w:rPr>
        <w:t>three</w:t>
      </w:r>
      <w:r w:rsidR="00EF258E" w:rsidRPr="005342A5">
        <w:rPr>
          <w:lang w:val="en-US"/>
        </w:rPr>
        <w:t xml:space="preserve"> parallel,</w:t>
      </w:r>
      <w:r w:rsidR="0038477E" w:rsidRPr="005342A5">
        <w:rPr>
          <w:lang w:val="en-US"/>
        </w:rPr>
        <w:t xml:space="preserve"> interacting </w:t>
      </w:r>
      <w:r w:rsidR="00D65B2A" w:rsidRPr="005342A5">
        <w:rPr>
          <w:lang w:val="en-US"/>
        </w:rPr>
        <w:t xml:space="preserve">networks representing </w:t>
      </w:r>
      <w:r w:rsidR="000C6DB4">
        <w:rPr>
          <w:lang w:val="en-US"/>
        </w:rPr>
        <w:t>steady</w:t>
      </w:r>
      <w:r w:rsidR="00684380">
        <w:rPr>
          <w:lang w:val="en-US"/>
        </w:rPr>
        <w:t>, persistent casual and one-off (one-night stand)</w:t>
      </w:r>
      <w:r w:rsidR="0038477E" w:rsidRPr="005342A5">
        <w:rPr>
          <w:lang w:val="en-US"/>
        </w:rPr>
        <w:t xml:space="preserve"> partnerships</w:t>
      </w:r>
      <w:r w:rsidR="0048593A">
        <w:rPr>
          <w:lang w:val="en-US"/>
        </w:rPr>
        <w:t xml:space="preserve">. </w:t>
      </w:r>
      <w:r w:rsidR="00171927">
        <w:rPr>
          <w:lang w:val="en-US"/>
        </w:rPr>
        <w:t xml:space="preserve">As </w:t>
      </w:r>
      <w:r w:rsidR="000C6DB4">
        <w:rPr>
          <w:lang w:val="en-US"/>
        </w:rPr>
        <w:t>steady</w:t>
      </w:r>
      <w:r w:rsidR="00171927">
        <w:rPr>
          <w:lang w:val="en-US"/>
        </w:rPr>
        <w:t xml:space="preserve"> partners, the EMIS questionnaire specified those who are a </w:t>
      </w:r>
      <w:r w:rsidR="00171927" w:rsidRPr="00171927">
        <w:rPr>
          <w:lang w:val="en-US"/>
        </w:rPr>
        <w:t xml:space="preserve">lover or spouse that means </w:t>
      </w:r>
      <w:r w:rsidR="00171927">
        <w:rPr>
          <w:lang w:val="en-US"/>
        </w:rPr>
        <w:t>that participants identif</w:t>
      </w:r>
      <w:r w:rsidR="0048593A">
        <w:rPr>
          <w:lang w:val="en-US"/>
        </w:rPr>
        <w:t>ied</w:t>
      </w:r>
      <w:r w:rsidR="00171927">
        <w:rPr>
          <w:lang w:val="en-US"/>
        </w:rPr>
        <w:t xml:space="preserve"> as “</w:t>
      </w:r>
      <w:proofErr w:type="spellStart"/>
      <w:r w:rsidR="00171927">
        <w:rPr>
          <w:lang w:val="en-US"/>
        </w:rPr>
        <w:t>not</w:t>
      </w:r>
      <w:proofErr w:type="spellEnd"/>
      <w:r w:rsidR="00171927">
        <w:rPr>
          <w:lang w:val="en-US"/>
        </w:rPr>
        <w:t xml:space="preserve"> </w:t>
      </w:r>
      <w:r w:rsidR="00171927" w:rsidRPr="00171927">
        <w:rPr>
          <w:lang w:val="en-US"/>
        </w:rPr>
        <w:t>single</w:t>
      </w:r>
      <w:r w:rsidR="00171927">
        <w:rPr>
          <w:lang w:val="en-US"/>
        </w:rPr>
        <w:t xml:space="preserve">”. All other partners were coded as casual partners. Among casual partners, the EMIS questionnaire </w:t>
      </w:r>
      <w:r w:rsidR="000C6DB4">
        <w:rPr>
          <w:lang w:val="en-US"/>
        </w:rPr>
        <w:t>established whether</w:t>
      </w:r>
      <w:r w:rsidR="00171927">
        <w:rPr>
          <w:lang w:val="en-US"/>
        </w:rPr>
        <w:t xml:space="preserve"> participants have had sex </w:t>
      </w:r>
      <w:r w:rsidR="000C6DB4">
        <w:rPr>
          <w:lang w:val="en-US"/>
        </w:rPr>
        <w:t xml:space="preserve">with them </w:t>
      </w:r>
      <w:r w:rsidR="00171927">
        <w:rPr>
          <w:lang w:val="en-US"/>
        </w:rPr>
        <w:t xml:space="preserve">before (once, or more than once). </w:t>
      </w:r>
      <w:r w:rsidR="00710530">
        <w:rPr>
          <w:lang w:val="en-US"/>
        </w:rPr>
        <w:t xml:space="preserve">Those who reported partners that they had not have sex before, were coded as one-off partners (one-night stands), while the remaining as persistent casual partners. </w:t>
      </w:r>
      <w:r w:rsidR="0086256B" w:rsidRPr="005342A5">
        <w:rPr>
          <w:lang w:val="en-US"/>
        </w:rPr>
        <w:t xml:space="preserve">The </w:t>
      </w:r>
      <w:r w:rsidR="00E2244B">
        <w:rPr>
          <w:lang w:val="en-US"/>
        </w:rPr>
        <w:t>three</w:t>
      </w:r>
      <w:r w:rsidR="0086256B" w:rsidRPr="005342A5">
        <w:rPr>
          <w:lang w:val="en-US"/>
        </w:rPr>
        <w:t xml:space="preserve"> parallel networks contained the same set of persons who were further distinguished into two groups </w:t>
      </w:r>
      <w:r w:rsidR="00786296" w:rsidRPr="005342A5">
        <w:rPr>
          <w:lang w:val="en-US"/>
        </w:rPr>
        <w:t>(</w:t>
      </w:r>
      <w:r w:rsidR="0064388B">
        <w:rPr>
          <w:lang w:val="en-US"/>
        </w:rPr>
        <w:t>LA- and HA-MSM</w:t>
      </w:r>
      <w:r w:rsidR="003157B7" w:rsidRPr="005342A5">
        <w:rPr>
          <w:lang w:val="en-US"/>
        </w:rPr>
        <w:t>)</w:t>
      </w:r>
      <w:r w:rsidR="0048593A">
        <w:rPr>
          <w:lang w:val="en-US"/>
        </w:rPr>
        <w:t xml:space="preserve"> as described above</w:t>
      </w:r>
      <w:r w:rsidR="003157B7" w:rsidRPr="005342A5">
        <w:rPr>
          <w:lang w:val="en-US"/>
        </w:rPr>
        <w:t>.</w:t>
      </w:r>
    </w:p>
    <w:p w14:paraId="17705B5B" w14:textId="24A4874A" w:rsidR="00E870C1" w:rsidRPr="00791D24" w:rsidRDefault="00791D24" w:rsidP="00791D24">
      <w:pPr>
        <w:pStyle w:val="Heading3"/>
        <w:rPr>
          <w:rFonts w:asciiTheme="minorHAnsi" w:hAnsiTheme="minorHAnsi" w:cstheme="minorHAnsi"/>
          <w:color w:val="auto"/>
          <w:lang w:val="en-US"/>
        </w:rPr>
      </w:pPr>
      <w:r>
        <w:rPr>
          <w:rFonts w:asciiTheme="minorHAnsi" w:hAnsiTheme="minorHAnsi" w:cstheme="minorHAnsi"/>
          <w:color w:val="auto"/>
          <w:lang w:val="en-US"/>
        </w:rPr>
        <w:t xml:space="preserve">3.3. </w:t>
      </w:r>
      <w:r w:rsidR="00E870C1" w:rsidRPr="00791D24">
        <w:rPr>
          <w:rFonts w:asciiTheme="minorHAnsi" w:hAnsiTheme="minorHAnsi" w:cstheme="minorHAnsi"/>
          <w:color w:val="auto"/>
          <w:lang w:val="en-US"/>
        </w:rPr>
        <w:t>Partnership formation</w:t>
      </w:r>
      <w:r w:rsidR="00331D70">
        <w:rPr>
          <w:rFonts w:asciiTheme="minorHAnsi" w:hAnsiTheme="minorHAnsi" w:cstheme="minorHAnsi"/>
          <w:color w:val="auto"/>
          <w:lang w:val="en-US"/>
        </w:rPr>
        <w:t xml:space="preserve"> and dissolution</w:t>
      </w:r>
    </w:p>
    <w:p w14:paraId="76236D90" w14:textId="464E13E9" w:rsidR="00EE2533" w:rsidRDefault="00EE2533" w:rsidP="00404408">
      <w:pPr>
        <w:rPr>
          <w:lang w:val="en-US"/>
        </w:rPr>
      </w:pPr>
      <w:bookmarkStart w:id="3" w:name="_Hlk152149617"/>
      <w:r w:rsidRPr="005342A5">
        <w:rPr>
          <w:lang w:val="en-US"/>
        </w:rPr>
        <w:t xml:space="preserve">The formation of partnerships in </w:t>
      </w:r>
      <w:r>
        <w:rPr>
          <w:lang w:val="en-US"/>
        </w:rPr>
        <w:t xml:space="preserve">all three </w:t>
      </w:r>
      <w:r w:rsidRPr="005342A5">
        <w:rPr>
          <w:lang w:val="en-US"/>
        </w:rPr>
        <w:t>networks (</w:t>
      </w:r>
      <w:r w:rsidR="000C6DB4">
        <w:rPr>
          <w:lang w:val="en-US"/>
        </w:rPr>
        <w:t>steady</w:t>
      </w:r>
      <w:r>
        <w:rPr>
          <w:lang w:val="en-US"/>
        </w:rPr>
        <w:t xml:space="preserve">, </w:t>
      </w:r>
      <w:r w:rsidRPr="005342A5">
        <w:rPr>
          <w:lang w:val="en-US"/>
        </w:rPr>
        <w:t>casual,</w:t>
      </w:r>
      <w:r>
        <w:rPr>
          <w:lang w:val="en-US"/>
        </w:rPr>
        <w:t xml:space="preserve"> and one-off</w:t>
      </w:r>
      <w:r w:rsidRPr="005342A5">
        <w:rPr>
          <w:lang w:val="en-US"/>
        </w:rPr>
        <w:t>) was governed by similar formation equations</w:t>
      </w:r>
      <w:r w:rsidR="0048593A" w:rsidRPr="005342A5">
        <w:rPr>
          <w:lang w:val="en-US"/>
        </w:rPr>
        <w:t xml:space="preserve">, in order to be able to preserve </w:t>
      </w:r>
      <w:r w:rsidR="0048593A">
        <w:rPr>
          <w:lang w:val="en-US"/>
        </w:rPr>
        <w:t xml:space="preserve">the distinct </w:t>
      </w:r>
      <w:r w:rsidR="0048593A" w:rsidRPr="005342A5">
        <w:rPr>
          <w:lang w:val="en-US"/>
        </w:rPr>
        <w:t>behavioral characteristics linked to each partnership type.</w:t>
      </w:r>
      <w:r w:rsidRPr="005342A5">
        <w:rPr>
          <w:lang w:val="en-US"/>
        </w:rPr>
        <w:t xml:space="preserve"> </w:t>
      </w:r>
      <w:r>
        <w:rPr>
          <w:lang w:val="en-US"/>
        </w:rPr>
        <w:t xml:space="preserve">The formation of </w:t>
      </w:r>
      <w:r w:rsidR="000C6DB4">
        <w:rPr>
          <w:lang w:val="en-US"/>
        </w:rPr>
        <w:t>steady</w:t>
      </w:r>
      <w:r>
        <w:rPr>
          <w:lang w:val="en-US"/>
        </w:rPr>
        <w:t xml:space="preserve"> (and casual) partnerships was associated with the number of total </w:t>
      </w:r>
      <w:r w:rsidRPr="005342A5">
        <w:rPr>
          <w:lang w:val="en-US"/>
        </w:rPr>
        <w:t xml:space="preserve">number of </w:t>
      </w:r>
      <w:r w:rsidR="000C6DB4">
        <w:rPr>
          <w:lang w:val="en-US"/>
        </w:rPr>
        <w:t>steady</w:t>
      </w:r>
      <w:r>
        <w:rPr>
          <w:lang w:val="en-US"/>
        </w:rPr>
        <w:t xml:space="preserve"> (casual) </w:t>
      </w:r>
      <w:r w:rsidRPr="005342A5">
        <w:rPr>
          <w:lang w:val="en-US"/>
        </w:rPr>
        <w:t>partnerships currently in the network</w:t>
      </w:r>
      <w:r>
        <w:rPr>
          <w:lang w:val="en-US"/>
        </w:rPr>
        <w:t>, the proportion of concordant partnerships (HA-MSM with HA-MSM, or LA-MSM with LA-MSM)</w:t>
      </w:r>
      <w:r w:rsidRPr="005342A5">
        <w:rPr>
          <w:lang w:val="en-US"/>
        </w:rPr>
        <w:t xml:space="preserve"> </w:t>
      </w:r>
      <w:r>
        <w:rPr>
          <w:lang w:val="en-US"/>
        </w:rPr>
        <w:t>different for each group, the proportion of individuals with concurren</w:t>
      </w:r>
      <w:r w:rsidR="0048593A">
        <w:rPr>
          <w:lang w:val="en-US"/>
        </w:rPr>
        <w:t>t partners</w:t>
      </w:r>
      <w:r>
        <w:rPr>
          <w:lang w:val="en-US"/>
        </w:rPr>
        <w:t xml:space="preserve"> (2 or more active partnerships simultaneously) </w:t>
      </w:r>
      <w:r w:rsidRPr="005342A5">
        <w:rPr>
          <w:lang w:val="en-US"/>
        </w:rPr>
        <w:t>and the</w:t>
      </w:r>
      <w:r w:rsidR="0048593A">
        <w:rPr>
          <w:lang w:val="en-US"/>
        </w:rPr>
        <w:t>ir status regarding casual (</w:t>
      </w:r>
      <w:r w:rsidR="000C6DB4">
        <w:rPr>
          <w:lang w:val="en-US"/>
        </w:rPr>
        <w:t>steady</w:t>
      </w:r>
      <w:r w:rsidR="0048593A">
        <w:rPr>
          <w:lang w:val="en-US"/>
        </w:rPr>
        <w:t>) partners (</w:t>
      </w:r>
      <w:r>
        <w:rPr>
          <w:lang w:val="en-US"/>
        </w:rPr>
        <w:t>proportion of individuals with 0, 1, or more than 1 casual (</w:t>
      </w:r>
      <w:r w:rsidR="000C6DB4">
        <w:rPr>
          <w:lang w:val="en-US"/>
        </w:rPr>
        <w:t>steady</w:t>
      </w:r>
      <w:r>
        <w:rPr>
          <w:lang w:val="en-US"/>
        </w:rPr>
        <w:t>) partners</w:t>
      </w:r>
      <w:r w:rsidR="0048593A">
        <w:rPr>
          <w:lang w:val="en-US"/>
        </w:rPr>
        <w:t>)</w:t>
      </w:r>
      <w:r w:rsidRPr="005342A5">
        <w:rPr>
          <w:lang w:val="en-US"/>
        </w:rPr>
        <w:t>.</w:t>
      </w:r>
      <w:r>
        <w:rPr>
          <w:lang w:val="en-US"/>
        </w:rPr>
        <w:t xml:space="preserve"> </w:t>
      </w:r>
      <w:bookmarkStart w:id="4" w:name="_Hlk152149653"/>
      <w:bookmarkEnd w:id="3"/>
      <w:r>
        <w:rPr>
          <w:lang w:val="en-US"/>
        </w:rPr>
        <w:t xml:space="preserve">The formation of one-off partnerships depended on the total number of one-off partnerships, the proportion of concordant partnerships (different for each group), the proportion of individuals with 0, 1 or more than 1 </w:t>
      </w:r>
      <w:r w:rsidR="000C6DB4">
        <w:rPr>
          <w:lang w:val="en-US"/>
        </w:rPr>
        <w:t>steady</w:t>
      </w:r>
      <w:r>
        <w:rPr>
          <w:lang w:val="en-US"/>
        </w:rPr>
        <w:t xml:space="preserve"> partners, and the proportion of individuals with 0, 1, or more than 1 casual partners.</w:t>
      </w:r>
      <w:r w:rsidR="0048593A">
        <w:rPr>
          <w:lang w:val="en-US"/>
        </w:rPr>
        <w:t xml:space="preserve"> A</w:t>
      </w:r>
      <w:r w:rsidRPr="005342A5">
        <w:rPr>
          <w:lang w:val="en-US"/>
        </w:rPr>
        <w:t>ll those characteristics were targeted to match observed statistics from the</w:t>
      </w:r>
      <w:r>
        <w:rPr>
          <w:lang w:val="en-US"/>
        </w:rPr>
        <w:t xml:space="preserve"> EMIS 2017 dataset</w:t>
      </w:r>
      <w:r w:rsidRPr="005342A5">
        <w:rPr>
          <w:lang w:val="en-US"/>
        </w:rPr>
        <w:t xml:space="preserve"> for each group </w:t>
      </w:r>
      <w:r w:rsidR="0048593A">
        <w:rPr>
          <w:lang w:val="en-US"/>
        </w:rPr>
        <w:t xml:space="preserve">and partnership type </w:t>
      </w:r>
      <w:r w:rsidRPr="005342A5">
        <w:rPr>
          <w:lang w:val="en-US"/>
        </w:rPr>
        <w:t xml:space="preserve">and </w:t>
      </w:r>
      <w:r>
        <w:rPr>
          <w:lang w:val="en-US"/>
        </w:rPr>
        <w:t xml:space="preserve">the underlying network was fitted so that they would be </w:t>
      </w:r>
      <w:r w:rsidRPr="005342A5">
        <w:rPr>
          <w:lang w:val="en-US"/>
        </w:rPr>
        <w:t xml:space="preserve">held constant over time. </w:t>
      </w:r>
    </w:p>
    <w:p w14:paraId="59D56C6E" w14:textId="24CFF59C" w:rsidR="000B7440" w:rsidRDefault="00A36236" w:rsidP="00404408">
      <w:pPr>
        <w:rPr>
          <w:lang w:val="en-US"/>
        </w:rPr>
      </w:pPr>
      <w:bookmarkStart w:id="5" w:name="_Hlk152149668"/>
      <w:bookmarkEnd w:id="4"/>
      <w:r w:rsidRPr="005342A5">
        <w:rPr>
          <w:lang w:val="en-US"/>
        </w:rPr>
        <w:t>The number of ongoing partnerships (</w:t>
      </w:r>
      <w:r w:rsidR="000C6DB4">
        <w:rPr>
          <w:lang w:val="en-US"/>
        </w:rPr>
        <w:t>steady</w:t>
      </w:r>
      <w:r w:rsidRPr="005342A5">
        <w:rPr>
          <w:lang w:val="en-US"/>
        </w:rPr>
        <w:t xml:space="preserve"> and </w:t>
      </w:r>
      <w:r w:rsidR="0048593A">
        <w:rPr>
          <w:lang w:val="en-US"/>
        </w:rPr>
        <w:t xml:space="preserve">persistent </w:t>
      </w:r>
      <w:r w:rsidRPr="005342A5">
        <w:rPr>
          <w:lang w:val="en-US"/>
        </w:rPr>
        <w:t>casual) and their combination</w:t>
      </w:r>
      <w:r w:rsidR="00974C4F">
        <w:rPr>
          <w:lang w:val="en-US"/>
        </w:rPr>
        <w:t>s</w:t>
      </w:r>
      <w:r w:rsidRPr="005342A5">
        <w:rPr>
          <w:lang w:val="en-US"/>
        </w:rPr>
        <w:t xml:space="preserve"> w</w:t>
      </w:r>
      <w:r w:rsidR="00974C4F">
        <w:rPr>
          <w:lang w:val="en-US"/>
        </w:rPr>
        <w:t>ere</w:t>
      </w:r>
      <w:r w:rsidRPr="005342A5">
        <w:rPr>
          <w:lang w:val="en-US"/>
        </w:rPr>
        <w:t xml:space="preserve"> </w:t>
      </w:r>
      <w:r w:rsidR="00171927">
        <w:rPr>
          <w:lang w:val="en-US"/>
        </w:rPr>
        <w:t xml:space="preserve">estimated using the EMIS </w:t>
      </w:r>
      <w:r w:rsidR="0048593A">
        <w:rPr>
          <w:lang w:val="en-US"/>
        </w:rPr>
        <w:t xml:space="preserve">2017 </w:t>
      </w:r>
      <w:r w:rsidR="00171927">
        <w:rPr>
          <w:lang w:val="en-US"/>
        </w:rPr>
        <w:t>dat</w:t>
      </w:r>
      <w:r w:rsidR="000B7440">
        <w:rPr>
          <w:lang w:val="en-US"/>
        </w:rPr>
        <w:t>a</w:t>
      </w:r>
      <w:r w:rsidR="00171927">
        <w:rPr>
          <w:lang w:val="en-US"/>
        </w:rPr>
        <w:t xml:space="preserve">set. </w:t>
      </w:r>
      <w:r w:rsidR="0048593A" w:rsidRPr="005342A5">
        <w:rPr>
          <w:lang w:val="en-US"/>
        </w:rPr>
        <w:t xml:space="preserve">We allowed each individual in the model to have zero, one or more than one </w:t>
      </w:r>
      <w:r w:rsidR="000C6DB4">
        <w:rPr>
          <w:lang w:val="en-US"/>
        </w:rPr>
        <w:t>steady</w:t>
      </w:r>
      <w:r w:rsidR="0048593A" w:rsidRPr="005342A5">
        <w:rPr>
          <w:lang w:val="en-US"/>
        </w:rPr>
        <w:t xml:space="preserve"> partner and zero, one or more than one casual partners at any given time step.</w:t>
      </w:r>
    </w:p>
    <w:bookmarkEnd w:id="5"/>
    <w:p w14:paraId="480E06E6" w14:textId="40CCFEB1" w:rsidR="00610196" w:rsidRPr="005342A5" w:rsidRDefault="00F07E61" w:rsidP="00996823">
      <w:pPr>
        <w:pStyle w:val="NoSpacing"/>
        <w:rPr>
          <w:lang w:val="en-US"/>
        </w:rPr>
      </w:pPr>
      <w:r w:rsidRPr="005342A5">
        <w:rPr>
          <w:lang w:val="en-US"/>
        </w:rPr>
        <w:t xml:space="preserve">The distribution of </w:t>
      </w:r>
      <w:r w:rsidR="000C6DB4">
        <w:rPr>
          <w:lang w:val="en-US"/>
        </w:rPr>
        <w:t>steady</w:t>
      </w:r>
      <w:r w:rsidRPr="005342A5">
        <w:rPr>
          <w:lang w:val="en-US"/>
        </w:rPr>
        <w:t xml:space="preserve"> and </w:t>
      </w:r>
      <w:r w:rsidR="0048593A">
        <w:rPr>
          <w:lang w:val="en-US"/>
        </w:rPr>
        <w:t xml:space="preserve">persistent </w:t>
      </w:r>
      <w:r w:rsidRPr="005342A5">
        <w:rPr>
          <w:lang w:val="en-US"/>
        </w:rPr>
        <w:t xml:space="preserve">casual partnerships by group is presented </w:t>
      </w:r>
      <w:r w:rsidR="00E60196" w:rsidRPr="005342A5">
        <w:rPr>
          <w:lang w:val="en-US"/>
        </w:rPr>
        <w:t xml:space="preserve">in </w:t>
      </w:r>
      <w:r w:rsidRPr="005342A5">
        <w:rPr>
          <w:lang w:val="en-US"/>
        </w:rPr>
        <w:fldChar w:fldCharType="begin"/>
      </w:r>
      <w:r w:rsidRPr="005342A5">
        <w:rPr>
          <w:lang w:val="en-US"/>
        </w:rPr>
        <w:instrText xml:space="preserve"> REF _Ref88829229 \h </w:instrText>
      </w:r>
      <w:r w:rsidR="00404408" w:rsidRPr="005342A5">
        <w:rPr>
          <w:lang w:val="en-US"/>
        </w:rPr>
        <w:instrText xml:space="preserve"> \* MERGEFORMAT </w:instrText>
      </w:r>
      <w:r w:rsidRPr="005342A5">
        <w:rPr>
          <w:lang w:val="en-US"/>
        </w:rPr>
      </w:r>
      <w:r w:rsidRPr="005342A5">
        <w:rPr>
          <w:lang w:val="en-US"/>
        </w:rPr>
        <w:fldChar w:fldCharType="separate"/>
      </w:r>
    </w:p>
    <w:p w14:paraId="37C5018F" w14:textId="5216661C" w:rsidR="00404408" w:rsidRPr="005342A5" w:rsidRDefault="00610196" w:rsidP="00996823">
      <w:pPr>
        <w:pStyle w:val="NoSpacing"/>
        <w:rPr>
          <w:lang w:val="en-US"/>
        </w:rPr>
      </w:pPr>
      <w:r w:rsidRPr="005342A5">
        <w:rPr>
          <w:lang w:val="en-US"/>
        </w:rPr>
        <w:t>Table S1</w:t>
      </w:r>
      <w:r w:rsidR="00F07E61" w:rsidRPr="005342A5">
        <w:rPr>
          <w:lang w:val="en-US"/>
        </w:rPr>
        <w:fldChar w:fldCharType="end"/>
      </w:r>
      <w:r w:rsidR="00F07E61" w:rsidRPr="005342A5">
        <w:rPr>
          <w:lang w:val="en-US"/>
        </w:rPr>
        <w:t xml:space="preserve">. </w:t>
      </w:r>
      <w:bookmarkStart w:id="6" w:name="_Ref88829229"/>
    </w:p>
    <w:p w14:paraId="4058343C" w14:textId="77777777" w:rsidR="00996823" w:rsidRPr="005342A5" w:rsidRDefault="00996823" w:rsidP="00996823">
      <w:pPr>
        <w:pStyle w:val="NoSpacing"/>
        <w:rPr>
          <w:lang w:val="en-US"/>
        </w:rPr>
      </w:pPr>
    </w:p>
    <w:p w14:paraId="6F579C19" w14:textId="3CC9E361" w:rsidR="006B5C71" w:rsidRPr="005342A5" w:rsidRDefault="006878B0" w:rsidP="006B5C71">
      <w:pPr>
        <w:pStyle w:val="Caption"/>
        <w:rPr>
          <w:lang w:val="en-US"/>
        </w:rPr>
      </w:pPr>
      <w:r w:rsidRPr="00C10110">
        <w:rPr>
          <w:lang w:val="en-US"/>
        </w:rPr>
        <w:t>Table</w:t>
      </w:r>
      <w:r w:rsidRPr="005342A5">
        <w:rPr>
          <w:lang w:val="en-US"/>
        </w:rPr>
        <w:t xml:space="preserve"> S</w:t>
      </w:r>
      <w:r w:rsidR="00F1222A" w:rsidRPr="005342A5">
        <w:rPr>
          <w:lang w:val="en-US"/>
        </w:rPr>
        <w:fldChar w:fldCharType="begin"/>
      </w:r>
      <w:r w:rsidR="00F1222A" w:rsidRPr="005342A5">
        <w:rPr>
          <w:lang w:val="en-US"/>
        </w:rPr>
        <w:instrText xml:space="preserve"> SEQ Table \* ARABIC </w:instrText>
      </w:r>
      <w:r w:rsidR="00F1222A" w:rsidRPr="005342A5">
        <w:rPr>
          <w:lang w:val="en-US"/>
        </w:rPr>
        <w:fldChar w:fldCharType="separate"/>
      </w:r>
      <w:r w:rsidR="00610196" w:rsidRPr="005342A5">
        <w:rPr>
          <w:noProof/>
          <w:lang w:val="en-US"/>
        </w:rPr>
        <w:t>1</w:t>
      </w:r>
      <w:r w:rsidR="00F1222A" w:rsidRPr="005342A5">
        <w:rPr>
          <w:lang w:val="en-US"/>
        </w:rPr>
        <w:fldChar w:fldCharType="end"/>
      </w:r>
      <w:bookmarkEnd w:id="6"/>
      <w:r w:rsidR="00F1222A" w:rsidRPr="005342A5">
        <w:rPr>
          <w:lang w:val="en-US"/>
        </w:rPr>
        <w:t xml:space="preserve">: </w:t>
      </w:r>
      <w:r w:rsidR="006B5C71" w:rsidRPr="005342A5">
        <w:rPr>
          <w:lang w:val="en-US"/>
        </w:rPr>
        <w:t xml:space="preserve">Partnership formation probabilities </w:t>
      </w:r>
      <w:r w:rsidR="006B5C71">
        <w:rPr>
          <w:lang w:val="en-US"/>
        </w:rPr>
        <w:t xml:space="preserve">for </w:t>
      </w:r>
      <w:r w:rsidR="000C6DB4">
        <w:rPr>
          <w:lang w:val="en-US"/>
        </w:rPr>
        <w:t>steady</w:t>
      </w:r>
      <w:r w:rsidR="006B5C71">
        <w:rPr>
          <w:lang w:val="en-US"/>
        </w:rPr>
        <w:t xml:space="preserve"> and casual partnerships </w:t>
      </w:r>
      <w:r w:rsidR="006B5C71" w:rsidRPr="005342A5">
        <w:rPr>
          <w:lang w:val="en-US"/>
        </w:rPr>
        <w:t>stratified by partnership group</w:t>
      </w:r>
    </w:p>
    <w:tbl>
      <w:tblPr>
        <w:tblStyle w:val="ListTable1Light"/>
        <w:tblW w:w="9072" w:type="dxa"/>
        <w:tblLook w:val="04A0" w:firstRow="1" w:lastRow="0" w:firstColumn="1" w:lastColumn="0" w:noHBand="0" w:noVBand="1"/>
      </w:tblPr>
      <w:tblGrid>
        <w:gridCol w:w="2312"/>
        <w:gridCol w:w="1562"/>
        <w:gridCol w:w="1714"/>
        <w:gridCol w:w="1135"/>
        <w:gridCol w:w="1034"/>
        <w:gridCol w:w="1315"/>
      </w:tblGrid>
      <w:tr w:rsidR="00226F8D" w:rsidRPr="005342A5" w14:paraId="15D95704" w14:textId="77777777" w:rsidTr="00663D8D">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312" w:type="dxa"/>
          </w:tcPr>
          <w:p w14:paraId="15C4B4A6" w14:textId="77777777" w:rsidR="00226F8D" w:rsidRPr="005342A5" w:rsidRDefault="00226F8D" w:rsidP="00B443DB">
            <w:pPr>
              <w:jc w:val="center"/>
              <w:rPr>
                <w:lang w:val="en-US"/>
              </w:rPr>
            </w:pPr>
          </w:p>
        </w:tc>
        <w:tc>
          <w:tcPr>
            <w:tcW w:w="1562" w:type="dxa"/>
          </w:tcPr>
          <w:p w14:paraId="0D506608" w14:textId="77777777" w:rsidR="00226F8D" w:rsidRPr="005342A5" w:rsidRDefault="00226F8D" w:rsidP="00B443DB">
            <w:pPr>
              <w:jc w:val="center"/>
              <w:cnfStyle w:val="100000000000" w:firstRow="1" w:lastRow="0" w:firstColumn="0" w:lastColumn="0" w:oddVBand="0" w:evenVBand="0" w:oddHBand="0" w:evenHBand="0" w:firstRowFirstColumn="0" w:firstRowLastColumn="0" w:lastRowFirstColumn="0" w:lastRowLastColumn="0"/>
              <w:rPr>
                <w:lang w:val="en-US"/>
              </w:rPr>
            </w:pPr>
          </w:p>
        </w:tc>
        <w:tc>
          <w:tcPr>
            <w:tcW w:w="1714" w:type="dxa"/>
          </w:tcPr>
          <w:p w14:paraId="378136F3" w14:textId="6B112F4C" w:rsidR="00226F8D" w:rsidRPr="005342A5" w:rsidRDefault="00226F8D" w:rsidP="00B443DB">
            <w:pPr>
              <w:jc w:val="center"/>
              <w:cnfStyle w:val="100000000000" w:firstRow="1" w:lastRow="0" w:firstColumn="0" w:lastColumn="0" w:oddVBand="0" w:evenVBand="0" w:oddHBand="0" w:evenHBand="0" w:firstRowFirstColumn="0" w:firstRowLastColumn="0" w:lastRowFirstColumn="0" w:lastRowLastColumn="0"/>
              <w:rPr>
                <w:lang w:val="en-US"/>
              </w:rPr>
            </w:pPr>
          </w:p>
        </w:tc>
        <w:tc>
          <w:tcPr>
            <w:tcW w:w="3484" w:type="dxa"/>
            <w:gridSpan w:val="3"/>
          </w:tcPr>
          <w:p w14:paraId="27F5A576" w14:textId="589B3952" w:rsidR="00226F8D" w:rsidRPr="005342A5" w:rsidRDefault="00226F8D" w:rsidP="00B443DB">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A</w:t>
            </w:r>
            <w:r>
              <w:t xml:space="preserve">ll </w:t>
            </w:r>
            <w:r>
              <w:rPr>
                <w:lang w:val="en-US"/>
              </w:rPr>
              <w:t>C</w:t>
            </w:r>
            <w:r w:rsidRPr="005342A5">
              <w:rPr>
                <w:lang w:val="en-US"/>
              </w:rPr>
              <w:t>asual partners</w:t>
            </w:r>
          </w:p>
        </w:tc>
      </w:tr>
      <w:tr w:rsidR="00226F8D" w:rsidRPr="005342A5" w14:paraId="0312FAB4" w14:textId="77777777" w:rsidTr="00663D8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312" w:type="dxa"/>
          </w:tcPr>
          <w:p w14:paraId="4DEC024E" w14:textId="6AD5E8CC" w:rsidR="00226F8D" w:rsidRPr="005342A5" w:rsidRDefault="00226F8D" w:rsidP="00226F8D">
            <w:pPr>
              <w:jc w:val="center"/>
              <w:rPr>
                <w:lang w:val="en-US"/>
              </w:rPr>
            </w:pPr>
            <w:r>
              <w:rPr>
                <w:lang w:val="en-US"/>
              </w:rPr>
              <w:t>P</w:t>
            </w:r>
            <w:proofErr w:type="spellStart"/>
            <w:r>
              <w:t>rEP</w:t>
            </w:r>
            <w:proofErr w:type="spellEnd"/>
            <w:r>
              <w:t xml:space="preserve"> </w:t>
            </w:r>
            <w:proofErr w:type="spellStart"/>
            <w:r>
              <w:t>eligibility</w:t>
            </w:r>
            <w:proofErr w:type="spellEnd"/>
          </w:p>
        </w:tc>
        <w:tc>
          <w:tcPr>
            <w:tcW w:w="1562" w:type="dxa"/>
          </w:tcPr>
          <w:p w14:paraId="694F9E8C" w14:textId="46C66DD3" w:rsidR="00226F8D"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Lower-activity</w:t>
            </w:r>
            <w:r w:rsidRPr="005342A5">
              <w:rPr>
                <w:lang w:val="en-US"/>
              </w:rPr>
              <w:t xml:space="preserve"> </w:t>
            </w:r>
            <w:r>
              <w:rPr>
                <w:lang w:val="en-US"/>
              </w:rPr>
              <w:t>MSM</w:t>
            </w:r>
          </w:p>
        </w:tc>
        <w:tc>
          <w:tcPr>
            <w:tcW w:w="1714" w:type="dxa"/>
          </w:tcPr>
          <w:p w14:paraId="10FB7814" w14:textId="6066F847"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Steady</w:t>
            </w:r>
            <w:r w:rsidRPr="005342A5">
              <w:rPr>
                <w:lang w:val="en-US"/>
              </w:rPr>
              <w:t xml:space="preserve"> partners</w:t>
            </w:r>
          </w:p>
        </w:tc>
        <w:tc>
          <w:tcPr>
            <w:tcW w:w="1135" w:type="dxa"/>
          </w:tcPr>
          <w:p w14:paraId="09FDD8EF" w14:textId="05DFF6A5"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sidRPr="005342A5">
              <w:rPr>
                <w:lang w:val="en-US"/>
              </w:rPr>
              <w:t>0</w:t>
            </w:r>
          </w:p>
        </w:tc>
        <w:tc>
          <w:tcPr>
            <w:tcW w:w="1034" w:type="dxa"/>
          </w:tcPr>
          <w:p w14:paraId="7221399B" w14:textId="7C05D9F3"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sidRPr="005342A5">
              <w:rPr>
                <w:lang w:val="en-US"/>
              </w:rPr>
              <w:t>1</w:t>
            </w:r>
          </w:p>
        </w:tc>
        <w:tc>
          <w:tcPr>
            <w:tcW w:w="1315" w:type="dxa"/>
          </w:tcPr>
          <w:p w14:paraId="7FABF640" w14:textId="50817876"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sidRPr="005342A5">
              <w:rPr>
                <w:lang w:val="en-US"/>
              </w:rPr>
              <w:t>&gt;1</w:t>
            </w:r>
          </w:p>
        </w:tc>
      </w:tr>
      <w:tr w:rsidR="00226F8D" w:rsidRPr="005342A5" w14:paraId="62C9AEB7" w14:textId="77777777" w:rsidTr="00663D8D">
        <w:trPr>
          <w:trHeight w:val="250"/>
        </w:trPr>
        <w:tc>
          <w:tcPr>
            <w:cnfStyle w:val="001000000000" w:firstRow="0" w:lastRow="0" w:firstColumn="1" w:lastColumn="0" w:oddVBand="0" w:evenVBand="0" w:oddHBand="0" w:evenHBand="0" w:firstRowFirstColumn="0" w:firstRowLastColumn="0" w:lastRowFirstColumn="0" w:lastRowLastColumn="0"/>
            <w:tcW w:w="2312" w:type="dxa"/>
          </w:tcPr>
          <w:p w14:paraId="0A286BD7" w14:textId="77777777" w:rsidR="00226F8D" w:rsidRPr="005342A5" w:rsidRDefault="00226F8D" w:rsidP="00226F8D">
            <w:pPr>
              <w:jc w:val="center"/>
              <w:rPr>
                <w:lang w:val="en-US"/>
              </w:rPr>
            </w:pPr>
          </w:p>
        </w:tc>
        <w:tc>
          <w:tcPr>
            <w:tcW w:w="1562" w:type="dxa"/>
          </w:tcPr>
          <w:p w14:paraId="5762DC0F" w14:textId="77777777"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14" w:type="dxa"/>
          </w:tcPr>
          <w:p w14:paraId="4CEFC30D" w14:textId="2E824A23"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sidRPr="005342A5">
              <w:rPr>
                <w:lang w:val="en-US"/>
              </w:rPr>
              <w:t>0</w:t>
            </w:r>
          </w:p>
        </w:tc>
        <w:tc>
          <w:tcPr>
            <w:tcW w:w="1135" w:type="dxa"/>
          </w:tcPr>
          <w:p w14:paraId="18254700" w14:textId="67128632"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sidRPr="00D9246A">
              <w:rPr>
                <w:lang w:val="en-US"/>
              </w:rPr>
              <w:t>5</w:t>
            </w:r>
            <w:r>
              <w:rPr>
                <w:lang w:val="en-US"/>
              </w:rPr>
              <w:t>1</w:t>
            </w:r>
            <w:r w:rsidRPr="00D9246A">
              <w:rPr>
                <w:lang w:val="en-US"/>
              </w:rPr>
              <w:t>.</w:t>
            </w:r>
            <w:r>
              <w:rPr>
                <w:lang w:val="en-US"/>
              </w:rPr>
              <w:t xml:space="preserve">51 </w:t>
            </w:r>
            <w:r w:rsidRPr="005342A5">
              <w:rPr>
                <w:lang w:val="en-US"/>
              </w:rPr>
              <w:t>%</w:t>
            </w:r>
          </w:p>
        </w:tc>
        <w:tc>
          <w:tcPr>
            <w:tcW w:w="1034" w:type="dxa"/>
          </w:tcPr>
          <w:p w14:paraId="4BBDBD2C" w14:textId="1D4435C9"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4.35</w:t>
            </w:r>
            <w:r w:rsidRPr="005342A5">
              <w:rPr>
                <w:lang w:val="en-US"/>
              </w:rPr>
              <w:t xml:space="preserve"> %</w:t>
            </w:r>
          </w:p>
        </w:tc>
        <w:tc>
          <w:tcPr>
            <w:tcW w:w="1315" w:type="dxa"/>
          </w:tcPr>
          <w:p w14:paraId="490F15F2" w14:textId="2E94CC2E"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1.03 %</w:t>
            </w:r>
          </w:p>
        </w:tc>
      </w:tr>
      <w:tr w:rsidR="00226F8D" w:rsidRPr="005342A5" w14:paraId="4215ECA4" w14:textId="77777777" w:rsidTr="00663D8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312" w:type="dxa"/>
          </w:tcPr>
          <w:p w14:paraId="08B521B3" w14:textId="77777777" w:rsidR="00226F8D" w:rsidRPr="005342A5" w:rsidRDefault="00226F8D" w:rsidP="00226F8D">
            <w:pPr>
              <w:jc w:val="center"/>
              <w:rPr>
                <w:lang w:val="en-US"/>
              </w:rPr>
            </w:pPr>
          </w:p>
        </w:tc>
        <w:tc>
          <w:tcPr>
            <w:tcW w:w="1562" w:type="dxa"/>
          </w:tcPr>
          <w:p w14:paraId="6985C2DD" w14:textId="77777777"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714" w:type="dxa"/>
          </w:tcPr>
          <w:p w14:paraId="27DA8C32" w14:textId="06A0FFE6"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sidRPr="005342A5">
              <w:rPr>
                <w:lang w:val="en-US"/>
              </w:rPr>
              <w:t>1</w:t>
            </w:r>
          </w:p>
        </w:tc>
        <w:tc>
          <w:tcPr>
            <w:tcW w:w="1135" w:type="dxa"/>
          </w:tcPr>
          <w:p w14:paraId="4795E21E" w14:textId="6A29F7C1"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32.13 </w:t>
            </w:r>
            <w:r w:rsidRPr="005342A5">
              <w:rPr>
                <w:lang w:val="en-US"/>
              </w:rPr>
              <w:t>%</w:t>
            </w:r>
          </w:p>
        </w:tc>
        <w:tc>
          <w:tcPr>
            <w:tcW w:w="1034" w:type="dxa"/>
          </w:tcPr>
          <w:p w14:paraId="06412E8A" w14:textId="7AA11705"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7.25</w:t>
            </w:r>
            <w:r w:rsidRPr="005342A5">
              <w:rPr>
                <w:lang w:val="en-US"/>
              </w:rPr>
              <w:t xml:space="preserve"> %</w:t>
            </w:r>
          </w:p>
        </w:tc>
        <w:tc>
          <w:tcPr>
            <w:tcW w:w="1315" w:type="dxa"/>
          </w:tcPr>
          <w:p w14:paraId="0DA3057B" w14:textId="65B9E31F"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1.99 %</w:t>
            </w:r>
          </w:p>
        </w:tc>
      </w:tr>
      <w:tr w:rsidR="00226F8D" w:rsidRPr="005342A5" w14:paraId="514B5F7D" w14:textId="77777777" w:rsidTr="00663D8D">
        <w:trPr>
          <w:trHeight w:val="250"/>
        </w:trPr>
        <w:tc>
          <w:tcPr>
            <w:cnfStyle w:val="001000000000" w:firstRow="0" w:lastRow="0" w:firstColumn="1" w:lastColumn="0" w:oddVBand="0" w:evenVBand="0" w:oddHBand="0" w:evenHBand="0" w:firstRowFirstColumn="0" w:firstRowLastColumn="0" w:lastRowFirstColumn="0" w:lastRowLastColumn="0"/>
            <w:tcW w:w="2312" w:type="dxa"/>
          </w:tcPr>
          <w:p w14:paraId="46678D8D" w14:textId="77777777" w:rsidR="00226F8D" w:rsidRPr="005342A5" w:rsidRDefault="00226F8D" w:rsidP="00226F8D">
            <w:pPr>
              <w:jc w:val="center"/>
              <w:rPr>
                <w:lang w:val="en-US"/>
              </w:rPr>
            </w:pPr>
          </w:p>
        </w:tc>
        <w:tc>
          <w:tcPr>
            <w:tcW w:w="1562" w:type="dxa"/>
          </w:tcPr>
          <w:p w14:paraId="29FB9773" w14:textId="77777777"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14" w:type="dxa"/>
          </w:tcPr>
          <w:p w14:paraId="0DAE2DFF" w14:textId="4B918DD9"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sidRPr="005342A5">
              <w:rPr>
                <w:lang w:val="en-US"/>
              </w:rPr>
              <w:t>&gt; 1</w:t>
            </w:r>
          </w:p>
        </w:tc>
        <w:tc>
          <w:tcPr>
            <w:tcW w:w="1135" w:type="dxa"/>
          </w:tcPr>
          <w:p w14:paraId="7F0E62D2" w14:textId="00288952"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1.27</w:t>
            </w:r>
            <w:r w:rsidRPr="005342A5">
              <w:rPr>
                <w:lang w:val="en-US"/>
              </w:rPr>
              <w:t xml:space="preserve"> %</w:t>
            </w:r>
          </w:p>
        </w:tc>
        <w:tc>
          <w:tcPr>
            <w:tcW w:w="1034" w:type="dxa"/>
          </w:tcPr>
          <w:p w14:paraId="6E2745F5" w14:textId="153849D4"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0.30</w:t>
            </w:r>
            <w:r w:rsidRPr="005342A5">
              <w:rPr>
                <w:lang w:val="en-US"/>
              </w:rPr>
              <w:t xml:space="preserve"> %</w:t>
            </w:r>
          </w:p>
        </w:tc>
        <w:tc>
          <w:tcPr>
            <w:tcW w:w="1315" w:type="dxa"/>
          </w:tcPr>
          <w:p w14:paraId="73B3BC4A" w14:textId="48645BF2"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0.18 %</w:t>
            </w:r>
          </w:p>
        </w:tc>
      </w:tr>
      <w:tr w:rsidR="00226F8D" w:rsidRPr="005342A5" w14:paraId="79B4FF48" w14:textId="77777777" w:rsidTr="00663D8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312" w:type="dxa"/>
          </w:tcPr>
          <w:p w14:paraId="6A73E014" w14:textId="1F69A343" w:rsidR="00226F8D" w:rsidRPr="005342A5" w:rsidRDefault="00226F8D" w:rsidP="00226F8D">
            <w:pPr>
              <w:jc w:val="center"/>
              <w:rPr>
                <w:lang w:val="en-US"/>
              </w:rPr>
            </w:pPr>
          </w:p>
        </w:tc>
        <w:tc>
          <w:tcPr>
            <w:tcW w:w="1562" w:type="dxa"/>
          </w:tcPr>
          <w:p w14:paraId="45D96140" w14:textId="45700BF2" w:rsidR="00226F8D"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Higher-activity</w:t>
            </w:r>
            <w:r w:rsidRPr="005342A5">
              <w:rPr>
                <w:lang w:val="en-US"/>
              </w:rPr>
              <w:t xml:space="preserve"> </w:t>
            </w:r>
            <w:r>
              <w:rPr>
                <w:lang w:val="en-US"/>
              </w:rPr>
              <w:t>MSM</w:t>
            </w:r>
          </w:p>
        </w:tc>
        <w:tc>
          <w:tcPr>
            <w:tcW w:w="1714" w:type="dxa"/>
          </w:tcPr>
          <w:p w14:paraId="7A685BF1" w14:textId="33EDD38C"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Steady</w:t>
            </w:r>
            <w:r w:rsidRPr="005342A5">
              <w:rPr>
                <w:lang w:val="en-US"/>
              </w:rPr>
              <w:t xml:space="preserve"> partners</w:t>
            </w:r>
          </w:p>
        </w:tc>
        <w:tc>
          <w:tcPr>
            <w:tcW w:w="1135" w:type="dxa"/>
          </w:tcPr>
          <w:p w14:paraId="0F72037E" w14:textId="77777777"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034" w:type="dxa"/>
          </w:tcPr>
          <w:p w14:paraId="109C3659" w14:textId="65F1FC89"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315" w:type="dxa"/>
          </w:tcPr>
          <w:p w14:paraId="53DDA94E" w14:textId="77777777"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p>
        </w:tc>
      </w:tr>
      <w:tr w:rsidR="00226F8D" w:rsidRPr="005342A5" w14:paraId="636F5E7C" w14:textId="77777777" w:rsidTr="00663D8D">
        <w:trPr>
          <w:trHeight w:val="250"/>
        </w:trPr>
        <w:tc>
          <w:tcPr>
            <w:cnfStyle w:val="001000000000" w:firstRow="0" w:lastRow="0" w:firstColumn="1" w:lastColumn="0" w:oddVBand="0" w:evenVBand="0" w:oddHBand="0" w:evenHBand="0" w:firstRowFirstColumn="0" w:firstRowLastColumn="0" w:lastRowFirstColumn="0" w:lastRowLastColumn="0"/>
            <w:tcW w:w="2312" w:type="dxa"/>
          </w:tcPr>
          <w:p w14:paraId="56063D1D" w14:textId="77777777" w:rsidR="00226F8D" w:rsidRPr="005342A5" w:rsidRDefault="00226F8D" w:rsidP="00226F8D">
            <w:pPr>
              <w:jc w:val="center"/>
              <w:rPr>
                <w:lang w:val="en-US"/>
              </w:rPr>
            </w:pPr>
          </w:p>
        </w:tc>
        <w:tc>
          <w:tcPr>
            <w:tcW w:w="1562" w:type="dxa"/>
          </w:tcPr>
          <w:p w14:paraId="785ED002" w14:textId="77777777"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14" w:type="dxa"/>
          </w:tcPr>
          <w:p w14:paraId="486376B9" w14:textId="3F74A15A"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sidRPr="005342A5">
              <w:rPr>
                <w:lang w:val="en-US"/>
              </w:rPr>
              <w:t>0</w:t>
            </w:r>
          </w:p>
        </w:tc>
        <w:tc>
          <w:tcPr>
            <w:tcW w:w="1135" w:type="dxa"/>
          </w:tcPr>
          <w:p w14:paraId="2E69106F" w14:textId="18AE1A0C"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49.95 </w:t>
            </w:r>
            <w:r w:rsidRPr="005342A5">
              <w:rPr>
                <w:lang w:val="en-US"/>
              </w:rPr>
              <w:t>%</w:t>
            </w:r>
          </w:p>
        </w:tc>
        <w:tc>
          <w:tcPr>
            <w:tcW w:w="1034" w:type="dxa"/>
          </w:tcPr>
          <w:p w14:paraId="2ACE7458" w14:textId="07523BA3"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9.10</w:t>
            </w:r>
            <w:r w:rsidRPr="005342A5">
              <w:rPr>
                <w:lang w:val="en-US"/>
              </w:rPr>
              <w:t xml:space="preserve"> %</w:t>
            </w:r>
          </w:p>
        </w:tc>
        <w:tc>
          <w:tcPr>
            <w:tcW w:w="1315" w:type="dxa"/>
          </w:tcPr>
          <w:p w14:paraId="4D522557" w14:textId="76CBED31"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4.23</w:t>
            </w:r>
            <w:r w:rsidRPr="005342A5">
              <w:rPr>
                <w:lang w:val="en-US"/>
              </w:rPr>
              <w:t xml:space="preserve"> %</w:t>
            </w:r>
          </w:p>
        </w:tc>
      </w:tr>
      <w:tr w:rsidR="00226F8D" w:rsidRPr="005342A5" w14:paraId="609C3157" w14:textId="77777777" w:rsidTr="00663D8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312" w:type="dxa"/>
          </w:tcPr>
          <w:p w14:paraId="0A1C0F70" w14:textId="77777777" w:rsidR="00226F8D" w:rsidRPr="005342A5" w:rsidRDefault="00226F8D" w:rsidP="00226F8D">
            <w:pPr>
              <w:jc w:val="center"/>
              <w:rPr>
                <w:lang w:val="en-US"/>
              </w:rPr>
            </w:pPr>
          </w:p>
        </w:tc>
        <w:tc>
          <w:tcPr>
            <w:tcW w:w="1562" w:type="dxa"/>
          </w:tcPr>
          <w:p w14:paraId="1BBE57A8" w14:textId="77777777"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714" w:type="dxa"/>
          </w:tcPr>
          <w:p w14:paraId="7188EE43" w14:textId="685EE684"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sidRPr="005342A5">
              <w:rPr>
                <w:lang w:val="en-US"/>
              </w:rPr>
              <w:t>1</w:t>
            </w:r>
          </w:p>
        </w:tc>
        <w:tc>
          <w:tcPr>
            <w:tcW w:w="1135" w:type="dxa"/>
          </w:tcPr>
          <w:p w14:paraId="2D29717C" w14:textId="577E0667"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20.59</w:t>
            </w:r>
            <w:r w:rsidRPr="005342A5">
              <w:rPr>
                <w:lang w:val="en-US"/>
              </w:rPr>
              <w:t xml:space="preserve"> %</w:t>
            </w:r>
          </w:p>
        </w:tc>
        <w:tc>
          <w:tcPr>
            <w:tcW w:w="1034" w:type="dxa"/>
          </w:tcPr>
          <w:p w14:paraId="29F36050" w14:textId="30A8A7E9"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10.51</w:t>
            </w:r>
            <w:r w:rsidRPr="005342A5">
              <w:rPr>
                <w:lang w:val="en-US"/>
              </w:rPr>
              <w:t xml:space="preserve"> %</w:t>
            </w:r>
          </w:p>
        </w:tc>
        <w:tc>
          <w:tcPr>
            <w:tcW w:w="1315" w:type="dxa"/>
          </w:tcPr>
          <w:p w14:paraId="78C2B4BA" w14:textId="347DDB15"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3.36</w:t>
            </w:r>
            <w:r w:rsidRPr="005342A5">
              <w:rPr>
                <w:lang w:val="en-US"/>
              </w:rPr>
              <w:t xml:space="preserve"> %</w:t>
            </w:r>
          </w:p>
        </w:tc>
      </w:tr>
      <w:tr w:rsidR="00226F8D" w:rsidRPr="005342A5" w14:paraId="0BE17F06" w14:textId="77777777" w:rsidTr="00663D8D">
        <w:trPr>
          <w:trHeight w:val="250"/>
        </w:trPr>
        <w:tc>
          <w:tcPr>
            <w:cnfStyle w:val="001000000000" w:firstRow="0" w:lastRow="0" w:firstColumn="1" w:lastColumn="0" w:oddVBand="0" w:evenVBand="0" w:oddHBand="0" w:evenHBand="0" w:firstRowFirstColumn="0" w:firstRowLastColumn="0" w:lastRowFirstColumn="0" w:lastRowLastColumn="0"/>
            <w:tcW w:w="2312" w:type="dxa"/>
          </w:tcPr>
          <w:p w14:paraId="799562D1" w14:textId="77777777" w:rsidR="00226F8D" w:rsidRPr="005342A5" w:rsidRDefault="00226F8D" w:rsidP="00226F8D">
            <w:pPr>
              <w:jc w:val="center"/>
              <w:rPr>
                <w:lang w:val="en-US"/>
              </w:rPr>
            </w:pPr>
          </w:p>
        </w:tc>
        <w:tc>
          <w:tcPr>
            <w:tcW w:w="1562" w:type="dxa"/>
          </w:tcPr>
          <w:p w14:paraId="513A0018" w14:textId="77777777"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14" w:type="dxa"/>
          </w:tcPr>
          <w:p w14:paraId="72FCDC3E" w14:textId="70358B9D"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sidRPr="005342A5">
              <w:rPr>
                <w:lang w:val="en-US"/>
              </w:rPr>
              <w:t>&gt; 1</w:t>
            </w:r>
          </w:p>
        </w:tc>
        <w:tc>
          <w:tcPr>
            <w:tcW w:w="1135" w:type="dxa"/>
          </w:tcPr>
          <w:p w14:paraId="43E6B6CE" w14:textId="3AF2B690"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1.19</w:t>
            </w:r>
            <w:r w:rsidRPr="005342A5">
              <w:rPr>
                <w:lang w:val="en-US"/>
              </w:rPr>
              <w:t xml:space="preserve"> %</w:t>
            </w:r>
          </w:p>
        </w:tc>
        <w:tc>
          <w:tcPr>
            <w:tcW w:w="1034" w:type="dxa"/>
          </w:tcPr>
          <w:p w14:paraId="699A1B26" w14:textId="67DBC695"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0.54</w:t>
            </w:r>
            <w:r w:rsidRPr="005342A5">
              <w:rPr>
                <w:lang w:val="en-US"/>
              </w:rPr>
              <w:t xml:space="preserve"> %</w:t>
            </w:r>
          </w:p>
        </w:tc>
        <w:tc>
          <w:tcPr>
            <w:tcW w:w="1315" w:type="dxa"/>
          </w:tcPr>
          <w:p w14:paraId="58107EE8" w14:textId="5719E572" w:rsidR="00226F8D" w:rsidRPr="00226F8D" w:rsidRDefault="00226F8D" w:rsidP="0095701D">
            <w:pPr>
              <w:pStyle w:val="ListParagraph"/>
              <w:numPr>
                <w:ilvl w:val="1"/>
                <w:numId w:val="40"/>
              </w:numPr>
              <w:cnfStyle w:val="000000000000" w:firstRow="0" w:lastRow="0" w:firstColumn="0" w:lastColumn="0" w:oddVBand="0" w:evenVBand="0" w:oddHBand="0" w:evenHBand="0" w:firstRowFirstColumn="0" w:firstRowLastColumn="0" w:lastRowFirstColumn="0" w:lastRowLastColumn="0"/>
              <w:rPr>
                <w:lang w:val="en-US"/>
              </w:rPr>
            </w:pPr>
            <w:r w:rsidRPr="00226F8D">
              <w:rPr>
                <w:lang w:val="en-US"/>
              </w:rPr>
              <w:t>%</w:t>
            </w:r>
          </w:p>
        </w:tc>
      </w:tr>
      <w:tr w:rsidR="00226F8D" w:rsidRPr="005342A5" w14:paraId="4FFDCE29" w14:textId="77777777" w:rsidTr="00226F8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312" w:type="dxa"/>
          </w:tcPr>
          <w:p w14:paraId="51F6F5B5" w14:textId="4A9F80A5" w:rsidR="00226F8D" w:rsidRPr="00226F8D" w:rsidRDefault="00434F27" w:rsidP="00663D8D">
            <w:pPr>
              <w:rPr>
                <w:lang w:val="en-US"/>
              </w:rPr>
            </w:pPr>
            <w:r>
              <w:rPr>
                <w:lang w:val="en-US"/>
              </w:rPr>
              <w:t xml:space="preserve">More than </w:t>
            </w:r>
            <w:r w:rsidR="00226F8D" w:rsidRPr="00226F8D">
              <w:rPr>
                <w:lang w:val="en-US"/>
              </w:rPr>
              <w:t>1</w:t>
            </w:r>
            <w:r w:rsidR="00226F8D" w:rsidRPr="00226F8D">
              <w:t>5 partners</w:t>
            </w:r>
          </w:p>
        </w:tc>
        <w:tc>
          <w:tcPr>
            <w:tcW w:w="1562" w:type="dxa"/>
          </w:tcPr>
          <w:p w14:paraId="0A3CF580" w14:textId="3640C9EE"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Lower-activity</w:t>
            </w:r>
            <w:r w:rsidRPr="005342A5">
              <w:rPr>
                <w:lang w:val="en-US"/>
              </w:rPr>
              <w:t xml:space="preserve"> </w:t>
            </w:r>
            <w:r>
              <w:rPr>
                <w:lang w:val="en-US"/>
              </w:rPr>
              <w:t>MSM</w:t>
            </w:r>
          </w:p>
        </w:tc>
        <w:tc>
          <w:tcPr>
            <w:tcW w:w="1714" w:type="dxa"/>
          </w:tcPr>
          <w:p w14:paraId="5FA2F3AF" w14:textId="6E8F7D75"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Steady</w:t>
            </w:r>
            <w:r w:rsidRPr="005342A5">
              <w:rPr>
                <w:lang w:val="en-US"/>
              </w:rPr>
              <w:t xml:space="preserve"> partners</w:t>
            </w:r>
          </w:p>
        </w:tc>
        <w:tc>
          <w:tcPr>
            <w:tcW w:w="1135" w:type="dxa"/>
          </w:tcPr>
          <w:p w14:paraId="096B65A8" w14:textId="11CCF515" w:rsidR="00226F8D"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sidRPr="005342A5">
              <w:rPr>
                <w:lang w:val="en-US"/>
              </w:rPr>
              <w:t>0</w:t>
            </w:r>
          </w:p>
        </w:tc>
        <w:tc>
          <w:tcPr>
            <w:tcW w:w="1034" w:type="dxa"/>
          </w:tcPr>
          <w:p w14:paraId="782792C7" w14:textId="7EE2D89A" w:rsidR="00226F8D"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sidRPr="005342A5">
              <w:rPr>
                <w:lang w:val="en-US"/>
              </w:rPr>
              <w:t>1</w:t>
            </w:r>
          </w:p>
        </w:tc>
        <w:tc>
          <w:tcPr>
            <w:tcW w:w="1315" w:type="dxa"/>
          </w:tcPr>
          <w:p w14:paraId="2136D7B4" w14:textId="5F9C9211" w:rsidR="00226F8D"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sidRPr="005342A5">
              <w:rPr>
                <w:lang w:val="en-US"/>
              </w:rPr>
              <w:t>&gt;1</w:t>
            </w:r>
          </w:p>
        </w:tc>
      </w:tr>
      <w:tr w:rsidR="00226F8D" w:rsidRPr="005342A5" w14:paraId="0EFACEC1" w14:textId="77777777" w:rsidTr="00226F8D">
        <w:trPr>
          <w:trHeight w:val="250"/>
        </w:trPr>
        <w:tc>
          <w:tcPr>
            <w:cnfStyle w:val="001000000000" w:firstRow="0" w:lastRow="0" w:firstColumn="1" w:lastColumn="0" w:oddVBand="0" w:evenVBand="0" w:oddHBand="0" w:evenHBand="0" w:firstRowFirstColumn="0" w:firstRowLastColumn="0" w:lastRowFirstColumn="0" w:lastRowLastColumn="0"/>
            <w:tcW w:w="2312" w:type="dxa"/>
          </w:tcPr>
          <w:p w14:paraId="4A0743C2" w14:textId="77777777" w:rsidR="00226F8D" w:rsidRDefault="00226F8D" w:rsidP="00226F8D">
            <w:pPr>
              <w:jc w:val="center"/>
              <w:rPr>
                <w:lang w:val="en-US"/>
              </w:rPr>
            </w:pPr>
          </w:p>
        </w:tc>
        <w:tc>
          <w:tcPr>
            <w:tcW w:w="1562" w:type="dxa"/>
          </w:tcPr>
          <w:p w14:paraId="13BF3C33" w14:textId="77777777" w:rsidR="00226F8D"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14" w:type="dxa"/>
          </w:tcPr>
          <w:p w14:paraId="2A753863" w14:textId="46DA865F" w:rsidR="00226F8D"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sidRPr="005342A5">
              <w:rPr>
                <w:lang w:val="en-US"/>
              </w:rPr>
              <w:t>0</w:t>
            </w:r>
          </w:p>
        </w:tc>
        <w:tc>
          <w:tcPr>
            <w:tcW w:w="1135" w:type="dxa"/>
          </w:tcPr>
          <w:p w14:paraId="6E00E8DB" w14:textId="3E2A47EC" w:rsidR="00226F8D" w:rsidRPr="005342A5" w:rsidRDefault="0095701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54.13</w:t>
            </w:r>
            <w:r w:rsidRPr="005342A5">
              <w:rPr>
                <w:lang w:val="en-US"/>
              </w:rPr>
              <w:t xml:space="preserve"> %</w:t>
            </w:r>
          </w:p>
        </w:tc>
        <w:tc>
          <w:tcPr>
            <w:tcW w:w="1034" w:type="dxa"/>
          </w:tcPr>
          <w:p w14:paraId="33F210EC" w14:textId="24B68876" w:rsidR="00226F8D" w:rsidRPr="005342A5" w:rsidRDefault="0095701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4.07</w:t>
            </w:r>
            <w:r w:rsidRPr="005342A5">
              <w:rPr>
                <w:lang w:val="en-US"/>
              </w:rPr>
              <w:t xml:space="preserve"> %</w:t>
            </w:r>
          </w:p>
        </w:tc>
        <w:tc>
          <w:tcPr>
            <w:tcW w:w="1315" w:type="dxa"/>
          </w:tcPr>
          <w:p w14:paraId="687FEED8" w14:textId="14F21C16" w:rsidR="00226F8D" w:rsidRPr="005342A5" w:rsidRDefault="0095701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0.46</w:t>
            </w:r>
            <w:r w:rsidRPr="005342A5">
              <w:rPr>
                <w:lang w:val="en-US"/>
              </w:rPr>
              <w:t xml:space="preserve"> %</w:t>
            </w:r>
          </w:p>
        </w:tc>
      </w:tr>
      <w:tr w:rsidR="00226F8D" w:rsidRPr="005342A5" w14:paraId="51331C1B" w14:textId="77777777" w:rsidTr="00226F8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312" w:type="dxa"/>
          </w:tcPr>
          <w:p w14:paraId="78ABAA4B" w14:textId="77777777" w:rsidR="00226F8D" w:rsidRDefault="00226F8D" w:rsidP="00226F8D">
            <w:pPr>
              <w:jc w:val="center"/>
              <w:rPr>
                <w:lang w:val="en-US"/>
              </w:rPr>
            </w:pPr>
          </w:p>
        </w:tc>
        <w:tc>
          <w:tcPr>
            <w:tcW w:w="1562" w:type="dxa"/>
          </w:tcPr>
          <w:p w14:paraId="6CB10A50" w14:textId="77777777" w:rsidR="00226F8D"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714" w:type="dxa"/>
          </w:tcPr>
          <w:p w14:paraId="5EE57DB2" w14:textId="30CA183E"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sidRPr="005342A5">
              <w:rPr>
                <w:lang w:val="en-US"/>
              </w:rPr>
              <w:t>1</w:t>
            </w:r>
          </w:p>
        </w:tc>
        <w:tc>
          <w:tcPr>
            <w:tcW w:w="1135" w:type="dxa"/>
          </w:tcPr>
          <w:p w14:paraId="2513FF64" w14:textId="4F15D720" w:rsidR="00226F8D" w:rsidRPr="00D9246A" w:rsidRDefault="0095701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32.05</w:t>
            </w:r>
            <w:r w:rsidRPr="005342A5">
              <w:rPr>
                <w:lang w:val="en-US"/>
              </w:rPr>
              <w:t xml:space="preserve"> %</w:t>
            </w:r>
          </w:p>
        </w:tc>
        <w:tc>
          <w:tcPr>
            <w:tcW w:w="1034" w:type="dxa"/>
          </w:tcPr>
          <w:p w14:paraId="0B395E1F" w14:textId="127EB0B7" w:rsidR="0095701D" w:rsidRDefault="0095701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6.94</w:t>
            </w:r>
            <w:r w:rsidRPr="005342A5">
              <w:rPr>
                <w:lang w:val="en-US"/>
              </w:rPr>
              <w:t xml:space="preserve"> %</w:t>
            </w:r>
          </w:p>
        </w:tc>
        <w:tc>
          <w:tcPr>
            <w:tcW w:w="1315" w:type="dxa"/>
          </w:tcPr>
          <w:p w14:paraId="32DC86FB" w14:textId="12046D29" w:rsidR="00226F8D" w:rsidRDefault="0095701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0.86</w:t>
            </w:r>
            <w:r w:rsidRPr="005342A5">
              <w:rPr>
                <w:lang w:val="en-US"/>
              </w:rPr>
              <w:t xml:space="preserve"> %</w:t>
            </w:r>
          </w:p>
        </w:tc>
      </w:tr>
      <w:tr w:rsidR="00226F8D" w:rsidRPr="005342A5" w14:paraId="1A271F77" w14:textId="77777777" w:rsidTr="00226F8D">
        <w:trPr>
          <w:trHeight w:val="250"/>
        </w:trPr>
        <w:tc>
          <w:tcPr>
            <w:cnfStyle w:val="001000000000" w:firstRow="0" w:lastRow="0" w:firstColumn="1" w:lastColumn="0" w:oddVBand="0" w:evenVBand="0" w:oddHBand="0" w:evenHBand="0" w:firstRowFirstColumn="0" w:firstRowLastColumn="0" w:lastRowFirstColumn="0" w:lastRowLastColumn="0"/>
            <w:tcW w:w="2312" w:type="dxa"/>
          </w:tcPr>
          <w:p w14:paraId="4FC802AA" w14:textId="77777777" w:rsidR="00226F8D" w:rsidRDefault="00226F8D" w:rsidP="00226F8D">
            <w:pPr>
              <w:jc w:val="center"/>
              <w:rPr>
                <w:lang w:val="en-US"/>
              </w:rPr>
            </w:pPr>
          </w:p>
        </w:tc>
        <w:tc>
          <w:tcPr>
            <w:tcW w:w="1562" w:type="dxa"/>
          </w:tcPr>
          <w:p w14:paraId="471B1DA2" w14:textId="77777777" w:rsidR="00226F8D"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14" w:type="dxa"/>
          </w:tcPr>
          <w:p w14:paraId="764C9C93" w14:textId="69EEE747"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sidRPr="005342A5">
              <w:rPr>
                <w:lang w:val="en-US"/>
              </w:rPr>
              <w:t>&gt; 1</w:t>
            </w:r>
          </w:p>
        </w:tc>
        <w:tc>
          <w:tcPr>
            <w:tcW w:w="1135" w:type="dxa"/>
          </w:tcPr>
          <w:p w14:paraId="741FB39A" w14:textId="48ED369A" w:rsidR="00226F8D" w:rsidRDefault="0095701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1.26</w:t>
            </w:r>
            <w:r w:rsidRPr="005342A5">
              <w:rPr>
                <w:lang w:val="en-US"/>
              </w:rPr>
              <w:t xml:space="preserve"> %</w:t>
            </w:r>
          </w:p>
        </w:tc>
        <w:tc>
          <w:tcPr>
            <w:tcW w:w="1034" w:type="dxa"/>
          </w:tcPr>
          <w:p w14:paraId="7F3A130D" w14:textId="45F1BD1E" w:rsidR="00226F8D" w:rsidRDefault="0095701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0.17</w:t>
            </w:r>
            <w:r w:rsidRPr="005342A5">
              <w:rPr>
                <w:lang w:val="en-US"/>
              </w:rPr>
              <w:t xml:space="preserve"> %</w:t>
            </w:r>
          </w:p>
        </w:tc>
        <w:tc>
          <w:tcPr>
            <w:tcW w:w="1315" w:type="dxa"/>
          </w:tcPr>
          <w:p w14:paraId="71F9E084" w14:textId="13F64695" w:rsidR="00226F8D" w:rsidRDefault="0095701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0.06</w:t>
            </w:r>
            <w:r w:rsidRPr="005342A5">
              <w:rPr>
                <w:lang w:val="en-US"/>
              </w:rPr>
              <w:t xml:space="preserve"> %</w:t>
            </w:r>
          </w:p>
        </w:tc>
      </w:tr>
      <w:tr w:rsidR="00226F8D" w:rsidRPr="005342A5" w14:paraId="2916DC41" w14:textId="77777777" w:rsidTr="00226F8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312" w:type="dxa"/>
          </w:tcPr>
          <w:p w14:paraId="23D5885C" w14:textId="77777777" w:rsidR="00226F8D" w:rsidRDefault="00226F8D" w:rsidP="00226F8D">
            <w:pPr>
              <w:jc w:val="center"/>
              <w:rPr>
                <w:lang w:val="en-US"/>
              </w:rPr>
            </w:pPr>
          </w:p>
        </w:tc>
        <w:tc>
          <w:tcPr>
            <w:tcW w:w="1562" w:type="dxa"/>
          </w:tcPr>
          <w:p w14:paraId="51DCFFDF" w14:textId="6D0C7A4F" w:rsidR="00226F8D"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Higher-activity</w:t>
            </w:r>
            <w:r w:rsidRPr="005342A5">
              <w:rPr>
                <w:lang w:val="en-US"/>
              </w:rPr>
              <w:t xml:space="preserve"> </w:t>
            </w:r>
            <w:r>
              <w:rPr>
                <w:lang w:val="en-US"/>
              </w:rPr>
              <w:t>MSM</w:t>
            </w:r>
          </w:p>
        </w:tc>
        <w:tc>
          <w:tcPr>
            <w:tcW w:w="1714" w:type="dxa"/>
          </w:tcPr>
          <w:p w14:paraId="2650EEAC" w14:textId="12BD1A98"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Steady</w:t>
            </w:r>
            <w:r w:rsidRPr="005342A5">
              <w:rPr>
                <w:lang w:val="en-US"/>
              </w:rPr>
              <w:t xml:space="preserve"> partners</w:t>
            </w:r>
          </w:p>
        </w:tc>
        <w:tc>
          <w:tcPr>
            <w:tcW w:w="1135" w:type="dxa"/>
          </w:tcPr>
          <w:p w14:paraId="09E0FC1A" w14:textId="77777777" w:rsidR="00226F8D"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034" w:type="dxa"/>
          </w:tcPr>
          <w:p w14:paraId="17342D17" w14:textId="77777777" w:rsidR="00226F8D"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315" w:type="dxa"/>
          </w:tcPr>
          <w:p w14:paraId="47B2954F" w14:textId="77777777" w:rsidR="00226F8D"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p>
        </w:tc>
      </w:tr>
      <w:tr w:rsidR="00226F8D" w:rsidRPr="005342A5" w14:paraId="2EE3B700" w14:textId="77777777" w:rsidTr="00226F8D">
        <w:trPr>
          <w:trHeight w:val="250"/>
        </w:trPr>
        <w:tc>
          <w:tcPr>
            <w:cnfStyle w:val="001000000000" w:firstRow="0" w:lastRow="0" w:firstColumn="1" w:lastColumn="0" w:oddVBand="0" w:evenVBand="0" w:oddHBand="0" w:evenHBand="0" w:firstRowFirstColumn="0" w:firstRowLastColumn="0" w:lastRowFirstColumn="0" w:lastRowLastColumn="0"/>
            <w:tcW w:w="2312" w:type="dxa"/>
          </w:tcPr>
          <w:p w14:paraId="456FCC0F" w14:textId="77777777" w:rsidR="00226F8D" w:rsidRDefault="00226F8D" w:rsidP="00226F8D">
            <w:pPr>
              <w:jc w:val="center"/>
              <w:rPr>
                <w:lang w:val="en-US"/>
              </w:rPr>
            </w:pPr>
          </w:p>
        </w:tc>
        <w:tc>
          <w:tcPr>
            <w:tcW w:w="1562" w:type="dxa"/>
          </w:tcPr>
          <w:p w14:paraId="6CF42F5E" w14:textId="77777777" w:rsidR="00226F8D"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14" w:type="dxa"/>
          </w:tcPr>
          <w:p w14:paraId="6ECA13C5" w14:textId="70F037EA" w:rsidR="00226F8D"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sidRPr="005342A5">
              <w:rPr>
                <w:lang w:val="en-US"/>
              </w:rPr>
              <w:t>0</w:t>
            </w:r>
          </w:p>
        </w:tc>
        <w:tc>
          <w:tcPr>
            <w:tcW w:w="1135" w:type="dxa"/>
          </w:tcPr>
          <w:p w14:paraId="596558B0" w14:textId="2E6F3E8F" w:rsidR="00226F8D" w:rsidRDefault="0095701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43.73 </w:t>
            </w:r>
            <w:r w:rsidRPr="00226F8D">
              <w:rPr>
                <w:lang w:val="en-US"/>
              </w:rPr>
              <w:t>%</w:t>
            </w:r>
          </w:p>
        </w:tc>
        <w:tc>
          <w:tcPr>
            <w:tcW w:w="1034" w:type="dxa"/>
          </w:tcPr>
          <w:p w14:paraId="200835FA" w14:textId="6BE10D1D" w:rsidR="00226F8D" w:rsidRDefault="0095701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10.40 </w:t>
            </w:r>
            <w:r w:rsidRPr="00226F8D">
              <w:rPr>
                <w:lang w:val="en-US"/>
              </w:rPr>
              <w:t>%</w:t>
            </w:r>
          </w:p>
        </w:tc>
        <w:tc>
          <w:tcPr>
            <w:tcW w:w="1315" w:type="dxa"/>
          </w:tcPr>
          <w:p w14:paraId="760B69B8" w14:textId="2E1DD521" w:rsidR="00226F8D" w:rsidRDefault="0095701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5.89 </w:t>
            </w:r>
            <w:r w:rsidRPr="00226F8D">
              <w:rPr>
                <w:lang w:val="en-US"/>
              </w:rPr>
              <w:t>%</w:t>
            </w:r>
          </w:p>
        </w:tc>
      </w:tr>
      <w:tr w:rsidR="00226F8D" w:rsidRPr="005342A5" w14:paraId="783481EA" w14:textId="77777777" w:rsidTr="00226F8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312" w:type="dxa"/>
          </w:tcPr>
          <w:p w14:paraId="2D1500AA" w14:textId="77777777" w:rsidR="00226F8D" w:rsidRDefault="00226F8D" w:rsidP="00226F8D">
            <w:pPr>
              <w:jc w:val="center"/>
              <w:rPr>
                <w:lang w:val="en-US"/>
              </w:rPr>
            </w:pPr>
          </w:p>
        </w:tc>
        <w:tc>
          <w:tcPr>
            <w:tcW w:w="1562" w:type="dxa"/>
          </w:tcPr>
          <w:p w14:paraId="19C741C4" w14:textId="77777777" w:rsidR="00226F8D"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714" w:type="dxa"/>
          </w:tcPr>
          <w:p w14:paraId="0C32C509" w14:textId="1168DD6E"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sidRPr="005342A5">
              <w:rPr>
                <w:lang w:val="en-US"/>
              </w:rPr>
              <w:t>1</w:t>
            </w:r>
          </w:p>
        </w:tc>
        <w:tc>
          <w:tcPr>
            <w:tcW w:w="1135" w:type="dxa"/>
          </w:tcPr>
          <w:p w14:paraId="12BDB307" w14:textId="2BAA165A" w:rsidR="00226F8D" w:rsidRDefault="0095701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19.05 </w:t>
            </w:r>
            <w:r w:rsidRPr="00226F8D">
              <w:rPr>
                <w:lang w:val="en-US"/>
              </w:rPr>
              <w:t>%</w:t>
            </w:r>
          </w:p>
        </w:tc>
        <w:tc>
          <w:tcPr>
            <w:tcW w:w="1034" w:type="dxa"/>
          </w:tcPr>
          <w:p w14:paraId="1289D555" w14:textId="309543AD" w:rsidR="00226F8D" w:rsidRDefault="0095701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12.03 </w:t>
            </w:r>
            <w:r w:rsidRPr="00226F8D">
              <w:rPr>
                <w:lang w:val="en-US"/>
              </w:rPr>
              <w:t>%</w:t>
            </w:r>
          </w:p>
        </w:tc>
        <w:tc>
          <w:tcPr>
            <w:tcW w:w="1315" w:type="dxa"/>
          </w:tcPr>
          <w:p w14:paraId="4CC9E3C9" w14:textId="11D21E25" w:rsidR="00226F8D" w:rsidRDefault="0095701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6.14 </w:t>
            </w:r>
            <w:r w:rsidRPr="00226F8D">
              <w:rPr>
                <w:lang w:val="en-US"/>
              </w:rPr>
              <w:t>%</w:t>
            </w:r>
          </w:p>
        </w:tc>
      </w:tr>
      <w:tr w:rsidR="00226F8D" w:rsidRPr="005342A5" w14:paraId="1BC1537A" w14:textId="77777777" w:rsidTr="00226F8D">
        <w:trPr>
          <w:trHeight w:val="250"/>
        </w:trPr>
        <w:tc>
          <w:tcPr>
            <w:cnfStyle w:val="001000000000" w:firstRow="0" w:lastRow="0" w:firstColumn="1" w:lastColumn="0" w:oddVBand="0" w:evenVBand="0" w:oddHBand="0" w:evenHBand="0" w:firstRowFirstColumn="0" w:firstRowLastColumn="0" w:lastRowFirstColumn="0" w:lastRowLastColumn="0"/>
            <w:tcW w:w="2312" w:type="dxa"/>
          </w:tcPr>
          <w:p w14:paraId="11E785EF" w14:textId="77777777" w:rsidR="00226F8D" w:rsidRDefault="00226F8D" w:rsidP="00226F8D">
            <w:pPr>
              <w:jc w:val="center"/>
              <w:rPr>
                <w:lang w:val="en-US"/>
              </w:rPr>
            </w:pPr>
          </w:p>
        </w:tc>
        <w:tc>
          <w:tcPr>
            <w:tcW w:w="1562" w:type="dxa"/>
          </w:tcPr>
          <w:p w14:paraId="7A09E0B0" w14:textId="77777777" w:rsidR="00226F8D"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14" w:type="dxa"/>
          </w:tcPr>
          <w:p w14:paraId="67FDA8FC" w14:textId="62AC32FB"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sidRPr="005342A5">
              <w:rPr>
                <w:lang w:val="en-US"/>
              </w:rPr>
              <w:t>&gt; 1</w:t>
            </w:r>
          </w:p>
        </w:tc>
        <w:tc>
          <w:tcPr>
            <w:tcW w:w="1135" w:type="dxa"/>
          </w:tcPr>
          <w:p w14:paraId="0948BEDD" w14:textId="7BB865C6" w:rsidR="00226F8D" w:rsidRDefault="0095701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1.00 </w:t>
            </w:r>
            <w:r w:rsidRPr="00226F8D">
              <w:rPr>
                <w:lang w:val="en-US"/>
              </w:rPr>
              <w:t>%</w:t>
            </w:r>
          </w:p>
        </w:tc>
        <w:tc>
          <w:tcPr>
            <w:tcW w:w="1034" w:type="dxa"/>
          </w:tcPr>
          <w:p w14:paraId="46CEECAA" w14:textId="1AC04579" w:rsidR="00226F8D" w:rsidRDefault="0095701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0.88 </w:t>
            </w:r>
            <w:r w:rsidRPr="00226F8D">
              <w:rPr>
                <w:lang w:val="en-US"/>
              </w:rPr>
              <w:t>%</w:t>
            </w:r>
          </w:p>
        </w:tc>
        <w:tc>
          <w:tcPr>
            <w:tcW w:w="1315" w:type="dxa"/>
          </w:tcPr>
          <w:p w14:paraId="0B5A216F" w14:textId="66CF0958" w:rsidR="00226F8D" w:rsidRDefault="0095701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0.88 </w:t>
            </w:r>
            <w:r w:rsidRPr="00226F8D">
              <w:rPr>
                <w:lang w:val="en-US"/>
              </w:rPr>
              <w:t>%</w:t>
            </w:r>
          </w:p>
        </w:tc>
      </w:tr>
      <w:tr w:rsidR="00226F8D" w:rsidRPr="005342A5" w14:paraId="2E6608C3" w14:textId="77777777" w:rsidTr="00226F8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312" w:type="dxa"/>
          </w:tcPr>
          <w:p w14:paraId="04B8FB70" w14:textId="4FF69195" w:rsidR="00226F8D" w:rsidRDefault="00434F27" w:rsidP="00663D8D">
            <w:pPr>
              <w:rPr>
                <w:lang w:val="en-US"/>
              </w:rPr>
            </w:pPr>
            <w:r>
              <w:rPr>
                <w:lang w:val="en-US"/>
              </w:rPr>
              <w:t xml:space="preserve">More than </w:t>
            </w:r>
            <w:r w:rsidR="00226F8D" w:rsidRPr="00226F8D">
              <w:rPr>
                <w:lang w:val="en-US"/>
              </w:rPr>
              <w:t>1</w:t>
            </w:r>
            <w:r w:rsidR="00226F8D" w:rsidRPr="00226F8D">
              <w:t xml:space="preserve">5 </w:t>
            </w:r>
            <w:r w:rsidR="00226F8D">
              <w:t xml:space="preserve">casual </w:t>
            </w:r>
            <w:r w:rsidR="00226F8D" w:rsidRPr="00226F8D">
              <w:t>partners</w:t>
            </w:r>
          </w:p>
        </w:tc>
        <w:tc>
          <w:tcPr>
            <w:tcW w:w="1562" w:type="dxa"/>
          </w:tcPr>
          <w:p w14:paraId="4792A9AA" w14:textId="1C92E052" w:rsidR="00226F8D"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Lower-activity</w:t>
            </w:r>
            <w:r w:rsidRPr="005342A5">
              <w:rPr>
                <w:lang w:val="en-US"/>
              </w:rPr>
              <w:t xml:space="preserve"> </w:t>
            </w:r>
            <w:r>
              <w:rPr>
                <w:lang w:val="en-US"/>
              </w:rPr>
              <w:t>MSM</w:t>
            </w:r>
          </w:p>
        </w:tc>
        <w:tc>
          <w:tcPr>
            <w:tcW w:w="1714" w:type="dxa"/>
          </w:tcPr>
          <w:p w14:paraId="6083BE84" w14:textId="49B4589E"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Steady</w:t>
            </w:r>
            <w:r w:rsidRPr="005342A5">
              <w:rPr>
                <w:lang w:val="en-US"/>
              </w:rPr>
              <w:t xml:space="preserve"> partners</w:t>
            </w:r>
          </w:p>
        </w:tc>
        <w:tc>
          <w:tcPr>
            <w:tcW w:w="1135" w:type="dxa"/>
          </w:tcPr>
          <w:p w14:paraId="3930AD0A" w14:textId="26B89365" w:rsidR="00226F8D"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sidRPr="005342A5">
              <w:rPr>
                <w:lang w:val="en-US"/>
              </w:rPr>
              <w:t>0</w:t>
            </w:r>
          </w:p>
        </w:tc>
        <w:tc>
          <w:tcPr>
            <w:tcW w:w="1034" w:type="dxa"/>
          </w:tcPr>
          <w:p w14:paraId="1B6B1F5E" w14:textId="11FB560C" w:rsidR="00226F8D"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sidRPr="005342A5">
              <w:rPr>
                <w:lang w:val="en-US"/>
              </w:rPr>
              <w:t>1</w:t>
            </w:r>
          </w:p>
        </w:tc>
        <w:tc>
          <w:tcPr>
            <w:tcW w:w="1315" w:type="dxa"/>
          </w:tcPr>
          <w:p w14:paraId="779F1E9B" w14:textId="7220C15B" w:rsidR="00226F8D"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sidRPr="005342A5">
              <w:rPr>
                <w:lang w:val="en-US"/>
              </w:rPr>
              <w:t>&gt;1</w:t>
            </w:r>
          </w:p>
        </w:tc>
      </w:tr>
      <w:tr w:rsidR="00226F8D" w:rsidRPr="005342A5" w14:paraId="3E284E27" w14:textId="77777777" w:rsidTr="00226F8D">
        <w:trPr>
          <w:trHeight w:val="250"/>
        </w:trPr>
        <w:tc>
          <w:tcPr>
            <w:cnfStyle w:val="001000000000" w:firstRow="0" w:lastRow="0" w:firstColumn="1" w:lastColumn="0" w:oddVBand="0" w:evenVBand="0" w:oddHBand="0" w:evenHBand="0" w:firstRowFirstColumn="0" w:firstRowLastColumn="0" w:lastRowFirstColumn="0" w:lastRowLastColumn="0"/>
            <w:tcW w:w="2312" w:type="dxa"/>
          </w:tcPr>
          <w:p w14:paraId="191CA3A0" w14:textId="77777777" w:rsidR="00226F8D" w:rsidRDefault="00226F8D" w:rsidP="00226F8D">
            <w:pPr>
              <w:jc w:val="center"/>
              <w:rPr>
                <w:lang w:val="en-US"/>
              </w:rPr>
            </w:pPr>
          </w:p>
        </w:tc>
        <w:tc>
          <w:tcPr>
            <w:tcW w:w="1562" w:type="dxa"/>
          </w:tcPr>
          <w:p w14:paraId="7ABDEB91" w14:textId="77777777" w:rsidR="00226F8D"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14" w:type="dxa"/>
          </w:tcPr>
          <w:p w14:paraId="63030D97" w14:textId="2B4B00E4" w:rsidR="00226F8D"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sidRPr="005342A5">
              <w:rPr>
                <w:lang w:val="en-US"/>
              </w:rPr>
              <w:t>0</w:t>
            </w:r>
          </w:p>
        </w:tc>
        <w:tc>
          <w:tcPr>
            <w:tcW w:w="1135" w:type="dxa"/>
          </w:tcPr>
          <w:p w14:paraId="072D33B3" w14:textId="2639382B" w:rsidR="00226F8D" w:rsidRPr="005342A5" w:rsidRDefault="0095701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45.29</w:t>
            </w:r>
            <w:r w:rsidRPr="005342A5">
              <w:rPr>
                <w:lang w:val="en-US"/>
              </w:rPr>
              <w:t xml:space="preserve"> %</w:t>
            </w:r>
          </w:p>
        </w:tc>
        <w:tc>
          <w:tcPr>
            <w:tcW w:w="1034" w:type="dxa"/>
          </w:tcPr>
          <w:p w14:paraId="6C250555" w14:textId="3E60ECED" w:rsidR="00226F8D" w:rsidRPr="005342A5" w:rsidRDefault="0095701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11.32</w:t>
            </w:r>
            <w:r w:rsidRPr="005342A5">
              <w:rPr>
                <w:lang w:val="en-US"/>
              </w:rPr>
              <w:t xml:space="preserve"> %</w:t>
            </w:r>
          </w:p>
        </w:tc>
        <w:tc>
          <w:tcPr>
            <w:tcW w:w="1315" w:type="dxa"/>
          </w:tcPr>
          <w:p w14:paraId="634A8DA1" w14:textId="2EA071EF" w:rsidR="00226F8D" w:rsidRPr="005342A5" w:rsidRDefault="0095701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6.28</w:t>
            </w:r>
            <w:r w:rsidRPr="005342A5">
              <w:rPr>
                <w:lang w:val="en-US"/>
              </w:rPr>
              <w:t xml:space="preserve"> %</w:t>
            </w:r>
          </w:p>
        </w:tc>
      </w:tr>
      <w:tr w:rsidR="00226F8D" w:rsidRPr="005342A5" w14:paraId="3DE7ACF6" w14:textId="77777777" w:rsidTr="00226F8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312" w:type="dxa"/>
          </w:tcPr>
          <w:p w14:paraId="7E8B35CF" w14:textId="77777777" w:rsidR="00226F8D" w:rsidRDefault="00226F8D" w:rsidP="00226F8D">
            <w:pPr>
              <w:jc w:val="center"/>
              <w:rPr>
                <w:lang w:val="en-US"/>
              </w:rPr>
            </w:pPr>
          </w:p>
        </w:tc>
        <w:tc>
          <w:tcPr>
            <w:tcW w:w="1562" w:type="dxa"/>
          </w:tcPr>
          <w:p w14:paraId="3D9C304C" w14:textId="77777777" w:rsidR="00226F8D"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714" w:type="dxa"/>
          </w:tcPr>
          <w:p w14:paraId="2BF5B53E" w14:textId="7BE32ABC"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sidRPr="005342A5">
              <w:rPr>
                <w:lang w:val="en-US"/>
              </w:rPr>
              <w:t>1</w:t>
            </w:r>
          </w:p>
        </w:tc>
        <w:tc>
          <w:tcPr>
            <w:tcW w:w="1135" w:type="dxa"/>
          </w:tcPr>
          <w:p w14:paraId="0C36D901" w14:textId="7A5CE8A5" w:rsidR="00226F8D" w:rsidRPr="00D9246A" w:rsidRDefault="0095701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17.33</w:t>
            </w:r>
            <w:r w:rsidRPr="005342A5">
              <w:rPr>
                <w:lang w:val="en-US"/>
              </w:rPr>
              <w:t xml:space="preserve"> %</w:t>
            </w:r>
          </w:p>
        </w:tc>
        <w:tc>
          <w:tcPr>
            <w:tcW w:w="1034" w:type="dxa"/>
          </w:tcPr>
          <w:p w14:paraId="2F2FA7CC" w14:textId="258173CF" w:rsidR="00226F8D" w:rsidRDefault="0095701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11.05</w:t>
            </w:r>
            <w:r w:rsidRPr="005342A5">
              <w:rPr>
                <w:lang w:val="en-US"/>
              </w:rPr>
              <w:t xml:space="preserve"> %</w:t>
            </w:r>
          </w:p>
        </w:tc>
        <w:tc>
          <w:tcPr>
            <w:tcW w:w="1315" w:type="dxa"/>
          </w:tcPr>
          <w:p w14:paraId="52450BEF" w14:textId="45854D06" w:rsidR="00226F8D" w:rsidRDefault="0095701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6.14</w:t>
            </w:r>
            <w:r w:rsidRPr="005342A5">
              <w:rPr>
                <w:lang w:val="en-US"/>
              </w:rPr>
              <w:t xml:space="preserve"> %</w:t>
            </w:r>
          </w:p>
        </w:tc>
      </w:tr>
      <w:tr w:rsidR="00226F8D" w:rsidRPr="005342A5" w14:paraId="1DE1C341" w14:textId="77777777" w:rsidTr="00226F8D">
        <w:trPr>
          <w:trHeight w:val="250"/>
        </w:trPr>
        <w:tc>
          <w:tcPr>
            <w:cnfStyle w:val="001000000000" w:firstRow="0" w:lastRow="0" w:firstColumn="1" w:lastColumn="0" w:oddVBand="0" w:evenVBand="0" w:oddHBand="0" w:evenHBand="0" w:firstRowFirstColumn="0" w:firstRowLastColumn="0" w:lastRowFirstColumn="0" w:lastRowLastColumn="0"/>
            <w:tcW w:w="2312" w:type="dxa"/>
          </w:tcPr>
          <w:p w14:paraId="33FF7996" w14:textId="77777777" w:rsidR="00226F8D" w:rsidRDefault="00226F8D" w:rsidP="00226F8D">
            <w:pPr>
              <w:jc w:val="center"/>
              <w:rPr>
                <w:lang w:val="en-US"/>
              </w:rPr>
            </w:pPr>
          </w:p>
        </w:tc>
        <w:tc>
          <w:tcPr>
            <w:tcW w:w="1562" w:type="dxa"/>
          </w:tcPr>
          <w:p w14:paraId="6AE84C53" w14:textId="77777777" w:rsidR="00226F8D"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14" w:type="dxa"/>
          </w:tcPr>
          <w:p w14:paraId="6CC50E60" w14:textId="790C46AA"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sidRPr="005342A5">
              <w:rPr>
                <w:lang w:val="en-US"/>
              </w:rPr>
              <w:t>&gt; 1</w:t>
            </w:r>
          </w:p>
        </w:tc>
        <w:tc>
          <w:tcPr>
            <w:tcW w:w="1135" w:type="dxa"/>
          </w:tcPr>
          <w:p w14:paraId="5EC56D63" w14:textId="4D4EE175" w:rsidR="00226F8D" w:rsidRDefault="0095701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1.09</w:t>
            </w:r>
            <w:r w:rsidRPr="005342A5">
              <w:rPr>
                <w:lang w:val="en-US"/>
              </w:rPr>
              <w:t xml:space="preserve"> %</w:t>
            </w:r>
          </w:p>
        </w:tc>
        <w:tc>
          <w:tcPr>
            <w:tcW w:w="1034" w:type="dxa"/>
          </w:tcPr>
          <w:p w14:paraId="57025A30" w14:textId="0E6ADB4D" w:rsidR="00226F8D" w:rsidRDefault="0095701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0.82</w:t>
            </w:r>
            <w:r w:rsidRPr="005342A5">
              <w:rPr>
                <w:lang w:val="en-US"/>
              </w:rPr>
              <w:t xml:space="preserve"> %</w:t>
            </w:r>
          </w:p>
        </w:tc>
        <w:tc>
          <w:tcPr>
            <w:tcW w:w="1315" w:type="dxa"/>
          </w:tcPr>
          <w:p w14:paraId="104ABA82" w14:textId="1628265A" w:rsidR="00226F8D" w:rsidRDefault="0095701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0.68</w:t>
            </w:r>
            <w:r w:rsidRPr="005342A5">
              <w:rPr>
                <w:lang w:val="en-US"/>
              </w:rPr>
              <w:t xml:space="preserve"> %</w:t>
            </w:r>
          </w:p>
        </w:tc>
      </w:tr>
      <w:tr w:rsidR="00226F8D" w:rsidRPr="005342A5" w14:paraId="27B068E5" w14:textId="77777777" w:rsidTr="00226F8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312" w:type="dxa"/>
          </w:tcPr>
          <w:p w14:paraId="147F08BA" w14:textId="77777777" w:rsidR="00226F8D" w:rsidRDefault="00226F8D" w:rsidP="00226F8D">
            <w:pPr>
              <w:jc w:val="center"/>
              <w:rPr>
                <w:lang w:val="en-US"/>
              </w:rPr>
            </w:pPr>
          </w:p>
        </w:tc>
        <w:tc>
          <w:tcPr>
            <w:tcW w:w="1562" w:type="dxa"/>
          </w:tcPr>
          <w:p w14:paraId="687E866F" w14:textId="35B4E3E5" w:rsidR="00226F8D"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Higher-activity</w:t>
            </w:r>
            <w:r w:rsidRPr="005342A5">
              <w:rPr>
                <w:lang w:val="en-US"/>
              </w:rPr>
              <w:t xml:space="preserve"> </w:t>
            </w:r>
            <w:r>
              <w:rPr>
                <w:lang w:val="en-US"/>
              </w:rPr>
              <w:t>MSM</w:t>
            </w:r>
          </w:p>
        </w:tc>
        <w:tc>
          <w:tcPr>
            <w:tcW w:w="1714" w:type="dxa"/>
          </w:tcPr>
          <w:p w14:paraId="58F8395F" w14:textId="7797A5B3"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Steady</w:t>
            </w:r>
            <w:r w:rsidRPr="005342A5">
              <w:rPr>
                <w:lang w:val="en-US"/>
              </w:rPr>
              <w:t xml:space="preserve"> partners</w:t>
            </w:r>
          </w:p>
        </w:tc>
        <w:tc>
          <w:tcPr>
            <w:tcW w:w="1135" w:type="dxa"/>
          </w:tcPr>
          <w:p w14:paraId="45BDE4AD" w14:textId="77777777" w:rsidR="00226F8D"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034" w:type="dxa"/>
          </w:tcPr>
          <w:p w14:paraId="20FAA1A8" w14:textId="77777777" w:rsidR="00226F8D"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315" w:type="dxa"/>
          </w:tcPr>
          <w:p w14:paraId="4A187795" w14:textId="77777777" w:rsidR="00226F8D"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p>
        </w:tc>
      </w:tr>
      <w:tr w:rsidR="00226F8D" w:rsidRPr="005342A5" w14:paraId="036BAB88" w14:textId="77777777" w:rsidTr="00226F8D">
        <w:trPr>
          <w:trHeight w:val="250"/>
        </w:trPr>
        <w:tc>
          <w:tcPr>
            <w:cnfStyle w:val="001000000000" w:firstRow="0" w:lastRow="0" w:firstColumn="1" w:lastColumn="0" w:oddVBand="0" w:evenVBand="0" w:oddHBand="0" w:evenHBand="0" w:firstRowFirstColumn="0" w:firstRowLastColumn="0" w:lastRowFirstColumn="0" w:lastRowLastColumn="0"/>
            <w:tcW w:w="2312" w:type="dxa"/>
          </w:tcPr>
          <w:p w14:paraId="66C74C46" w14:textId="77777777" w:rsidR="00226F8D" w:rsidRDefault="00226F8D" w:rsidP="00226F8D">
            <w:pPr>
              <w:jc w:val="center"/>
              <w:rPr>
                <w:lang w:val="en-US"/>
              </w:rPr>
            </w:pPr>
          </w:p>
        </w:tc>
        <w:tc>
          <w:tcPr>
            <w:tcW w:w="1562" w:type="dxa"/>
          </w:tcPr>
          <w:p w14:paraId="06C60794" w14:textId="77777777" w:rsidR="00226F8D"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14" w:type="dxa"/>
          </w:tcPr>
          <w:p w14:paraId="761D6CB0" w14:textId="54A043D7" w:rsidR="00226F8D"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sidRPr="005342A5">
              <w:rPr>
                <w:lang w:val="en-US"/>
              </w:rPr>
              <w:t>0</w:t>
            </w:r>
          </w:p>
        </w:tc>
        <w:tc>
          <w:tcPr>
            <w:tcW w:w="1135" w:type="dxa"/>
          </w:tcPr>
          <w:p w14:paraId="61DF976B" w14:textId="7F7981D2" w:rsidR="00226F8D" w:rsidRDefault="0095701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45.29 </w:t>
            </w:r>
            <w:r w:rsidRPr="00226F8D">
              <w:rPr>
                <w:lang w:val="en-US"/>
              </w:rPr>
              <w:t>%</w:t>
            </w:r>
          </w:p>
        </w:tc>
        <w:tc>
          <w:tcPr>
            <w:tcW w:w="1034" w:type="dxa"/>
          </w:tcPr>
          <w:p w14:paraId="59C0CAE5" w14:textId="639227DF" w:rsidR="00226F8D" w:rsidRDefault="0095701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11.32 </w:t>
            </w:r>
            <w:r w:rsidRPr="00226F8D">
              <w:rPr>
                <w:lang w:val="en-US"/>
              </w:rPr>
              <w:t>%</w:t>
            </w:r>
          </w:p>
        </w:tc>
        <w:tc>
          <w:tcPr>
            <w:tcW w:w="1315" w:type="dxa"/>
          </w:tcPr>
          <w:p w14:paraId="5434AA07" w14:textId="25EE0DAE" w:rsidR="00226F8D" w:rsidRDefault="0095701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6.28 </w:t>
            </w:r>
            <w:r w:rsidRPr="00226F8D">
              <w:rPr>
                <w:lang w:val="en-US"/>
              </w:rPr>
              <w:t>%</w:t>
            </w:r>
          </w:p>
        </w:tc>
      </w:tr>
      <w:tr w:rsidR="00226F8D" w:rsidRPr="005342A5" w14:paraId="5BCF6479" w14:textId="77777777" w:rsidTr="00226F8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312" w:type="dxa"/>
          </w:tcPr>
          <w:p w14:paraId="7522BAC6" w14:textId="77777777" w:rsidR="00226F8D" w:rsidRDefault="00226F8D" w:rsidP="00226F8D">
            <w:pPr>
              <w:jc w:val="center"/>
              <w:rPr>
                <w:lang w:val="en-US"/>
              </w:rPr>
            </w:pPr>
          </w:p>
        </w:tc>
        <w:tc>
          <w:tcPr>
            <w:tcW w:w="1562" w:type="dxa"/>
          </w:tcPr>
          <w:p w14:paraId="50642EEC" w14:textId="77777777" w:rsidR="00226F8D"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714" w:type="dxa"/>
          </w:tcPr>
          <w:p w14:paraId="2E68EA47" w14:textId="3E4E5A36"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sidRPr="005342A5">
              <w:rPr>
                <w:lang w:val="en-US"/>
              </w:rPr>
              <w:t>1</w:t>
            </w:r>
          </w:p>
        </w:tc>
        <w:tc>
          <w:tcPr>
            <w:tcW w:w="1135" w:type="dxa"/>
          </w:tcPr>
          <w:p w14:paraId="09F077C5" w14:textId="158BF8E9" w:rsidR="00226F8D" w:rsidRDefault="0095701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17.33 </w:t>
            </w:r>
            <w:r w:rsidRPr="00226F8D">
              <w:rPr>
                <w:lang w:val="en-US"/>
              </w:rPr>
              <w:t>%</w:t>
            </w:r>
          </w:p>
        </w:tc>
        <w:tc>
          <w:tcPr>
            <w:tcW w:w="1034" w:type="dxa"/>
          </w:tcPr>
          <w:p w14:paraId="692F691A" w14:textId="495D1AE6" w:rsidR="00226F8D" w:rsidRDefault="0095701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11.05 </w:t>
            </w:r>
            <w:r w:rsidRPr="00226F8D">
              <w:rPr>
                <w:lang w:val="en-US"/>
              </w:rPr>
              <w:t>%</w:t>
            </w:r>
          </w:p>
        </w:tc>
        <w:tc>
          <w:tcPr>
            <w:tcW w:w="1315" w:type="dxa"/>
          </w:tcPr>
          <w:p w14:paraId="5ADFEE8C" w14:textId="1C51387C" w:rsidR="00226F8D" w:rsidRDefault="0095701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6.14 </w:t>
            </w:r>
            <w:r w:rsidRPr="00226F8D">
              <w:rPr>
                <w:lang w:val="en-US"/>
              </w:rPr>
              <w:t>%</w:t>
            </w:r>
          </w:p>
        </w:tc>
      </w:tr>
      <w:tr w:rsidR="00226F8D" w:rsidRPr="005342A5" w14:paraId="420A938A" w14:textId="77777777" w:rsidTr="00226F8D">
        <w:trPr>
          <w:trHeight w:val="250"/>
        </w:trPr>
        <w:tc>
          <w:tcPr>
            <w:cnfStyle w:val="001000000000" w:firstRow="0" w:lastRow="0" w:firstColumn="1" w:lastColumn="0" w:oddVBand="0" w:evenVBand="0" w:oddHBand="0" w:evenHBand="0" w:firstRowFirstColumn="0" w:firstRowLastColumn="0" w:lastRowFirstColumn="0" w:lastRowLastColumn="0"/>
            <w:tcW w:w="2312" w:type="dxa"/>
          </w:tcPr>
          <w:p w14:paraId="39999D63" w14:textId="77777777" w:rsidR="00226F8D" w:rsidRDefault="00226F8D" w:rsidP="00226F8D">
            <w:pPr>
              <w:jc w:val="center"/>
              <w:rPr>
                <w:lang w:val="en-US"/>
              </w:rPr>
            </w:pPr>
          </w:p>
        </w:tc>
        <w:tc>
          <w:tcPr>
            <w:tcW w:w="1562" w:type="dxa"/>
          </w:tcPr>
          <w:p w14:paraId="5537BDC0" w14:textId="77777777" w:rsidR="00226F8D"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14" w:type="dxa"/>
          </w:tcPr>
          <w:p w14:paraId="56773FF9" w14:textId="2ACAFE8F"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sidRPr="005342A5">
              <w:rPr>
                <w:lang w:val="en-US"/>
              </w:rPr>
              <w:t>&gt; 1</w:t>
            </w:r>
          </w:p>
        </w:tc>
        <w:tc>
          <w:tcPr>
            <w:tcW w:w="1135" w:type="dxa"/>
          </w:tcPr>
          <w:p w14:paraId="37DE0967" w14:textId="4B6CE979" w:rsidR="00226F8D" w:rsidRDefault="0095701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1.09 </w:t>
            </w:r>
            <w:r w:rsidRPr="00226F8D">
              <w:rPr>
                <w:lang w:val="en-US"/>
              </w:rPr>
              <w:t>%</w:t>
            </w:r>
          </w:p>
        </w:tc>
        <w:tc>
          <w:tcPr>
            <w:tcW w:w="1034" w:type="dxa"/>
          </w:tcPr>
          <w:p w14:paraId="5C1B7501" w14:textId="3109D686" w:rsidR="00226F8D" w:rsidRDefault="0095701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0.82 </w:t>
            </w:r>
            <w:r w:rsidRPr="00226F8D">
              <w:rPr>
                <w:lang w:val="en-US"/>
              </w:rPr>
              <w:t>%</w:t>
            </w:r>
          </w:p>
        </w:tc>
        <w:tc>
          <w:tcPr>
            <w:tcW w:w="1315" w:type="dxa"/>
          </w:tcPr>
          <w:p w14:paraId="2464973C" w14:textId="0E54C72F" w:rsidR="00226F8D" w:rsidRDefault="0095701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0.68 </w:t>
            </w:r>
            <w:r w:rsidRPr="00226F8D">
              <w:rPr>
                <w:lang w:val="en-US"/>
              </w:rPr>
              <w:t>%</w:t>
            </w:r>
          </w:p>
        </w:tc>
      </w:tr>
    </w:tbl>
    <w:p w14:paraId="67C50586" w14:textId="77777777" w:rsidR="00D9246A" w:rsidRDefault="00D9246A" w:rsidP="005577CE">
      <w:pPr>
        <w:rPr>
          <w:lang w:val="en-US"/>
        </w:rPr>
      </w:pPr>
      <w:bookmarkStart w:id="7" w:name="_Hlk93654362"/>
    </w:p>
    <w:p w14:paraId="71785BCB" w14:textId="391A0CF8" w:rsidR="006B5C71" w:rsidRPr="005342A5" w:rsidRDefault="006B5C71" w:rsidP="006B5C71">
      <w:pPr>
        <w:pStyle w:val="Caption"/>
        <w:rPr>
          <w:lang w:val="en-US"/>
        </w:rPr>
      </w:pPr>
      <w:bookmarkStart w:id="8" w:name="_Hlk152150788"/>
      <w:r w:rsidRPr="005342A5">
        <w:rPr>
          <w:lang w:val="en-US"/>
        </w:rPr>
        <w:t>Table S</w:t>
      </w:r>
      <w:r w:rsidRPr="005342A5">
        <w:rPr>
          <w:lang w:val="en-US"/>
        </w:rPr>
        <w:fldChar w:fldCharType="begin"/>
      </w:r>
      <w:r w:rsidRPr="005342A5">
        <w:rPr>
          <w:lang w:val="en-US"/>
        </w:rPr>
        <w:instrText xml:space="preserve"> SEQ Table \* ARABIC </w:instrText>
      </w:r>
      <w:r w:rsidRPr="005342A5">
        <w:rPr>
          <w:lang w:val="en-US"/>
        </w:rPr>
        <w:fldChar w:fldCharType="separate"/>
      </w:r>
      <w:r>
        <w:rPr>
          <w:noProof/>
          <w:lang w:val="en-US"/>
        </w:rPr>
        <w:t>2</w:t>
      </w:r>
      <w:r w:rsidRPr="005342A5">
        <w:rPr>
          <w:lang w:val="en-US"/>
        </w:rPr>
        <w:fldChar w:fldCharType="end"/>
      </w:r>
      <w:r w:rsidRPr="005342A5">
        <w:rPr>
          <w:lang w:val="en-US"/>
        </w:rPr>
        <w:t xml:space="preserve">: Partnership formation probabilities </w:t>
      </w:r>
      <w:r>
        <w:rPr>
          <w:lang w:val="en-US"/>
        </w:rPr>
        <w:t xml:space="preserve">for </w:t>
      </w:r>
      <w:r w:rsidR="000C6DB4">
        <w:rPr>
          <w:lang w:val="en-US"/>
        </w:rPr>
        <w:t>steady</w:t>
      </w:r>
      <w:r>
        <w:rPr>
          <w:lang w:val="en-US"/>
        </w:rPr>
        <w:t xml:space="preserve"> and persistent casual partnerships </w:t>
      </w:r>
      <w:r w:rsidRPr="005342A5">
        <w:rPr>
          <w:lang w:val="en-US"/>
        </w:rPr>
        <w:t>stratified by partnership group</w:t>
      </w:r>
    </w:p>
    <w:tbl>
      <w:tblPr>
        <w:tblStyle w:val="ListTable1Light"/>
        <w:tblW w:w="9072" w:type="dxa"/>
        <w:tblLook w:val="04A0" w:firstRow="1" w:lastRow="0" w:firstColumn="1" w:lastColumn="0" w:noHBand="0" w:noVBand="1"/>
      </w:tblPr>
      <w:tblGrid>
        <w:gridCol w:w="2370"/>
        <w:gridCol w:w="1627"/>
        <w:gridCol w:w="1784"/>
        <w:gridCol w:w="1208"/>
        <w:gridCol w:w="1041"/>
        <w:gridCol w:w="1042"/>
      </w:tblGrid>
      <w:tr w:rsidR="00226F8D" w:rsidRPr="005342A5" w14:paraId="663B6AB0" w14:textId="77777777" w:rsidTr="00663D8D">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370" w:type="dxa"/>
          </w:tcPr>
          <w:p w14:paraId="31667182" w14:textId="77777777" w:rsidR="00226F8D" w:rsidRPr="005342A5" w:rsidRDefault="00226F8D" w:rsidP="004F3747">
            <w:pPr>
              <w:jc w:val="center"/>
              <w:rPr>
                <w:lang w:val="en-US"/>
              </w:rPr>
            </w:pPr>
          </w:p>
        </w:tc>
        <w:tc>
          <w:tcPr>
            <w:tcW w:w="1627" w:type="dxa"/>
          </w:tcPr>
          <w:p w14:paraId="0B54809E" w14:textId="77777777" w:rsidR="00226F8D" w:rsidRPr="005342A5" w:rsidRDefault="00226F8D" w:rsidP="004F3747">
            <w:pPr>
              <w:jc w:val="center"/>
              <w:cnfStyle w:val="100000000000" w:firstRow="1" w:lastRow="0" w:firstColumn="0" w:lastColumn="0" w:oddVBand="0" w:evenVBand="0" w:oddHBand="0" w:evenHBand="0" w:firstRowFirstColumn="0" w:firstRowLastColumn="0" w:lastRowFirstColumn="0" w:lastRowLastColumn="0"/>
              <w:rPr>
                <w:lang w:val="en-US"/>
              </w:rPr>
            </w:pPr>
          </w:p>
        </w:tc>
        <w:tc>
          <w:tcPr>
            <w:tcW w:w="1784" w:type="dxa"/>
          </w:tcPr>
          <w:p w14:paraId="421D5E52" w14:textId="72503D81" w:rsidR="00226F8D" w:rsidRPr="005342A5" w:rsidRDefault="00226F8D" w:rsidP="004F3747">
            <w:pPr>
              <w:jc w:val="center"/>
              <w:cnfStyle w:val="100000000000" w:firstRow="1" w:lastRow="0" w:firstColumn="0" w:lastColumn="0" w:oddVBand="0" w:evenVBand="0" w:oddHBand="0" w:evenHBand="0" w:firstRowFirstColumn="0" w:firstRowLastColumn="0" w:lastRowFirstColumn="0" w:lastRowLastColumn="0"/>
              <w:rPr>
                <w:lang w:val="en-US"/>
              </w:rPr>
            </w:pPr>
          </w:p>
        </w:tc>
        <w:tc>
          <w:tcPr>
            <w:tcW w:w="3291" w:type="dxa"/>
            <w:gridSpan w:val="3"/>
          </w:tcPr>
          <w:p w14:paraId="7BB83E50" w14:textId="77777777" w:rsidR="00226F8D" w:rsidRPr="005342A5" w:rsidRDefault="00226F8D" w:rsidP="004F3747">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Persistent c</w:t>
            </w:r>
            <w:r w:rsidRPr="005342A5">
              <w:rPr>
                <w:lang w:val="en-US"/>
              </w:rPr>
              <w:t>asual partners</w:t>
            </w:r>
          </w:p>
        </w:tc>
      </w:tr>
      <w:tr w:rsidR="00226F8D" w:rsidRPr="005342A5" w14:paraId="7A6E2A34" w14:textId="77777777" w:rsidTr="00663D8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370" w:type="dxa"/>
          </w:tcPr>
          <w:p w14:paraId="1078C3DF" w14:textId="70CD8AAF" w:rsidR="00226F8D" w:rsidRPr="005342A5" w:rsidRDefault="00226F8D" w:rsidP="00226F8D">
            <w:pPr>
              <w:jc w:val="center"/>
              <w:rPr>
                <w:lang w:val="en-US"/>
              </w:rPr>
            </w:pPr>
            <w:r>
              <w:rPr>
                <w:lang w:val="en-US"/>
              </w:rPr>
              <w:t>P</w:t>
            </w:r>
            <w:proofErr w:type="spellStart"/>
            <w:r>
              <w:t>reP</w:t>
            </w:r>
            <w:proofErr w:type="spellEnd"/>
            <w:r>
              <w:t xml:space="preserve"> </w:t>
            </w:r>
            <w:proofErr w:type="spellStart"/>
            <w:r>
              <w:t>eligibility</w:t>
            </w:r>
            <w:proofErr w:type="spellEnd"/>
          </w:p>
        </w:tc>
        <w:tc>
          <w:tcPr>
            <w:tcW w:w="1627" w:type="dxa"/>
          </w:tcPr>
          <w:p w14:paraId="254A0560" w14:textId="132CFE5E" w:rsidR="00226F8D"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Lower-activity</w:t>
            </w:r>
            <w:r w:rsidRPr="005342A5">
              <w:rPr>
                <w:lang w:val="en-US"/>
              </w:rPr>
              <w:t xml:space="preserve"> </w:t>
            </w:r>
            <w:r>
              <w:rPr>
                <w:lang w:val="en-US"/>
              </w:rPr>
              <w:t>MSM</w:t>
            </w:r>
          </w:p>
        </w:tc>
        <w:tc>
          <w:tcPr>
            <w:tcW w:w="1784" w:type="dxa"/>
          </w:tcPr>
          <w:p w14:paraId="03FF0500" w14:textId="43D6DF87"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Steady</w:t>
            </w:r>
            <w:r w:rsidRPr="005342A5">
              <w:rPr>
                <w:lang w:val="en-US"/>
              </w:rPr>
              <w:t xml:space="preserve"> partners</w:t>
            </w:r>
          </w:p>
        </w:tc>
        <w:tc>
          <w:tcPr>
            <w:tcW w:w="1208" w:type="dxa"/>
          </w:tcPr>
          <w:p w14:paraId="696F934F" w14:textId="77777777"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sidRPr="005342A5">
              <w:rPr>
                <w:lang w:val="en-US"/>
              </w:rPr>
              <w:t>0</w:t>
            </w:r>
          </w:p>
        </w:tc>
        <w:tc>
          <w:tcPr>
            <w:tcW w:w="1041" w:type="dxa"/>
          </w:tcPr>
          <w:p w14:paraId="78733462" w14:textId="77777777"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sidRPr="005342A5">
              <w:rPr>
                <w:lang w:val="en-US"/>
              </w:rPr>
              <w:t>1</w:t>
            </w:r>
          </w:p>
        </w:tc>
        <w:tc>
          <w:tcPr>
            <w:tcW w:w="1042" w:type="dxa"/>
          </w:tcPr>
          <w:p w14:paraId="76AD8903" w14:textId="77777777"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sidRPr="005342A5">
              <w:rPr>
                <w:lang w:val="en-US"/>
              </w:rPr>
              <w:t>&gt;1</w:t>
            </w:r>
          </w:p>
        </w:tc>
      </w:tr>
      <w:tr w:rsidR="00226F8D" w:rsidRPr="005342A5" w14:paraId="2060C503" w14:textId="77777777" w:rsidTr="00663D8D">
        <w:trPr>
          <w:trHeight w:val="250"/>
        </w:trPr>
        <w:tc>
          <w:tcPr>
            <w:cnfStyle w:val="001000000000" w:firstRow="0" w:lastRow="0" w:firstColumn="1" w:lastColumn="0" w:oddVBand="0" w:evenVBand="0" w:oddHBand="0" w:evenHBand="0" w:firstRowFirstColumn="0" w:firstRowLastColumn="0" w:lastRowFirstColumn="0" w:lastRowLastColumn="0"/>
            <w:tcW w:w="2370" w:type="dxa"/>
          </w:tcPr>
          <w:p w14:paraId="6F55FF4E" w14:textId="77777777" w:rsidR="00226F8D" w:rsidRPr="005342A5" w:rsidRDefault="00226F8D" w:rsidP="00226F8D">
            <w:pPr>
              <w:jc w:val="center"/>
              <w:rPr>
                <w:lang w:val="en-US"/>
              </w:rPr>
            </w:pPr>
          </w:p>
        </w:tc>
        <w:tc>
          <w:tcPr>
            <w:tcW w:w="1627" w:type="dxa"/>
          </w:tcPr>
          <w:p w14:paraId="2650FC54" w14:textId="77777777"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84" w:type="dxa"/>
          </w:tcPr>
          <w:p w14:paraId="51303B43" w14:textId="23BD0AB8"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sidRPr="005342A5">
              <w:rPr>
                <w:lang w:val="en-US"/>
              </w:rPr>
              <w:t>0</w:t>
            </w:r>
          </w:p>
        </w:tc>
        <w:tc>
          <w:tcPr>
            <w:tcW w:w="1208" w:type="dxa"/>
          </w:tcPr>
          <w:p w14:paraId="425E50C8" w14:textId="77777777"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sidRPr="00D9246A">
              <w:rPr>
                <w:lang w:val="en-US"/>
              </w:rPr>
              <w:t>5</w:t>
            </w:r>
            <w:r>
              <w:rPr>
                <w:lang w:val="en-US"/>
              </w:rPr>
              <w:t>4</w:t>
            </w:r>
            <w:r w:rsidRPr="00D9246A">
              <w:rPr>
                <w:lang w:val="en-US"/>
              </w:rPr>
              <w:t>.</w:t>
            </w:r>
            <w:r>
              <w:rPr>
                <w:lang w:val="en-US"/>
              </w:rPr>
              <w:t>47</w:t>
            </w:r>
            <w:r w:rsidRPr="005342A5">
              <w:rPr>
                <w:lang w:val="en-US"/>
              </w:rPr>
              <w:t>%</w:t>
            </w:r>
          </w:p>
        </w:tc>
        <w:tc>
          <w:tcPr>
            <w:tcW w:w="1041" w:type="dxa"/>
          </w:tcPr>
          <w:p w14:paraId="374DE186" w14:textId="77777777"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2.11</w:t>
            </w:r>
            <w:r w:rsidRPr="005342A5">
              <w:rPr>
                <w:lang w:val="en-US"/>
              </w:rPr>
              <w:t xml:space="preserve"> %</w:t>
            </w:r>
          </w:p>
        </w:tc>
        <w:tc>
          <w:tcPr>
            <w:tcW w:w="1042" w:type="dxa"/>
          </w:tcPr>
          <w:p w14:paraId="41D1957D" w14:textId="77777777"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0.30 %</w:t>
            </w:r>
          </w:p>
        </w:tc>
      </w:tr>
      <w:tr w:rsidR="00226F8D" w:rsidRPr="005342A5" w14:paraId="4F90B2FF" w14:textId="77777777" w:rsidTr="00663D8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370" w:type="dxa"/>
          </w:tcPr>
          <w:p w14:paraId="3B72CD72" w14:textId="77777777" w:rsidR="00226F8D" w:rsidRPr="005342A5" w:rsidRDefault="00226F8D" w:rsidP="00226F8D">
            <w:pPr>
              <w:jc w:val="center"/>
              <w:rPr>
                <w:lang w:val="en-US"/>
              </w:rPr>
            </w:pPr>
          </w:p>
        </w:tc>
        <w:tc>
          <w:tcPr>
            <w:tcW w:w="1627" w:type="dxa"/>
          </w:tcPr>
          <w:p w14:paraId="197DF011" w14:textId="77777777"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784" w:type="dxa"/>
          </w:tcPr>
          <w:p w14:paraId="3E406196" w14:textId="0BECE0EF"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sidRPr="005342A5">
              <w:rPr>
                <w:lang w:val="en-US"/>
              </w:rPr>
              <w:t>1</w:t>
            </w:r>
          </w:p>
        </w:tc>
        <w:tc>
          <w:tcPr>
            <w:tcW w:w="1208" w:type="dxa"/>
          </w:tcPr>
          <w:p w14:paraId="46EC82CC" w14:textId="77777777"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37.50</w:t>
            </w:r>
            <w:r w:rsidRPr="005342A5">
              <w:rPr>
                <w:lang w:val="en-US"/>
              </w:rPr>
              <w:t xml:space="preserve"> %</w:t>
            </w:r>
          </w:p>
        </w:tc>
        <w:tc>
          <w:tcPr>
            <w:tcW w:w="1041" w:type="dxa"/>
          </w:tcPr>
          <w:p w14:paraId="7A6294A3" w14:textId="77777777"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3.02</w:t>
            </w:r>
            <w:r w:rsidRPr="005342A5">
              <w:rPr>
                <w:lang w:val="en-US"/>
              </w:rPr>
              <w:t xml:space="preserve"> %</w:t>
            </w:r>
          </w:p>
        </w:tc>
        <w:tc>
          <w:tcPr>
            <w:tcW w:w="1042" w:type="dxa"/>
          </w:tcPr>
          <w:p w14:paraId="32ED2AD3" w14:textId="77777777"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0.84 %</w:t>
            </w:r>
          </w:p>
        </w:tc>
      </w:tr>
      <w:tr w:rsidR="00226F8D" w:rsidRPr="005342A5" w14:paraId="4322DF4F" w14:textId="77777777" w:rsidTr="00663D8D">
        <w:trPr>
          <w:trHeight w:val="250"/>
        </w:trPr>
        <w:tc>
          <w:tcPr>
            <w:cnfStyle w:val="001000000000" w:firstRow="0" w:lastRow="0" w:firstColumn="1" w:lastColumn="0" w:oddVBand="0" w:evenVBand="0" w:oddHBand="0" w:evenHBand="0" w:firstRowFirstColumn="0" w:firstRowLastColumn="0" w:lastRowFirstColumn="0" w:lastRowLastColumn="0"/>
            <w:tcW w:w="2370" w:type="dxa"/>
          </w:tcPr>
          <w:p w14:paraId="7D2FD260" w14:textId="77777777" w:rsidR="00226F8D" w:rsidRPr="005342A5" w:rsidRDefault="00226F8D" w:rsidP="00226F8D">
            <w:pPr>
              <w:jc w:val="center"/>
              <w:rPr>
                <w:lang w:val="en-US"/>
              </w:rPr>
            </w:pPr>
          </w:p>
        </w:tc>
        <w:tc>
          <w:tcPr>
            <w:tcW w:w="1627" w:type="dxa"/>
          </w:tcPr>
          <w:p w14:paraId="42DB972A" w14:textId="77777777"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84" w:type="dxa"/>
          </w:tcPr>
          <w:p w14:paraId="2EA6A2BD" w14:textId="0F6F7B58"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sidRPr="005342A5">
              <w:rPr>
                <w:lang w:val="en-US"/>
              </w:rPr>
              <w:t>&gt; 1</w:t>
            </w:r>
          </w:p>
        </w:tc>
        <w:tc>
          <w:tcPr>
            <w:tcW w:w="1208" w:type="dxa"/>
          </w:tcPr>
          <w:p w14:paraId="49BDFBDC" w14:textId="77777777"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1.57</w:t>
            </w:r>
            <w:r w:rsidRPr="005342A5">
              <w:rPr>
                <w:lang w:val="en-US"/>
              </w:rPr>
              <w:t xml:space="preserve"> %</w:t>
            </w:r>
          </w:p>
        </w:tc>
        <w:tc>
          <w:tcPr>
            <w:tcW w:w="1041" w:type="dxa"/>
          </w:tcPr>
          <w:p w14:paraId="1874008A" w14:textId="77777777"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0</w:t>
            </w:r>
            <w:r w:rsidRPr="005342A5">
              <w:rPr>
                <w:lang w:val="en-US"/>
              </w:rPr>
              <w:t xml:space="preserve"> %</w:t>
            </w:r>
          </w:p>
        </w:tc>
        <w:tc>
          <w:tcPr>
            <w:tcW w:w="1042" w:type="dxa"/>
          </w:tcPr>
          <w:p w14:paraId="35456AE7" w14:textId="77777777"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0.18 %</w:t>
            </w:r>
          </w:p>
        </w:tc>
      </w:tr>
      <w:tr w:rsidR="00226F8D" w:rsidRPr="005342A5" w14:paraId="359E7F8F" w14:textId="77777777" w:rsidTr="00663D8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370" w:type="dxa"/>
          </w:tcPr>
          <w:p w14:paraId="2BDDA6CD" w14:textId="52BC06D9" w:rsidR="00226F8D" w:rsidRPr="005342A5" w:rsidRDefault="00226F8D" w:rsidP="00226F8D">
            <w:pPr>
              <w:jc w:val="center"/>
              <w:rPr>
                <w:lang w:val="en-US"/>
              </w:rPr>
            </w:pPr>
          </w:p>
        </w:tc>
        <w:tc>
          <w:tcPr>
            <w:tcW w:w="1627" w:type="dxa"/>
          </w:tcPr>
          <w:p w14:paraId="0FBAC17F" w14:textId="4027061C" w:rsidR="00226F8D"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Higher-activity</w:t>
            </w:r>
            <w:r w:rsidRPr="005342A5">
              <w:rPr>
                <w:lang w:val="en-US"/>
              </w:rPr>
              <w:t xml:space="preserve"> </w:t>
            </w:r>
            <w:r>
              <w:rPr>
                <w:lang w:val="en-US"/>
              </w:rPr>
              <w:t>MSM</w:t>
            </w:r>
          </w:p>
        </w:tc>
        <w:tc>
          <w:tcPr>
            <w:tcW w:w="1784" w:type="dxa"/>
          </w:tcPr>
          <w:p w14:paraId="7154DCCA" w14:textId="7D4308EF"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Steady</w:t>
            </w:r>
            <w:r w:rsidRPr="005342A5">
              <w:rPr>
                <w:lang w:val="en-US"/>
              </w:rPr>
              <w:t xml:space="preserve"> partners</w:t>
            </w:r>
          </w:p>
        </w:tc>
        <w:tc>
          <w:tcPr>
            <w:tcW w:w="1208" w:type="dxa"/>
          </w:tcPr>
          <w:p w14:paraId="5FA714D0" w14:textId="77777777"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041" w:type="dxa"/>
          </w:tcPr>
          <w:p w14:paraId="27D64AE7" w14:textId="77777777"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042" w:type="dxa"/>
          </w:tcPr>
          <w:p w14:paraId="63044380" w14:textId="77777777"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p>
        </w:tc>
      </w:tr>
      <w:tr w:rsidR="00226F8D" w:rsidRPr="005342A5" w14:paraId="2ECECA29" w14:textId="77777777" w:rsidTr="00663D8D">
        <w:trPr>
          <w:trHeight w:val="250"/>
        </w:trPr>
        <w:tc>
          <w:tcPr>
            <w:cnfStyle w:val="001000000000" w:firstRow="0" w:lastRow="0" w:firstColumn="1" w:lastColumn="0" w:oddVBand="0" w:evenVBand="0" w:oddHBand="0" w:evenHBand="0" w:firstRowFirstColumn="0" w:firstRowLastColumn="0" w:lastRowFirstColumn="0" w:lastRowLastColumn="0"/>
            <w:tcW w:w="2370" w:type="dxa"/>
          </w:tcPr>
          <w:p w14:paraId="1C9066AB" w14:textId="77777777" w:rsidR="00226F8D" w:rsidRPr="005342A5" w:rsidRDefault="00226F8D" w:rsidP="00226F8D">
            <w:pPr>
              <w:jc w:val="center"/>
              <w:rPr>
                <w:lang w:val="en-US"/>
              </w:rPr>
            </w:pPr>
          </w:p>
        </w:tc>
        <w:tc>
          <w:tcPr>
            <w:tcW w:w="1627" w:type="dxa"/>
          </w:tcPr>
          <w:p w14:paraId="6657BC03" w14:textId="77777777"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84" w:type="dxa"/>
          </w:tcPr>
          <w:p w14:paraId="6ABF802A" w14:textId="0A9DE49B"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sidRPr="005342A5">
              <w:rPr>
                <w:lang w:val="en-US"/>
              </w:rPr>
              <w:t>0</w:t>
            </w:r>
          </w:p>
        </w:tc>
        <w:tc>
          <w:tcPr>
            <w:tcW w:w="1208" w:type="dxa"/>
          </w:tcPr>
          <w:p w14:paraId="4FA4C77D" w14:textId="77777777"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54.71</w:t>
            </w:r>
            <w:r w:rsidRPr="005342A5">
              <w:rPr>
                <w:lang w:val="en-US"/>
              </w:rPr>
              <w:t xml:space="preserve"> %</w:t>
            </w:r>
          </w:p>
        </w:tc>
        <w:tc>
          <w:tcPr>
            <w:tcW w:w="1041" w:type="dxa"/>
          </w:tcPr>
          <w:p w14:paraId="7F85E664" w14:textId="77777777"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6.39</w:t>
            </w:r>
            <w:r w:rsidRPr="005342A5">
              <w:rPr>
                <w:lang w:val="en-US"/>
              </w:rPr>
              <w:t xml:space="preserve"> %</w:t>
            </w:r>
          </w:p>
        </w:tc>
        <w:tc>
          <w:tcPr>
            <w:tcW w:w="1042" w:type="dxa"/>
          </w:tcPr>
          <w:p w14:paraId="4EE47E51" w14:textId="77777777"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2.17</w:t>
            </w:r>
            <w:r w:rsidRPr="005342A5">
              <w:rPr>
                <w:lang w:val="en-US"/>
              </w:rPr>
              <w:t xml:space="preserve"> %</w:t>
            </w:r>
          </w:p>
        </w:tc>
      </w:tr>
      <w:tr w:rsidR="00226F8D" w:rsidRPr="005342A5" w14:paraId="1A746819" w14:textId="77777777" w:rsidTr="00663D8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370" w:type="dxa"/>
          </w:tcPr>
          <w:p w14:paraId="4E2E4D7A" w14:textId="77777777" w:rsidR="00226F8D" w:rsidRPr="005342A5" w:rsidRDefault="00226F8D" w:rsidP="00226F8D">
            <w:pPr>
              <w:jc w:val="center"/>
              <w:rPr>
                <w:lang w:val="en-US"/>
              </w:rPr>
            </w:pPr>
          </w:p>
        </w:tc>
        <w:tc>
          <w:tcPr>
            <w:tcW w:w="1627" w:type="dxa"/>
          </w:tcPr>
          <w:p w14:paraId="51963F1C" w14:textId="77777777"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784" w:type="dxa"/>
          </w:tcPr>
          <w:p w14:paraId="615F1F34" w14:textId="4ED4B7A6"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sidRPr="005342A5">
              <w:rPr>
                <w:lang w:val="en-US"/>
              </w:rPr>
              <w:t>1</w:t>
            </w:r>
          </w:p>
        </w:tc>
        <w:tc>
          <w:tcPr>
            <w:tcW w:w="1208" w:type="dxa"/>
          </w:tcPr>
          <w:p w14:paraId="193CFE96" w14:textId="77777777"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27.52</w:t>
            </w:r>
            <w:r w:rsidRPr="005342A5">
              <w:rPr>
                <w:lang w:val="en-US"/>
              </w:rPr>
              <w:t xml:space="preserve"> %</w:t>
            </w:r>
          </w:p>
        </w:tc>
        <w:tc>
          <w:tcPr>
            <w:tcW w:w="1041" w:type="dxa"/>
          </w:tcPr>
          <w:p w14:paraId="53FF7B29" w14:textId="77777777"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4.98</w:t>
            </w:r>
            <w:r w:rsidRPr="005342A5">
              <w:rPr>
                <w:lang w:val="en-US"/>
              </w:rPr>
              <w:t xml:space="preserve"> %</w:t>
            </w:r>
          </w:p>
        </w:tc>
        <w:tc>
          <w:tcPr>
            <w:tcW w:w="1042" w:type="dxa"/>
          </w:tcPr>
          <w:p w14:paraId="0B24B65B" w14:textId="77777777"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1.95</w:t>
            </w:r>
            <w:r w:rsidRPr="005342A5">
              <w:rPr>
                <w:lang w:val="en-US"/>
              </w:rPr>
              <w:t xml:space="preserve"> %</w:t>
            </w:r>
          </w:p>
        </w:tc>
      </w:tr>
      <w:tr w:rsidR="00226F8D" w:rsidRPr="005342A5" w14:paraId="4AE67043" w14:textId="77777777" w:rsidTr="00663D8D">
        <w:trPr>
          <w:trHeight w:val="250"/>
        </w:trPr>
        <w:tc>
          <w:tcPr>
            <w:cnfStyle w:val="001000000000" w:firstRow="0" w:lastRow="0" w:firstColumn="1" w:lastColumn="0" w:oddVBand="0" w:evenVBand="0" w:oddHBand="0" w:evenHBand="0" w:firstRowFirstColumn="0" w:firstRowLastColumn="0" w:lastRowFirstColumn="0" w:lastRowLastColumn="0"/>
            <w:tcW w:w="2370" w:type="dxa"/>
          </w:tcPr>
          <w:p w14:paraId="7ECA52E8" w14:textId="77777777" w:rsidR="00226F8D" w:rsidRPr="005342A5" w:rsidRDefault="00226F8D" w:rsidP="00226F8D">
            <w:pPr>
              <w:jc w:val="center"/>
              <w:rPr>
                <w:lang w:val="en-US"/>
              </w:rPr>
            </w:pPr>
          </w:p>
        </w:tc>
        <w:tc>
          <w:tcPr>
            <w:tcW w:w="1627" w:type="dxa"/>
          </w:tcPr>
          <w:p w14:paraId="74309B61" w14:textId="77777777"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84" w:type="dxa"/>
          </w:tcPr>
          <w:p w14:paraId="32DB8797" w14:textId="0BFFECEB"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sidRPr="005342A5">
              <w:rPr>
                <w:lang w:val="en-US"/>
              </w:rPr>
              <w:t>&gt; 1</w:t>
            </w:r>
          </w:p>
        </w:tc>
        <w:tc>
          <w:tcPr>
            <w:tcW w:w="1208" w:type="dxa"/>
          </w:tcPr>
          <w:p w14:paraId="2AED88B1" w14:textId="77777777"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1.30</w:t>
            </w:r>
            <w:r w:rsidRPr="005342A5">
              <w:rPr>
                <w:lang w:val="en-US"/>
              </w:rPr>
              <w:t xml:space="preserve"> %</w:t>
            </w:r>
          </w:p>
        </w:tc>
        <w:tc>
          <w:tcPr>
            <w:tcW w:w="1041" w:type="dxa"/>
          </w:tcPr>
          <w:p w14:paraId="75A1CA29" w14:textId="77777777"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0.54</w:t>
            </w:r>
            <w:r w:rsidRPr="005342A5">
              <w:rPr>
                <w:lang w:val="en-US"/>
              </w:rPr>
              <w:t xml:space="preserve"> %</w:t>
            </w:r>
          </w:p>
        </w:tc>
        <w:tc>
          <w:tcPr>
            <w:tcW w:w="1042" w:type="dxa"/>
          </w:tcPr>
          <w:p w14:paraId="5AD57B42" w14:textId="77777777"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0.43</w:t>
            </w:r>
            <w:r w:rsidRPr="005342A5">
              <w:rPr>
                <w:lang w:val="en-US"/>
              </w:rPr>
              <w:t xml:space="preserve"> %</w:t>
            </w:r>
          </w:p>
        </w:tc>
      </w:tr>
      <w:tr w:rsidR="00434F27" w:rsidRPr="005342A5" w14:paraId="37406097" w14:textId="77777777" w:rsidTr="00226F8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370" w:type="dxa"/>
          </w:tcPr>
          <w:p w14:paraId="4BA381D5" w14:textId="72E0C686" w:rsidR="00434F27" w:rsidRPr="005342A5" w:rsidRDefault="00434F27" w:rsidP="00434F27">
            <w:pPr>
              <w:jc w:val="center"/>
              <w:rPr>
                <w:lang w:val="en-US"/>
              </w:rPr>
            </w:pPr>
            <w:r>
              <w:rPr>
                <w:lang w:val="en-US"/>
              </w:rPr>
              <w:t xml:space="preserve">More than </w:t>
            </w:r>
            <w:r w:rsidRPr="00226F8D">
              <w:rPr>
                <w:lang w:val="en-US"/>
              </w:rPr>
              <w:t>1</w:t>
            </w:r>
            <w:r w:rsidRPr="00226F8D">
              <w:t>5 partners</w:t>
            </w:r>
          </w:p>
        </w:tc>
        <w:tc>
          <w:tcPr>
            <w:tcW w:w="1627" w:type="dxa"/>
          </w:tcPr>
          <w:p w14:paraId="5AB8B0C1" w14:textId="00310694" w:rsidR="00434F27" w:rsidRPr="005342A5" w:rsidRDefault="00434F27" w:rsidP="00434F27">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Lower-activity</w:t>
            </w:r>
            <w:r w:rsidRPr="005342A5">
              <w:rPr>
                <w:lang w:val="en-US"/>
              </w:rPr>
              <w:t xml:space="preserve"> </w:t>
            </w:r>
            <w:r>
              <w:rPr>
                <w:lang w:val="en-US"/>
              </w:rPr>
              <w:t>MSM</w:t>
            </w:r>
          </w:p>
        </w:tc>
        <w:tc>
          <w:tcPr>
            <w:tcW w:w="1784" w:type="dxa"/>
          </w:tcPr>
          <w:p w14:paraId="7A61B6EC" w14:textId="73D61ADA" w:rsidR="00434F27" w:rsidRPr="005342A5" w:rsidRDefault="00434F27" w:rsidP="00434F27">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Steady</w:t>
            </w:r>
            <w:r w:rsidRPr="005342A5">
              <w:rPr>
                <w:lang w:val="en-US"/>
              </w:rPr>
              <w:t xml:space="preserve"> partners</w:t>
            </w:r>
          </w:p>
        </w:tc>
        <w:tc>
          <w:tcPr>
            <w:tcW w:w="1208" w:type="dxa"/>
          </w:tcPr>
          <w:p w14:paraId="11B381A2" w14:textId="77D11B26" w:rsidR="00434F27" w:rsidRDefault="00434F27" w:rsidP="00434F27">
            <w:pPr>
              <w:jc w:val="center"/>
              <w:cnfStyle w:val="000000100000" w:firstRow="0" w:lastRow="0" w:firstColumn="0" w:lastColumn="0" w:oddVBand="0" w:evenVBand="0" w:oddHBand="1" w:evenHBand="0" w:firstRowFirstColumn="0" w:firstRowLastColumn="0" w:lastRowFirstColumn="0" w:lastRowLastColumn="0"/>
              <w:rPr>
                <w:lang w:val="en-US"/>
              </w:rPr>
            </w:pPr>
            <w:r w:rsidRPr="005342A5">
              <w:rPr>
                <w:lang w:val="en-US"/>
              </w:rPr>
              <w:t>0</w:t>
            </w:r>
          </w:p>
        </w:tc>
        <w:tc>
          <w:tcPr>
            <w:tcW w:w="1041" w:type="dxa"/>
          </w:tcPr>
          <w:p w14:paraId="2E80EE1B" w14:textId="2C0B7612" w:rsidR="00434F27" w:rsidRDefault="00434F27" w:rsidP="00434F27">
            <w:pPr>
              <w:jc w:val="center"/>
              <w:cnfStyle w:val="000000100000" w:firstRow="0" w:lastRow="0" w:firstColumn="0" w:lastColumn="0" w:oddVBand="0" w:evenVBand="0" w:oddHBand="1" w:evenHBand="0" w:firstRowFirstColumn="0" w:firstRowLastColumn="0" w:lastRowFirstColumn="0" w:lastRowLastColumn="0"/>
              <w:rPr>
                <w:lang w:val="en-US"/>
              </w:rPr>
            </w:pPr>
            <w:r w:rsidRPr="005342A5">
              <w:rPr>
                <w:lang w:val="en-US"/>
              </w:rPr>
              <w:t>1</w:t>
            </w:r>
          </w:p>
        </w:tc>
        <w:tc>
          <w:tcPr>
            <w:tcW w:w="1042" w:type="dxa"/>
          </w:tcPr>
          <w:p w14:paraId="233B5BE0" w14:textId="4EBD4E5B" w:rsidR="00434F27" w:rsidRDefault="00434F27" w:rsidP="00434F27">
            <w:pPr>
              <w:jc w:val="center"/>
              <w:cnfStyle w:val="000000100000" w:firstRow="0" w:lastRow="0" w:firstColumn="0" w:lastColumn="0" w:oddVBand="0" w:evenVBand="0" w:oddHBand="1" w:evenHBand="0" w:firstRowFirstColumn="0" w:firstRowLastColumn="0" w:lastRowFirstColumn="0" w:lastRowLastColumn="0"/>
              <w:rPr>
                <w:lang w:val="en-US"/>
              </w:rPr>
            </w:pPr>
            <w:r w:rsidRPr="005342A5">
              <w:rPr>
                <w:lang w:val="en-US"/>
              </w:rPr>
              <w:t>&gt;1</w:t>
            </w:r>
          </w:p>
        </w:tc>
      </w:tr>
      <w:tr w:rsidR="00226F8D" w:rsidRPr="005342A5" w14:paraId="166A53B3" w14:textId="77777777" w:rsidTr="00226F8D">
        <w:trPr>
          <w:trHeight w:val="250"/>
        </w:trPr>
        <w:tc>
          <w:tcPr>
            <w:cnfStyle w:val="001000000000" w:firstRow="0" w:lastRow="0" w:firstColumn="1" w:lastColumn="0" w:oddVBand="0" w:evenVBand="0" w:oddHBand="0" w:evenHBand="0" w:firstRowFirstColumn="0" w:firstRowLastColumn="0" w:lastRowFirstColumn="0" w:lastRowLastColumn="0"/>
            <w:tcW w:w="2370" w:type="dxa"/>
          </w:tcPr>
          <w:p w14:paraId="53E7351F" w14:textId="77777777" w:rsidR="00226F8D" w:rsidRPr="005342A5" w:rsidRDefault="00226F8D" w:rsidP="00226F8D">
            <w:pPr>
              <w:jc w:val="center"/>
              <w:rPr>
                <w:lang w:val="en-US"/>
              </w:rPr>
            </w:pPr>
          </w:p>
        </w:tc>
        <w:tc>
          <w:tcPr>
            <w:tcW w:w="1627" w:type="dxa"/>
          </w:tcPr>
          <w:p w14:paraId="67EDCB0A" w14:textId="77777777" w:rsidR="00226F8D"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84" w:type="dxa"/>
          </w:tcPr>
          <w:p w14:paraId="28933B3E" w14:textId="0819BD9E" w:rsidR="00226F8D"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sidRPr="005342A5">
              <w:rPr>
                <w:lang w:val="en-US"/>
              </w:rPr>
              <w:t>0</w:t>
            </w:r>
          </w:p>
        </w:tc>
        <w:tc>
          <w:tcPr>
            <w:tcW w:w="1208" w:type="dxa"/>
          </w:tcPr>
          <w:p w14:paraId="33546F9F" w14:textId="1ED4D598" w:rsidR="00226F8D" w:rsidRPr="005342A5" w:rsidRDefault="003B04D8"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56.54 </w:t>
            </w:r>
            <w:r w:rsidRPr="005342A5">
              <w:rPr>
                <w:lang w:val="en-US"/>
              </w:rPr>
              <w:t>%</w:t>
            </w:r>
          </w:p>
        </w:tc>
        <w:tc>
          <w:tcPr>
            <w:tcW w:w="1041" w:type="dxa"/>
          </w:tcPr>
          <w:p w14:paraId="494B0625" w14:textId="48BF1C4D" w:rsidR="00226F8D" w:rsidRPr="005342A5" w:rsidRDefault="003B04D8"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1.95 </w:t>
            </w:r>
            <w:r w:rsidRPr="005342A5">
              <w:rPr>
                <w:lang w:val="en-US"/>
              </w:rPr>
              <w:t>%</w:t>
            </w:r>
          </w:p>
        </w:tc>
        <w:tc>
          <w:tcPr>
            <w:tcW w:w="1042" w:type="dxa"/>
          </w:tcPr>
          <w:p w14:paraId="5E379C0C" w14:textId="19DB9A53" w:rsidR="00226F8D" w:rsidRPr="005342A5" w:rsidRDefault="003B04D8"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0.17 </w:t>
            </w:r>
            <w:r w:rsidRPr="005342A5">
              <w:rPr>
                <w:lang w:val="en-US"/>
              </w:rPr>
              <w:t>%</w:t>
            </w:r>
          </w:p>
        </w:tc>
      </w:tr>
      <w:tr w:rsidR="00226F8D" w:rsidRPr="005342A5" w14:paraId="6239F19B" w14:textId="77777777" w:rsidTr="00226F8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370" w:type="dxa"/>
          </w:tcPr>
          <w:p w14:paraId="3694A811" w14:textId="77777777" w:rsidR="00226F8D" w:rsidRPr="005342A5" w:rsidRDefault="00226F8D" w:rsidP="00226F8D">
            <w:pPr>
              <w:jc w:val="center"/>
              <w:rPr>
                <w:lang w:val="en-US"/>
              </w:rPr>
            </w:pPr>
          </w:p>
        </w:tc>
        <w:tc>
          <w:tcPr>
            <w:tcW w:w="1627" w:type="dxa"/>
          </w:tcPr>
          <w:p w14:paraId="00007536" w14:textId="77777777" w:rsidR="00226F8D"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784" w:type="dxa"/>
          </w:tcPr>
          <w:p w14:paraId="2C9D54B6" w14:textId="63F6BAEC"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sidRPr="005342A5">
              <w:rPr>
                <w:lang w:val="en-US"/>
              </w:rPr>
              <w:t>1</w:t>
            </w:r>
          </w:p>
        </w:tc>
        <w:tc>
          <w:tcPr>
            <w:tcW w:w="1208" w:type="dxa"/>
          </w:tcPr>
          <w:p w14:paraId="2AC79785" w14:textId="2C7B9F32" w:rsidR="00226F8D" w:rsidRPr="00D9246A" w:rsidRDefault="003B04D8"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37.04 </w:t>
            </w:r>
            <w:r w:rsidRPr="005342A5">
              <w:rPr>
                <w:lang w:val="en-US"/>
              </w:rPr>
              <w:t>%</w:t>
            </w:r>
          </w:p>
        </w:tc>
        <w:tc>
          <w:tcPr>
            <w:tcW w:w="1041" w:type="dxa"/>
          </w:tcPr>
          <w:p w14:paraId="460CA2EE" w14:textId="2E4A5296" w:rsidR="00226F8D" w:rsidRDefault="003B04D8"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2.29 </w:t>
            </w:r>
            <w:r w:rsidRPr="005342A5">
              <w:rPr>
                <w:lang w:val="en-US"/>
              </w:rPr>
              <w:t>%</w:t>
            </w:r>
          </w:p>
        </w:tc>
        <w:tc>
          <w:tcPr>
            <w:tcW w:w="1042" w:type="dxa"/>
          </w:tcPr>
          <w:p w14:paraId="6DD36797" w14:textId="39A38FF3" w:rsidR="00226F8D" w:rsidRDefault="003B04D8"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0.52 </w:t>
            </w:r>
            <w:r w:rsidRPr="005342A5">
              <w:rPr>
                <w:lang w:val="en-US"/>
              </w:rPr>
              <w:t>%</w:t>
            </w:r>
          </w:p>
        </w:tc>
      </w:tr>
      <w:tr w:rsidR="00226F8D" w:rsidRPr="005342A5" w14:paraId="0840391E" w14:textId="77777777" w:rsidTr="00226F8D">
        <w:trPr>
          <w:trHeight w:val="250"/>
        </w:trPr>
        <w:tc>
          <w:tcPr>
            <w:cnfStyle w:val="001000000000" w:firstRow="0" w:lastRow="0" w:firstColumn="1" w:lastColumn="0" w:oddVBand="0" w:evenVBand="0" w:oddHBand="0" w:evenHBand="0" w:firstRowFirstColumn="0" w:firstRowLastColumn="0" w:lastRowFirstColumn="0" w:lastRowLastColumn="0"/>
            <w:tcW w:w="2370" w:type="dxa"/>
          </w:tcPr>
          <w:p w14:paraId="3BB5AAFB" w14:textId="77777777" w:rsidR="00226F8D" w:rsidRPr="005342A5" w:rsidRDefault="00226F8D" w:rsidP="00226F8D">
            <w:pPr>
              <w:jc w:val="center"/>
              <w:rPr>
                <w:lang w:val="en-US"/>
              </w:rPr>
            </w:pPr>
          </w:p>
        </w:tc>
        <w:tc>
          <w:tcPr>
            <w:tcW w:w="1627" w:type="dxa"/>
          </w:tcPr>
          <w:p w14:paraId="436D362D" w14:textId="77777777" w:rsidR="00226F8D"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84" w:type="dxa"/>
          </w:tcPr>
          <w:p w14:paraId="4FC431C4" w14:textId="22DBF3F7"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sidRPr="005342A5">
              <w:rPr>
                <w:lang w:val="en-US"/>
              </w:rPr>
              <w:t>&gt; 1</w:t>
            </w:r>
          </w:p>
        </w:tc>
        <w:tc>
          <w:tcPr>
            <w:tcW w:w="1208" w:type="dxa"/>
          </w:tcPr>
          <w:p w14:paraId="34B608BE" w14:textId="17DD559A" w:rsidR="00226F8D" w:rsidRDefault="003B04D8"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1.38 </w:t>
            </w:r>
            <w:r w:rsidRPr="005342A5">
              <w:rPr>
                <w:lang w:val="en-US"/>
              </w:rPr>
              <w:t>%</w:t>
            </w:r>
          </w:p>
        </w:tc>
        <w:tc>
          <w:tcPr>
            <w:tcW w:w="1041" w:type="dxa"/>
          </w:tcPr>
          <w:p w14:paraId="467A2103" w14:textId="77CB16D6" w:rsidR="00226F8D" w:rsidRDefault="003B04D8"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0.06 </w:t>
            </w:r>
            <w:r w:rsidRPr="005342A5">
              <w:rPr>
                <w:lang w:val="en-US"/>
              </w:rPr>
              <w:t>%</w:t>
            </w:r>
          </w:p>
        </w:tc>
        <w:tc>
          <w:tcPr>
            <w:tcW w:w="1042" w:type="dxa"/>
          </w:tcPr>
          <w:p w14:paraId="56514E93" w14:textId="17EC100C" w:rsidR="00226F8D" w:rsidRDefault="003B04D8"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0.06 </w:t>
            </w:r>
            <w:r w:rsidRPr="005342A5">
              <w:rPr>
                <w:lang w:val="en-US"/>
              </w:rPr>
              <w:t>%</w:t>
            </w:r>
          </w:p>
        </w:tc>
      </w:tr>
      <w:tr w:rsidR="00226F8D" w:rsidRPr="005342A5" w14:paraId="0B748C3D" w14:textId="77777777" w:rsidTr="00226F8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370" w:type="dxa"/>
          </w:tcPr>
          <w:p w14:paraId="664F0731" w14:textId="77777777" w:rsidR="00226F8D" w:rsidRPr="005342A5" w:rsidRDefault="00226F8D" w:rsidP="00226F8D">
            <w:pPr>
              <w:jc w:val="center"/>
              <w:rPr>
                <w:lang w:val="en-US"/>
              </w:rPr>
            </w:pPr>
          </w:p>
        </w:tc>
        <w:tc>
          <w:tcPr>
            <w:tcW w:w="1627" w:type="dxa"/>
          </w:tcPr>
          <w:p w14:paraId="00D3BE24" w14:textId="1134A660" w:rsidR="00226F8D"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Higher-activity</w:t>
            </w:r>
            <w:r w:rsidRPr="005342A5">
              <w:rPr>
                <w:lang w:val="en-US"/>
              </w:rPr>
              <w:t xml:space="preserve"> </w:t>
            </w:r>
            <w:r>
              <w:rPr>
                <w:lang w:val="en-US"/>
              </w:rPr>
              <w:t>MSM</w:t>
            </w:r>
          </w:p>
        </w:tc>
        <w:tc>
          <w:tcPr>
            <w:tcW w:w="1784" w:type="dxa"/>
          </w:tcPr>
          <w:p w14:paraId="56322EAA" w14:textId="2BDF7CC7"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Steady</w:t>
            </w:r>
            <w:r w:rsidRPr="005342A5">
              <w:rPr>
                <w:lang w:val="en-US"/>
              </w:rPr>
              <w:t xml:space="preserve"> partners</w:t>
            </w:r>
          </w:p>
        </w:tc>
        <w:tc>
          <w:tcPr>
            <w:tcW w:w="1208" w:type="dxa"/>
          </w:tcPr>
          <w:p w14:paraId="5E350374" w14:textId="77777777" w:rsidR="00226F8D"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041" w:type="dxa"/>
          </w:tcPr>
          <w:p w14:paraId="32D25A53" w14:textId="77777777" w:rsidR="00226F8D"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042" w:type="dxa"/>
          </w:tcPr>
          <w:p w14:paraId="4ADFEC2E" w14:textId="77777777" w:rsidR="00226F8D"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p>
        </w:tc>
      </w:tr>
      <w:tr w:rsidR="00226F8D" w:rsidRPr="005342A5" w14:paraId="661798BE" w14:textId="77777777" w:rsidTr="00226F8D">
        <w:trPr>
          <w:trHeight w:val="250"/>
        </w:trPr>
        <w:tc>
          <w:tcPr>
            <w:cnfStyle w:val="001000000000" w:firstRow="0" w:lastRow="0" w:firstColumn="1" w:lastColumn="0" w:oddVBand="0" w:evenVBand="0" w:oddHBand="0" w:evenHBand="0" w:firstRowFirstColumn="0" w:firstRowLastColumn="0" w:lastRowFirstColumn="0" w:lastRowLastColumn="0"/>
            <w:tcW w:w="2370" w:type="dxa"/>
          </w:tcPr>
          <w:p w14:paraId="103163B9" w14:textId="77777777" w:rsidR="00226F8D" w:rsidRPr="005342A5" w:rsidRDefault="00226F8D" w:rsidP="00226F8D">
            <w:pPr>
              <w:jc w:val="center"/>
              <w:rPr>
                <w:lang w:val="en-US"/>
              </w:rPr>
            </w:pPr>
          </w:p>
        </w:tc>
        <w:tc>
          <w:tcPr>
            <w:tcW w:w="1627" w:type="dxa"/>
          </w:tcPr>
          <w:p w14:paraId="51CB731E" w14:textId="77777777" w:rsidR="00226F8D"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84" w:type="dxa"/>
          </w:tcPr>
          <w:p w14:paraId="050C279C" w14:textId="324B9428" w:rsidR="00226F8D"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sidRPr="005342A5">
              <w:rPr>
                <w:lang w:val="en-US"/>
              </w:rPr>
              <w:t>0</w:t>
            </w:r>
          </w:p>
        </w:tc>
        <w:tc>
          <w:tcPr>
            <w:tcW w:w="1208" w:type="dxa"/>
          </w:tcPr>
          <w:p w14:paraId="3E5839C1" w14:textId="22DC61CE" w:rsidR="00226F8D" w:rsidRDefault="003B04D8"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50.00 </w:t>
            </w:r>
            <w:r w:rsidRPr="005342A5">
              <w:rPr>
                <w:lang w:val="en-US"/>
              </w:rPr>
              <w:t>%</w:t>
            </w:r>
          </w:p>
        </w:tc>
        <w:tc>
          <w:tcPr>
            <w:tcW w:w="1041" w:type="dxa"/>
          </w:tcPr>
          <w:p w14:paraId="59AC6FC9" w14:textId="21A64891" w:rsidR="00226F8D" w:rsidRDefault="003B04D8"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7.27 </w:t>
            </w:r>
            <w:r w:rsidRPr="005342A5">
              <w:rPr>
                <w:lang w:val="en-US"/>
              </w:rPr>
              <w:t>%</w:t>
            </w:r>
          </w:p>
        </w:tc>
        <w:tc>
          <w:tcPr>
            <w:tcW w:w="1042" w:type="dxa"/>
          </w:tcPr>
          <w:p w14:paraId="47496795" w14:textId="09E94F4C" w:rsidR="00226F8D" w:rsidRDefault="003B04D8"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2.76 </w:t>
            </w:r>
            <w:r w:rsidRPr="005342A5">
              <w:rPr>
                <w:lang w:val="en-US"/>
              </w:rPr>
              <w:t>%</w:t>
            </w:r>
          </w:p>
        </w:tc>
      </w:tr>
      <w:tr w:rsidR="00226F8D" w:rsidRPr="005342A5" w14:paraId="57F00852" w14:textId="77777777" w:rsidTr="00226F8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370" w:type="dxa"/>
          </w:tcPr>
          <w:p w14:paraId="20D27373" w14:textId="77777777" w:rsidR="00226F8D" w:rsidRPr="005342A5" w:rsidRDefault="00226F8D" w:rsidP="00226F8D">
            <w:pPr>
              <w:jc w:val="center"/>
              <w:rPr>
                <w:lang w:val="en-US"/>
              </w:rPr>
            </w:pPr>
          </w:p>
        </w:tc>
        <w:tc>
          <w:tcPr>
            <w:tcW w:w="1627" w:type="dxa"/>
          </w:tcPr>
          <w:p w14:paraId="44A3B701" w14:textId="77777777" w:rsidR="00226F8D"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784" w:type="dxa"/>
          </w:tcPr>
          <w:p w14:paraId="57B06BFE" w14:textId="2E7C0603"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sidRPr="005342A5">
              <w:rPr>
                <w:lang w:val="en-US"/>
              </w:rPr>
              <w:t>1</w:t>
            </w:r>
          </w:p>
        </w:tc>
        <w:tc>
          <w:tcPr>
            <w:tcW w:w="1208" w:type="dxa"/>
          </w:tcPr>
          <w:p w14:paraId="262BC5D1" w14:textId="5EAE55A3" w:rsidR="00226F8D" w:rsidRDefault="003B04D8"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27.32 </w:t>
            </w:r>
            <w:r w:rsidRPr="005342A5">
              <w:rPr>
                <w:lang w:val="en-US"/>
              </w:rPr>
              <w:t>%</w:t>
            </w:r>
          </w:p>
        </w:tc>
        <w:tc>
          <w:tcPr>
            <w:tcW w:w="1041" w:type="dxa"/>
          </w:tcPr>
          <w:p w14:paraId="7850B4E5" w14:textId="0C2F57EF" w:rsidR="00226F8D" w:rsidRDefault="003B04D8"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7.02 </w:t>
            </w:r>
            <w:r w:rsidRPr="005342A5">
              <w:rPr>
                <w:lang w:val="en-US"/>
              </w:rPr>
              <w:t>%</w:t>
            </w:r>
          </w:p>
        </w:tc>
        <w:tc>
          <w:tcPr>
            <w:tcW w:w="1042" w:type="dxa"/>
          </w:tcPr>
          <w:p w14:paraId="4B38AA74" w14:textId="3817A3E6" w:rsidR="00226F8D" w:rsidRDefault="003B04D8"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2.88 </w:t>
            </w:r>
            <w:r w:rsidRPr="005342A5">
              <w:rPr>
                <w:lang w:val="en-US"/>
              </w:rPr>
              <w:t>%</w:t>
            </w:r>
          </w:p>
        </w:tc>
      </w:tr>
      <w:tr w:rsidR="00226F8D" w:rsidRPr="005342A5" w14:paraId="518D166E" w14:textId="77777777" w:rsidTr="00226F8D">
        <w:trPr>
          <w:trHeight w:val="250"/>
        </w:trPr>
        <w:tc>
          <w:tcPr>
            <w:cnfStyle w:val="001000000000" w:firstRow="0" w:lastRow="0" w:firstColumn="1" w:lastColumn="0" w:oddVBand="0" w:evenVBand="0" w:oddHBand="0" w:evenHBand="0" w:firstRowFirstColumn="0" w:firstRowLastColumn="0" w:lastRowFirstColumn="0" w:lastRowLastColumn="0"/>
            <w:tcW w:w="2370" w:type="dxa"/>
          </w:tcPr>
          <w:p w14:paraId="2A2F8F91" w14:textId="77777777" w:rsidR="00226F8D" w:rsidRPr="005342A5" w:rsidRDefault="00226F8D" w:rsidP="00226F8D">
            <w:pPr>
              <w:jc w:val="center"/>
              <w:rPr>
                <w:lang w:val="en-US"/>
              </w:rPr>
            </w:pPr>
          </w:p>
        </w:tc>
        <w:tc>
          <w:tcPr>
            <w:tcW w:w="1627" w:type="dxa"/>
          </w:tcPr>
          <w:p w14:paraId="7DA37EBF" w14:textId="77777777" w:rsidR="00226F8D"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84" w:type="dxa"/>
          </w:tcPr>
          <w:p w14:paraId="044253C3" w14:textId="2CA26961"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sidRPr="005342A5">
              <w:rPr>
                <w:lang w:val="en-US"/>
              </w:rPr>
              <w:t>&gt; 1</w:t>
            </w:r>
          </w:p>
        </w:tc>
        <w:tc>
          <w:tcPr>
            <w:tcW w:w="1208" w:type="dxa"/>
          </w:tcPr>
          <w:p w14:paraId="7F940261" w14:textId="70377790" w:rsidR="00226F8D" w:rsidRDefault="003B04D8"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1.50 </w:t>
            </w:r>
            <w:r w:rsidRPr="005342A5">
              <w:rPr>
                <w:lang w:val="en-US"/>
              </w:rPr>
              <w:t>%</w:t>
            </w:r>
          </w:p>
        </w:tc>
        <w:tc>
          <w:tcPr>
            <w:tcW w:w="1041" w:type="dxa"/>
          </w:tcPr>
          <w:p w14:paraId="6C2C3953" w14:textId="35E6F292" w:rsidR="00226F8D" w:rsidRDefault="003B04D8"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0.50 </w:t>
            </w:r>
            <w:r w:rsidRPr="005342A5">
              <w:rPr>
                <w:lang w:val="en-US"/>
              </w:rPr>
              <w:t>%</w:t>
            </w:r>
          </w:p>
        </w:tc>
        <w:tc>
          <w:tcPr>
            <w:tcW w:w="1042" w:type="dxa"/>
          </w:tcPr>
          <w:p w14:paraId="77A0092E" w14:textId="01574307" w:rsidR="00226F8D" w:rsidRDefault="003B04D8"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0.75 </w:t>
            </w:r>
            <w:r w:rsidRPr="005342A5">
              <w:rPr>
                <w:lang w:val="en-US"/>
              </w:rPr>
              <w:t>%</w:t>
            </w:r>
          </w:p>
        </w:tc>
      </w:tr>
      <w:tr w:rsidR="00434F27" w:rsidRPr="005342A5" w14:paraId="7ECCBB92" w14:textId="77777777" w:rsidTr="00226F8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370" w:type="dxa"/>
          </w:tcPr>
          <w:p w14:paraId="4B92AA76" w14:textId="672A9316" w:rsidR="00434F27" w:rsidRPr="005342A5" w:rsidRDefault="00434F27" w:rsidP="00434F27">
            <w:pPr>
              <w:jc w:val="center"/>
              <w:rPr>
                <w:lang w:val="en-US"/>
              </w:rPr>
            </w:pPr>
            <w:r>
              <w:rPr>
                <w:lang w:val="en-US"/>
              </w:rPr>
              <w:t xml:space="preserve">More than </w:t>
            </w:r>
            <w:r w:rsidRPr="00226F8D">
              <w:rPr>
                <w:lang w:val="en-US"/>
              </w:rPr>
              <w:t>1</w:t>
            </w:r>
            <w:r w:rsidRPr="00226F8D">
              <w:t>5</w:t>
            </w:r>
            <w:r>
              <w:t xml:space="preserve"> casual</w:t>
            </w:r>
            <w:r w:rsidRPr="00226F8D">
              <w:t xml:space="preserve"> partners</w:t>
            </w:r>
          </w:p>
        </w:tc>
        <w:tc>
          <w:tcPr>
            <w:tcW w:w="1627" w:type="dxa"/>
          </w:tcPr>
          <w:p w14:paraId="54A25785" w14:textId="6F85B38D" w:rsidR="00434F27" w:rsidRDefault="00434F27" w:rsidP="00434F27">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Lower-activity</w:t>
            </w:r>
            <w:r w:rsidRPr="005342A5">
              <w:rPr>
                <w:lang w:val="en-US"/>
              </w:rPr>
              <w:t xml:space="preserve"> </w:t>
            </w:r>
            <w:r>
              <w:rPr>
                <w:lang w:val="en-US"/>
              </w:rPr>
              <w:t>MSM</w:t>
            </w:r>
          </w:p>
        </w:tc>
        <w:tc>
          <w:tcPr>
            <w:tcW w:w="1784" w:type="dxa"/>
          </w:tcPr>
          <w:p w14:paraId="73045D4F" w14:textId="77461251" w:rsidR="00434F27" w:rsidRPr="005342A5" w:rsidRDefault="00434F27" w:rsidP="00434F27">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Steady</w:t>
            </w:r>
            <w:r w:rsidRPr="005342A5">
              <w:rPr>
                <w:lang w:val="en-US"/>
              </w:rPr>
              <w:t xml:space="preserve"> partners</w:t>
            </w:r>
          </w:p>
        </w:tc>
        <w:tc>
          <w:tcPr>
            <w:tcW w:w="1208" w:type="dxa"/>
          </w:tcPr>
          <w:p w14:paraId="097C914B" w14:textId="5639B56B" w:rsidR="00434F27" w:rsidRDefault="00434F27" w:rsidP="00434F27">
            <w:pPr>
              <w:jc w:val="center"/>
              <w:cnfStyle w:val="000000100000" w:firstRow="0" w:lastRow="0" w:firstColumn="0" w:lastColumn="0" w:oddVBand="0" w:evenVBand="0" w:oddHBand="1" w:evenHBand="0" w:firstRowFirstColumn="0" w:firstRowLastColumn="0" w:lastRowFirstColumn="0" w:lastRowLastColumn="0"/>
              <w:rPr>
                <w:lang w:val="en-US"/>
              </w:rPr>
            </w:pPr>
            <w:r w:rsidRPr="005342A5">
              <w:rPr>
                <w:lang w:val="en-US"/>
              </w:rPr>
              <w:t>0</w:t>
            </w:r>
          </w:p>
        </w:tc>
        <w:tc>
          <w:tcPr>
            <w:tcW w:w="1041" w:type="dxa"/>
          </w:tcPr>
          <w:p w14:paraId="0ADEABD0" w14:textId="7EF1BDC8" w:rsidR="00434F27" w:rsidRDefault="00434F27" w:rsidP="00434F27">
            <w:pPr>
              <w:jc w:val="center"/>
              <w:cnfStyle w:val="000000100000" w:firstRow="0" w:lastRow="0" w:firstColumn="0" w:lastColumn="0" w:oddVBand="0" w:evenVBand="0" w:oddHBand="1" w:evenHBand="0" w:firstRowFirstColumn="0" w:firstRowLastColumn="0" w:lastRowFirstColumn="0" w:lastRowLastColumn="0"/>
              <w:rPr>
                <w:lang w:val="en-US"/>
              </w:rPr>
            </w:pPr>
            <w:r w:rsidRPr="005342A5">
              <w:rPr>
                <w:lang w:val="en-US"/>
              </w:rPr>
              <w:t>1</w:t>
            </w:r>
          </w:p>
        </w:tc>
        <w:tc>
          <w:tcPr>
            <w:tcW w:w="1042" w:type="dxa"/>
          </w:tcPr>
          <w:p w14:paraId="1B71FB91" w14:textId="1B0AA1C9" w:rsidR="00434F27" w:rsidRDefault="00434F27" w:rsidP="00434F27">
            <w:pPr>
              <w:jc w:val="center"/>
              <w:cnfStyle w:val="000000100000" w:firstRow="0" w:lastRow="0" w:firstColumn="0" w:lastColumn="0" w:oddVBand="0" w:evenVBand="0" w:oddHBand="1" w:evenHBand="0" w:firstRowFirstColumn="0" w:firstRowLastColumn="0" w:lastRowFirstColumn="0" w:lastRowLastColumn="0"/>
              <w:rPr>
                <w:lang w:val="en-US"/>
              </w:rPr>
            </w:pPr>
            <w:r w:rsidRPr="005342A5">
              <w:rPr>
                <w:lang w:val="en-US"/>
              </w:rPr>
              <w:t>&gt;1</w:t>
            </w:r>
          </w:p>
        </w:tc>
      </w:tr>
      <w:tr w:rsidR="00226F8D" w:rsidRPr="005342A5" w14:paraId="3CD8470A" w14:textId="77777777" w:rsidTr="00226F8D">
        <w:trPr>
          <w:trHeight w:val="250"/>
        </w:trPr>
        <w:tc>
          <w:tcPr>
            <w:cnfStyle w:val="001000000000" w:firstRow="0" w:lastRow="0" w:firstColumn="1" w:lastColumn="0" w:oddVBand="0" w:evenVBand="0" w:oddHBand="0" w:evenHBand="0" w:firstRowFirstColumn="0" w:firstRowLastColumn="0" w:lastRowFirstColumn="0" w:lastRowLastColumn="0"/>
            <w:tcW w:w="2370" w:type="dxa"/>
          </w:tcPr>
          <w:p w14:paraId="299C685B" w14:textId="77777777" w:rsidR="00226F8D" w:rsidRPr="005342A5" w:rsidRDefault="00226F8D" w:rsidP="00226F8D">
            <w:pPr>
              <w:jc w:val="center"/>
              <w:rPr>
                <w:lang w:val="en-US"/>
              </w:rPr>
            </w:pPr>
          </w:p>
        </w:tc>
        <w:tc>
          <w:tcPr>
            <w:tcW w:w="1627" w:type="dxa"/>
          </w:tcPr>
          <w:p w14:paraId="705C311D" w14:textId="77777777" w:rsidR="00226F8D"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84" w:type="dxa"/>
          </w:tcPr>
          <w:p w14:paraId="1BD51F5F" w14:textId="502A28AB" w:rsidR="00226F8D"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sidRPr="005342A5">
              <w:rPr>
                <w:lang w:val="en-US"/>
              </w:rPr>
              <w:t>0</w:t>
            </w:r>
          </w:p>
        </w:tc>
        <w:tc>
          <w:tcPr>
            <w:tcW w:w="1208" w:type="dxa"/>
          </w:tcPr>
          <w:p w14:paraId="5A214079" w14:textId="56E9616A" w:rsidR="00226F8D" w:rsidRPr="005342A5" w:rsidRDefault="003B04D8"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55.44 </w:t>
            </w:r>
            <w:r w:rsidRPr="005342A5">
              <w:rPr>
                <w:lang w:val="en-US"/>
              </w:rPr>
              <w:t>%</w:t>
            </w:r>
          </w:p>
        </w:tc>
        <w:tc>
          <w:tcPr>
            <w:tcW w:w="1041" w:type="dxa"/>
          </w:tcPr>
          <w:p w14:paraId="48B34E4E" w14:textId="6067671A" w:rsidR="00226F8D" w:rsidRPr="005342A5" w:rsidRDefault="003B04D8"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1.88 </w:t>
            </w:r>
            <w:r w:rsidRPr="005342A5">
              <w:rPr>
                <w:lang w:val="en-US"/>
              </w:rPr>
              <w:t>%</w:t>
            </w:r>
          </w:p>
        </w:tc>
        <w:tc>
          <w:tcPr>
            <w:tcW w:w="1042" w:type="dxa"/>
          </w:tcPr>
          <w:p w14:paraId="21CFD2D7" w14:textId="7E980D71" w:rsidR="00226F8D" w:rsidRPr="005342A5" w:rsidRDefault="003B04D8"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0.22 </w:t>
            </w:r>
            <w:r w:rsidRPr="005342A5">
              <w:rPr>
                <w:lang w:val="en-US"/>
              </w:rPr>
              <w:t>%</w:t>
            </w:r>
          </w:p>
        </w:tc>
      </w:tr>
      <w:tr w:rsidR="00226F8D" w:rsidRPr="005342A5" w14:paraId="6DC940CB" w14:textId="77777777" w:rsidTr="00226F8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370" w:type="dxa"/>
          </w:tcPr>
          <w:p w14:paraId="43AE40BC" w14:textId="77777777" w:rsidR="00226F8D" w:rsidRPr="005342A5" w:rsidRDefault="00226F8D" w:rsidP="00226F8D">
            <w:pPr>
              <w:jc w:val="center"/>
              <w:rPr>
                <w:lang w:val="en-US"/>
              </w:rPr>
            </w:pPr>
          </w:p>
        </w:tc>
        <w:tc>
          <w:tcPr>
            <w:tcW w:w="1627" w:type="dxa"/>
          </w:tcPr>
          <w:p w14:paraId="0EF63368" w14:textId="77777777" w:rsidR="00226F8D"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784" w:type="dxa"/>
          </w:tcPr>
          <w:p w14:paraId="161EDEB9" w14:textId="5CC7AB0C"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sidRPr="005342A5">
              <w:rPr>
                <w:lang w:val="en-US"/>
              </w:rPr>
              <w:t>1</w:t>
            </w:r>
          </w:p>
        </w:tc>
        <w:tc>
          <w:tcPr>
            <w:tcW w:w="1208" w:type="dxa"/>
          </w:tcPr>
          <w:p w14:paraId="39530CB0" w14:textId="193DE2C9" w:rsidR="00226F8D" w:rsidRPr="00D9246A" w:rsidRDefault="003B04D8"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37.76 </w:t>
            </w:r>
            <w:r w:rsidRPr="005342A5">
              <w:rPr>
                <w:lang w:val="en-US"/>
              </w:rPr>
              <w:t>%</w:t>
            </w:r>
          </w:p>
        </w:tc>
        <w:tc>
          <w:tcPr>
            <w:tcW w:w="1041" w:type="dxa"/>
          </w:tcPr>
          <w:p w14:paraId="421A9F98" w14:textId="3091DBEB" w:rsidR="00226F8D" w:rsidRDefault="003B04D8"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2.38 </w:t>
            </w:r>
            <w:r w:rsidRPr="005342A5">
              <w:rPr>
                <w:lang w:val="en-US"/>
              </w:rPr>
              <w:t>%</w:t>
            </w:r>
          </w:p>
        </w:tc>
        <w:tc>
          <w:tcPr>
            <w:tcW w:w="1042" w:type="dxa"/>
          </w:tcPr>
          <w:p w14:paraId="12695407" w14:textId="57BF6E4C" w:rsidR="00226F8D" w:rsidRDefault="003B04D8"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0.72 </w:t>
            </w:r>
            <w:r w:rsidRPr="005342A5">
              <w:rPr>
                <w:lang w:val="en-US"/>
              </w:rPr>
              <w:t>%</w:t>
            </w:r>
          </w:p>
        </w:tc>
      </w:tr>
      <w:tr w:rsidR="00226F8D" w:rsidRPr="005342A5" w14:paraId="124E279B" w14:textId="77777777" w:rsidTr="00226F8D">
        <w:trPr>
          <w:trHeight w:val="250"/>
        </w:trPr>
        <w:tc>
          <w:tcPr>
            <w:cnfStyle w:val="001000000000" w:firstRow="0" w:lastRow="0" w:firstColumn="1" w:lastColumn="0" w:oddVBand="0" w:evenVBand="0" w:oddHBand="0" w:evenHBand="0" w:firstRowFirstColumn="0" w:firstRowLastColumn="0" w:lastRowFirstColumn="0" w:lastRowLastColumn="0"/>
            <w:tcW w:w="2370" w:type="dxa"/>
          </w:tcPr>
          <w:p w14:paraId="21FC851D" w14:textId="77777777" w:rsidR="00226F8D" w:rsidRPr="005342A5" w:rsidRDefault="00226F8D" w:rsidP="00226F8D">
            <w:pPr>
              <w:jc w:val="center"/>
              <w:rPr>
                <w:lang w:val="en-US"/>
              </w:rPr>
            </w:pPr>
          </w:p>
        </w:tc>
        <w:tc>
          <w:tcPr>
            <w:tcW w:w="1627" w:type="dxa"/>
          </w:tcPr>
          <w:p w14:paraId="6F8B5F8E" w14:textId="77777777" w:rsidR="00226F8D"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84" w:type="dxa"/>
          </w:tcPr>
          <w:p w14:paraId="50DDC95D" w14:textId="5B5212CA"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sidRPr="005342A5">
              <w:rPr>
                <w:lang w:val="en-US"/>
              </w:rPr>
              <w:t>&gt; 1</w:t>
            </w:r>
          </w:p>
        </w:tc>
        <w:tc>
          <w:tcPr>
            <w:tcW w:w="1208" w:type="dxa"/>
          </w:tcPr>
          <w:p w14:paraId="6782DB82" w14:textId="5E7BA194" w:rsidR="00226F8D" w:rsidRDefault="003B04D8"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1.38 </w:t>
            </w:r>
            <w:r w:rsidRPr="005342A5">
              <w:rPr>
                <w:lang w:val="en-US"/>
              </w:rPr>
              <w:t>%</w:t>
            </w:r>
          </w:p>
        </w:tc>
        <w:tc>
          <w:tcPr>
            <w:tcW w:w="1041" w:type="dxa"/>
          </w:tcPr>
          <w:p w14:paraId="222C0B8E" w14:textId="70B71B85" w:rsidR="00226F8D" w:rsidRDefault="003B04D8"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0.06 </w:t>
            </w:r>
            <w:r w:rsidRPr="005342A5">
              <w:rPr>
                <w:lang w:val="en-US"/>
              </w:rPr>
              <w:t>%</w:t>
            </w:r>
          </w:p>
        </w:tc>
        <w:tc>
          <w:tcPr>
            <w:tcW w:w="1042" w:type="dxa"/>
          </w:tcPr>
          <w:p w14:paraId="0EC40DB2" w14:textId="4A122724" w:rsidR="00226F8D" w:rsidRDefault="003B04D8"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0.17 </w:t>
            </w:r>
            <w:r w:rsidRPr="005342A5">
              <w:rPr>
                <w:lang w:val="en-US"/>
              </w:rPr>
              <w:t>%</w:t>
            </w:r>
          </w:p>
        </w:tc>
      </w:tr>
      <w:tr w:rsidR="00226F8D" w:rsidRPr="005342A5" w14:paraId="34A134FC" w14:textId="77777777" w:rsidTr="00226F8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370" w:type="dxa"/>
          </w:tcPr>
          <w:p w14:paraId="36D2F414" w14:textId="77777777" w:rsidR="00226F8D" w:rsidRPr="005342A5" w:rsidRDefault="00226F8D" w:rsidP="00226F8D">
            <w:pPr>
              <w:jc w:val="center"/>
              <w:rPr>
                <w:lang w:val="en-US"/>
              </w:rPr>
            </w:pPr>
          </w:p>
        </w:tc>
        <w:tc>
          <w:tcPr>
            <w:tcW w:w="1627" w:type="dxa"/>
          </w:tcPr>
          <w:p w14:paraId="55EA82B9" w14:textId="277A7B78" w:rsidR="00226F8D"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Higher-activity</w:t>
            </w:r>
            <w:r w:rsidRPr="005342A5">
              <w:rPr>
                <w:lang w:val="en-US"/>
              </w:rPr>
              <w:t xml:space="preserve"> </w:t>
            </w:r>
            <w:r>
              <w:rPr>
                <w:lang w:val="en-US"/>
              </w:rPr>
              <w:t>MSM</w:t>
            </w:r>
          </w:p>
        </w:tc>
        <w:tc>
          <w:tcPr>
            <w:tcW w:w="1784" w:type="dxa"/>
          </w:tcPr>
          <w:p w14:paraId="20A5DCC9" w14:textId="20DF6EDB"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Steady</w:t>
            </w:r>
            <w:r w:rsidRPr="005342A5">
              <w:rPr>
                <w:lang w:val="en-US"/>
              </w:rPr>
              <w:t xml:space="preserve"> partners</w:t>
            </w:r>
          </w:p>
        </w:tc>
        <w:tc>
          <w:tcPr>
            <w:tcW w:w="1208" w:type="dxa"/>
          </w:tcPr>
          <w:p w14:paraId="1613BBE0" w14:textId="77777777" w:rsidR="00226F8D"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041" w:type="dxa"/>
          </w:tcPr>
          <w:p w14:paraId="0E1B4457" w14:textId="77777777" w:rsidR="00226F8D"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042" w:type="dxa"/>
          </w:tcPr>
          <w:p w14:paraId="4719676A" w14:textId="77777777" w:rsidR="00226F8D"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p>
        </w:tc>
      </w:tr>
      <w:tr w:rsidR="00226F8D" w:rsidRPr="005342A5" w14:paraId="4745D6BC" w14:textId="77777777" w:rsidTr="00226F8D">
        <w:trPr>
          <w:trHeight w:val="250"/>
        </w:trPr>
        <w:tc>
          <w:tcPr>
            <w:cnfStyle w:val="001000000000" w:firstRow="0" w:lastRow="0" w:firstColumn="1" w:lastColumn="0" w:oddVBand="0" w:evenVBand="0" w:oddHBand="0" w:evenHBand="0" w:firstRowFirstColumn="0" w:firstRowLastColumn="0" w:lastRowFirstColumn="0" w:lastRowLastColumn="0"/>
            <w:tcW w:w="2370" w:type="dxa"/>
          </w:tcPr>
          <w:p w14:paraId="1301C1A9" w14:textId="77777777" w:rsidR="00226F8D" w:rsidRPr="005342A5" w:rsidRDefault="00226F8D" w:rsidP="00226F8D">
            <w:pPr>
              <w:jc w:val="center"/>
              <w:rPr>
                <w:lang w:val="en-US"/>
              </w:rPr>
            </w:pPr>
          </w:p>
        </w:tc>
        <w:tc>
          <w:tcPr>
            <w:tcW w:w="1627" w:type="dxa"/>
          </w:tcPr>
          <w:p w14:paraId="456F3075" w14:textId="77777777" w:rsidR="00226F8D"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84" w:type="dxa"/>
          </w:tcPr>
          <w:p w14:paraId="55A2DDF5" w14:textId="5D4BD2F8" w:rsidR="00226F8D"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sidRPr="005342A5">
              <w:rPr>
                <w:lang w:val="en-US"/>
              </w:rPr>
              <w:t>0</w:t>
            </w:r>
          </w:p>
        </w:tc>
        <w:tc>
          <w:tcPr>
            <w:tcW w:w="1208" w:type="dxa"/>
          </w:tcPr>
          <w:p w14:paraId="6429D798" w14:textId="41A0357C" w:rsidR="00226F8D" w:rsidRDefault="003B04D8"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52.11 </w:t>
            </w:r>
            <w:r w:rsidRPr="005342A5">
              <w:rPr>
                <w:lang w:val="en-US"/>
              </w:rPr>
              <w:t>%</w:t>
            </w:r>
          </w:p>
        </w:tc>
        <w:tc>
          <w:tcPr>
            <w:tcW w:w="1041" w:type="dxa"/>
          </w:tcPr>
          <w:p w14:paraId="3440C905" w14:textId="297F7918" w:rsidR="00226F8D" w:rsidRDefault="003B04D8"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7.91 </w:t>
            </w:r>
            <w:r w:rsidRPr="005342A5">
              <w:rPr>
                <w:lang w:val="en-US"/>
              </w:rPr>
              <w:t>%</w:t>
            </w:r>
          </w:p>
        </w:tc>
        <w:tc>
          <w:tcPr>
            <w:tcW w:w="1042" w:type="dxa"/>
          </w:tcPr>
          <w:p w14:paraId="346CA6C0" w14:textId="0085AC30" w:rsidR="00226F8D" w:rsidRDefault="003B04D8"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2.86 </w:t>
            </w:r>
            <w:r w:rsidRPr="005342A5">
              <w:rPr>
                <w:lang w:val="en-US"/>
              </w:rPr>
              <w:t>%</w:t>
            </w:r>
          </w:p>
        </w:tc>
      </w:tr>
      <w:tr w:rsidR="00226F8D" w:rsidRPr="005342A5" w14:paraId="5BCF7F37" w14:textId="77777777" w:rsidTr="00226F8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370" w:type="dxa"/>
          </w:tcPr>
          <w:p w14:paraId="5762CD68" w14:textId="77777777" w:rsidR="00226F8D" w:rsidRPr="005342A5" w:rsidRDefault="00226F8D" w:rsidP="00226F8D">
            <w:pPr>
              <w:jc w:val="center"/>
              <w:rPr>
                <w:lang w:val="en-US"/>
              </w:rPr>
            </w:pPr>
          </w:p>
        </w:tc>
        <w:tc>
          <w:tcPr>
            <w:tcW w:w="1627" w:type="dxa"/>
          </w:tcPr>
          <w:p w14:paraId="046EFA3B" w14:textId="77777777" w:rsidR="00226F8D"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784" w:type="dxa"/>
          </w:tcPr>
          <w:p w14:paraId="30826F0B" w14:textId="42505412" w:rsidR="00226F8D" w:rsidRPr="005342A5" w:rsidRDefault="00226F8D" w:rsidP="00226F8D">
            <w:pPr>
              <w:jc w:val="center"/>
              <w:cnfStyle w:val="000000100000" w:firstRow="0" w:lastRow="0" w:firstColumn="0" w:lastColumn="0" w:oddVBand="0" w:evenVBand="0" w:oddHBand="1" w:evenHBand="0" w:firstRowFirstColumn="0" w:firstRowLastColumn="0" w:lastRowFirstColumn="0" w:lastRowLastColumn="0"/>
              <w:rPr>
                <w:lang w:val="en-US"/>
              </w:rPr>
            </w:pPr>
            <w:r w:rsidRPr="005342A5">
              <w:rPr>
                <w:lang w:val="en-US"/>
              </w:rPr>
              <w:t>1</w:t>
            </w:r>
          </w:p>
        </w:tc>
        <w:tc>
          <w:tcPr>
            <w:tcW w:w="1208" w:type="dxa"/>
          </w:tcPr>
          <w:p w14:paraId="16EAC906" w14:textId="11925958" w:rsidR="00226F8D" w:rsidRDefault="003B04D8"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24.68 </w:t>
            </w:r>
            <w:r w:rsidRPr="005342A5">
              <w:rPr>
                <w:lang w:val="en-US"/>
              </w:rPr>
              <w:t>%</w:t>
            </w:r>
          </w:p>
        </w:tc>
        <w:tc>
          <w:tcPr>
            <w:tcW w:w="1041" w:type="dxa"/>
          </w:tcPr>
          <w:p w14:paraId="482E9E5B" w14:textId="58530DCA" w:rsidR="00226F8D" w:rsidRDefault="003B04D8"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7.23 </w:t>
            </w:r>
            <w:r w:rsidRPr="005342A5">
              <w:rPr>
                <w:lang w:val="en-US"/>
              </w:rPr>
              <w:t>%</w:t>
            </w:r>
          </w:p>
        </w:tc>
        <w:tc>
          <w:tcPr>
            <w:tcW w:w="1042" w:type="dxa"/>
          </w:tcPr>
          <w:p w14:paraId="3F7DE539" w14:textId="098AA981" w:rsidR="00226F8D" w:rsidRDefault="003B04D8" w:rsidP="00226F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2.59 </w:t>
            </w:r>
            <w:r w:rsidRPr="005342A5">
              <w:rPr>
                <w:lang w:val="en-US"/>
              </w:rPr>
              <w:t>%</w:t>
            </w:r>
          </w:p>
        </w:tc>
      </w:tr>
      <w:tr w:rsidR="00226F8D" w:rsidRPr="005342A5" w14:paraId="75A8F793" w14:textId="77777777" w:rsidTr="00226F8D">
        <w:trPr>
          <w:trHeight w:val="250"/>
        </w:trPr>
        <w:tc>
          <w:tcPr>
            <w:cnfStyle w:val="001000000000" w:firstRow="0" w:lastRow="0" w:firstColumn="1" w:lastColumn="0" w:oddVBand="0" w:evenVBand="0" w:oddHBand="0" w:evenHBand="0" w:firstRowFirstColumn="0" w:firstRowLastColumn="0" w:lastRowFirstColumn="0" w:lastRowLastColumn="0"/>
            <w:tcW w:w="2370" w:type="dxa"/>
          </w:tcPr>
          <w:p w14:paraId="5CA8EC0A" w14:textId="77777777" w:rsidR="00226F8D" w:rsidRPr="005342A5" w:rsidRDefault="00226F8D" w:rsidP="00226F8D">
            <w:pPr>
              <w:jc w:val="center"/>
              <w:rPr>
                <w:lang w:val="en-US"/>
              </w:rPr>
            </w:pPr>
          </w:p>
        </w:tc>
        <w:tc>
          <w:tcPr>
            <w:tcW w:w="1627" w:type="dxa"/>
          </w:tcPr>
          <w:p w14:paraId="5774159F" w14:textId="77777777" w:rsidR="00226F8D"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84" w:type="dxa"/>
          </w:tcPr>
          <w:p w14:paraId="1B6E545F" w14:textId="6E2EC526" w:rsidR="00226F8D" w:rsidRPr="005342A5" w:rsidRDefault="00226F8D" w:rsidP="00226F8D">
            <w:pPr>
              <w:jc w:val="center"/>
              <w:cnfStyle w:val="000000000000" w:firstRow="0" w:lastRow="0" w:firstColumn="0" w:lastColumn="0" w:oddVBand="0" w:evenVBand="0" w:oddHBand="0" w:evenHBand="0" w:firstRowFirstColumn="0" w:firstRowLastColumn="0" w:lastRowFirstColumn="0" w:lastRowLastColumn="0"/>
              <w:rPr>
                <w:lang w:val="en-US"/>
              </w:rPr>
            </w:pPr>
            <w:r w:rsidRPr="005342A5">
              <w:rPr>
                <w:lang w:val="en-US"/>
              </w:rPr>
              <w:t>&gt; 1</w:t>
            </w:r>
          </w:p>
        </w:tc>
        <w:tc>
          <w:tcPr>
            <w:tcW w:w="1208" w:type="dxa"/>
          </w:tcPr>
          <w:p w14:paraId="72A791A8" w14:textId="6239633A" w:rsidR="00226F8D" w:rsidRDefault="003B04D8"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1.50 </w:t>
            </w:r>
            <w:r w:rsidRPr="005342A5">
              <w:rPr>
                <w:lang w:val="en-US"/>
              </w:rPr>
              <w:t>%</w:t>
            </w:r>
          </w:p>
        </w:tc>
        <w:tc>
          <w:tcPr>
            <w:tcW w:w="1041" w:type="dxa"/>
          </w:tcPr>
          <w:p w14:paraId="218BCF5F" w14:textId="0E560431" w:rsidR="00226F8D" w:rsidRDefault="003B04D8"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0.55 </w:t>
            </w:r>
            <w:r w:rsidRPr="005342A5">
              <w:rPr>
                <w:lang w:val="en-US"/>
              </w:rPr>
              <w:t>%</w:t>
            </w:r>
          </w:p>
        </w:tc>
        <w:tc>
          <w:tcPr>
            <w:tcW w:w="1042" w:type="dxa"/>
          </w:tcPr>
          <w:p w14:paraId="0B9F3460" w14:textId="414AB4BC" w:rsidR="00226F8D" w:rsidRDefault="003B04D8" w:rsidP="00226F8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0.55 </w:t>
            </w:r>
            <w:r w:rsidRPr="005342A5">
              <w:rPr>
                <w:lang w:val="en-US"/>
              </w:rPr>
              <w:t>%</w:t>
            </w:r>
          </w:p>
        </w:tc>
      </w:tr>
    </w:tbl>
    <w:p w14:paraId="056D99A7" w14:textId="77777777" w:rsidR="006B5C71" w:rsidRDefault="006B5C71" w:rsidP="006B5C71">
      <w:pPr>
        <w:rPr>
          <w:lang w:val="en-US"/>
        </w:rPr>
      </w:pPr>
    </w:p>
    <w:p w14:paraId="1C064556" w14:textId="77777777" w:rsidR="00C10110" w:rsidRDefault="00C10110" w:rsidP="00C10110">
      <w:pPr>
        <w:pStyle w:val="Caption"/>
        <w:rPr>
          <w:lang w:val="en-US"/>
        </w:rPr>
      </w:pPr>
    </w:p>
    <w:p w14:paraId="1FA5CE7D" w14:textId="51019667" w:rsidR="00C10110" w:rsidRPr="005342A5" w:rsidRDefault="00C10110" w:rsidP="00C10110">
      <w:pPr>
        <w:pStyle w:val="Caption"/>
        <w:rPr>
          <w:lang w:val="en-US"/>
        </w:rPr>
      </w:pPr>
      <w:r w:rsidRPr="005342A5">
        <w:rPr>
          <w:lang w:val="en-US"/>
        </w:rPr>
        <w:t>Table S</w:t>
      </w:r>
      <w:r w:rsidRPr="005342A5">
        <w:rPr>
          <w:lang w:val="en-US"/>
        </w:rPr>
        <w:fldChar w:fldCharType="begin"/>
      </w:r>
      <w:r w:rsidRPr="005342A5">
        <w:rPr>
          <w:lang w:val="en-US"/>
        </w:rPr>
        <w:instrText xml:space="preserve"> SEQ Table \* ARABIC </w:instrText>
      </w:r>
      <w:r w:rsidRPr="005342A5">
        <w:rPr>
          <w:lang w:val="en-US"/>
        </w:rPr>
        <w:fldChar w:fldCharType="separate"/>
      </w:r>
      <w:r>
        <w:rPr>
          <w:noProof/>
          <w:lang w:val="en-US"/>
        </w:rPr>
        <w:t>3</w:t>
      </w:r>
      <w:r w:rsidRPr="005342A5">
        <w:rPr>
          <w:lang w:val="en-US"/>
        </w:rPr>
        <w:fldChar w:fldCharType="end"/>
      </w:r>
      <w:r w:rsidRPr="005342A5">
        <w:rPr>
          <w:lang w:val="en-US"/>
        </w:rPr>
        <w:t xml:space="preserve">: Partnership </w:t>
      </w:r>
      <w:r>
        <w:rPr>
          <w:lang w:val="en-US"/>
        </w:rPr>
        <w:t xml:space="preserve">distribution among persons with an one-off partner </w:t>
      </w:r>
      <w:r w:rsidRPr="005342A5">
        <w:rPr>
          <w:lang w:val="en-US"/>
        </w:rPr>
        <w:t>stratified by partnership group</w:t>
      </w:r>
    </w:p>
    <w:tbl>
      <w:tblPr>
        <w:tblStyle w:val="ListTable2"/>
        <w:tblW w:w="9493" w:type="dxa"/>
        <w:tblLook w:val="04A0" w:firstRow="1" w:lastRow="0" w:firstColumn="1" w:lastColumn="0" w:noHBand="0" w:noVBand="1"/>
      </w:tblPr>
      <w:tblGrid>
        <w:gridCol w:w="2351"/>
        <w:gridCol w:w="1613"/>
        <w:gridCol w:w="1769"/>
        <w:gridCol w:w="1197"/>
        <w:gridCol w:w="1055"/>
        <w:gridCol w:w="1508"/>
      </w:tblGrid>
      <w:tr w:rsidR="00837744" w:rsidRPr="005342A5" w14:paraId="0918C942" w14:textId="775971CF" w:rsidTr="00663D8D">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351" w:type="dxa"/>
          </w:tcPr>
          <w:p w14:paraId="4D69A3F4" w14:textId="6CC91ED3" w:rsidR="00837744" w:rsidRPr="005342A5" w:rsidRDefault="00837744" w:rsidP="006411E3">
            <w:pPr>
              <w:jc w:val="center"/>
              <w:rPr>
                <w:lang w:val="en-US"/>
              </w:rPr>
            </w:pPr>
            <w:proofErr w:type="spellStart"/>
            <w:r>
              <w:rPr>
                <w:lang w:val="en-US"/>
              </w:rPr>
              <w:t>PreP</w:t>
            </w:r>
            <w:proofErr w:type="spellEnd"/>
            <w:r>
              <w:rPr>
                <w:lang w:val="en-US"/>
              </w:rPr>
              <w:t xml:space="preserve"> eligibility</w:t>
            </w:r>
          </w:p>
        </w:tc>
        <w:tc>
          <w:tcPr>
            <w:tcW w:w="1613" w:type="dxa"/>
          </w:tcPr>
          <w:p w14:paraId="7BA9B880" w14:textId="5EB394F0" w:rsidR="00837744" w:rsidRDefault="00837744" w:rsidP="006411E3">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Lower-activity</w:t>
            </w:r>
            <w:r w:rsidRPr="005342A5">
              <w:rPr>
                <w:lang w:val="en-US"/>
              </w:rPr>
              <w:t xml:space="preserve"> </w:t>
            </w:r>
            <w:r>
              <w:rPr>
                <w:lang w:val="en-US"/>
              </w:rPr>
              <w:t>MSM</w:t>
            </w:r>
          </w:p>
        </w:tc>
        <w:tc>
          <w:tcPr>
            <w:tcW w:w="1769" w:type="dxa"/>
          </w:tcPr>
          <w:p w14:paraId="68C397F6" w14:textId="4D13622A" w:rsidR="00837744" w:rsidRPr="005342A5" w:rsidRDefault="00837744" w:rsidP="006411E3">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Steady</w:t>
            </w:r>
            <w:r w:rsidRPr="005342A5">
              <w:rPr>
                <w:lang w:val="en-US"/>
              </w:rPr>
              <w:t xml:space="preserve"> partners</w:t>
            </w:r>
          </w:p>
        </w:tc>
        <w:tc>
          <w:tcPr>
            <w:tcW w:w="1197" w:type="dxa"/>
          </w:tcPr>
          <w:p w14:paraId="32A9ADC8" w14:textId="77777777" w:rsidR="00837744" w:rsidRPr="005342A5" w:rsidRDefault="00837744" w:rsidP="006411E3">
            <w:pPr>
              <w:jc w:val="center"/>
              <w:cnfStyle w:val="100000000000" w:firstRow="1" w:lastRow="0" w:firstColumn="0" w:lastColumn="0" w:oddVBand="0" w:evenVBand="0" w:oddHBand="0" w:evenHBand="0" w:firstRowFirstColumn="0" w:firstRowLastColumn="0" w:lastRowFirstColumn="0" w:lastRowLastColumn="0"/>
              <w:rPr>
                <w:lang w:val="en-US"/>
              </w:rPr>
            </w:pPr>
            <w:r w:rsidRPr="005342A5">
              <w:rPr>
                <w:lang w:val="en-US"/>
              </w:rPr>
              <w:t>0</w:t>
            </w:r>
          </w:p>
        </w:tc>
        <w:tc>
          <w:tcPr>
            <w:tcW w:w="1055" w:type="dxa"/>
          </w:tcPr>
          <w:p w14:paraId="327C9D56" w14:textId="5FBAA4C1" w:rsidR="00837744" w:rsidRPr="005342A5" w:rsidRDefault="00837744" w:rsidP="006411E3">
            <w:pPr>
              <w:jc w:val="center"/>
              <w:cnfStyle w:val="100000000000" w:firstRow="1" w:lastRow="0" w:firstColumn="0" w:lastColumn="0" w:oddVBand="0" w:evenVBand="0" w:oddHBand="0" w:evenHBand="0" w:firstRowFirstColumn="0" w:firstRowLastColumn="0" w:lastRowFirstColumn="0" w:lastRowLastColumn="0"/>
              <w:rPr>
                <w:lang w:val="en-US"/>
              </w:rPr>
            </w:pPr>
            <w:r w:rsidRPr="005342A5">
              <w:rPr>
                <w:lang w:val="en-US"/>
              </w:rPr>
              <w:t>1</w:t>
            </w:r>
          </w:p>
        </w:tc>
        <w:tc>
          <w:tcPr>
            <w:tcW w:w="1508" w:type="dxa"/>
          </w:tcPr>
          <w:p w14:paraId="3D701972" w14:textId="09CB2708" w:rsidR="00837744" w:rsidRDefault="00837744" w:rsidP="006411E3">
            <w:pPr>
              <w:jc w:val="center"/>
              <w:cnfStyle w:val="100000000000" w:firstRow="1"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&gt; 1</w:t>
            </w:r>
          </w:p>
        </w:tc>
      </w:tr>
      <w:tr w:rsidR="00837744" w:rsidRPr="005342A5" w14:paraId="62B71F81" w14:textId="108CFF03" w:rsidTr="00663D8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351" w:type="dxa"/>
          </w:tcPr>
          <w:p w14:paraId="16ED96C3" w14:textId="77777777" w:rsidR="00837744" w:rsidRPr="005342A5" w:rsidRDefault="00837744" w:rsidP="00837744">
            <w:pPr>
              <w:jc w:val="center"/>
              <w:rPr>
                <w:lang w:val="en-US"/>
              </w:rPr>
            </w:pPr>
          </w:p>
        </w:tc>
        <w:tc>
          <w:tcPr>
            <w:tcW w:w="1613" w:type="dxa"/>
          </w:tcPr>
          <w:p w14:paraId="68A3A646" w14:textId="77777777" w:rsidR="00837744" w:rsidRPr="005342A5" w:rsidRDefault="00837744" w:rsidP="00837744">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769" w:type="dxa"/>
          </w:tcPr>
          <w:p w14:paraId="33BD69A4" w14:textId="164F6724" w:rsidR="00837744" w:rsidRPr="005342A5" w:rsidRDefault="00837744" w:rsidP="00837744">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Steady</w:t>
            </w:r>
            <w:r w:rsidRPr="005342A5">
              <w:rPr>
                <w:lang w:val="en-US"/>
              </w:rPr>
              <w:t xml:space="preserve"> partners</w:t>
            </w:r>
          </w:p>
        </w:tc>
        <w:tc>
          <w:tcPr>
            <w:tcW w:w="1197" w:type="dxa"/>
          </w:tcPr>
          <w:p w14:paraId="048A9844" w14:textId="6B64DBB6" w:rsidR="00837744" w:rsidRPr="005342A5" w:rsidRDefault="00237BB1" w:rsidP="00837744">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3.38 %</w:t>
            </w:r>
          </w:p>
        </w:tc>
        <w:tc>
          <w:tcPr>
            <w:tcW w:w="1055" w:type="dxa"/>
          </w:tcPr>
          <w:p w14:paraId="54001A74" w14:textId="1FFD7C8A" w:rsidR="00837744" w:rsidRPr="005342A5" w:rsidRDefault="00237BB1" w:rsidP="00837744">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5.98 %</w:t>
            </w:r>
          </w:p>
        </w:tc>
        <w:tc>
          <w:tcPr>
            <w:tcW w:w="1508" w:type="dxa"/>
          </w:tcPr>
          <w:p w14:paraId="0C1FCC57" w14:textId="4F41863F" w:rsidR="00837744" w:rsidRDefault="00237BB1" w:rsidP="00837744">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0.28 %</w:t>
            </w:r>
          </w:p>
        </w:tc>
      </w:tr>
      <w:tr w:rsidR="00837744" w:rsidRPr="005342A5" w14:paraId="0788A802" w14:textId="3AEEEC90" w:rsidTr="00663D8D">
        <w:trPr>
          <w:trHeight w:val="259"/>
        </w:trPr>
        <w:tc>
          <w:tcPr>
            <w:cnfStyle w:val="001000000000" w:firstRow="0" w:lastRow="0" w:firstColumn="1" w:lastColumn="0" w:oddVBand="0" w:evenVBand="0" w:oddHBand="0" w:evenHBand="0" w:firstRowFirstColumn="0" w:firstRowLastColumn="0" w:lastRowFirstColumn="0" w:lastRowLastColumn="0"/>
            <w:tcW w:w="2351" w:type="dxa"/>
          </w:tcPr>
          <w:p w14:paraId="264083D6" w14:textId="77777777" w:rsidR="00837744" w:rsidRPr="005342A5" w:rsidRDefault="00837744" w:rsidP="00837744">
            <w:pPr>
              <w:jc w:val="center"/>
              <w:rPr>
                <w:lang w:val="en-US"/>
              </w:rPr>
            </w:pPr>
          </w:p>
        </w:tc>
        <w:tc>
          <w:tcPr>
            <w:tcW w:w="1613" w:type="dxa"/>
          </w:tcPr>
          <w:p w14:paraId="3EAF2C6B" w14:textId="77777777" w:rsidR="00837744" w:rsidRDefault="00837744" w:rsidP="00837744">
            <w:pPr>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769" w:type="dxa"/>
          </w:tcPr>
          <w:p w14:paraId="140E78C5" w14:textId="72442C57" w:rsidR="00837744" w:rsidRPr="005342A5" w:rsidRDefault="00837744" w:rsidP="00837744">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Persistent casual</w:t>
            </w:r>
          </w:p>
        </w:tc>
        <w:tc>
          <w:tcPr>
            <w:tcW w:w="1197" w:type="dxa"/>
          </w:tcPr>
          <w:p w14:paraId="0A3BD0BF" w14:textId="2C536D03" w:rsidR="00837744" w:rsidRPr="005342A5" w:rsidRDefault="00102F79" w:rsidP="00837744">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7.97 %</w:t>
            </w:r>
          </w:p>
        </w:tc>
        <w:tc>
          <w:tcPr>
            <w:tcW w:w="1055" w:type="dxa"/>
          </w:tcPr>
          <w:p w14:paraId="33C3E530" w14:textId="20A2A8FF" w:rsidR="00837744" w:rsidRPr="005342A5" w:rsidRDefault="00102F79" w:rsidP="00837744">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1.83 %</w:t>
            </w:r>
          </w:p>
        </w:tc>
        <w:tc>
          <w:tcPr>
            <w:tcW w:w="1508" w:type="dxa"/>
          </w:tcPr>
          <w:p w14:paraId="7AF62AAC" w14:textId="1934F9B2" w:rsidR="00837744" w:rsidRDefault="00102F79" w:rsidP="00837744">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0.00 %</w:t>
            </w:r>
          </w:p>
        </w:tc>
      </w:tr>
      <w:tr w:rsidR="00837744" w:rsidRPr="005342A5" w14:paraId="5559412A" w14:textId="50D00AEF" w:rsidTr="00663D8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351" w:type="dxa"/>
          </w:tcPr>
          <w:p w14:paraId="73C511D4" w14:textId="2C46B3D0" w:rsidR="00837744" w:rsidRPr="005342A5" w:rsidRDefault="00837744" w:rsidP="00837744">
            <w:pPr>
              <w:jc w:val="center"/>
              <w:rPr>
                <w:lang w:val="en-US"/>
              </w:rPr>
            </w:pPr>
          </w:p>
        </w:tc>
        <w:tc>
          <w:tcPr>
            <w:tcW w:w="1613" w:type="dxa"/>
          </w:tcPr>
          <w:p w14:paraId="1CC7A2D6" w14:textId="2A65AB0F" w:rsidR="00837744" w:rsidRDefault="00837744" w:rsidP="00837744">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Higher-activity</w:t>
            </w:r>
            <w:r w:rsidRPr="005342A5">
              <w:rPr>
                <w:lang w:val="en-US"/>
              </w:rPr>
              <w:t xml:space="preserve"> </w:t>
            </w:r>
            <w:r>
              <w:rPr>
                <w:lang w:val="en-US"/>
              </w:rPr>
              <w:t>MSM</w:t>
            </w:r>
          </w:p>
        </w:tc>
        <w:tc>
          <w:tcPr>
            <w:tcW w:w="1769" w:type="dxa"/>
          </w:tcPr>
          <w:p w14:paraId="6A49F3CA" w14:textId="6147DBC9" w:rsidR="00837744" w:rsidRPr="005342A5" w:rsidRDefault="00837744" w:rsidP="00837744">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Steady</w:t>
            </w:r>
            <w:r w:rsidRPr="005342A5">
              <w:rPr>
                <w:lang w:val="en-US"/>
              </w:rPr>
              <w:t xml:space="preserve"> partners</w:t>
            </w:r>
          </w:p>
        </w:tc>
        <w:tc>
          <w:tcPr>
            <w:tcW w:w="1197" w:type="dxa"/>
          </w:tcPr>
          <w:p w14:paraId="321A7D4D" w14:textId="192F861A" w:rsidR="00837744" w:rsidRPr="005342A5" w:rsidRDefault="00102F79" w:rsidP="00837744">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6.58 %</w:t>
            </w:r>
          </w:p>
        </w:tc>
        <w:tc>
          <w:tcPr>
            <w:tcW w:w="1055" w:type="dxa"/>
          </w:tcPr>
          <w:p w14:paraId="3D45C28C" w14:textId="0B692C74" w:rsidR="00837744" w:rsidRPr="005342A5" w:rsidRDefault="00102F79" w:rsidP="00837744">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8.05 %</w:t>
            </w:r>
          </w:p>
        </w:tc>
        <w:tc>
          <w:tcPr>
            <w:tcW w:w="1508" w:type="dxa"/>
          </w:tcPr>
          <w:p w14:paraId="584055CE" w14:textId="52AE3F03" w:rsidR="00837744" w:rsidRPr="005342A5" w:rsidRDefault="00102F79" w:rsidP="00837744">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0.21 %</w:t>
            </w:r>
          </w:p>
        </w:tc>
      </w:tr>
      <w:tr w:rsidR="00837744" w:rsidRPr="005342A5" w14:paraId="365918EF" w14:textId="372897A7" w:rsidTr="00663D8D">
        <w:trPr>
          <w:trHeight w:val="259"/>
        </w:trPr>
        <w:tc>
          <w:tcPr>
            <w:cnfStyle w:val="001000000000" w:firstRow="0" w:lastRow="0" w:firstColumn="1" w:lastColumn="0" w:oddVBand="0" w:evenVBand="0" w:oddHBand="0" w:evenHBand="0" w:firstRowFirstColumn="0" w:firstRowLastColumn="0" w:lastRowFirstColumn="0" w:lastRowLastColumn="0"/>
            <w:tcW w:w="2351" w:type="dxa"/>
          </w:tcPr>
          <w:p w14:paraId="5C25CFE2" w14:textId="77777777" w:rsidR="00837744" w:rsidRPr="005342A5" w:rsidRDefault="00837744" w:rsidP="00837744">
            <w:pPr>
              <w:jc w:val="center"/>
              <w:rPr>
                <w:lang w:val="en-US"/>
              </w:rPr>
            </w:pPr>
          </w:p>
        </w:tc>
        <w:tc>
          <w:tcPr>
            <w:tcW w:w="1613" w:type="dxa"/>
          </w:tcPr>
          <w:p w14:paraId="79F48D3E" w14:textId="77777777" w:rsidR="00837744" w:rsidRPr="005342A5" w:rsidRDefault="00837744" w:rsidP="0083774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69" w:type="dxa"/>
          </w:tcPr>
          <w:p w14:paraId="31A4F2F6" w14:textId="44D29EFF" w:rsidR="00837744" w:rsidRPr="005342A5" w:rsidRDefault="00837744" w:rsidP="00837744">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Persistent casual</w:t>
            </w:r>
          </w:p>
        </w:tc>
        <w:tc>
          <w:tcPr>
            <w:tcW w:w="1197" w:type="dxa"/>
          </w:tcPr>
          <w:p w14:paraId="20098363" w14:textId="1FF34A22" w:rsidR="00837744" w:rsidRPr="005342A5" w:rsidRDefault="00102F79" w:rsidP="00837744">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w:t>
            </w:r>
            <w:r w:rsidR="00837744">
              <w:rPr>
                <w:lang w:val="en-US"/>
              </w:rPr>
              <w:t>1.</w:t>
            </w:r>
            <w:r>
              <w:rPr>
                <w:lang w:val="en-US"/>
              </w:rPr>
              <w:t>7</w:t>
            </w:r>
            <w:r w:rsidR="00837744">
              <w:rPr>
                <w:lang w:val="en-US"/>
              </w:rPr>
              <w:t>0</w:t>
            </w:r>
            <w:r w:rsidR="00837744" w:rsidRPr="005342A5">
              <w:rPr>
                <w:lang w:val="en-US"/>
              </w:rPr>
              <w:t xml:space="preserve"> %</w:t>
            </w:r>
          </w:p>
        </w:tc>
        <w:tc>
          <w:tcPr>
            <w:tcW w:w="1055" w:type="dxa"/>
          </w:tcPr>
          <w:p w14:paraId="28023366" w14:textId="039F53D0" w:rsidR="00837744" w:rsidRPr="005342A5" w:rsidRDefault="00837744" w:rsidP="00837744">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3.</w:t>
            </w:r>
            <w:r w:rsidR="00102F79">
              <w:rPr>
                <w:lang w:val="en-US"/>
              </w:rPr>
              <w:t>55</w:t>
            </w:r>
            <w:r w:rsidRPr="005342A5">
              <w:rPr>
                <w:lang w:val="en-US"/>
              </w:rPr>
              <w:t xml:space="preserve"> %</w:t>
            </w:r>
          </w:p>
        </w:tc>
        <w:tc>
          <w:tcPr>
            <w:tcW w:w="1508" w:type="dxa"/>
          </w:tcPr>
          <w:p w14:paraId="2B4EB703" w14:textId="123E9CB1" w:rsidR="00837744" w:rsidRDefault="00102F79" w:rsidP="00837744">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0.00 %</w:t>
            </w:r>
          </w:p>
        </w:tc>
      </w:tr>
      <w:tr w:rsidR="00434F27" w:rsidRPr="005342A5" w14:paraId="086558A7" w14:textId="0F77A8FA" w:rsidTr="00663D8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351" w:type="dxa"/>
          </w:tcPr>
          <w:p w14:paraId="1C1F8E0B" w14:textId="4C1BE66C" w:rsidR="00434F27" w:rsidRPr="005342A5" w:rsidRDefault="00434F27" w:rsidP="00434F27">
            <w:pPr>
              <w:jc w:val="center"/>
              <w:rPr>
                <w:lang w:val="en-US"/>
              </w:rPr>
            </w:pPr>
            <w:r>
              <w:rPr>
                <w:lang w:val="en-US"/>
              </w:rPr>
              <w:t xml:space="preserve">More than </w:t>
            </w:r>
            <w:r w:rsidRPr="00226F8D">
              <w:rPr>
                <w:lang w:val="en-US"/>
              </w:rPr>
              <w:t>1</w:t>
            </w:r>
            <w:r w:rsidRPr="00226F8D">
              <w:t>5 partners</w:t>
            </w:r>
          </w:p>
        </w:tc>
        <w:tc>
          <w:tcPr>
            <w:tcW w:w="1613" w:type="dxa"/>
          </w:tcPr>
          <w:p w14:paraId="0198FE16" w14:textId="6EEFF1FE" w:rsidR="00434F27" w:rsidRDefault="00434F27" w:rsidP="00434F27">
            <w:pPr>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Pr>
                <w:lang w:val="en-US"/>
              </w:rPr>
              <w:t>Lower-activity</w:t>
            </w:r>
            <w:r w:rsidRPr="005342A5">
              <w:rPr>
                <w:lang w:val="en-US"/>
              </w:rPr>
              <w:t xml:space="preserve"> </w:t>
            </w:r>
            <w:r>
              <w:rPr>
                <w:lang w:val="en-US"/>
              </w:rPr>
              <w:t>MSM</w:t>
            </w:r>
          </w:p>
        </w:tc>
        <w:tc>
          <w:tcPr>
            <w:tcW w:w="1769" w:type="dxa"/>
          </w:tcPr>
          <w:p w14:paraId="65584D69" w14:textId="06239A55" w:rsidR="00434F27" w:rsidRDefault="00434F27" w:rsidP="00434F27">
            <w:pPr>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Pr>
                <w:lang w:val="en-US"/>
              </w:rPr>
              <w:t>Steady</w:t>
            </w:r>
            <w:r w:rsidRPr="005342A5">
              <w:rPr>
                <w:lang w:val="en-US"/>
              </w:rPr>
              <w:t xml:space="preserve"> partners</w:t>
            </w:r>
          </w:p>
        </w:tc>
        <w:tc>
          <w:tcPr>
            <w:tcW w:w="1197" w:type="dxa"/>
          </w:tcPr>
          <w:p w14:paraId="079E9090" w14:textId="08DFA68D" w:rsidR="00434F27" w:rsidRDefault="00434F27" w:rsidP="00434F27">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2.43 %</w:t>
            </w:r>
          </w:p>
        </w:tc>
        <w:tc>
          <w:tcPr>
            <w:tcW w:w="1055" w:type="dxa"/>
          </w:tcPr>
          <w:p w14:paraId="691C93F7" w14:textId="0A104C66" w:rsidR="00434F27" w:rsidRDefault="00434F27" w:rsidP="00434F27">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4.80  %</w:t>
            </w:r>
          </w:p>
        </w:tc>
        <w:tc>
          <w:tcPr>
            <w:tcW w:w="1508" w:type="dxa"/>
          </w:tcPr>
          <w:p w14:paraId="7C9A37B0" w14:textId="7DA5D828" w:rsidR="00434F27" w:rsidRDefault="00434F27" w:rsidP="00434F27">
            <w:pPr>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Pr>
                <w:rFonts w:cstheme="minorHAnsi"/>
                <w:lang w:val="en-US"/>
              </w:rPr>
              <w:t>0.10</w:t>
            </w:r>
            <w:r>
              <w:rPr>
                <w:lang w:val="en-US"/>
              </w:rPr>
              <w:t xml:space="preserve"> %</w:t>
            </w:r>
          </w:p>
        </w:tc>
      </w:tr>
      <w:tr w:rsidR="00837744" w:rsidRPr="005342A5" w14:paraId="1D416E36" w14:textId="435755F8" w:rsidTr="00663D8D">
        <w:trPr>
          <w:trHeight w:val="259"/>
        </w:trPr>
        <w:tc>
          <w:tcPr>
            <w:cnfStyle w:val="001000000000" w:firstRow="0" w:lastRow="0" w:firstColumn="1" w:lastColumn="0" w:oddVBand="0" w:evenVBand="0" w:oddHBand="0" w:evenHBand="0" w:firstRowFirstColumn="0" w:firstRowLastColumn="0" w:lastRowFirstColumn="0" w:lastRowLastColumn="0"/>
            <w:tcW w:w="2351" w:type="dxa"/>
          </w:tcPr>
          <w:p w14:paraId="288BB791" w14:textId="77777777" w:rsidR="00837744" w:rsidRPr="005342A5" w:rsidRDefault="00837744" w:rsidP="00837744">
            <w:pPr>
              <w:jc w:val="center"/>
              <w:rPr>
                <w:lang w:val="en-US"/>
              </w:rPr>
            </w:pPr>
          </w:p>
        </w:tc>
        <w:tc>
          <w:tcPr>
            <w:tcW w:w="1613" w:type="dxa"/>
          </w:tcPr>
          <w:p w14:paraId="130E0314" w14:textId="77777777" w:rsidR="00837744" w:rsidRDefault="00837744" w:rsidP="0083774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69" w:type="dxa"/>
          </w:tcPr>
          <w:p w14:paraId="1B98E218" w14:textId="36108C16" w:rsidR="00837744" w:rsidRDefault="00837744" w:rsidP="00837744">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Persistent casual</w:t>
            </w:r>
          </w:p>
        </w:tc>
        <w:tc>
          <w:tcPr>
            <w:tcW w:w="1197" w:type="dxa"/>
          </w:tcPr>
          <w:p w14:paraId="532685AA" w14:textId="6C09F966" w:rsidR="00837744" w:rsidRPr="005342A5" w:rsidRDefault="00102F79" w:rsidP="00837744">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6.91 %</w:t>
            </w:r>
          </w:p>
        </w:tc>
        <w:tc>
          <w:tcPr>
            <w:tcW w:w="1055" w:type="dxa"/>
          </w:tcPr>
          <w:p w14:paraId="07E2A786" w14:textId="62103FF0" w:rsidR="00102F79" w:rsidRDefault="00102F79" w:rsidP="00102F79">
            <w:pPr>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0.72</w:t>
            </w:r>
            <w:r>
              <w:rPr>
                <w:lang w:val="en-US"/>
              </w:rPr>
              <w:t xml:space="preserve"> %</w:t>
            </w:r>
          </w:p>
        </w:tc>
        <w:tc>
          <w:tcPr>
            <w:tcW w:w="1508" w:type="dxa"/>
          </w:tcPr>
          <w:p w14:paraId="0889EED4" w14:textId="6957C6AB" w:rsidR="00837744" w:rsidRDefault="00102F79" w:rsidP="00837744">
            <w:pPr>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0.00</w:t>
            </w:r>
            <w:r>
              <w:rPr>
                <w:lang w:val="en-US"/>
              </w:rPr>
              <w:t xml:space="preserve"> %</w:t>
            </w:r>
          </w:p>
        </w:tc>
      </w:tr>
      <w:tr w:rsidR="00837744" w:rsidRPr="005342A5" w14:paraId="4A2E9CB6" w14:textId="540FC708" w:rsidTr="00663D8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351" w:type="dxa"/>
          </w:tcPr>
          <w:p w14:paraId="72FAEBB9" w14:textId="77777777" w:rsidR="00837744" w:rsidRPr="005342A5" w:rsidRDefault="00837744" w:rsidP="00837744">
            <w:pPr>
              <w:jc w:val="center"/>
              <w:rPr>
                <w:lang w:val="en-US"/>
              </w:rPr>
            </w:pPr>
          </w:p>
        </w:tc>
        <w:tc>
          <w:tcPr>
            <w:tcW w:w="1613" w:type="dxa"/>
          </w:tcPr>
          <w:p w14:paraId="1F320275" w14:textId="793EC55C" w:rsidR="00837744" w:rsidRDefault="00837744" w:rsidP="00837744">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Higher-activity</w:t>
            </w:r>
            <w:r w:rsidRPr="005342A5">
              <w:rPr>
                <w:lang w:val="en-US"/>
              </w:rPr>
              <w:t xml:space="preserve"> </w:t>
            </w:r>
            <w:r>
              <w:rPr>
                <w:lang w:val="en-US"/>
              </w:rPr>
              <w:t>MSM</w:t>
            </w:r>
          </w:p>
        </w:tc>
        <w:tc>
          <w:tcPr>
            <w:tcW w:w="1769" w:type="dxa"/>
          </w:tcPr>
          <w:p w14:paraId="5C950BDB" w14:textId="7826530E" w:rsidR="00837744" w:rsidRDefault="00837744" w:rsidP="00837744">
            <w:pPr>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Pr>
                <w:lang w:val="en-US"/>
              </w:rPr>
              <w:t>Steady</w:t>
            </w:r>
            <w:r w:rsidRPr="005342A5">
              <w:rPr>
                <w:lang w:val="en-US"/>
              </w:rPr>
              <w:t xml:space="preserve"> partners</w:t>
            </w:r>
          </w:p>
        </w:tc>
        <w:tc>
          <w:tcPr>
            <w:tcW w:w="1197" w:type="dxa"/>
          </w:tcPr>
          <w:p w14:paraId="5CF4CA17" w14:textId="6CEBACED" w:rsidR="00837744" w:rsidRDefault="00102F79" w:rsidP="00837744">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8.57 %</w:t>
            </w:r>
          </w:p>
        </w:tc>
        <w:tc>
          <w:tcPr>
            <w:tcW w:w="1055" w:type="dxa"/>
          </w:tcPr>
          <w:p w14:paraId="35F9C606" w14:textId="7CAFFC3D" w:rsidR="00837744" w:rsidRDefault="00102F79" w:rsidP="00837744">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10.51 %</w:t>
            </w:r>
          </w:p>
        </w:tc>
        <w:tc>
          <w:tcPr>
            <w:tcW w:w="1508" w:type="dxa"/>
          </w:tcPr>
          <w:p w14:paraId="7C536B86" w14:textId="5E4A63C6" w:rsidR="00837744" w:rsidRDefault="00102F79" w:rsidP="00837744">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0.57 %</w:t>
            </w:r>
          </w:p>
        </w:tc>
      </w:tr>
      <w:tr w:rsidR="00837744" w:rsidRPr="005342A5" w14:paraId="7A8DBBA9" w14:textId="2750E9EB" w:rsidTr="00663D8D">
        <w:trPr>
          <w:trHeight w:val="259"/>
        </w:trPr>
        <w:tc>
          <w:tcPr>
            <w:cnfStyle w:val="001000000000" w:firstRow="0" w:lastRow="0" w:firstColumn="1" w:lastColumn="0" w:oddVBand="0" w:evenVBand="0" w:oddHBand="0" w:evenHBand="0" w:firstRowFirstColumn="0" w:firstRowLastColumn="0" w:lastRowFirstColumn="0" w:lastRowLastColumn="0"/>
            <w:tcW w:w="2351" w:type="dxa"/>
          </w:tcPr>
          <w:p w14:paraId="31DDBFA8" w14:textId="77777777" w:rsidR="00837744" w:rsidRPr="005342A5" w:rsidRDefault="00837744" w:rsidP="00837744">
            <w:pPr>
              <w:jc w:val="center"/>
              <w:rPr>
                <w:lang w:val="en-US"/>
              </w:rPr>
            </w:pPr>
          </w:p>
        </w:tc>
        <w:tc>
          <w:tcPr>
            <w:tcW w:w="1613" w:type="dxa"/>
          </w:tcPr>
          <w:p w14:paraId="230E5DE2" w14:textId="77777777" w:rsidR="00837744" w:rsidRDefault="00837744" w:rsidP="0083774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69" w:type="dxa"/>
          </w:tcPr>
          <w:p w14:paraId="7934765F" w14:textId="0B595906" w:rsidR="00837744" w:rsidRDefault="00837744" w:rsidP="00837744">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Persistent casual</w:t>
            </w:r>
          </w:p>
        </w:tc>
        <w:tc>
          <w:tcPr>
            <w:tcW w:w="1197" w:type="dxa"/>
          </w:tcPr>
          <w:p w14:paraId="6CAE2175" w14:textId="008F840E" w:rsidR="00837744" w:rsidRDefault="00102F79" w:rsidP="00837744">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13.83 %</w:t>
            </w:r>
          </w:p>
        </w:tc>
        <w:tc>
          <w:tcPr>
            <w:tcW w:w="1055" w:type="dxa"/>
          </w:tcPr>
          <w:p w14:paraId="6F466496" w14:textId="55204913" w:rsidR="00837744" w:rsidRDefault="00102F79" w:rsidP="00837744">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5.94 %</w:t>
            </w:r>
          </w:p>
        </w:tc>
        <w:tc>
          <w:tcPr>
            <w:tcW w:w="1508" w:type="dxa"/>
          </w:tcPr>
          <w:p w14:paraId="662AA81F" w14:textId="36B8FA37" w:rsidR="00837744" w:rsidRDefault="00102F79" w:rsidP="00837744">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0.00 %</w:t>
            </w:r>
          </w:p>
        </w:tc>
      </w:tr>
      <w:tr w:rsidR="00434F27" w:rsidRPr="005342A5" w14:paraId="6E378F95" w14:textId="7DD41488" w:rsidTr="00663D8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351" w:type="dxa"/>
          </w:tcPr>
          <w:p w14:paraId="6BEBC80C" w14:textId="7C82E75F" w:rsidR="00434F27" w:rsidRPr="005342A5" w:rsidRDefault="00434F27" w:rsidP="00434F27">
            <w:pPr>
              <w:jc w:val="center"/>
              <w:rPr>
                <w:lang w:val="en-US"/>
              </w:rPr>
            </w:pPr>
            <w:r>
              <w:rPr>
                <w:lang w:val="en-US"/>
              </w:rPr>
              <w:t xml:space="preserve">More than </w:t>
            </w:r>
            <w:r w:rsidRPr="00226F8D">
              <w:rPr>
                <w:lang w:val="en-US"/>
              </w:rPr>
              <w:t>1</w:t>
            </w:r>
            <w:r w:rsidRPr="00226F8D">
              <w:t xml:space="preserve">5 </w:t>
            </w:r>
            <w:r>
              <w:t xml:space="preserve">casual </w:t>
            </w:r>
            <w:r w:rsidRPr="00226F8D">
              <w:t>partners</w:t>
            </w:r>
          </w:p>
        </w:tc>
        <w:tc>
          <w:tcPr>
            <w:tcW w:w="1613" w:type="dxa"/>
          </w:tcPr>
          <w:p w14:paraId="4F666FEA" w14:textId="334FEB72" w:rsidR="00434F27" w:rsidRDefault="00434F27" w:rsidP="00434F27">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Lower-activity</w:t>
            </w:r>
            <w:r w:rsidRPr="005342A5">
              <w:rPr>
                <w:lang w:val="en-US"/>
              </w:rPr>
              <w:t xml:space="preserve"> </w:t>
            </w:r>
            <w:r>
              <w:rPr>
                <w:lang w:val="en-US"/>
              </w:rPr>
              <w:t>MSM</w:t>
            </w:r>
          </w:p>
        </w:tc>
        <w:tc>
          <w:tcPr>
            <w:tcW w:w="1769" w:type="dxa"/>
          </w:tcPr>
          <w:p w14:paraId="27E05214" w14:textId="1C0835AE" w:rsidR="00434F27" w:rsidRDefault="00434F27" w:rsidP="00434F27">
            <w:pPr>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Pr>
                <w:lang w:val="en-US"/>
              </w:rPr>
              <w:t>Steady</w:t>
            </w:r>
            <w:r w:rsidRPr="005342A5">
              <w:rPr>
                <w:lang w:val="en-US"/>
              </w:rPr>
              <w:t xml:space="preserve"> partners</w:t>
            </w:r>
          </w:p>
        </w:tc>
        <w:tc>
          <w:tcPr>
            <w:tcW w:w="1197" w:type="dxa"/>
          </w:tcPr>
          <w:p w14:paraId="63B99C96" w14:textId="7347766D" w:rsidR="00434F27" w:rsidRDefault="00434F27" w:rsidP="00434F27">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2.34 %</w:t>
            </w:r>
          </w:p>
        </w:tc>
        <w:tc>
          <w:tcPr>
            <w:tcW w:w="1055" w:type="dxa"/>
          </w:tcPr>
          <w:p w14:paraId="62B8FFBB" w14:textId="2042723E" w:rsidR="00434F27" w:rsidRDefault="00434F27" w:rsidP="00434F27">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5.23 %</w:t>
            </w:r>
          </w:p>
        </w:tc>
        <w:tc>
          <w:tcPr>
            <w:tcW w:w="1508" w:type="dxa"/>
          </w:tcPr>
          <w:p w14:paraId="4C24A16A" w14:textId="14FE84F6" w:rsidR="00434F27" w:rsidRDefault="00434F27" w:rsidP="00434F27">
            <w:pPr>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Pr>
                <w:rFonts w:cstheme="minorHAnsi"/>
                <w:lang w:val="en-US"/>
              </w:rPr>
              <w:t>0.15</w:t>
            </w:r>
            <w:r>
              <w:rPr>
                <w:lang w:val="en-US"/>
              </w:rPr>
              <w:t xml:space="preserve"> %</w:t>
            </w:r>
          </w:p>
        </w:tc>
      </w:tr>
      <w:tr w:rsidR="00837744" w:rsidRPr="005342A5" w14:paraId="09819727" w14:textId="34512AA9" w:rsidTr="00663D8D">
        <w:trPr>
          <w:trHeight w:val="259"/>
        </w:trPr>
        <w:tc>
          <w:tcPr>
            <w:cnfStyle w:val="001000000000" w:firstRow="0" w:lastRow="0" w:firstColumn="1" w:lastColumn="0" w:oddVBand="0" w:evenVBand="0" w:oddHBand="0" w:evenHBand="0" w:firstRowFirstColumn="0" w:firstRowLastColumn="0" w:lastRowFirstColumn="0" w:lastRowLastColumn="0"/>
            <w:tcW w:w="2351" w:type="dxa"/>
          </w:tcPr>
          <w:p w14:paraId="60BFABE5" w14:textId="77777777" w:rsidR="00837744" w:rsidRDefault="00837744" w:rsidP="00837744">
            <w:pPr>
              <w:jc w:val="center"/>
              <w:rPr>
                <w:lang w:val="en-US"/>
              </w:rPr>
            </w:pPr>
          </w:p>
        </w:tc>
        <w:tc>
          <w:tcPr>
            <w:tcW w:w="1613" w:type="dxa"/>
          </w:tcPr>
          <w:p w14:paraId="343262C2" w14:textId="77777777" w:rsidR="00837744" w:rsidRDefault="00837744" w:rsidP="0083774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69" w:type="dxa"/>
          </w:tcPr>
          <w:p w14:paraId="0C037BE7" w14:textId="38FA6D35" w:rsidR="00837744" w:rsidRDefault="00837744" w:rsidP="00837744">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Persistent casual</w:t>
            </w:r>
          </w:p>
        </w:tc>
        <w:tc>
          <w:tcPr>
            <w:tcW w:w="1197" w:type="dxa"/>
          </w:tcPr>
          <w:p w14:paraId="7CB51512" w14:textId="0E3318D1" w:rsidR="00837744" w:rsidRPr="005342A5" w:rsidRDefault="00102F79" w:rsidP="00837744">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7.33 %</w:t>
            </w:r>
          </w:p>
        </w:tc>
        <w:tc>
          <w:tcPr>
            <w:tcW w:w="1055" w:type="dxa"/>
          </w:tcPr>
          <w:p w14:paraId="49F650AB" w14:textId="2F5EF902" w:rsidR="00837744" w:rsidRDefault="00102F79" w:rsidP="00837744">
            <w:pPr>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0.70</w:t>
            </w:r>
            <w:r>
              <w:rPr>
                <w:lang w:val="en-US"/>
              </w:rPr>
              <w:t xml:space="preserve"> %</w:t>
            </w:r>
          </w:p>
        </w:tc>
        <w:tc>
          <w:tcPr>
            <w:tcW w:w="1508" w:type="dxa"/>
          </w:tcPr>
          <w:p w14:paraId="28DE765A" w14:textId="4446BD6B" w:rsidR="00837744" w:rsidRDefault="00102F79" w:rsidP="00837744">
            <w:pPr>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0.00</w:t>
            </w:r>
            <w:r>
              <w:rPr>
                <w:lang w:val="en-US"/>
              </w:rPr>
              <w:t xml:space="preserve"> %</w:t>
            </w:r>
          </w:p>
        </w:tc>
      </w:tr>
      <w:tr w:rsidR="00837744" w:rsidRPr="005342A5" w14:paraId="0E0C1A87" w14:textId="21320B09" w:rsidTr="00663D8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351" w:type="dxa"/>
          </w:tcPr>
          <w:p w14:paraId="3DAF01A0" w14:textId="77777777" w:rsidR="00837744" w:rsidRDefault="00837744" w:rsidP="00837744">
            <w:pPr>
              <w:jc w:val="center"/>
              <w:rPr>
                <w:lang w:val="en-US"/>
              </w:rPr>
            </w:pPr>
          </w:p>
        </w:tc>
        <w:tc>
          <w:tcPr>
            <w:tcW w:w="1613" w:type="dxa"/>
          </w:tcPr>
          <w:p w14:paraId="7DDE256C" w14:textId="01626E16" w:rsidR="00837744" w:rsidRDefault="00837744" w:rsidP="00837744">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Higher-activity</w:t>
            </w:r>
            <w:r w:rsidRPr="005342A5">
              <w:rPr>
                <w:lang w:val="en-US"/>
              </w:rPr>
              <w:t xml:space="preserve"> </w:t>
            </w:r>
            <w:r>
              <w:rPr>
                <w:lang w:val="en-US"/>
              </w:rPr>
              <w:t>MSM</w:t>
            </w:r>
          </w:p>
        </w:tc>
        <w:tc>
          <w:tcPr>
            <w:tcW w:w="1769" w:type="dxa"/>
          </w:tcPr>
          <w:p w14:paraId="4E4E9951" w14:textId="3825E895" w:rsidR="00837744" w:rsidRDefault="00837744" w:rsidP="00837744">
            <w:pPr>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Pr>
                <w:lang w:val="en-US"/>
              </w:rPr>
              <w:t>Steady</w:t>
            </w:r>
            <w:r w:rsidRPr="005342A5">
              <w:rPr>
                <w:lang w:val="en-US"/>
              </w:rPr>
              <w:t xml:space="preserve"> partners</w:t>
            </w:r>
          </w:p>
        </w:tc>
        <w:tc>
          <w:tcPr>
            <w:tcW w:w="1197" w:type="dxa"/>
          </w:tcPr>
          <w:p w14:paraId="385CA6A5" w14:textId="39298B41" w:rsidR="00837744" w:rsidRDefault="00102F79" w:rsidP="00837744">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9.29 %</w:t>
            </w:r>
          </w:p>
        </w:tc>
        <w:tc>
          <w:tcPr>
            <w:tcW w:w="1055" w:type="dxa"/>
          </w:tcPr>
          <w:p w14:paraId="5571E933" w14:textId="65E4832D" w:rsidR="00837744" w:rsidRDefault="00102F79" w:rsidP="00837744">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9.91 %</w:t>
            </w:r>
          </w:p>
        </w:tc>
        <w:tc>
          <w:tcPr>
            <w:tcW w:w="1508" w:type="dxa"/>
          </w:tcPr>
          <w:p w14:paraId="17DE2EBD" w14:textId="23FC2DEE" w:rsidR="00837744" w:rsidRDefault="00102F79" w:rsidP="00837744">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0.50 %</w:t>
            </w:r>
          </w:p>
        </w:tc>
      </w:tr>
      <w:tr w:rsidR="00837744" w:rsidRPr="005342A5" w14:paraId="665B4F8A" w14:textId="6D53FD05" w:rsidTr="00663D8D">
        <w:trPr>
          <w:trHeight w:val="259"/>
        </w:trPr>
        <w:tc>
          <w:tcPr>
            <w:cnfStyle w:val="001000000000" w:firstRow="0" w:lastRow="0" w:firstColumn="1" w:lastColumn="0" w:oddVBand="0" w:evenVBand="0" w:oddHBand="0" w:evenHBand="0" w:firstRowFirstColumn="0" w:firstRowLastColumn="0" w:lastRowFirstColumn="0" w:lastRowLastColumn="0"/>
            <w:tcW w:w="2351" w:type="dxa"/>
          </w:tcPr>
          <w:p w14:paraId="5D3EEEB2" w14:textId="77777777" w:rsidR="00837744" w:rsidRDefault="00837744" w:rsidP="00837744">
            <w:pPr>
              <w:jc w:val="center"/>
              <w:rPr>
                <w:lang w:val="en-US"/>
              </w:rPr>
            </w:pPr>
          </w:p>
        </w:tc>
        <w:tc>
          <w:tcPr>
            <w:tcW w:w="1613" w:type="dxa"/>
          </w:tcPr>
          <w:p w14:paraId="52580A37" w14:textId="77777777" w:rsidR="00837744" w:rsidRDefault="00837744" w:rsidP="0083774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769" w:type="dxa"/>
          </w:tcPr>
          <w:p w14:paraId="168CBADF" w14:textId="412875FE" w:rsidR="00837744" w:rsidRPr="005342A5" w:rsidRDefault="00837744" w:rsidP="00837744">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Persistent casual</w:t>
            </w:r>
          </w:p>
        </w:tc>
        <w:tc>
          <w:tcPr>
            <w:tcW w:w="1197" w:type="dxa"/>
          </w:tcPr>
          <w:p w14:paraId="2FE9BD27" w14:textId="2B6A5ECD" w:rsidR="00837744" w:rsidRDefault="00102F79" w:rsidP="00837744">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13.38 %</w:t>
            </w:r>
          </w:p>
        </w:tc>
        <w:tc>
          <w:tcPr>
            <w:tcW w:w="1055" w:type="dxa"/>
          </w:tcPr>
          <w:p w14:paraId="350A473A" w14:textId="562EAA27" w:rsidR="00837744" w:rsidRDefault="00102F79" w:rsidP="00837744">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6.44 %</w:t>
            </w:r>
          </w:p>
        </w:tc>
        <w:tc>
          <w:tcPr>
            <w:tcW w:w="1508" w:type="dxa"/>
          </w:tcPr>
          <w:p w14:paraId="4A1E9FF4" w14:textId="6EED58F2" w:rsidR="00837744" w:rsidRDefault="00102F79" w:rsidP="00837744">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0.00 %</w:t>
            </w:r>
          </w:p>
        </w:tc>
      </w:tr>
    </w:tbl>
    <w:p w14:paraId="60BC9FAA" w14:textId="77777777" w:rsidR="00C10110" w:rsidRDefault="00C10110" w:rsidP="00C10110">
      <w:pPr>
        <w:pStyle w:val="Caption"/>
        <w:rPr>
          <w:lang w:val="en-US"/>
        </w:rPr>
      </w:pPr>
    </w:p>
    <w:p w14:paraId="00422D39" w14:textId="77777777" w:rsidR="00C10110" w:rsidRDefault="00C10110" w:rsidP="00C10110">
      <w:pPr>
        <w:pStyle w:val="Caption"/>
        <w:rPr>
          <w:lang w:val="en-US"/>
        </w:rPr>
      </w:pPr>
    </w:p>
    <w:p w14:paraId="0BD17499" w14:textId="036AB2D8" w:rsidR="00C10110" w:rsidRPr="005342A5" w:rsidRDefault="00C10110" w:rsidP="00C10110">
      <w:pPr>
        <w:pStyle w:val="Caption"/>
        <w:rPr>
          <w:lang w:val="en-US"/>
        </w:rPr>
      </w:pPr>
      <w:r w:rsidRPr="005342A5">
        <w:rPr>
          <w:lang w:val="en-US"/>
        </w:rPr>
        <w:t>Table S</w:t>
      </w:r>
      <w:r w:rsidRPr="005342A5">
        <w:rPr>
          <w:lang w:val="en-US"/>
        </w:rPr>
        <w:fldChar w:fldCharType="begin"/>
      </w:r>
      <w:r w:rsidRPr="005342A5">
        <w:rPr>
          <w:lang w:val="en-US"/>
        </w:rPr>
        <w:instrText xml:space="preserve"> SEQ Table \* ARABIC </w:instrText>
      </w:r>
      <w:r w:rsidRPr="005342A5">
        <w:rPr>
          <w:lang w:val="en-US"/>
        </w:rPr>
        <w:fldChar w:fldCharType="separate"/>
      </w:r>
      <w:r w:rsidR="00A1207D">
        <w:rPr>
          <w:noProof/>
          <w:lang w:val="en-US"/>
        </w:rPr>
        <w:t>4</w:t>
      </w:r>
      <w:r w:rsidRPr="005342A5">
        <w:rPr>
          <w:lang w:val="en-US"/>
        </w:rPr>
        <w:fldChar w:fldCharType="end"/>
      </w:r>
      <w:r w:rsidRPr="005342A5">
        <w:rPr>
          <w:lang w:val="en-US"/>
        </w:rPr>
        <w:t xml:space="preserve">: </w:t>
      </w:r>
      <w:r w:rsidR="00A229D4">
        <w:rPr>
          <w:lang w:val="en-US"/>
        </w:rPr>
        <w:t>One-off partnership parameters</w:t>
      </w:r>
    </w:p>
    <w:tbl>
      <w:tblPr>
        <w:tblStyle w:val="ListTable1Light"/>
        <w:tblW w:w="9214" w:type="dxa"/>
        <w:tblLook w:val="04A0" w:firstRow="1" w:lastRow="0" w:firstColumn="1" w:lastColumn="0" w:noHBand="0" w:noVBand="1"/>
      </w:tblPr>
      <w:tblGrid>
        <w:gridCol w:w="1662"/>
        <w:gridCol w:w="4434"/>
        <w:gridCol w:w="1559"/>
        <w:gridCol w:w="1559"/>
      </w:tblGrid>
      <w:tr w:rsidR="00A91631" w14:paraId="06A26300" w14:textId="77777777" w:rsidTr="00663D8D">
        <w:trPr>
          <w:cnfStyle w:val="100000000000" w:firstRow="1" w:lastRow="0" w:firstColumn="0" w:lastColumn="0" w:oddVBand="0" w:evenVBand="0" w:oddHBand="0" w:evenHBand="0" w:firstRowFirstColumn="0" w:firstRowLastColumn="0" w:lastRowFirstColumn="0" w:lastRowLastColumn="0"/>
          <w:trHeight w:val="1101"/>
        </w:trPr>
        <w:tc>
          <w:tcPr>
            <w:cnfStyle w:val="001000000000" w:firstRow="0" w:lastRow="0" w:firstColumn="1" w:lastColumn="0" w:oddVBand="0" w:evenVBand="0" w:oddHBand="0" w:evenHBand="0" w:firstRowFirstColumn="0" w:firstRowLastColumn="0" w:lastRowFirstColumn="0" w:lastRowLastColumn="0"/>
            <w:tcW w:w="1662" w:type="dxa"/>
          </w:tcPr>
          <w:p w14:paraId="35C63B06" w14:textId="77777777" w:rsidR="00A91631" w:rsidRDefault="00A91631" w:rsidP="00350F66">
            <w:pPr>
              <w:rPr>
                <w:lang w:val="en-US"/>
              </w:rPr>
            </w:pPr>
          </w:p>
        </w:tc>
        <w:tc>
          <w:tcPr>
            <w:tcW w:w="4434" w:type="dxa"/>
          </w:tcPr>
          <w:p w14:paraId="49180009" w14:textId="77777777" w:rsidR="00A91631" w:rsidRDefault="00A91631" w:rsidP="00350F66">
            <w:pPr>
              <w:cnfStyle w:val="100000000000" w:firstRow="1" w:lastRow="0" w:firstColumn="0" w:lastColumn="0" w:oddVBand="0" w:evenVBand="0" w:oddHBand="0" w:evenHBand="0" w:firstRowFirstColumn="0" w:firstRowLastColumn="0" w:lastRowFirstColumn="0" w:lastRowLastColumn="0"/>
              <w:rPr>
                <w:lang w:val="en-US"/>
              </w:rPr>
            </w:pPr>
          </w:p>
        </w:tc>
        <w:tc>
          <w:tcPr>
            <w:tcW w:w="1559" w:type="dxa"/>
          </w:tcPr>
          <w:p w14:paraId="10D329ED" w14:textId="1E5F4CF4" w:rsidR="00A91631" w:rsidRDefault="00A91631" w:rsidP="00350F66">
            <w:pPr>
              <w:cnfStyle w:val="100000000000" w:firstRow="1" w:lastRow="0" w:firstColumn="0" w:lastColumn="0" w:oddVBand="0" w:evenVBand="0" w:oddHBand="0" w:evenHBand="0" w:firstRowFirstColumn="0" w:firstRowLastColumn="0" w:lastRowFirstColumn="0" w:lastRowLastColumn="0"/>
              <w:rPr>
                <w:lang w:val="en-US"/>
              </w:rPr>
            </w:pPr>
            <w:r>
              <w:rPr>
                <w:lang w:val="en-US"/>
              </w:rPr>
              <w:t>Lower-activity</w:t>
            </w:r>
            <w:r w:rsidRPr="005342A5">
              <w:rPr>
                <w:lang w:val="en-US"/>
              </w:rPr>
              <w:t xml:space="preserve"> </w:t>
            </w:r>
            <w:r>
              <w:rPr>
                <w:lang w:val="en-US"/>
              </w:rPr>
              <w:t>MSM</w:t>
            </w:r>
          </w:p>
        </w:tc>
        <w:tc>
          <w:tcPr>
            <w:tcW w:w="1559" w:type="dxa"/>
          </w:tcPr>
          <w:p w14:paraId="0FFC2D49" w14:textId="03C3338B" w:rsidR="00A91631" w:rsidRDefault="00A91631" w:rsidP="00350F66">
            <w:pPr>
              <w:cnfStyle w:val="100000000000" w:firstRow="1" w:lastRow="0" w:firstColumn="0" w:lastColumn="0" w:oddVBand="0" w:evenVBand="0" w:oddHBand="0" w:evenHBand="0" w:firstRowFirstColumn="0" w:firstRowLastColumn="0" w:lastRowFirstColumn="0" w:lastRowLastColumn="0"/>
              <w:rPr>
                <w:lang w:val="en-US"/>
              </w:rPr>
            </w:pPr>
            <w:r>
              <w:rPr>
                <w:lang w:val="en-US"/>
              </w:rPr>
              <w:t>Higher-activity</w:t>
            </w:r>
            <w:r w:rsidRPr="005342A5">
              <w:rPr>
                <w:lang w:val="en-US"/>
              </w:rPr>
              <w:t xml:space="preserve"> </w:t>
            </w:r>
            <w:r>
              <w:rPr>
                <w:lang w:val="en-US"/>
              </w:rPr>
              <w:t>MSM</w:t>
            </w:r>
          </w:p>
        </w:tc>
      </w:tr>
      <w:tr w:rsidR="00A91631" w14:paraId="0EA1C3A9" w14:textId="77777777" w:rsidTr="00663D8D">
        <w:trPr>
          <w:cnfStyle w:val="000000100000" w:firstRow="0" w:lastRow="0" w:firstColumn="0" w:lastColumn="0" w:oddVBand="0" w:evenVBand="0" w:oddHBand="1" w:evenHBand="0" w:firstRowFirstColumn="0" w:firstRowLastColumn="0" w:lastRowFirstColumn="0" w:lastRowLastColumn="0"/>
          <w:trHeight w:val="1071"/>
        </w:trPr>
        <w:tc>
          <w:tcPr>
            <w:cnfStyle w:val="001000000000" w:firstRow="0" w:lastRow="0" w:firstColumn="1" w:lastColumn="0" w:oddVBand="0" w:evenVBand="0" w:oddHBand="0" w:evenHBand="0" w:firstRowFirstColumn="0" w:firstRowLastColumn="0" w:lastRowFirstColumn="0" w:lastRowLastColumn="0"/>
            <w:tcW w:w="1662" w:type="dxa"/>
          </w:tcPr>
          <w:p w14:paraId="1EBCA562" w14:textId="3BAF1396" w:rsidR="00A91631" w:rsidRDefault="00A91631" w:rsidP="00A91631">
            <w:pPr>
              <w:rPr>
                <w:lang w:val="en-US"/>
              </w:rPr>
            </w:pPr>
            <w:bookmarkStart w:id="9" w:name="_Hlk152225922"/>
            <w:r>
              <w:rPr>
                <w:lang w:val="en-US"/>
              </w:rPr>
              <w:t>Prep Eligibility</w:t>
            </w:r>
          </w:p>
        </w:tc>
        <w:tc>
          <w:tcPr>
            <w:tcW w:w="4434" w:type="dxa"/>
          </w:tcPr>
          <w:p w14:paraId="2797DFDA" w14:textId="438B6E06" w:rsidR="00A91631" w:rsidRPr="0055391D" w:rsidRDefault="00A91631" w:rsidP="00A91631">
            <w:pPr>
              <w:cnfStyle w:val="000000100000" w:firstRow="0" w:lastRow="0" w:firstColumn="0" w:lastColumn="0" w:oddVBand="0" w:evenVBand="0" w:oddHBand="1" w:evenHBand="0" w:firstRowFirstColumn="0" w:firstRowLastColumn="0" w:lastRowFirstColumn="0" w:lastRowLastColumn="0"/>
              <w:rPr>
                <w:b/>
                <w:bCs/>
                <w:lang w:val="en-US"/>
              </w:rPr>
            </w:pPr>
            <w:r w:rsidRPr="0055391D">
              <w:rPr>
                <w:b/>
                <w:bCs/>
                <w:lang w:val="en-US"/>
              </w:rPr>
              <w:t>Proportion of one-off partnerships among persons with at least 1 casual partner</w:t>
            </w:r>
          </w:p>
        </w:tc>
        <w:tc>
          <w:tcPr>
            <w:tcW w:w="1559" w:type="dxa"/>
          </w:tcPr>
          <w:p w14:paraId="462164C9" w14:textId="38C6397A" w:rsidR="00A91631" w:rsidRDefault="00A91631" w:rsidP="00A91631">
            <w:pPr>
              <w:cnfStyle w:val="000000100000" w:firstRow="0" w:lastRow="0" w:firstColumn="0" w:lastColumn="0" w:oddVBand="0" w:evenVBand="0" w:oddHBand="1" w:evenHBand="0" w:firstRowFirstColumn="0" w:firstRowLastColumn="0" w:lastRowFirstColumn="0" w:lastRowLastColumn="0"/>
              <w:rPr>
                <w:lang w:val="en-US"/>
              </w:rPr>
            </w:pPr>
            <w:r>
              <w:rPr>
                <w:lang w:val="en-US"/>
              </w:rPr>
              <w:t>69.14%</w:t>
            </w:r>
          </w:p>
        </w:tc>
        <w:tc>
          <w:tcPr>
            <w:tcW w:w="1559" w:type="dxa"/>
          </w:tcPr>
          <w:p w14:paraId="0A24581A" w14:textId="7FCB1D0D" w:rsidR="00A91631" w:rsidRDefault="00A91631" w:rsidP="00A91631">
            <w:pPr>
              <w:cnfStyle w:val="000000100000" w:firstRow="0" w:lastRow="0" w:firstColumn="0" w:lastColumn="0" w:oddVBand="0" w:evenVBand="0" w:oddHBand="1" w:evenHBand="0" w:firstRowFirstColumn="0" w:firstRowLastColumn="0" w:lastRowFirstColumn="0" w:lastRowLastColumn="0"/>
              <w:rPr>
                <w:lang w:val="en-US"/>
              </w:rPr>
            </w:pPr>
            <w:r>
              <w:rPr>
                <w:lang w:val="en-US"/>
              </w:rPr>
              <w:t>54.48%</w:t>
            </w:r>
          </w:p>
        </w:tc>
      </w:tr>
      <w:bookmarkEnd w:id="9"/>
      <w:tr w:rsidR="00A91631" w14:paraId="3E0D3CAD" w14:textId="77777777" w:rsidTr="00663D8D">
        <w:trPr>
          <w:trHeight w:val="550"/>
        </w:trPr>
        <w:tc>
          <w:tcPr>
            <w:cnfStyle w:val="001000000000" w:firstRow="0" w:lastRow="0" w:firstColumn="1" w:lastColumn="0" w:oddVBand="0" w:evenVBand="0" w:oddHBand="0" w:evenHBand="0" w:firstRowFirstColumn="0" w:firstRowLastColumn="0" w:lastRowFirstColumn="0" w:lastRowLastColumn="0"/>
            <w:tcW w:w="1662" w:type="dxa"/>
          </w:tcPr>
          <w:p w14:paraId="6EDBE0B7" w14:textId="04DB3F6E" w:rsidR="00A91631" w:rsidRDefault="00A91631" w:rsidP="00A91631">
            <w:pPr>
              <w:rPr>
                <w:lang w:val="en-US"/>
              </w:rPr>
            </w:pPr>
          </w:p>
        </w:tc>
        <w:tc>
          <w:tcPr>
            <w:tcW w:w="4434" w:type="dxa"/>
          </w:tcPr>
          <w:p w14:paraId="5264BC62" w14:textId="5708A383" w:rsidR="00A91631" w:rsidRPr="0055391D" w:rsidRDefault="00A91631" w:rsidP="00A91631">
            <w:pPr>
              <w:cnfStyle w:val="000000000000" w:firstRow="0" w:lastRow="0" w:firstColumn="0" w:lastColumn="0" w:oddVBand="0" w:evenVBand="0" w:oddHBand="0" w:evenHBand="0" w:firstRowFirstColumn="0" w:firstRowLastColumn="0" w:lastRowFirstColumn="0" w:lastRowLastColumn="0"/>
              <w:rPr>
                <w:b/>
                <w:bCs/>
                <w:lang w:val="en-US"/>
              </w:rPr>
            </w:pPr>
            <w:r w:rsidRPr="0055391D">
              <w:rPr>
                <w:b/>
                <w:bCs/>
                <w:lang w:val="en-US"/>
              </w:rPr>
              <w:t>Proportion of concurrent one-off partners</w:t>
            </w:r>
          </w:p>
        </w:tc>
        <w:tc>
          <w:tcPr>
            <w:tcW w:w="1559" w:type="dxa"/>
          </w:tcPr>
          <w:p w14:paraId="0448C0C6" w14:textId="08738291" w:rsidR="00A91631" w:rsidRDefault="00A91631" w:rsidP="00A91631">
            <w:pPr>
              <w:cnfStyle w:val="000000000000" w:firstRow="0" w:lastRow="0" w:firstColumn="0" w:lastColumn="0" w:oddVBand="0" w:evenVBand="0" w:oddHBand="0" w:evenHBand="0" w:firstRowFirstColumn="0" w:firstRowLastColumn="0" w:lastRowFirstColumn="0" w:lastRowLastColumn="0"/>
              <w:rPr>
                <w:lang w:val="en-US"/>
              </w:rPr>
            </w:pPr>
            <w:r>
              <w:rPr>
                <w:lang w:val="en-US"/>
              </w:rPr>
              <w:t>57.89%</w:t>
            </w:r>
          </w:p>
        </w:tc>
        <w:tc>
          <w:tcPr>
            <w:tcW w:w="1559" w:type="dxa"/>
          </w:tcPr>
          <w:p w14:paraId="76181BCE" w14:textId="6056CD01" w:rsidR="00A91631" w:rsidRDefault="00A91631" w:rsidP="00A91631">
            <w:pPr>
              <w:cnfStyle w:val="000000000000" w:firstRow="0" w:lastRow="0" w:firstColumn="0" w:lastColumn="0" w:oddVBand="0" w:evenVBand="0" w:oddHBand="0" w:evenHBand="0" w:firstRowFirstColumn="0" w:firstRowLastColumn="0" w:lastRowFirstColumn="0" w:lastRowLastColumn="0"/>
              <w:rPr>
                <w:lang w:val="en-US"/>
              </w:rPr>
            </w:pPr>
            <w:r>
              <w:rPr>
                <w:lang w:val="en-US"/>
              </w:rPr>
              <w:t>43.59%</w:t>
            </w:r>
          </w:p>
        </w:tc>
      </w:tr>
      <w:tr w:rsidR="00434F27" w14:paraId="29CD2AE3" w14:textId="77777777" w:rsidTr="00663D8D">
        <w:trPr>
          <w:cnfStyle w:val="000000100000" w:firstRow="0" w:lastRow="0" w:firstColumn="0" w:lastColumn="0" w:oddVBand="0" w:evenVBand="0" w:oddHBand="1" w:evenHBand="0" w:firstRowFirstColumn="0" w:firstRowLastColumn="0" w:lastRowFirstColumn="0" w:lastRowLastColumn="0"/>
          <w:trHeight w:val="1101"/>
        </w:trPr>
        <w:tc>
          <w:tcPr>
            <w:cnfStyle w:val="001000000000" w:firstRow="0" w:lastRow="0" w:firstColumn="1" w:lastColumn="0" w:oddVBand="0" w:evenVBand="0" w:oddHBand="0" w:evenHBand="0" w:firstRowFirstColumn="0" w:firstRowLastColumn="0" w:lastRowFirstColumn="0" w:lastRowLastColumn="0"/>
            <w:tcW w:w="1662" w:type="dxa"/>
          </w:tcPr>
          <w:p w14:paraId="751AABB5" w14:textId="2133E88B" w:rsidR="00434F27" w:rsidRDefault="00434F27" w:rsidP="00434F27">
            <w:pPr>
              <w:rPr>
                <w:lang w:val="en-US"/>
              </w:rPr>
            </w:pPr>
            <w:r>
              <w:rPr>
                <w:lang w:val="en-US"/>
              </w:rPr>
              <w:t xml:space="preserve">More than </w:t>
            </w:r>
            <w:r w:rsidRPr="00226F8D">
              <w:rPr>
                <w:lang w:val="en-US"/>
              </w:rPr>
              <w:t>1</w:t>
            </w:r>
            <w:r w:rsidRPr="00226F8D">
              <w:t>5 partners</w:t>
            </w:r>
          </w:p>
        </w:tc>
        <w:tc>
          <w:tcPr>
            <w:tcW w:w="4434" w:type="dxa"/>
          </w:tcPr>
          <w:p w14:paraId="1B3A422E" w14:textId="0FC53D74" w:rsidR="00434F27" w:rsidRPr="00A91631" w:rsidRDefault="00434F27" w:rsidP="00434F27">
            <w:pPr>
              <w:cnfStyle w:val="000000100000" w:firstRow="0" w:lastRow="0" w:firstColumn="0" w:lastColumn="0" w:oddVBand="0" w:evenVBand="0" w:oddHBand="1" w:evenHBand="0" w:firstRowFirstColumn="0" w:firstRowLastColumn="0" w:lastRowFirstColumn="0" w:lastRowLastColumn="0"/>
              <w:rPr>
                <w:b/>
                <w:bCs/>
                <w:lang w:val="en-US"/>
              </w:rPr>
            </w:pPr>
            <w:r w:rsidRPr="00CF4F1C">
              <w:rPr>
                <w:b/>
                <w:bCs/>
                <w:lang w:val="en-US"/>
              </w:rPr>
              <w:t>Proportion of one-off partnerships among persons with at least 1 casual partner</w:t>
            </w:r>
          </w:p>
        </w:tc>
        <w:tc>
          <w:tcPr>
            <w:tcW w:w="1559" w:type="dxa"/>
          </w:tcPr>
          <w:p w14:paraId="2509A944" w14:textId="3BCF7DE9" w:rsidR="00434F27" w:rsidRDefault="00434F27" w:rsidP="00434F27">
            <w:pPr>
              <w:cnfStyle w:val="000000100000" w:firstRow="0" w:lastRow="0" w:firstColumn="0" w:lastColumn="0" w:oddVBand="0" w:evenVBand="0" w:oddHBand="1" w:evenHBand="0" w:firstRowFirstColumn="0" w:firstRowLastColumn="0" w:lastRowFirstColumn="0" w:lastRowLastColumn="0"/>
              <w:rPr>
                <w:lang w:val="en-US"/>
              </w:rPr>
            </w:pPr>
            <w:r>
              <w:rPr>
                <w:lang w:val="en-US"/>
              </w:rPr>
              <w:t>65.49 %</w:t>
            </w:r>
          </w:p>
        </w:tc>
        <w:tc>
          <w:tcPr>
            <w:tcW w:w="1559" w:type="dxa"/>
          </w:tcPr>
          <w:p w14:paraId="7EAF6546" w14:textId="5C9B9265" w:rsidR="00434F27" w:rsidRDefault="00434F27" w:rsidP="00434F27">
            <w:pPr>
              <w:cnfStyle w:val="000000100000" w:firstRow="0" w:lastRow="0" w:firstColumn="0" w:lastColumn="0" w:oddVBand="0" w:evenVBand="0" w:oddHBand="1" w:evenHBand="0" w:firstRowFirstColumn="0" w:firstRowLastColumn="0" w:lastRowFirstColumn="0" w:lastRowLastColumn="0"/>
              <w:rPr>
                <w:lang w:val="en-US"/>
              </w:rPr>
            </w:pPr>
            <w:r>
              <w:rPr>
                <w:lang w:val="en-US"/>
              </w:rPr>
              <w:t>58.64 %</w:t>
            </w:r>
          </w:p>
        </w:tc>
      </w:tr>
      <w:tr w:rsidR="00A91631" w14:paraId="7F3F7799" w14:textId="77777777" w:rsidTr="00663D8D">
        <w:trPr>
          <w:trHeight w:val="550"/>
        </w:trPr>
        <w:tc>
          <w:tcPr>
            <w:cnfStyle w:val="001000000000" w:firstRow="0" w:lastRow="0" w:firstColumn="1" w:lastColumn="0" w:oddVBand="0" w:evenVBand="0" w:oddHBand="0" w:evenHBand="0" w:firstRowFirstColumn="0" w:firstRowLastColumn="0" w:lastRowFirstColumn="0" w:lastRowLastColumn="0"/>
            <w:tcW w:w="1662" w:type="dxa"/>
          </w:tcPr>
          <w:p w14:paraId="1DA26B50" w14:textId="77777777" w:rsidR="00A91631" w:rsidRDefault="00A91631" w:rsidP="00A91631">
            <w:pPr>
              <w:rPr>
                <w:lang w:val="en-US"/>
              </w:rPr>
            </w:pPr>
          </w:p>
        </w:tc>
        <w:tc>
          <w:tcPr>
            <w:tcW w:w="4434" w:type="dxa"/>
          </w:tcPr>
          <w:p w14:paraId="7AFBA0B2" w14:textId="40DC15C1" w:rsidR="00A91631" w:rsidRPr="00CF4F1C" w:rsidRDefault="00A91631" w:rsidP="00A91631">
            <w:pPr>
              <w:cnfStyle w:val="000000000000" w:firstRow="0" w:lastRow="0" w:firstColumn="0" w:lastColumn="0" w:oddVBand="0" w:evenVBand="0" w:oddHBand="0" w:evenHBand="0" w:firstRowFirstColumn="0" w:firstRowLastColumn="0" w:lastRowFirstColumn="0" w:lastRowLastColumn="0"/>
              <w:rPr>
                <w:b/>
                <w:bCs/>
                <w:lang w:val="en-US"/>
              </w:rPr>
            </w:pPr>
            <w:r w:rsidRPr="00CF4F1C">
              <w:rPr>
                <w:b/>
                <w:bCs/>
                <w:lang w:val="en-US"/>
              </w:rPr>
              <w:t>Proportion of concurrent one-off partners</w:t>
            </w:r>
          </w:p>
        </w:tc>
        <w:tc>
          <w:tcPr>
            <w:tcW w:w="1559" w:type="dxa"/>
          </w:tcPr>
          <w:p w14:paraId="2250B531" w14:textId="004927D8" w:rsidR="00A91631" w:rsidRDefault="0019055C" w:rsidP="00A91631">
            <w:pPr>
              <w:cnfStyle w:val="000000000000" w:firstRow="0" w:lastRow="0" w:firstColumn="0" w:lastColumn="0" w:oddVBand="0" w:evenVBand="0" w:oddHBand="0" w:evenHBand="0" w:firstRowFirstColumn="0" w:firstRowLastColumn="0" w:lastRowFirstColumn="0" w:lastRowLastColumn="0"/>
              <w:rPr>
                <w:lang w:val="en-US"/>
              </w:rPr>
            </w:pPr>
            <w:r>
              <w:rPr>
                <w:lang w:val="en-US"/>
              </w:rPr>
              <w:t>51.85 %</w:t>
            </w:r>
          </w:p>
        </w:tc>
        <w:tc>
          <w:tcPr>
            <w:tcW w:w="1559" w:type="dxa"/>
          </w:tcPr>
          <w:p w14:paraId="0D43DB44" w14:textId="521402A6" w:rsidR="00A91631" w:rsidRDefault="0019055C" w:rsidP="00A91631">
            <w:pPr>
              <w:cnfStyle w:val="000000000000" w:firstRow="0" w:lastRow="0" w:firstColumn="0" w:lastColumn="0" w:oddVBand="0" w:evenVBand="0" w:oddHBand="0" w:evenHBand="0" w:firstRowFirstColumn="0" w:firstRowLastColumn="0" w:lastRowFirstColumn="0" w:lastRowLastColumn="0"/>
              <w:rPr>
                <w:lang w:val="en-US"/>
              </w:rPr>
            </w:pPr>
            <w:r>
              <w:rPr>
                <w:lang w:val="en-US"/>
              </w:rPr>
              <w:t>48.60 %</w:t>
            </w:r>
          </w:p>
        </w:tc>
      </w:tr>
      <w:tr w:rsidR="00434F27" w14:paraId="4ADA4A85" w14:textId="77777777" w:rsidTr="00663D8D">
        <w:trPr>
          <w:cnfStyle w:val="000000100000" w:firstRow="0" w:lastRow="0" w:firstColumn="0" w:lastColumn="0" w:oddVBand="0" w:evenVBand="0" w:oddHBand="1" w:evenHBand="0" w:firstRowFirstColumn="0" w:firstRowLastColumn="0" w:lastRowFirstColumn="0" w:lastRowLastColumn="0"/>
          <w:trHeight w:val="1101"/>
        </w:trPr>
        <w:tc>
          <w:tcPr>
            <w:cnfStyle w:val="001000000000" w:firstRow="0" w:lastRow="0" w:firstColumn="1" w:lastColumn="0" w:oddVBand="0" w:evenVBand="0" w:oddHBand="0" w:evenHBand="0" w:firstRowFirstColumn="0" w:firstRowLastColumn="0" w:lastRowFirstColumn="0" w:lastRowLastColumn="0"/>
            <w:tcW w:w="1662" w:type="dxa"/>
          </w:tcPr>
          <w:p w14:paraId="4CDFF17D" w14:textId="48801EC9" w:rsidR="00434F27" w:rsidRDefault="00434F27" w:rsidP="00434F27">
            <w:pPr>
              <w:rPr>
                <w:lang w:val="en-US"/>
              </w:rPr>
            </w:pPr>
            <w:r>
              <w:rPr>
                <w:lang w:val="en-US"/>
              </w:rPr>
              <w:t xml:space="preserve">More than </w:t>
            </w:r>
            <w:r w:rsidRPr="00226F8D">
              <w:rPr>
                <w:lang w:val="en-US"/>
              </w:rPr>
              <w:t>1</w:t>
            </w:r>
            <w:r w:rsidRPr="00226F8D">
              <w:t>5</w:t>
            </w:r>
            <w:r>
              <w:t xml:space="preserve"> casual</w:t>
            </w:r>
            <w:r w:rsidRPr="00226F8D">
              <w:t xml:space="preserve"> partners</w:t>
            </w:r>
          </w:p>
        </w:tc>
        <w:tc>
          <w:tcPr>
            <w:tcW w:w="4434" w:type="dxa"/>
          </w:tcPr>
          <w:p w14:paraId="46402984" w14:textId="196FE41A" w:rsidR="00434F27" w:rsidRPr="00CF4F1C" w:rsidRDefault="00434F27" w:rsidP="00434F27">
            <w:pPr>
              <w:cnfStyle w:val="000000100000" w:firstRow="0" w:lastRow="0" w:firstColumn="0" w:lastColumn="0" w:oddVBand="0" w:evenVBand="0" w:oddHBand="1" w:evenHBand="0" w:firstRowFirstColumn="0" w:firstRowLastColumn="0" w:lastRowFirstColumn="0" w:lastRowLastColumn="0"/>
              <w:rPr>
                <w:b/>
                <w:bCs/>
                <w:lang w:val="en-US"/>
              </w:rPr>
            </w:pPr>
            <w:r w:rsidRPr="00CF4F1C">
              <w:rPr>
                <w:b/>
                <w:bCs/>
                <w:lang w:val="en-US"/>
              </w:rPr>
              <w:t>Proportion of one-off partnerships among persons with at least 1 casual partner</w:t>
            </w:r>
          </w:p>
        </w:tc>
        <w:tc>
          <w:tcPr>
            <w:tcW w:w="1559" w:type="dxa"/>
          </w:tcPr>
          <w:p w14:paraId="26859661" w14:textId="2097F7B4" w:rsidR="00434F27" w:rsidRDefault="00434F27" w:rsidP="00434F27">
            <w:pPr>
              <w:cnfStyle w:val="000000100000" w:firstRow="0" w:lastRow="0" w:firstColumn="0" w:lastColumn="0" w:oddVBand="0" w:evenVBand="0" w:oddHBand="1" w:evenHBand="0" w:firstRowFirstColumn="0" w:firstRowLastColumn="0" w:lastRowFirstColumn="0" w:lastRowLastColumn="0"/>
              <w:rPr>
                <w:lang w:val="en-US"/>
              </w:rPr>
            </w:pPr>
            <w:r>
              <w:rPr>
                <w:lang w:val="en-US"/>
              </w:rPr>
              <w:t>64.40 %</w:t>
            </w:r>
          </w:p>
        </w:tc>
        <w:tc>
          <w:tcPr>
            <w:tcW w:w="1559" w:type="dxa"/>
          </w:tcPr>
          <w:p w14:paraId="6DE6D084" w14:textId="50CB4EB5" w:rsidR="00434F27" w:rsidRDefault="00434F27" w:rsidP="00434F27">
            <w:pPr>
              <w:cnfStyle w:val="000000100000" w:firstRow="0" w:lastRow="0" w:firstColumn="0" w:lastColumn="0" w:oddVBand="0" w:evenVBand="0" w:oddHBand="1" w:evenHBand="0" w:firstRowFirstColumn="0" w:firstRowLastColumn="0" w:lastRowFirstColumn="0" w:lastRowLastColumn="0"/>
              <w:rPr>
                <w:lang w:val="en-US"/>
              </w:rPr>
            </w:pPr>
            <w:r>
              <w:rPr>
                <w:lang w:val="en-US"/>
              </w:rPr>
              <w:t>59.04 %</w:t>
            </w:r>
          </w:p>
        </w:tc>
      </w:tr>
      <w:tr w:rsidR="00434F27" w:rsidRPr="0019055C" w14:paraId="5E1D909F" w14:textId="77777777" w:rsidTr="00663D8D">
        <w:trPr>
          <w:trHeight w:val="550"/>
        </w:trPr>
        <w:tc>
          <w:tcPr>
            <w:cnfStyle w:val="001000000000" w:firstRow="0" w:lastRow="0" w:firstColumn="1" w:lastColumn="0" w:oddVBand="0" w:evenVBand="0" w:oddHBand="0" w:evenHBand="0" w:firstRowFirstColumn="0" w:firstRowLastColumn="0" w:lastRowFirstColumn="0" w:lastRowLastColumn="0"/>
            <w:tcW w:w="1662" w:type="dxa"/>
          </w:tcPr>
          <w:p w14:paraId="2AF6F8D3" w14:textId="77777777" w:rsidR="00434F27" w:rsidRDefault="00434F27" w:rsidP="00434F27">
            <w:pPr>
              <w:rPr>
                <w:lang w:val="en-US"/>
              </w:rPr>
            </w:pPr>
          </w:p>
        </w:tc>
        <w:tc>
          <w:tcPr>
            <w:tcW w:w="4434" w:type="dxa"/>
          </w:tcPr>
          <w:p w14:paraId="5FB479C9" w14:textId="1C4AAAFB" w:rsidR="00434F27" w:rsidRPr="00CF4F1C" w:rsidRDefault="00434F27" w:rsidP="00434F27">
            <w:pPr>
              <w:cnfStyle w:val="000000000000" w:firstRow="0" w:lastRow="0" w:firstColumn="0" w:lastColumn="0" w:oddVBand="0" w:evenVBand="0" w:oddHBand="0" w:evenHBand="0" w:firstRowFirstColumn="0" w:firstRowLastColumn="0" w:lastRowFirstColumn="0" w:lastRowLastColumn="0"/>
              <w:rPr>
                <w:b/>
                <w:bCs/>
                <w:lang w:val="en-US"/>
              </w:rPr>
            </w:pPr>
            <w:r w:rsidRPr="00CF4F1C">
              <w:rPr>
                <w:b/>
                <w:bCs/>
                <w:lang w:val="en-US"/>
              </w:rPr>
              <w:t>Proportion of concurrent one-off partners</w:t>
            </w:r>
          </w:p>
        </w:tc>
        <w:tc>
          <w:tcPr>
            <w:tcW w:w="1559" w:type="dxa"/>
          </w:tcPr>
          <w:p w14:paraId="29B10AA2" w14:textId="33CF2BDB" w:rsidR="00434F27" w:rsidRDefault="00434F27" w:rsidP="00434F27">
            <w:pPr>
              <w:cnfStyle w:val="000000000000" w:firstRow="0" w:lastRow="0" w:firstColumn="0" w:lastColumn="0" w:oddVBand="0" w:evenVBand="0" w:oddHBand="0" w:evenHBand="0" w:firstRowFirstColumn="0" w:firstRowLastColumn="0" w:lastRowFirstColumn="0" w:lastRowLastColumn="0"/>
              <w:rPr>
                <w:lang w:val="en-US"/>
              </w:rPr>
            </w:pPr>
            <w:r>
              <w:rPr>
                <w:lang w:val="en-US"/>
              </w:rPr>
              <w:t>40.00 %</w:t>
            </w:r>
          </w:p>
        </w:tc>
        <w:tc>
          <w:tcPr>
            <w:tcW w:w="1559" w:type="dxa"/>
          </w:tcPr>
          <w:p w14:paraId="07F1B0F0" w14:textId="366ED075" w:rsidR="00434F27" w:rsidRDefault="00434F27" w:rsidP="00434F27">
            <w:pPr>
              <w:cnfStyle w:val="000000000000" w:firstRow="0" w:lastRow="0" w:firstColumn="0" w:lastColumn="0" w:oddVBand="0" w:evenVBand="0" w:oddHBand="0" w:evenHBand="0" w:firstRowFirstColumn="0" w:firstRowLastColumn="0" w:lastRowFirstColumn="0" w:lastRowLastColumn="0"/>
              <w:rPr>
                <w:lang w:val="en-US"/>
              </w:rPr>
            </w:pPr>
            <w:r>
              <w:rPr>
                <w:lang w:val="en-US"/>
              </w:rPr>
              <w:t>52.53%</w:t>
            </w:r>
          </w:p>
        </w:tc>
      </w:tr>
    </w:tbl>
    <w:p w14:paraId="053119E1" w14:textId="77777777" w:rsidR="00350F66" w:rsidRDefault="00350F66" w:rsidP="005577CE">
      <w:pPr>
        <w:rPr>
          <w:lang w:val="en-US"/>
        </w:rPr>
      </w:pPr>
    </w:p>
    <w:p w14:paraId="1DC3884A" w14:textId="77777777" w:rsidR="00350F66" w:rsidRDefault="00350F66" w:rsidP="005577CE">
      <w:pPr>
        <w:rPr>
          <w:lang w:val="en-US"/>
        </w:rPr>
      </w:pPr>
    </w:p>
    <w:p w14:paraId="2C8366C7" w14:textId="77777777" w:rsidR="00350F66" w:rsidRDefault="00350F66" w:rsidP="005577CE">
      <w:pPr>
        <w:rPr>
          <w:lang w:val="en-US"/>
        </w:rPr>
      </w:pPr>
    </w:p>
    <w:p w14:paraId="4C546FE9" w14:textId="709FD0CD" w:rsidR="00331D70" w:rsidRDefault="00EE2533" w:rsidP="005577CE">
      <w:pPr>
        <w:rPr>
          <w:lang w:val="en-US"/>
        </w:rPr>
      </w:pPr>
      <w:r w:rsidRPr="005342A5">
        <w:rPr>
          <w:lang w:val="en-US"/>
        </w:rPr>
        <w:t xml:space="preserve">For both </w:t>
      </w:r>
      <w:r w:rsidR="000C6DB4">
        <w:rPr>
          <w:lang w:val="en-US"/>
        </w:rPr>
        <w:t>steady</w:t>
      </w:r>
      <w:r w:rsidRPr="005342A5">
        <w:rPr>
          <w:lang w:val="en-US"/>
        </w:rPr>
        <w:t xml:space="preserve"> and </w:t>
      </w:r>
      <w:r w:rsidR="00D9246A">
        <w:rPr>
          <w:lang w:val="en-US"/>
        </w:rPr>
        <w:t xml:space="preserve">persistent </w:t>
      </w:r>
      <w:r w:rsidRPr="005342A5">
        <w:rPr>
          <w:lang w:val="en-US"/>
        </w:rPr>
        <w:t>casual partnerships, there was a constant hazard of relationship dissolution</w:t>
      </w:r>
      <w:r w:rsidR="00D9246A">
        <w:rPr>
          <w:lang w:val="en-US"/>
        </w:rPr>
        <w:t xml:space="preserve">, </w:t>
      </w:r>
      <w:r w:rsidRPr="005342A5">
        <w:rPr>
          <w:lang w:val="en-US"/>
        </w:rPr>
        <w:t>modeled as a memoryless process</w:t>
      </w:r>
      <w:r w:rsidR="00D9246A">
        <w:rPr>
          <w:lang w:val="en-US"/>
        </w:rPr>
        <w:t xml:space="preserve">. For </w:t>
      </w:r>
      <w:r w:rsidR="000C6DB4">
        <w:rPr>
          <w:lang w:val="en-US"/>
        </w:rPr>
        <w:t>steady</w:t>
      </w:r>
      <w:r w:rsidR="00D9246A">
        <w:rPr>
          <w:lang w:val="en-US"/>
        </w:rPr>
        <w:t xml:space="preserve"> partnerships, we used a constant hazard depending on the number of total number of partnerships present in the network. For casual partners, the dissolution of partnerships</w:t>
      </w:r>
      <w:r w:rsidRPr="005342A5">
        <w:rPr>
          <w:lang w:val="en-US"/>
        </w:rPr>
        <w:t xml:space="preserve"> depending on the </w:t>
      </w:r>
      <w:r>
        <w:rPr>
          <w:lang w:val="en-US"/>
        </w:rPr>
        <w:t>group of the two partners in a dyad (different for the HA- and LA-MSM)</w:t>
      </w:r>
      <w:r w:rsidRPr="005342A5">
        <w:rPr>
          <w:lang w:val="en-US"/>
        </w:rPr>
        <w:t>.</w:t>
      </w:r>
      <w:r>
        <w:rPr>
          <w:lang w:val="en-US"/>
        </w:rPr>
        <w:t xml:space="preserve"> </w:t>
      </w:r>
      <w:r w:rsidR="00980E13">
        <w:rPr>
          <w:lang w:val="en-US"/>
        </w:rPr>
        <w:t xml:space="preserve">The duration of one-off partnerships was set to 1 day. </w:t>
      </w:r>
      <w:bookmarkEnd w:id="8"/>
    </w:p>
    <w:p w14:paraId="593D6BAF" w14:textId="511ADEEE" w:rsidR="00886321" w:rsidRPr="00791D24" w:rsidRDefault="00791D24" w:rsidP="00791D24">
      <w:pPr>
        <w:pStyle w:val="Heading3"/>
        <w:rPr>
          <w:rFonts w:asciiTheme="minorHAnsi" w:hAnsiTheme="minorHAnsi" w:cstheme="minorHAnsi"/>
          <w:color w:val="auto"/>
          <w:lang w:val="en-US"/>
        </w:rPr>
      </w:pPr>
      <w:r>
        <w:rPr>
          <w:rFonts w:asciiTheme="minorHAnsi" w:hAnsiTheme="minorHAnsi" w:cstheme="minorHAnsi"/>
          <w:color w:val="auto"/>
          <w:lang w:val="en-US"/>
        </w:rPr>
        <w:t xml:space="preserve">3.4. </w:t>
      </w:r>
      <w:r w:rsidR="00886321" w:rsidRPr="00791D24">
        <w:rPr>
          <w:rFonts w:asciiTheme="minorHAnsi" w:hAnsiTheme="minorHAnsi" w:cstheme="minorHAnsi"/>
          <w:color w:val="auto"/>
          <w:lang w:val="en-US"/>
        </w:rPr>
        <w:t>Homophily in partnership formation by group</w:t>
      </w:r>
    </w:p>
    <w:p w14:paraId="24590E71" w14:textId="219FF643" w:rsidR="00886321" w:rsidRPr="005342A5" w:rsidRDefault="00886321" w:rsidP="00886321">
      <w:pPr>
        <w:rPr>
          <w:lang w:val="en-US"/>
        </w:rPr>
      </w:pPr>
      <w:bookmarkStart w:id="10" w:name="_Hlk152150978"/>
      <w:r w:rsidRPr="005342A5">
        <w:rPr>
          <w:lang w:val="en-US"/>
        </w:rPr>
        <w:t>The role of homophily, or tendency of people to form sexual partnerships or other kind of social bonds with persons similar to them in terms of various characteristics has been well established in the social network literature</w:t>
      </w:r>
      <w:r w:rsidRPr="005342A5">
        <w:rPr>
          <w:lang w:val="en-US"/>
        </w:rPr>
        <w:fldChar w:fldCharType="begin" w:fldLock="1"/>
      </w:r>
      <w:r w:rsidR="00702287">
        <w:rPr>
          <w:lang w:val="en-US"/>
        </w:rPr>
        <w:instrText>ADDIN CSL_CITATION {"citationItems":[{"id":"ITEM-1","itemData":{"DOI":"10.1016/j.stamet.2011.01.005","ISSN":"15723127","abstract":"Exponential-family random graph models (ERGMs) provide a principled way to model and simulate features common in human social networks, such as propensities for homophily and friend-of-a-friend triad closure. We show that, without adjustment, ERGMs preserve density as network size increases. Density invariance is often not appropriate for social networks. We suggest a simple modification based on an offset which instead preserves the mean degree and accommodates changes in network composition asymptotically. We demonstrate that this approach allows ERGMs to be applied to the important situation of egocentrically sampled data. We analyze data from the National Health and Social Life Survey (NHSLS). © 2011 Elsevier B.V.","author":[{"dropping-particle":"","family":"Krivitsky","given":"Pavel N.","non-dropping-particle":"","parse-names":false,"suffix":""},{"dropping-particle":"","family":"Handcock","given":"Mark S.","non-dropping-particle":"","parse-names":false,"suffix":""},{"dropping-particle":"","family":"Morris","given":"Martina","non-dropping-particle":"","parse-names":false,"suffix":""}],"container-title":"Statistical Methodology","id":"ITEM-1","issue":"4","issued":{"date-parts":[["2011"]]},"page":"319-339","title":"Adjusting for network size and composition effects in exponential-family random graph models","type":"article-journal","volume":"8"},"uris":["http://www.mendeley.com/documents/?uuid=0e641ab0-5b1d-42cb-b8d1-cc936e18bcf9"]},{"id":"ITEM-2","itemData":{"DOI":"10.3390/ijerph16224322","ISSN":"16604601","PMID":"31698801","abstract":"Due to multiple sexual partners and low rates of condom use, the HIV infection rate among MSM (men who have sex with men) is much higher than that of the general population. In order to analyze the characteristics of online activities of MSM, and to understand the evolution of their social networks, in this study we collect a comprehensive dataset, covering the period from January 2005 to June 2018, from the largest Chinese online community, Baidu Tieba. We build an online dating network for MSM-related individuals in the gay-bar community, and analyze the network from static and dynamic aspects. It is found that there is a strong homophily regarding the cities where users reside when developing interactions with others, and that most network measurements tend to be stable at the later stages of evolution, while the size of the largest community fluctuates. This is an indication that the network is formed of rapidly flexible interactions which changes quickly. In comparison with studies on heterosexual networks, we find that the MSM dating network shows differences in many aspects, such as the positive degree-degree correlation and high clustering coefficient, suggesting different thinking and measures should be taken in the policy making of public health management towards the MSM population.","author":[{"dropping-particle":"","family":"Liu","given":"Chuchu","non-dropping-particle":"","parse-names":false,"suffix":""},{"dropping-particle":"","family":"Lu","given":"Xin","non-dropping-particle":"","parse-names":false,"suffix":""}],"container-title":"International Journal of Environmental Research and Public Health","id":"ITEM-2","issue":"22","issued":{"date-parts":[["2019"]]},"title":"Network evolution of a large online MSM dating community: 2005–2018","type":"article-journal","volume":"16"},"uris":["http://www.mendeley.com/documents/?uuid=d1adc8a2-7030-406b-b777-c45816f6203e"]},{"id":"ITEM-3","itemData":{"abstract":"Biases in meeting opportunities have been recently shown to play a key role for the emergence of homophily in social networks (see Currarini, Jackson and Pin 2009). The aim of this paper is to provide a simple microfoundation of these biases in a model where the size and type-composition of the meeting pools are shaped by agents' socialization decisions. In particular, agents either inbreed (direct search only to similar types) or outbreed (direct search to population at large). When outbreeding is costly, this is shown to induce stark equilibrium behavior of a threshold type: agents \" inbreed \" (i.e. mostly meet their own type) if, and only if, their group is above certain size. We show that this threshold equilibrium generates patterns of in-group and cross-group ties that are consistent with empirical evidence of homophily in two paradigmatic instances: high school friendships and interethnic marriages.","author":[{"dropping-particle":"","family":"Currarini","given":"Sergio","non-dropping-particle":"","parse-names":false,"suffix":""},{"dropping-particle":"","family":"Vega Redondo","given":"Fernando","non-dropping-particle":"","parse-names":false,"suffix":""}],"id":"ITEM-3","issue":"16","issued":{"date-parts":[["2011"]]},"title":"A Simple Model of Homophily in Social Networks Department of Economics A Simple Model of Homophily in Social Networks","type":"article-journal"},"uris":["http://www.mendeley.com/documents/?uuid=9817ed37-53d8-4a6e-ba97-6c1799d7f632","http://www.mendeley.com/documents/?uuid=201d080b-f9ca-4f7c-b260-ae2b4f559dfb","http://www.mendeley.com/documents/?uuid=0efd707d-e71e-4f3d-aecc-9ae73938c49c"]},{"id":"ITEM-4","itemData":{"DOI":"10.1109/TNSE.2021.3085984","ISSN":"23274697","abstract":"Traditional survey-based methods are limited in the sample size and inference ability for the study of men who have sex with men (MSM), one of the most vulnerable groups at increased risk of HIV. Internet data, on the other hand, have provided publicly accessible information about such groups at unprecedented scale and resolution. Here we present statistics for the user demographics characteristics in the world's largest MSM geosocial networking application, Blued, and analyze the social network structure with 11,408,872 nodes and 838,910,078 edges extracted from user-following relationships on Blued. Network features, such as degree distribution, reciprocity, degree assortativity, homophily, and community are studied. We find that, in contrast to earlier analyses on social networks of general populations, the MSM social network is disassortative and shows extremely low reciprocity. Users in their twenties are excessively followed by users from all age groups, and network homophily for age and country are strong.","author":[{"dropping-particle":"","family":"Cai","given":"Mengsi","non-dropping-particle":"","parse-names":false,"suffix":""},{"dropping-particle":"","family":"Huang","given":"Ge","non-dropping-particle":"","parse-names":false,"suffix":""},{"dropping-particle":"","family":"Kretzschmar","given":"Mirjam E.","non-dropping-particle":"","parse-names":false,"suffix":""},{"dropping-particle":"","family":"Chen","given":"Xiaohong","non-dropping-particle":"","parse-names":false,"suffix":""},{"dropping-particle":"","family":"Lu","given":"Xin","non-dropping-particle":"","parse-names":false,"suffix":""}],"container-title":"IEEE Transactions on Network Science and Engineering","id":"ITEM-4","issue":"3","issued":{"date-parts":[["2021"]]},"page":"2279-2287","title":"Extremely Low Reciprocity and Strong Homophily in the World Largest MSM Social Network","type":"article-journal","volume":"8"},"uris":["http://www.mendeley.com/documents/?uuid=0ac15872-ee69-40fa-a9a5-e02548cdc292"]},{"id":"ITEM-5","itemData":{"DOI":"10.1038/s41598-019-40990-z","ISSN":"20452322","PMID":"30867537","abstract":"We introduce a model for the formation of social networks, which takes into account the homophily or the tendency of individuals to associate and bond with similar others, and the mechanisms of global and local attachment as well as tie reinforcement due to social interactions between people. We generalize the weighted social network model such that the nodes or individuals have F features and each feature can have q different values. Here the tendency for the tie formation between two individuals due to the overlap in their features represents homophily. We find a phase transition as a function of F or q, resulting in a phase diagram. For fixed q and as a function of F the system shows two phases separated at F c . For F &lt; F c large, homogeneous, and well separated communities can be identified within which the features match almost perfectly (segregated phase). When F becomes larger than F c , the nodes start to belong to several communities and within a community the features match only partially (overlapping phase). Several quantities reflect this transition, including the average degree, clustering coefficient, feature overlap, and the number of communities per node. We also make an attempt to interpret these results in terms of observations on social behavior of humans.","author":[{"dropping-particle":"","family":"Murase","given":"Yohsuke","non-dropping-particle":"","parse-names":false,"suffix":""},{"dropping-particle":"","family":"Jo","given":"Hang Hyun","non-dropping-particle":"","parse-names":false,"suffix":""},{"dropping-particle":"","family":"Török","given":"János","non-dropping-particle":"","parse-names":false,"suffix":""},{"dropping-particle":"","family":"Kertész","given":"János","non-dropping-particle":"","parse-names":false,"suffix":""},{"dropping-particle":"","family":"Kaski","given":"Kimmo","non-dropping-particle":"","parse-names":false,"suffix":""}],"container-title":"Scientific Reports","id":"ITEM-5","issue":"1","issued":{"date-parts":[["2019"]]},"page":"1-8","title":"Structural transition in social networks: The role of homophily","type":"article-journal","volume":"9"},"uris":["http://www.mendeley.com/documents/?uuid=1bba5188-d84a-4d73-9cc5-203e763c4de9"]}],"mendeley":{"formattedCitation":"&lt;sup&gt;12–16&lt;/sup&gt;","plainTextFormattedCitation":"12–16","previouslyFormattedCitation":"&lt;sup&gt;22–26&lt;/sup&gt;"},"properties":{"noteIndex":0},"schema":"https://github.com/citation-style-language/schema/raw/master/csl-citation.json"}</w:instrText>
      </w:r>
      <w:r w:rsidRPr="005342A5">
        <w:rPr>
          <w:lang w:val="en-US"/>
        </w:rPr>
        <w:fldChar w:fldCharType="separate"/>
      </w:r>
      <w:r w:rsidR="00702287" w:rsidRPr="00702287">
        <w:rPr>
          <w:noProof/>
          <w:vertAlign w:val="superscript"/>
          <w:lang w:val="en-US"/>
        </w:rPr>
        <w:t>12–16</w:t>
      </w:r>
      <w:r w:rsidRPr="005342A5">
        <w:rPr>
          <w:lang w:val="en-US"/>
        </w:rPr>
        <w:fldChar w:fldCharType="end"/>
      </w:r>
      <w:r w:rsidRPr="005342A5">
        <w:rPr>
          <w:lang w:val="en-US"/>
        </w:rPr>
        <w:t xml:space="preserve">. </w:t>
      </w:r>
    </w:p>
    <w:p w14:paraId="078BB948" w14:textId="294F4DBA" w:rsidR="00886321" w:rsidRPr="005342A5" w:rsidRDefault="00886321" w:rsidP="00886321">
      <w:pPr>
        <w:rPr>
          <w:rFonts w:eastAsiaTheme="minorEastAsia"/>
          <w:lang w:val="en-US"/>
        </w:rPr>
      </w:pPr>
      <w:bookmarkStart w:id="11" w:name="_Hlk152150993"/>
      <w:bookmarkEnd w:id="10"/>
      <w:r w:rsidRPr="005342A5">
        <w:rPr>
          <w:lang w:val="en-US"/>
        </w:rPr>
        <w:t xml:space="preserve">We adopted the </w:t>
      </w:r>
      <w:r w:rsidR="00980E13">
        <w:rPr>
          <w:lang w:val="en-US"/>
        </w:rPr>
        <w:t>premise</w:t>
      </w:r>
      <w:r w:rsidRPr="005342A5">
        <w:rPr>
          <w:lang w:val="en-US"/>
        </w:rPr>
        <w:t xml:space="preserve"> from the paper of Hansson et al</w:t>
      </w:r>
      <w:r w:rsidRPr="005342A5">
        <w:rPr>
          <w:lang w:val="en-US"/>
        </w:rPr>
        <w:fldChar w:fldCharType="begin" w:fldLock="1"/>
      </w:r>
      <w:r w:rsidR="00702287">
        <w:rPr>
          <w:lang w:val="en-US"/>
        </w:rPr>
        <w:instrText>ADDIN CSL_CITATION {"citationItems":[{"id":"ITEM-1","itemData":{"DOI":"10.1136/bmjopen-2019-033852","ISBN":"2019033852","ISSN":"20446055","PMID":"32029492","abstract":"Objectives Since 2017, the Public Health Agency of Sweden recommends that pre-exposure prophylaxis (PrEP) for HIV should be offered to high-risk individuals, in particular to men who have sex with men (MSM). The objective of this study is to develop a mathematical model investigating the effect of introducing PrEP to MSM in Sweden. Design A pair formation model, including steady and casual sex partners, is developed to study the impact of introducing PrEP. Two groups are included in the model: sexually high active MSM and sexually low active MSM. Three mixing assumptions between the groups are considered. Setting A gay-friendly MSM HIV/sexually transmitted infection testing clinic in Stockholm, Sweden. This clinic started offering PrEP to MSM in October 2018. Participants The model is calibrated according to detailed sexual behaviour data gathered in 2015 among 403 MSM. Results By targeting sexually high active MSM, a PrEP coverage of 3.5% of the MSM population (10% of all high actives) would result in the long-term HIV prevalence to drop considerably (close to 0%). While targeting only low actives would require a PrEP coverage of 35% for a similar reduction. The main effect of PrEP is the reduced susceptibility, whereas the increased HIV testing rate (every third month) among PrEP users plays a lesser role. Conclusions To create a multifaceted picture of the effects of interventions against HIV, we need models that include the different stages of HIV infection and real-world data on detailed sexual behaviour to calibrate the mathematical models. Our findings conclude that targeting HIV high-risk individuals, within HIV risk populations such as MSM, with PrEP programmes could greatly decrease the long-term HIV prevalence in Sweden. Therefore, risk stratification of individuals is of importance in PrEP implementation programmes, to ensure optimising the effect and cost-effectiveness of such programmes.","author":[{"dropping-particle":"","family":"Hansson","given":"Disa","non-dropping-particle":"","parse-names":false,"suffix":""},{"dropping-particle":"","family":"Strömdahl","given":"Susanne","non-dropping-particle":"","parse-names":false,"suffix":""},{"dropping-particle":"","family":"Leung","given":"Ka Yin","non-dropping-particle":"","parse-names":false,"suffix":""},{"dropping-particle":"","family":"Britton","given":"Tom","non-dropping-particle":"","parse-names":false,"suffix":""}],"container-title":"BMJ Open","id":"ITEM-1","issue":"2","issued":{"date-parts":[["2020"]]},"title":"Introducing pre-exposure prophylaxis to prevent HIV acquisition among men who have sex with men in Sweden: Insights from a mathematical pair formation model","type":"book","volume":"10"},"uris":["http://www.mendeley.com/documents/?uuid=9f8307bc-afd7-42e8-b465-99bfe7dc1c58"]}],"mendeley":{"formattedCitation":"&lt;sup&gt;11&lt;/sup&gt;","plainTextFormattedCitation":"11","previouslyFormattedCitation":"&lt;sup&gt;18&lt;/sup&gt;"},"properties":{"noteIndex":0},"schema":"https://github.com/citation-style-language/schema/raw/master/csl-citation.json"}</w:instrText>
      </w:r>
      <w:r w:rsidRPr="005342A5">
        <w:rPr>
          <w:lang w:val="en-US"/>
        </w:rPr>
        <w:fldChar w:fldCharType="separate"/>
      </w:r>
      <w:r w:rsidR="00702287" w:rsidRPr="00702287">
        <w:rPr>
          <w:noProof/>
          <w:vertAlign w:val="superscript"/>
          <w:lang w:val="en-US"/>
        </w:rPr>
        <w:t>11</w:t>
      </w:r>
      <w:r w:rsidRPr="005342A5">
        <w:rPr>
          <w:lang w:val="en-US"/>
        </w:rPr>
        <w:fldChar w:fldCharType="end"/>
      </w:r>
      <w:r w:rsidRPr="005342A5">
        <w:rPr>
          <w:lang w:val="en-US"/>
        </w:rPr>
        <w:t xml:space="preserve"> that the number of </w:t>
      </w:r>
      <w:r w:rsidR="00980E13">
        <w:rPr>
          <w:lang w:val="en-US"/>
        </w:rPr>
        <w:t>HA-</w:t>
      </w:r>
      <w:r w:rsidRPr="005342A5">
        <w:rPr>
          <w:lang w:val="en-US"/>
        </w:rPr>
        <w:t xml:space="preserve">individuals having </w:t>
      </w:r>
      <w:r w:rsidR="00980E13">
        <w:rPr>
          <w:lang w:val="en-US"/>
        </w:rPr>
        <w:t>LA-</w:t>
      </w:r>
      <w:r w:rsidRPr="005342A5">
        <w:rPr>
          <w:lang w:val="en-US"/>
        </w:rPr>
        <w:t xml:space="preserve">partners should be the same as the number of </w:t>
      </w:r>
      <w:r w:rsidR="00980E13">
        <w:rPr>
          <w:lang w:val="en-US"/>
        </w:rPr>
        <w:t>LA-</w:t>
      </w:r>
      <w:r w:rsidRPr="005342A5">
        <w:rPr>
          <w:lang w:val="en-US"/>
        </w:rPr>
        <w:t xml:space="preserve">individuals having a </w:t>
      </w:r>
      <w:r w:rsidR="00980E13">
        <w:rPr>
          <w:lang w:val="en-US"/>
        </w:rPr>
        <w:t>HA-</w:t>
      </w:r>
      <w:r w:rsidRPr="005342A5">
        <w:rPr>
          <w:lang w:val="en-US"/>
        </w:rPr>
        <w:t xml:space="preserve">partner within the same MSM population. </w:t>
      </w:r>
      <w:bookmarkEnd w:id="11"/>
      <w:r w:rsidRPr="005342A5">
        <w:rPr>
          <w:lang w:val="en-US"/>
        </w:rPr>
        <w:t xml:space="preserve">This can be written as </w:t>
      </w:r>
    </w:p>
    <w:p w14:paraId="164FA36D" w14:textId="77777777" w:rsidR="00886321" w:rsidRPr="005342A5" w:rsidRDefault="00000000" w:rsidP="00886321">
      <w:pPr>
        <w:jc w:val="center"/>
        <w:rPr>
          <w:lang w:val="en-US"/>
        </w:rPr>
      </w:pPr>
      <m:oMath>
        <m:sSup>
          <m:sSupPr>
            <m:ctrlPr>
              <w:rPr>
                <w:rFonts w:ascii="Cambria Math" w:hAnsi="Cambria Math"/>
                <w:lang w:val="en-US"/>
              </w:rPr>
            </m:ctrlPr>
          </m:sSupPr>
          <m:e>
            <m:r>
              <w:rPr>
                <w:rFonts w:ascii="Cambria Math" w:hAnsi="Cambria Math"/>
                <w:lang w:val="en-US"/>
              </w:rPr>
              <m:t>B</m:t>
            </m:r>
          </m:e>
          <m:sup>
            <m:r>
              <w:rPr>
                <w:rFonts w:ascii="Cambria Math" w:hAnsi="Cambria Math"/>
                <w:lang w:val="en-US"/>
              </w:rPr>
              <m:t>HL</m:t>
            </m:r>
          </m:sup>
        </m:sSup>
        <m:r>
          <m:rPr>
            <m:sty m:val="p"/>
          </m:rPr>
          <w:rPr>
            <w:rFonts w:ascii="Cambria Math" w:hAnsi="Cambria Math"/>
            <w:lang w:val="en-US"/>
          </w:rPr>
          <m:t xml:space="preserve"> = </m:t>
        </m:r>
        <m:sSup>
          <m:sSupPr>
            <m:ctrlPr>
              <w:rPr>
                <w:rFonts w:ascii="Cambria Math" w:hAnsi="Cambria Math"/>
                <w:lang w:val="en-US"/>
              </w:rPr>
            </m:ctrlPr>
          </m:sSupPr>
          <m:e>
            <m:r>
              <w:rPr>
                <w:rFonts w:ascii="Cambria Math" w:hAnsi="Cambria Math"/>
                <w:lang w:val="en-US"/>
              </w:rPr>
              <m:t>B</m:t>
            </m:r>
          </m:e>
          <m:sup>
            <m:r>
              <w:rPr>
                <w:rFonts w:ascii="Cambria Math" w:hAnsi="Cambria Math"/>
                <w:lang w:val="en-US"/>
              </w:rPr>
              <m:t>LH</m:t>
            </m:r>
          </m:sup>
        </m:sSup>
      </m:oMath>
      <w:r w:rsidR="00886321" w:rsidRPr="005342A5">
        <w:rPr>
          <w:rFonts w:eastAsiaTheme="minorEastAsia"/>
          <w:lang w:val="en-US"/>
        </w:rPr>
        <w:t xml:space="preserve"> (1)</w:t>
      </w:r>
      <w:r w:rsidR="00886321" w:rsidRPr="005342A5">
        <w:rPr>
          <w:lang w:val="en-US"/>
        </w:rPr>
        <w:t>,</w:t>
      </w:r>
    </w:p>
    <w:p w14:paraId="1365E49B" w14:textId="2DB9C654" w:rsidR="00484419" w:rsidRDefault="00886321" w:rsidP="00886321">
      <w:pPr>
        <w:rPr>
          <w:lang w:val="en-US"/>
        </w:rPr>
      </w:pPr>
      <w:r w:rsidRPr="005342A5">
        <w:rPr>
          <w:lang w:val="en-US"/>
        </w:rPr>
        <w:t xml:space="preserve">where </w:t>
      </w:r>
      <w:proofErr w:type="spellStart"/>
      <w:r w:rsidRPr="005342A5">
        <w:rPr>
          <w:lang w:val="en-US"/>
        </w:rPr>
        <w:t>B</w:t>
      </w:r>
      <w:r w:rsidRPr="005342A5">
        <w:rPr>
          <w:vertAlign w:val="superscript"/>
          <w:lang w:val="en-US"/>
        </w:rPr>
        <w:t>ij</w:t>
      </w:r>
      <w:proofErr w:type="spellEnd"/>
      <w:r w:rsidRPr="005342A5">
        <w:rPr>
          <w:lang w:val="en-US"/>
        </w:rPr>
        <w:t xml:space="preserve"> is the number of disassortative (mixed) partnerships between an individual of group </w:t>
      </w:r>
      <w:proofErr w:type="spellStart"/>
      <w:r w:rsidRPr="005342A5">
        <w:rPr>
          <w:lang w:val="en-US"/>
        </w:rPr>
        <w:t>i</w:t>
      </w:r>
      <w:proofErr w:type="spellEnd"/>
      <w:r w:rsidRPr="005342A5">
        <w:rPr>
          <w:lang w:val="en-US"/>
        </w:rPr>
        <w:t xml:space="preserve"> and an individual from group j, with </w:t>
      </w:r>
      <w:proofErr w:type="spellStart"/>
      <w:r w:rsidRPr="005342A5">
        <w:rPr>
          <w:lang w:val="en-US"/>
        </w:rPr>
        <w:t>i</w:t>
      </w:r>
      <w:proofErr w:type="spellEnd"/>
      <w:r w:rsidRPr="005342A5">
        <w:rPr>
          <w:lang w:val="en-US"/>
        </w:rPr>
        <w:t xml:space="preserve"> </w:t>
      </w:r>
      <w:r w:rsidRPr="005342A5">
        <w:rPr>
          <w:rFonts w:cstheme="minorHAnsi"/>
          <w:lang w:val="en-US"/>
        </w:rPr>
        <w:t>≠</w:t>
      </w:r>
      <w:r w:rsidRPr="005342A5">
        <w:rPr>
          <w:lang w:val="en-US"/>
        </w:rPr>
        <w:t xml:space="preserve"> j</w:t>
      </w:r>
      <w:r w:rsidR="000D0032">
        <w:rPr>
          <w:lang w:val="en-US"/>
        </w:rPr>
        <w:t xml:space="preserve">, where the type of partnerships </w:t>
      </w:r>
      <w:r w:rsidRPr="005342A5">
        <w:rPr>
          <w:lang w:val="en-US"/>
        </w:rPr>
        <w:t xml:space="preserve">could be </w:t>
      </w:r>
      <w:r w:rsidR="000C6DB4">
        <w:rPr>
          <w:lang w:val="en-US"/>
        </w:rPr>
        <w:t>steady</w:t>
      </w:r>
      <w:r w:rsidR="00C20830">
        <w:rPr>
          <w:lang w:val="en-US"/>
        </w:rPr>
        <w:t xml:space="preserve">, </w:t>
      </w:r>
      <w:r w:rsidRPr="005342A5">
        <w:rPr>
          <w:lang w:val="en-US"/>
        </w:rPr>
        <w:t>casual</w:t>
      </w:r>
      <w:r w:rsidR="00C20830">
        <w:rPr>
          <w:lang w:val="en-US"/>
        </w:rPr>
        <w:t>, or one-off</w:t>
      </w:r>
      <w:r w:rsidRPr="005342A5">
        <w:rPr>
          <w:lang w:val="en-US"/>
        </w:rPr>
        <w:t xml:space="preserve">. The number of disassortative partnerships B is the product of </w:t>
      </w:r>
      <w:r w:rsidR="00C20830" w:rsidRPr="005342A5">
        <w:rPr>
          <w:lang w:val="en-US"/>
        </w:rPr>
        <w:t xml:space="preserve">the complementary of the proportion of assortative partnerships in the group </w:t>
      </w:r>
      <w:r w:rsidR="00C20830">
        <w:rPr>
          <w:lang w:val="en-US"/>
        </w:rPr>
        <w:t xml:space="preserve">and the </w:t>
      </w:r>
      <w:r w:rsidR="000D0032">
        <w:rPr>
          <w:lang w:val="en-US"/>
        </w:rPr>
        <w:t xml:space="preserve">total </w:t>
      </w:r>
      <w:r w:rsidR="00C20830">
        <w:rPr>
          <w:lang w:val="en-US"/>
        </w:rPr>
        <w:t xml:space="preserve">number of </w:t>
      </w:r>
      <w:r w:rsidRPr="005342A5">
        <w:rPr>
          <w:lang w:val="en-US"/>
        </w:rPr>
        <w:t xml:space="preserve">partnerships </w:t>
      </w:r>
      <w:r w:rsidR="000D0032">
        <w:rPr>
          <w:lang w:val="en-US"/>
        </w:rPr>
        <w:t xml:space="preserve">among individuals in </w:t>
      </w:r>
      <w:r w:rsidRPr="005342A5">
        <w:rPr>
          <w:lang w:val="en-US"/>
        </w:rPr>
        <w:t xml:space="preserve">group </w:t>
      </w:r>
      <w:proofErr w:type="spellStart"/>
      <w:r w:rsidRPr="005342A5">
        <w:rPr>
          <w:lang w:val="en-US"/>
        </w:rPr>
        <w:t>i</w:t>
      </w:r>
      <w:proofErr w:type="spellEnd"/>
      <w:r w:rsidR="000D0032">
        <w:rPr>
          <w:lang w:val="en-US"/>
        </w:rPr>
        <w:t xml:space="preserve">. </w:t>
      </w:r>
      <w:r w:rsidRPr="005342A5">
        <w:rPr>
          <w:lang w:val="en-US"/>
        </w:rPr>
        <w:t xml:space="preserve">For example, for the </w:t>
      </w:r>
      <w:r w:rsidR="00980E13">
        <w:rPr>
          <w:lang w:val="en-US"/>
        </w:rPr>
        <w:t>HA-</w:t>
      </w:r>
      <w:r w:rsidRPr="005342A5">
        <w:rPr>
          <w:lang w:val="en-US"/>
        </w:rPr>
        <w:t xml:space="preserve">group, </w:t>
      </w:r>
    </w:p>
    <w:p w14:paraId="607A227F" w14:textId="488A402C" w:rsidR="00484419" w:rsidRDefault="00886321" w:rsidP="00484419">
      <w:pPr>
        <w:jc w:val="center"/>
        <w:rPr>
          <w:lang w:val="en-US"/>
        </w:rPr>
      </w:pPr>
      <w:r w:rsidRPr="005342A5">
        <w:rPr>
          <w:lang w:val="en-US"/>
        </w:rPr>
        <w:t>B</w:t>
      </w:r>
      <w:r w:rsidRPr="005342A5">
        <w:rPr>
          <w:vertAlign w:val="superscript"/>
          <w:lang w:val="en-US"/>
        </w:rPr>
        <w:t>HL</w:t>
      </w:r>
      <w:r w:rsidRPr="005342A5">
        <w:rPr>
          <w:lang w:val="en-US"/>
        </w:rPr>
        <w:t xml:space="preserve"> = F</w:t>
      </w:r>
      <w:r w:rsidRPr="005342A5">
        <w:rPr>
          <w:vertAlign w:val="subscript"/>
          <w:lang w:val="en-US"/>
        </w:rPr>
        <w:t>H</w:t>
      </w:r>
      <w:r w:rsidRPr="005342A5">
        <w:rPr>
          <w:lang w:val="en-US"/>
        </w:rPr>
        <w:t xml:space="preserve"> </w:t>
      </w:r>
      <w:r w:rsidRPr="005342A5">
        <w:rPr>
          <w:rFonts w:cstheme="minorHAnsi"/>
          <w:lang w:val="en-US"/>
        </w:rPr>
        <w:t>·</w:t>
      </w:r>
      <w:r w:rsidRPr="005342A5">
        <w:rPr>
          <w:lang w:val="en-US"/>
        </w:rPr>
        <w:t xml:space="preserve"> (1 - </w:t>
      </w:r>
      <w:proofErr w:type="spellStart"/>
      <w:r w:rsidRPr="005342A5">
        <w:rPr>
          <w:lang w:val="en-US"/>
        </w:rPr>
        <w:t>h</w:t>
      </w:r>
      <w:r w:rsidRPr="005342A5">
        <w:rPr>
          <w:vertAlign w:val="subscript"/>
          <w:lang w:val="en-US"/>
        </w:rPr>
        <w:t>HH</w:t>
      </w:r>
      <w:proofErr w:type="spellEnd"/>
      <w:r w:rsidRPr="005342A5">
        <w:rPr>
          <w:lang w:val="en-US"/>
        </w:rPr>
        <w:t>)</w:t>
      </w:r>
      <w:r w:rsidR="00484419">
        <w:rPr>
          <w:lang w:val="en-US"/>
        </w:rPr>
        <w:t xml:space="preserve"> (2)</w:t>
      </w:r>
      <w:r w:rsidRPr="005342A5">
        <w:rPr>
          <w:lang w:val="en-US"/>
        </w:rPr>
        <w:t>,</w:t>
      </w:r>
    </w:p>
    <w:p w14:paraId="083D3CC8" w14:textId="20BBE62E" w:rsidR="00886321" w:rsidRPr="005342A5" w:rsidRDefault="00886321" w:rsidP="00886321">
      <w:pPr>
        <w:rPr>
          <w:lang w:val="en-US"/>
        </w:rPr>
      </w:pPr>
      <w:r w:rsidRPr="005342A5">
        <w:rPr>
          <w:lang w:val="en-US"/>
        </w:rPr>
        <w:t>where F</w:t>
      </w:r>
      <w:r w:rsidRPr="005342A5">
        <w:rPr>
          <w:vertAlign w:val="subscript"/>
          <w:lang w:val="en-US"/>
        </w:rPr>
        <w:t>H</w:t>
      </w:r>
      <w:r w:rsidRPr="005342A5">
        <w:rPr>
          <w:lang w:val="en-US"/>
        </w:rPr>
        <w:t xml:space="preserve"> = number of partnerships that </w:t>
      </w:r>
      <w:r w:rsidR="00484419">
        <w:rPr>
          <w:lang w:val="en-US"/>
        </w:rPr>
        <w:t>HA-</w:t>
      </w:r>
      <w:r w:rsidRPr="005342A5">
        <w:rPr>
          <w:lang w:val="en-US"/>
        </w:rPr>
        <w:t xml:space="preserve">individuals have and </w:t>
      </w:r>
      <w:proofErr w:type="spellStart"/>
      <w:r w:rsidRPr="005342A5">
        <w:rPr>
          <w:lang w:val="en-US"/>
        </w:rPr>
        <w:t>h</w:t>
      </w:r>
      <w:r w:rsidRPr="005342A5">
        <w:rPr>
          <w:vertAlign w:val="subscript"/>
          <w:lang w:val="en-US"/>
        </w:rPr>
        <w:t>HH</w:t>
      </w:r>
      <w:proofErr w:type="spellEnd"/>
      <w:r w:rsidRPr="005342A5">
        <w:rPr>
          <w:lang w:val="en-US"/>
        </w:rPr>
        <w:t xml:space="preserve"> is the proportion of assortative (</w:t>
      </w:r>
      <w:r w:rsidR="00484419">
        <w:rPr>
          <w:lang w:val="en-US"/>
        </w:rPr>
        <w:t>H</w:t>
      </w:r>
      <w:r w:rsidRPr="005342A5">
        <w:rPr>
          <w:lang w:val="en-US"/>
        </w:rPr>
        <w:t>-</w:t>
      </w:r>
      <w:r w:rsidR="00484419">
        <w:rPr>
          <w:lang w:val="en-US"/>
        </w:rPr>
        <w:t>H</w:t>
      </w:r>
      <w:r w:rsidRPr="005342A5">
        <w:rPr>
          <w:lang w:val="en-US"/>
        </w:rPr>
        <w:t xml:space="preserve">) partnerships (homophily). </w:t>
      </w:r>
      <w:r w:rsidR="00484419">
        <w:rPr>
          <w:lang w:val="en-US"/>
        </w:rPr>
        <w:t xml:space="preserve">Quantity F in equation (2) could denote </w:t>
      </w:r>
      <w:r w:rsidR="000C6DB4">
        <w:rPr>
          <w:lang w:val="en-US"/>
        </w:rPr>
        <w:t>steady</w:t>
      </w:r>
      <w:r w:rsidR="00484419">
        <w:rPr>
          <w:lang w:val="en-US"/>
        </w:rPr>
        <w:t>, casual or one-off partnerships. I</w:t>
      </w:r>
      <w:r w:rsidRPr="005342A5">
        <w:rPr>
          <w:lang w:val="en-US"/>
        </w:rPr>
        <w:t>f F denotes casual partnerships, then F</w:t>
      </w:r>
      <w:r w:rsidRPr="005342A5">
        <w:rPr>
          <w:vertAlign w:val="subscript"/>
          <w:lang w:val="en-US"/>
        </w:rPr>
        <w:t xml:space="preserve">H </w:t>
      </w:r>
      <w:r w:rsidRPr="005342A5">
        <w:rPr>
          <w:lang w:val="en-US"/>
        </w:rPr>
        <w:t>= C</w:t>
      </w:r>
      <w:r w:rsidRPr="005342A5">
        <w:rPr>
          <w:vertAlign w:val="subscript"/>
          <w:lang w:val="en-US"/>
        </w:rPr>
        <w:t>H</w:t>
      </w:r>
      <w:r w:rsidRPr="005342A5">
        <w:rPr>
          <w:lang w:val="en-US"/>
        </w:rPr>
        <w:t xml:space="preserve"> </w:t>
      </w:r>
      <w:r w:rsidRPr="005342A5">
        <w:rPr>
          <w:rFonts w:cstheme="minorHAnsi"/>
          <w:lang w:val="en-US"/>
        </w:rPr>
        <w:t>·</w:t>
      </w:r>
      <w:r w:rsidRPr="005342A5">
        <w:rPr>
          <w:lang w:val="en-US"/>
        </w:rPr>
        <w:t xml:space="preserve"> </w:t>
      </w:r>
      <w:proofErr w:type="spellStart"/>
      <w:r w:rsidRPr="005342A5">
        <w:rPr>
          <w:lang w:val="en-US"/>
        </w:rPr>
        <w:t>n</w:t>
      </w:r>
      <w:r w:rsidRPr="005342A5">
        <w:rPr>
          <w:vertAlign w:val="subscript"/>
          <w:lang w:val="en-US"/>
        </w:rPr>
        <w:t>H</w:t>
      </w:r>
      <w:proofErr w:type="spellEnd"/>
      <w:r w:rsidRPr="005342A5">
        <w:rPr>
          <w:lang w:val="en-US"/>
        </w:rPr>
        <w:t>, where C</w:t>
      </w:r>
      <w:r w:rsidRPr="005342A5">
        <w:rPr>
          <w:vertAlign w:val="subscript"/>
          <w:lang w:val="en-US"/>
        </w:rPr>
        <w:t>H</w:t>
      </w:r>
      <w:r w:rsidRPr="005342A5">
        <w:rPr>
          <w:lang w:val="en-US"/>
        </w:rPr>
        <w:t xml:space="preserve"> is the proportion of </w:t>
      </w:r>
      <w:r w:rsidR="00484419">
        <w:rPr>
          <w:lang w:val="en-US"/>
        </w:rPr>
        <w:t>HA-i</w:t>
      </w:r>
      <w:r w:rsidRPr="005342A5">
        <w:rPr>
          <w:lang w:val="en-US"/>
        </w:rPr>
        <w:t>ndividuals with casual partner</w:t>
      </w:r>
      <w:r w:rsidR="00484419">
        <w:rPr>
          <w:lang w:val="en-US"/>
        </w:rPr>
        <w:t>s</w:t>
      </w:r>
      <w:r w:rsidRPr="005342A5">
        <w:rPr>
          <w:lang w:val="en-US"/>
        </w:rPr>
        <w:t xml:space="preserve"> and </w:t>
      </w:r>
      <w:proofErr w:type="spellStart"/>
      <w:r w:rsidRPr="005342A5">
        <w:rPr>
          <w:lang w:val="en-US"/>
        </w:rPr>
        <w:t>n</w:t>
      </w:r>
      <w:r w:rsidRPr="005342A5">
        <w:rPr>
          <w:vertAlign w:val="subscript"/>
          <w:lang w:val="en-US"/>
        </w:rPr>
        <w:t>H</w:t>
      </w:r>
      <w:proofErr w:type="spellEnd"/>
      <w:r w:rsidRPr="005342A5">
        <w:rPr>
          <w:vertAlign w:val="subscript"/>
          <w:lang w:val="en-US"/>
        </w:rPr>
        <w:t xml:space="preserve"> </w:t>
      </w:r>
      <w:r w:rsidRPr="005342A5">
        <w:rPr>
          <w:lang w:val="en-US"/>
        </w:rPr>
        <w:t xml:space="preserve">is the number of </w:t>
      </w:r>
      <w:r w:rsidR="00484419">
        <w:rPr>
          <w:lang w:val="en-US"/>
        </w:rPr>
        <w:t>HA-</w:t>
      </w:r>
      <w:r w:rsidRPr="005342A5">
        <w:rPr>
          <w:lang w:val="en-US"/>
        </w:rPr>
        <w:t xml:space="preserve">individuals in the population, which can be easily calculated as the product of the proportion of </w:t>
      </w:r>
      <w:r w:rsidR="00484419">
        <w:rPr>
          <w:lang w:val="en-US"/>
        </w:rPr>
        <w:t>HA-</w:t>
      </w:r>
      <w:r w:rsidRPr="005342A5">
        <w:rPr>
          <w:lang w:val="en-US"/>
        </w:rPr>
        <w:t>individuals in the population (p</w:t>
      </w:r>
      <w:r w:rsidRPr="005342A5">
        <w:rPr>
          <w:vertAlign w:val="subscript"/>
          <w:lang w:val="en-US"/>
        </w:rPr>
        <w:t>H</w:t>
      </w:r>
      <w:r w:rsidRPr="005342A5">
        <w:rPr>
          <w:lang w:val="en-US"/>
        </w:rPr>
        <w:t xml:space="preserve">) times the population size. The equations for the </w:t>
      </w:r>
      <w:r w:rsidR="00484419">
        <w:rPr>
          <w:lang w:val="en-US"/>
        </w:rPr>
        <w:t>LA-</w:t>
      </w:r>
      <w:r w:rsidRPr="005342A5">
        <w:rPr>
          <w:lang w:val="en-US"/>
        </w:rPr>
        <w:t>group can be easily constructed in the same manner. By replacing each side of equation (1) we get</w:t>
      </w:r>
    </w:p>
    <w:p w14:paraId="30517044" w14:textId="77777777" w:rsidR="00886321" w:rsidRPr="005342A5" w:rsidRDefault="00886321" w:rsidP="00886321">
      <w:pPr>
        <w:rPr>
          <w:lang w:val="en-US"/>
        </w:rPr>
      </w:pPr>
      <m:oMathPara>
        <m:oMath>
          <m:r>
            <w:rPr>
              <w:rFonts w:ascii="Cambria Math" w:hAnsi="Cambria Math"/>
              <w:lang w:val="en-US"/>
            </w:rPr>
            <m:t xml:space="preserve">n∙ </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H</m:t>
              </m:r>
            </m:sub>
          </m:sSub>
          <m:r>
            <w:rPr>
              <w:rFonts w:ascii="Cambria Math" w:hAnsi="Cambria Math"/>
              <w:lang w:val="en-US"/>
            </w:rPr>
            <m:t xml:space="preserve"> ∙ </m:t>
          </m:r>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H</m:t>
              </m:r>
            </m:sub>
          </m:sSub>
          <m:r>
            <w:rPr>
              <w:rFonts w:ascii="Cambria Math" w:hAnsi="Cambria Math"/>
              <w:lang w:val="en-US"/>
            </w:rPr>
            <m:t xml:space="preserve"> ∙</m:t>
          </m:r>
          <m:d>
            <m:dPr>
              <m:ctrlPr>
                <w:rPr>
                  <w:rFonts w:ascii="Cambria Math" w:hAnsi="Cambria Math"/>
                  <w:i/>
                  <w:lang w:val="en-US"/>
                </w:rPr>
              </m:ctrlPr>
            </m:dPr>
            <m:e>
              <m:r>
                <w:rPr>
                  <w:rFonts w:ascii="Cambria Math" w:hAnsi="Cambria Math"/>
                  <w:lang w:val="en-US"/>
                </w:rPr>
                <m:t xml:space="preserve">1- </m:t>
              </m:r>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HH</m:t>
                  </m:r>
                </m:sub>
              </m:sSub>
            </m:e>
          </m:d>
          <m:r>
            <w:rPr>
              <w:rFonts w:ascii="Cambria Math" w:hAnsi="Cambria Math"/>
              <w:lang w:val="en-US"/>
            </w:rPr>
            <m:t xml:space="preserve">= n∙ </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L</m:t>
              </m:r>
            </m:sub>
          </m:sSub>
          <m:r>
            <w:rPr>
              <w:rFonts w:ascii="Cambria Math" w:hAnsi="Cambria Math"/>
              <w:lang w:val="en-US"/>
            </w:rPr>
            <m:t xml:space="preserve"> ∙ </m:t>
          </m:r>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L</m:t>
              </m:r>
            </m:sub>
          </m:sSub>
          <m:r>
            <w:rPr>
              <w:rFonts w:ascii="Cambria Math" w:hAnsi="Cambria Math"/>
              <w:lang w:val="en-US"/>
            </w:rPr>
            <m:t xml:space="preserve"> ∙</m:t>
          </m:r>
          <m:d>
            <m:dPr>
              <m:ctrlPr>
                <w:rPr>
                  <w:rFonts w:ascii="Cambria Math" w:hAnsi="Cambria Math"/>
                  <w:i/>
                  <w:lang w:val="en-US"/>
                </w:rPr>
              </m:ctrlPr>
            </m:dPr>
            <m:e>
              <m:r>
                <w:rPr>
                  <w:rFonts w:ascii="Cambria Math" w:hAnsi="Cambria Math"/>
                  <w:lang w:val="en-US"/>
                </w:rPr>
                <m:t xml:space="preserve">1- </m:t>
              </m:r>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LL</m:t>
                  </m:r>
                </m:sub>
              </m:sSub>
            </m:e>
          </m:d>
        </m:oMath>
      </m:oMathPara>
    </w:p>
    <w:p w14:paraId="3F4CAF9A" w14:textId="77777777" w:rsidR="00886321" w:rsidRPr="005342A5" w:rsidRDefault="00886321" w:rsidP="00886321">
      <w:pPr>
        <w:rPr>
          <w:lang w:val="en-US"/>
        </w:rPr>
      </w:pPr>
      <w:r w:rsidRPr="005342A5">
        <w:rPr>
          <w:lang w:val="en-US"/>
        </w:rPr>
        <w:t xml:space="preserve"> which simplifies into:</w:t>
      </w:r>
    </w:p>
    <w:p w14:paraId="7BF98B0C" w14:textId="45BF52F2" w:rsidR="00886321" w:rsidRPr="005342A5" w:rsidRDefault="00000000" w:rsidP="00886321">
      <w:pPr>
        <w:jc w:val="center"/>
        <w:rPr>
          <w:rFonts w:eastAsiaTheme="minorEastAsia"/>
          <w:lang w:val="en-US"/>
        </w:rPr>
      </w:pPr>
      <m:oMath>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H</m:t>
                </m:r>
              </m:sub>
            </m:sSub>
          </m:num>
          <m:den>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L</m:t>
                </m:r>
              </m:sub>
            </m:sSub>
          </m:den>
        </m:f>
        <m:r>
          <w:rPr>
            <w:rFonts w:ascii="Cambria Math" w:hAnsi="Cambria Math"/>
            <w:lang w:val="en-US"/>
          </w:rPr>
          <m:t xml:space="preserve">= </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L</m:t>
                </m:r>
              </m:sub>
            </m:sSub>
          </m:num>
          <m:den>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H</m:t>
                </m:r>
              </m:sub>
            </m:sSub>
          </m:den>
        </m:f>
        <m:r>
          <w:rPr>
            <w:rFonts w:ascii="Cambria Math" w:hAnsi="Cambria Math"/>
            <w:lang w:val="en-US"/>
          </w:rPr>
          <m:t xml:space="preserve">∙ </m:t>
        </m:r>
        <m:f>
          <m:fPr>
            <m:ctrlPr>
              <w:rPr>
                <w:rFonts w:ascii="Cambria Math" w:hAnsi="Cambria Math"/>
                <w:i/>
                <w:lang w:val="en-US"/>
              </w:rPr>
            </m:ctrlPr>
          </m:fPr>
          <m:num>
            <m:r>
              <w:rPr>
                <w:rFonts w:ascii="Cambria Math" w:hAnsi="Cambria Math"/>
                <w:lang w:val="en-US"/>
              </w:rPr>
              <m:t xml:space="preserve">(1- </m:t>
            </m:r>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LL</m:t>
                </m:r>
              </m:sub>
            </m:sSub>
            <m:r>
              <w:rPr>
                <w:rFonts w:ascii="Cambria Math" w:hAnsi="Cambria Math"/>
                <w:lang w:val="en-US"/>
              </w:rPr>
              <m:t>)</m:t>
            </m:r>
          </m:num>
          <m:den>
            <m:r>
              <w:rPr>
                <w:rFonts w:ascii="Cambria Math" w:hAnsi="Cambria Math"/>
                <w:lang w:val="en-US"/>
              </w:rPr>
              <m:t xml:space="preserve">(1- </m:t>
            </m:r>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HH</m:t>
                </m:r>
              </m:sub>
            </m:sSub>
            <m:r>
              <w:rPr>
                <w:rFonts w:ascii="Cambria Math" w:hAnsi="Cambria Math"/>
                <w:lang w:val="en-US"/>
              </w:rPr>
              <m:t>)</m:t>
            </m:r>
          </m:den>
        </m:f>
      </m:oMath>
      <w:r w:rsidR="00886321" w:rsidRPr="005342A5">
        <w:rPr>
          <w:rFonts w:eastAsiaTheme="minorEastAsia"/>
          <w:lang w:val="en-US"/>
        </w:rPr>
        <w:t xml:space="preserve"> (</w:t>
      </w:r>
      <w:r w:rsidR="000F39C0">
        <w:rPr>
          <w:rFonts w:eastAsiaTheme="minorEastAsia"/>
          <w:lang w:val="en-US"/>
        </w:rPr>
        <w:t>3</w:t>
      </w:r>
      <w:r w:rsidR="00886321" w:rsidRPr="005342A5">
        <w:rPr>
          <w:rFonts w:eastAsiaTheme="minorEastAsia"/>
          <w:lang w:val="en-US"/>
        </w:rPr>
        <w:t>)</w:t>
      </w:r>
    </w:p>
    <w:p w14:paraId="2F583EFA" w14:textId="41DB00D0" w:rsidR="00886321" w:rsidRPr="005342A5" w:rsidRDefault="00886321" w:rsidP="00886321">
      <w:pPr>
        <w:rPr>
          <w:lang w:val="en-US"/>
        </w:rPr>
      </w:pPr>
      <w:r w:rsidRPr="005342A5">
        <w:rPr>
          <w:lang w:val="en-US"/>
        </w:rPr>
        <w:lastRenderedPageBreak/>
        <w:t xml:space="preserve">By replacing the estimated risk group ratio in the population and the ratio of </w:t>
      </w:r>
      <w:r w:rsidR="000C6DB4">
        <w:rPr>
          <w:lang w:val="en-US"/>
        </w:rPr>
        <w:t>steady</w:t>
      </w:r>
      <w:r w:rsidR="00484419">
        <w:rPr>
          <w:lang w:val="en-US"/>
        </w:rPr>
        <w:t>, casual or one-off</w:t>
      </w:r>
      <w:r w:rsidRPr="005342A5">
        <w:rPr>
          <w:lang w:val="en-US"/>
        </w:rPr>
        <w:t xml:space="preserve"> partnerships, we end up with an equation of the form </w:t>
      </w:r>
      <w:proofErr w:type="spellStart"/>
      <w:r w:rsidRPr="005342A5">
        <w:rPr>
          <w:lang w:val="en-US"/>
        </w:rPr>
        <w:t>h</w:t>
      </w:r>
      <w:r w:rsidRPr="005342A5">
        <w:rPr>
          <w:vertAlign w:val="subscript"/>
          <w:lang w:val="en-US"/>
        </w:rPr>
        <w:t>LL</w:t>
      </w:r>
      <w:proofErr w:type="spellEnd"/>
      <w:r w:rsidRPr="005342A5">
        <w:rPr>
          <w:lang w:val="en-US"/>
        </w:rPr>
        <w:t xml:space="preserve"> = a + b </w:t>
      </w:r>
      <w:r w:rsidRPr="005342A5">
        <w:rPr>
          <w:rFonts w:cstheme="minorHAnsi"/>
          <w:lang w:val="en-US"/>
        </w:rPr>
        <w:t>·</w:t>
      </w:r>
      <w:r w:rsidRPr="005342A5">
        <w:rPr>
          <w:lang w:val="en-US"/>
        </w:rPr>
        <w:t xml:space="preserve"> </w:t>
      </w:r>
      <w:proofErr w:type="spellStart"/>
      <w:r w:rsidRPr="005342A5">
        <w:rPr>
          <w:lang w:val="en-US"/>
        </w:rPr>
        <w:t>h</w:t>
      </w:r>
      <w:r w:rsidRPr="005342A5">
        <w:rPr>
          <w:vertAlign w:val="subscript"/>
          <w:lang w:val="en-US"/>
        </w:rPr>
        <w:t>HH</w:t>
      </w:r>
      <w:proofErr w:type="spellEnd"/>
      <w:r w:rsidR="000F39C0">
        <w:rPr>
          <w:lang w:val="en-US"/>
        </w:rPr>
        <w:t xml:space="preserve">, as shown in Table S5 below. </w:t>
      </w:r>
    </w:p>
    <w:p w14:paraId="2486C386" w14:textId="09A4D256" w:rsidR="0055391D" w:rsidRPr="007276F2" w:rsidRDefault="0055391D" w:rsidP="00484419">
      <w:pPr>
        <w:rPr>
          <w:rFonts w:eastAsiaTheme="minorEastAsia"/>
          <w:lang w:val="en-US"/>
        </w:rPr>
      </w:pPr>
    </w:p>
    <w:p w14:paraId="65F1CFB0" w14:textId="5D7E6B44" w:rsidR="007276F2" w:rsidRPr="00AF02B2" w:rsidRDefault="007276F2" w:rsidP="007276F2">
      <w:pPr>
        <w:pStyle w:val="Caption"/>
        <w:rPr>
          <w:lang w:val="en-US"/>
        </w:rPr>
      </w:pPr>
      <w:r w:rsidRPr="005342A5">
        <w:rPr>
          <w:lang w:val="en-US"/>
        </w:rPr>
        <w:t>Table S</w:t>
      </w:r>
      <w:r w:rsidRPr="005342A5">
        <w:rPr>
          <w:lang w:val="en-US"/>
        </w:rPr>
        <w:fldChar w:fldCharType="begin"/>
      </w:r>
      <w:r w:rsidRPr="005342A5">
        <w:rPr>
          <w:lang w:val="en-US"/>
        </w:rPr>
        <w:instrText xml:space="preserve"> SEQ Table \* ARABIC </w:instrText>
      </w:r>
      <w:r w:rsidRPr="005342A5">
        <w:rPr>
          <w:lang w:val="en-US"/>
        </w:rPr>
        <w:fldChar w:fldCharType="separate"/>
      </w:r>
      <w:r>
        <w:rPr>
          <w:noProof/>
          <w:lang w:val="en-US"/>
        </w:rPr>
        <w:t>5</w:t>
      </w:r>
      <w:r w:rsidRPr="005342A5">
        <w:rPr>
          <w:lang w:val="en-US"/>
        </w:rPr>
        <w:fldChar w:fldCharType="end"/>
      </w:r>
      <w:r w:rsidRPr="005342A5">
        <w:rPr>
          <w:lang w:val="en-US"/>
        </w:rPr>
        <w:t xml:space="preserve">: </w:t>
      </w:r>
      <w:r>
        <w:rPr>
          <w:lang w:val="en-US"/>
        </w:rPr>
        <w:t>Homophily rates</w:t>
      </w:r>
      <w:r>
        <w:rPr>
          <w:lang w:val="en-US"/>
        </w:rPr>
        <w:t xml:space="preserve"> parameters</w:t>
      </w:r>
    </w:p>
    <w:tbl>
      <w:tblPr>
        <w:tblStyle w:val="ListTable2"/>
        <w:tblW w:w="0" w:type="auto"/>
        <w:tblLook w:val="04A0" w:firstRow="1" w:lastRow="0" w:firstColumn="1" w:lastColumn="0" w:noHBand="0" w:noVBand="1"/>
      </w:tblPr>
      <w:tblGrid>
        <w:gridCol w:w="2969"/>
        <w:gridCol w:w="2969"/>
        <w:gridCol w:w="2971"/>
      </w:tblGrid>
      <w:tr w:rsidR="0055391D" w14:paraId="3371098E" w14:textId="77777777" w:rsidTr="00663D8D">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969" w:type="dxa"/>
          </w:tcPr>
          <w:p w14:paraId="259F8380" w14:textId="66FD821C" w:rsidR="0055391D" w:rsidRPr="00663D8D" w:rsidRDefault="0055391D" w:rsidP="00484419">
            <w:pPr>
              <w:rPr>
                <w:rFonts w:eastAsiaTheme="minorEastAsia"/>
                <w:lang w:val="en-US"/>
              </w:rPr>
            </w:pPr>
            <w:proofErr w:type="spellStart"/>
            <w:r w:rsidRPr="00663D8D">
              <w:rPr>
                <w:rFonts w:eastAsiaTheme="minorEastAsia"/>
                <w:lang w:val="en-US"/>
              </w:rPr>
              <w:t>PreP</w:t>
            </w:r>
            <w:proofErr w:type="spellEnd"/>
            <w:r w:rsidRPr="00663D8D">
              <w:rPr>
                <w:rFonts w:eastAsiaTheme="minorEastAsia"/>
                <w:lang w:val="en-US"/>
              </w:rPr>
              <w:t xml:space="preserve"> </w:t>
            </w:r>
            <w:proofErr w:type="spellStart"/>
            <w:r w:rsidRPr="00663D8D">
              <w:rPr>
                <w:rFonts w:eastAsiaTheme="minorEastAsia"/>
                <w:lang w:val="en-US"/>
              </w:rPr>
              <w:t>eligbility</w:t>
            </w:r>
            <w:proofErr w:type="spellEnd"/>
          </w:p>
        </w:tc>
        <w:tc>
          <w:tcPr>
            <w:tcW w:w="2969" w:type="dxa"/>
          </w:tcPr>
          <w:p w14:paraId="73849CF0" w14:textId="36702C6D" w:rsidR="0055391D" w:rsidRPr="00663D8D" w:rsidRDefault="0055391D" w:rsidP="00484419">
            <w:pPr>
              <w:cnfStyle w:val="100000000000" w:firstRow="1" w:lastRow="0" w:firstColumn="0" w:lastColumn="0" w:oddVBand="0" w:evenVBand="0" w:oddHBand="0" w:evenHBand="0" w:firstRowFirstColumn="0" w:firstRowLastColumn="0" w:lastRowFirstColumn="0" w:lastRowLastColumn="0"/>
              <w:rPr>
                <w:rFonts w:eastAsiaTheme="minorEastAsia"/>
                <w:b w:val="0"/>
                <w:bCs w:val="0"/>
                <w:lang w:val="en-US"/>
              </w:rPr>
            </w:pPr>
            <w:r w:rsidRPr="00663D8D">
              <w:rPr>
                <w:rFonts w:eastAsiaTheme="minorEastAsia"/>
                <w:b w:val="0"/>
                <w:bCs w:val="0"/>
                <w:lang w:val="en-US"/>
              </w:rPr>
              <w:t>Main</w:t>
            </w:r>
          </w:p>
        </w:tc>
        <w:tc>
          <w:tcPr>
            <w:tcW w:w="2971" w:type="dxa"/>
          </w:tcPr>
          <w:p w14:paraId="4185A26A" w14:textId="40D71D34" w:rsidR="0055391D" w:rsidRPr="00663D8D" w:rsidRDefault="0055391D" w:rsidP="00484419">
            <w:pPr>
              <w:cnfStyle w:val="100000000000" w:firstRow="1" w:lastRow="0" w:firstColumn="0" w:lastColumn="0" w:oddVBand="0" w:evenVBand="0" w:oddHBand="0" w:evenHBand="0" w:firstRowFirstColumn="0" w:firstRowLastColumn="0" w:lastRowFirstColumn="0" w:lastRowLastColumn="0"/>
              <w:rPr>
                <w:rFonts w:eastAsiaTheme="minorEastAsia"/>
                <w:b w:val="0"/>
                <w:bCs w:val="0"/>
                <w:lang w:val="en-US"/>
              </w:rPr>
            </w:pPr>
            <w:r w:rsidRPr="00663D8D">
              <w:rPr>
                <w:rFonts w:eastAsiaTheme="minorEastAsia"/>
                <w:b w:val="0"/>
                <w:bCs w:val="0"/>
                <w:lang w:val="en-US"/>
              </w:rPr>
              <w:t>H</w:t>
            </w:r>
            <w:r w:rsidRPr="00663D8D">
              <w:rPr>
                <w:rFonts w:eastAsiaTheme="minorEastAsia"/>
                <w:b w:val="0"/>
                <w:bCs w:val="0"/>
                <w:vertAlign w:val="subscript"/>
                <w:lang w:val="en-US"/>
              </w:rPr>
              <w:t>LL</w:t>
            </w:r>
            <w:r w:rsidRPr="00663D8D">
              <w:rPr>
                <w:rFonts w:eastAsiaTheme="minorEastAsia"/>
                <w:b w:val="0"/>
                <w:bCs w:val="0"/>
                <w:lang w:val="en-US"/>
              </w:rPr>
              <w:t xml:space="preserve"> = 0.44 * </w:t>
            </w:r>
            <w:proofErr w:type="spellStart"/>
            <w:r w:rsidRPr="00663D8D">
              <w:rPr>
                <w:rFonts w:eastAsiaTheme="minorEastAsia"/>
                <w:b w:val="0"/>
                <w:bCs w:val="0"/>
                <w:lang w:val="en-US"/>
              </w:rPr>
              <w:t>h</w:t>
            </w:r>
            <w:r w:rsidRPr="00663D8D">
              <w:rPr>
                <w:rFonts w:eastAsiaTheme="minorEastAsia"/>
                <w:b w:val="0"/>
                <w:bCs w:val="0"/>
                <w:vertAlign w:val="subscript"/>
                <w:lang w:val="en-US"/>
              </w:rPr>
              <w:t>HH</w:t>
            </w:r>
            <w:proofErr w:type="spellEnd"/>
            <w:r w:rsidRPr="00663D8D">
              <w:rPr>
                <w:rFonts w:eastAsiaTheme="minorEastAsia"/>
                <w:b w:val="0"/>
                <w:bCs w:val="0"/>
                <w:lang w:val="en-US"/>
              </w:rPr>
              <w:t xml:space="preserve"> + 0.55</w:t>
            </w:r>
          </w:p>
        </w:tc>
      </w:tr>
      <w:tr w:rsidR="0055391D" w14:paraId="53B02911" w14:textId="77777777" w:rsidTr="00663D8D">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969" w:type="dxa"/>
          </w:tcPr>
          <w:p w14:paraId="12884DB4" w14:textId="77777777" w:rsidR="0055391D" w:rsidRDefault="0055391D" w:rsidP="0055391D">
            <w:pPr>
              <w:rPr>
                <w:rFonts w:eastAsiaTheme="minorEastAsia"/>
                <w:lang w:val="en-US"/>
              </w:rPr>
            </w:pPr>
          </w:p>
        </w:tc>
        <w:tc>
          <w:tcPr>
            <w:tcW w:w="2969" w:type="dxa"/>
          </w:tcPr>
          <w:p w14:paraId="12199FF3" w14:textId="51857ADD" w:rsidR="0055391D" w:rsidRDefault="0055391D" w:rsidP="0055391D">
            <w:pPr>
              <w:cnfStyle w:val="000000100000" w:firstRow="0" w:lastRow="0" w:firstColumn="0" w:lastColumn="0" w:oddVBand="0" w:evenVBand="0" w:oddHBand="1" w:evenHBand="0" w:firstRowFirstColumn="0" w:firstRowLastColumn="0" w:lastRowFirstColumn="0" w:lastRowLastColumn="0"/>
              <w:rPr>
                <w:rFonts w:eastAsiaTheme="minorEastAsia"/>
                <w:lang w:val="en-US"/>
              </w:rPr>
            </w:pPr>
            <w:r>
              <w:rPr>
                <w:rFonts w:eastAsiaTheme="minorEastAsia"/>
                <w:lang w:val="en-US"/>
              </w:rPr>
              <w:t>Persistent casual</w:t>
            </w:r>
          </w:p>
        </w:tc>
        <w:tc>
          <w:tcPr>
            <w:tcW w:w="2971" w:type="dxa"/>
          </w:tcPr>
          <w:p w14:paraId="7C19F189" w14:textId="7DBB3311" w:rsidR="0055391D" w:rsidRDefault="0055391D" w:rsidP="0055391D">
            <w:pPr>
              <w:cnfStyle w:val="000000100000" w:firstRow="0" w:lastRow="0" w:firstColumn="0" w:lastColumn="0" w:oddVBand="0" w:evenVBand="0" w:oddHBand="1" w:evenHBand="0" w:firstRowFirstColumn="0" w:firstRowLastColumn="0" w:lastRowFirstColumn="0" w:lastRowLastColumn="0"/>
              <w:rPr>
                <w:rFonts w:eastAsiaTheme="minorEastAsia"/>
                <w:lang w:val="en-US"/>
              </w:rPr>
            </w:pPr>
            <w:r>
              <w:rPr>
                <w:rFonts w:eastAsiaTheme="minorEastAsia"/>
                <w:lang w:val="en-US"/>
              </w:rPr>
              <w:t>H</w:t>
            </w:r>
            <w:r>
              <w:rPr>
                <w:rFonts w:eastAsiaTheme="minorEastAsia"/>
                <w:vertAlign w:val="subscript"/>
                <w:lang w:val="en-US"/>
              </w:rPr>
              <w:t>LL</w:t>
            </w:r>
            <w:r>
              <w:rPr>
                <w:rFonts w:eastAsiaTheme="minorEastAsia"/>
                <w:lang w:val="en-US"/>
              </w:rPr>
              <w:t xml:space="preserve"> = 1.37 * </w:t>
            </w:r>
            <w:proofErr w:type="spellStart"/>
            <w:r>
              <w:rPr>
                <w:rFonts w:eastAsiaTheme="minorEastAsia"/>
                <w:lang w:val="en-US"/>
              </w:rPr>
              <w:t>h</w:t>
            </w:r>
            <w:r>
              <w:rPr>
                <w:rFonts w:eastAsiaTheme="minorEastAsia"/>
                <w:vertAlign w:val="subscript"/>
                <w:lang w:val="en-US"/>
              </w:rPr>
              <w:t>HH</w:t>
            </w:r>
            <w:proofErr w:type="spellEnd"/>
            <w:r>
              <w:rPr>
                <w:rFonts w:eastAsiaTheme="minorEastAsia"/>
                <w:lang w:val="en-US"/>
              </w:rPr>
              <w:t xml:space="preserve"> – 0.37</w:t>
            </w:r>
          </w:p>
        </w:tc>
      </w:tr>
      <w:tr w:rsidR="0055391D" w14:paraId="0C6F00D4" w14:textId="77777777" w:rsidTr="00663D8D">
        <w:trPr>
          <w:trHeight w:val="273"/>
        </w:trPr>
        <w:tc>
          <w:tcPr>
            <w:cnfStyle w:val="001000000000" w:firstRow="0" w:lastRow="0" w:firstColumn="1" w:lastColumn="0" w:oddVBand="0" w:evenVBand="0" w:oddHBand="0" w:evenHBand="0" w:firstRowFirstColumn="0" w:firstRowLastColumn="0" w:lastRowFirstColumn="0" w:lastRowLastColumn="0"/>
            <w:tcW w:w="2969" w:type="dxa"/>
          </w:tcPr>
          <w:p w14:paraId="28245488" w14:textId="77777777" w:rsidR="0055391D" w:rsidRDefault="0055391D" w:rsidP="0055391D">
            <w:pPr>
              <w:rPr>
                <w:rFonts w:eastAsiaTheme="minorEastAsia"/>
                <w:lang w:val="en-US"/>
              </w:rPr>
            </w:pPr>
          </w:p>
        </w:tc>
        <w:tc>
          <w:tcPr>
            <w:tcW w:w="2969" w:type="dxa"/>
          </w:tcPr>
          <w:p w14:paraId="14CBB9B4" w14:textId="1D8BCCF3" w:rsidR="0055391D" w:rsidRDefault="0055391D" w:rsidP="0055391D">
            <w:pPr>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lang w:val="en-US"/>
              </w:rPr>
              <w:t>One-off</w:t>
            </w:r>
          </w:p>
        </w:tc>
        <w:tc>
          <w:tcPr>
            <w:tcW w:w="2971" w:type="dxa"/>
          </w:tcPr>
          <w:p w14:paraId="669FEF20" w14:textId="5FB5B200" w:rsidR="0055391D" w:rsidRDefault="0055391D" w:rsidP="0055391D">
            <w:pPr>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lang w:val="en-US"/>
              </w:rPr>
              <w:t>H</w:t>
            </w:r>
            <w:r>
              <w:rPr>
                <w:rFonts w:eastAsiaTheme="minorEastAsia"/>
                <w:vertAlign w:val="subscript"/>
                <w:lang w:val="en-US"/>
              </w:rPr>
              <w:t>LL</w:t>
            </w:r>
            <w:r>
              <w:rPr>
                <w:rFonts w:eastAsiaTheme="minorEastAsia"/>
                <w:lang w:val="en-US"/>
              </w:rPr>
              <w:t xml:space="preserve"> = 0.75 * </w:t>
            </w:r>
            <w:proofErr w:type="spellStart"/>
            <w:r>
              <w:rPr>
                <w:rFonts w:eastAsiaTheme="minorEastAsia"/>
                <w:lang w:val="en-US"/>
              </w:rPr>
              <w:t>h</w:t>
            </w:r>
            <w:r>
              <w:rPr>
                <w:rFonts w:eastAsiaTheme="minorEastAsia"/>
                <w:vertAlign w:val="subscript"/>
                <w:lang w:val="en-US"/>
              </w:rPr>
              <w:t>HH</w:t>
            </w:r>
            <w:proofErr w:type="spellEnd"/>
            <w:r>
              <w:rPr>
                <w:rFonts w:eastAsiaTheme="minorEastAsia"/>
                <w:lang w:val="en-US"/>
              </w:rPr>
              <w:t xml:space="preserve"> + 0.25</w:t>
            </w:r>
          </w:p>
        </w:tc>
      </w:tr>
      <w:tr w:rsidR="00434F27" w14:paraId="7E97C601" w14:textId="77777777" w:rsidTr="00663D8D">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969" w:type="dxa"/>
          </w:tcPr>
          <w:p w14:paraId="197F88D4" w14:textId="63C7A8BD" w:rsidR="00434F27" w:rsidRDefault="00434F27" w:rsidP="00434F27">
            <w:pPr>
              <w:rPr>
                <w:rFonts w:eastAsiaTheme="minorEastAsia"/>
                <w:lang w:val="en-US"/>
              </w:rPr>
            </w:pPr>
            <w:r>
              <w:rPr>
                <w:lang w:val="en-US"/>
              </w:rPr>
              <w:t xml:space="preserve">More than </w:t>
            </w:r>
            <w:r w:rsidRPr="00226F8D">
              <w:rPr>
                <w:lang w:val="en-US"/>
              </w:rPr>
              <w:t>1</w:t>
            </w:r>
            <w:r w:rsidRPr="00226F8D">
              <w:t>5 partners</w:t>
            </w:r>
          </w:p>
        </w:tc>
        <w:tc>
          <w:tcPr>
            <w:tcW w:w="2969" w:type="dxa"/>
          </w:tcPr>
          <w:p w14:paraId="4CB0EF40" w14:textId="38839ED4" w:rsidR="00434F27" w:rsidRDefault="00434F27" w:rsidP="00434F27">
            <w:pPr>
              <w:cnfStyle w:val="000000100000" w:firstRow="0" w:lastRow="0" w:firstColumn="0" w:lastColumn="0" w:oddVBand="0" w:evenVBand="0" w:oddHBand="1" w:evenHBand="0" w:firstRowFirstColumn="0" w:firstRowLastColumn="0" w:lastRowFirstColumn="0" w:lastRowLastColumn="0"/>
              <w:rPr>
                <w:rFonts w:eastAsiaTheme="minorEastAsia"/>
                <w:lang w:val="en-US"/>
              </w:rPr>
            </w:pPr>
            <w:r>
              <w:rPr>
                <w:rFonts w:eastAsiaTheme="minorEastAsia"/>
                <w:lang w:val="en-US"/>
              </w:rPr>
              <w:t>Main</w:t>
            </w:r>
          </w:p>
        </w:tc>
        <w:tc>
          <w:tcPr>
            <w:tcW w:w="2971" w:type="dxa"/>
          </w:tcPr>
          <w:p w14:paraId="3AD759F8" w14:textId="0E2BCBA4" w:rsidR="00434F27" w:rsidRDefault="00434F27" w:rsidP="00434F27">
            <w:pPr>
              <w:cnfStyle w:val="000000100000" w:firstRow="0" w:lastRow="0" w:firstColumn="0" w:lastColumn="0" w:oddVBand="0" w:evenVBand="0" w:oddHBand="1" w:evenHBand="0" w:firstRowFirstColumn="0" w:firstRowLastColumn="0" w:lastRowFirstColumn="0" w:lastRowLastColumn="0"/>
              <w:rPr>
                <w:rFonts w:eastAsiaTheme="minorEastAsia"/>
                <w:lang w:val="en-US"/>
              </w:rPr>
            </w:pPr>
            <w:r>
              <w:rPr>
                <w:rFonts w:eastAsiaTheme="minorEastAsia"/>
                <w:lang w:val="en-US"/>
              </w:rPr>
              <w:t>H</w:t>
            </w:r>
            <w:r>
              <w:rPr>
                <w:rFonts w:eastAsiaTheme="minorEastAsia"/>
                <w:vertAlign w:val="subscript"/>
                <w:lang w:val="en-US"/>
              </w:rPr>
              <w:t>LL</w:t>
            </w:r>
            <w:r>
              <w:rPr>
                <w:rFonts w:eastAsiaTheme="minorEastAsia"/>
                <w:lang w:val="en-US"/>
              </w:rPr>
              <w:t xml:space="preserve"> = 0.44 * </w:t>
            </w:r>
            <w:proofErr w:type="spellStart"/>
            <w:r>
              <w:rPr>
                <w:rFonts w:eastAsiaTheme="minorEastAsia"/>
                <w:lang w:val="en-US"/>
              </w:rPr>
              <w:t>h</w:t>
            </w:r>
            <w:r>
              <w:rPr>
                <w:rFonts w:eastAsiaTheme="minorEastAsia"/>
                <w:vertAlign w:val="subscript"/>
                <w:lang w:val="en-US"/>
              </w:rPr>
              <w:t>HH</w:t>
            </w:r>
            <w:proofErr w:type="spellEnd"/>
            <w:r>
              <w:rPr>
                <w:rFonts w:eastAsiaTheme="minorEastAsia"/>
                <w:lang w:val="en-US"/>
              </w:rPr>
              <w:t xml:space="preserve"> + 0.5</w:t>
            </w:r>
            <w:r>
              <w:rPr>
                <w:rFonts w:eastAsiaTheme="minorEastAsia"/>
                <w:lang w:val="en-US"/>
              </w:rPr>
              <w:t>6</w:t>
            </w:r>
          </w:p>
        </w:tc>
      </w:tr>
      <w:tr w:rsidR="0055391D" w14:paraId="7DEA4168" w14:textId="77777777" w:rsidTr="00663D8D">
        <w:trPr>
          <w:trHeight w:val="547"/>
        </w:trPr>
        <w:tc>
          <w:tcPr>
            <w:cnfStyle w:val="001000000000" w:firstRow="0" w:lastRow="0" w:firstColumn="1" w:lastColumn="0" w:oddVBand="0" w:evenVBand="0" w:oddHBand="0" w:evenHBand="0" w:firstRowFirstColumn="0" w:firstRowLastColumn="0" w:lastRowFirstColumn="0" w:lastRowLastColumn="0"/>
            <w:tcW w:w="2969" w:type="dxa"/>
          </w:tcPr>
          <w:p w14:paraId="1F940356" w14:textId="77777777" w:rsidR="0055391D" w:rsidRDefault="0055391D" w:rsidP="0055391D">
            <w:pPr>
              <w:rPr>
                <w:rFonts w:eastAsiaTheme="minorEastAsia"/>
                <w:lang w:val="en-US"/>
              </w:rPr>
            </w:pPr>
          </w:p>
        </w:tc>
        <w:tc>
          <w:tcPr>
            <w:tcW w:w="2969" w:type="dxa"/>
          </w:tcPr>
          <w:p w14:paraId="0C50AE2C" w14:textId="2C70FBB7" w:rsidR="0055391D" w:rsidRDefault="0055391D" w:rsidP="0055391D">
            <w:pPr>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lang w:val="en-US"/>
              </w:rPr>
              <w:t>Persistent casual</w:t>
            </w:r>
          </w:p>
        </w:tc>
        <w:tc>
          <w:tcPr>
            <w:tcW w:w="2971" w:type="dxa"/>
          </w:tcPr>
          <w:p w14:paraId="0E367CBE" w14:textId="6F788FFC" w:rsidR="0055391D" w:rsidRDefault="0055391D" w:rsidP="0055391D">
            <w:pPr>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lang w:val="en-US"/>
              </w:rPr>
              <w:t>H</w:t>
            </w:r>
            <w:r>
              <w:rPr>
                <w:rFonts w:eastAsiaTheme="minorEastAsia"/>
                <w:vertAlign w:val="subscript"/>
                <w:lang w:val="en-US"/>
              </w:rPr>
              <w:t>LL</w:t>
            </w:r>
            <w:r>
              <w:rPr>
                <w:rFonts w:eastAsiaTheme="minorEastAsia"/>
                <w:lang w:val="en-US"/>
              </w:rPr>
              <w:t xml:space="preserve"> = </w:t>
            </w:r>
            <w:r w:rsidR="00332B6F">
              <w:rPr>
                <w:rFonts w:eastAsiaTheme="minorEastAsia"/>
                <w:lang w:val="en-US"/>
              </w:rPr>
              <w:t>2.08</w:t>
            </w:r>
            <w:r>
              <w:rPr>
                <w:rFonts w:eastAsiaTheme="minorEastAsia"/>
                <w:lang w:val="en-US"/>
              </w:rPr>
              <w:t xml:space="preserve"> * </w:t>
            </w:r>
            <w:proofErr w:type="spellStart"/>
            <w:r>
              <w:rPr>
                <w:rFonts w:eastAsiaTheme="minorEastAsia"/>
                <w:lang w:val="en-US"/>
              </w:rPr>
              <w:t>h</w:t>
            </w:r>
            <w:r>
              <w:rPr>
                <w:rFonts w:eastAsiaTheme="minorEastAsia"/>
                <w:vertAlign w:val="subscript"/>
                <w:lang w:val="en-US"/>
              </w:rPr>
              <w:t>HH</w:t>
            </w:r>
            <w:proofErr w:type="spellEnd"/>
            <w:r>
              <w:rPr>
                <w:rFonts w:eastAsiaTheme="minorEastAsia"/>
                <w:lang w:val="en-US"/>
              </w:rPr>
              <w:t xml:space="preserve"> </w:t>
            </w:r>
            <w:r w:rsidR="00332B6F">
              <w:rPr>
                <w:rFonts w:eastAsiaTheme="minorEastAsia"/>
                <w:lang w:val="en-US"/>
              </w:rPr>
              <w:t xml:space="preserve">– 1.08 </w:t>
            </w:r>
          </w:p>
        </w:tc>
      </w:tr>
      <w:tr w:rsidR="0055391D" w14:paraId="1ABCBFC1" w14:textId="77777777" w:rsidTr="00663D8D">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969" w:type="dxa"/>
          </w:tcPr>
          <w:p w14:paraId="49C6BF79" w14:textId="77777777" w:rsidR="0055391D" w:rsidRDefault="0055391D" w:rsidP="0055391D">
            <w:pPr>
              <w:rPr>
                <w:rFonts w:eastAsiaTheme="minorEastAsia"/>
                <w:lang w:val="en-US"/>
              </w:rPr>
            </w:pPr>
          </w:p>
        </w:tc>
        <w:tc>
          <w:tcPr>
            <w:tcW w:w="2969" w:type="dxa"/>
          </w:tcPr>
          <w:p w14:paraId="68AC652A" w14:textId="561516D2" w:rsidR="0055391D" w:rsidRDefault="0055391D" w:rsidP="0055391D">
            <w:pPr>
              <w:cnfStyle w:val="000000100000" w:firstRow="0" w:lastRow="0" w:firstColumn="0" w:lastColumn="0" w:oddVBand="0" w:evenVBand="0" w:oddHBand="1" w:evenHBand="0" w:firstRowFirstColumn="0" w:firstRowLastColumn="0" w:lastRowFirstColumn="0" w:lastRowLastColumn="0"/>
              <w:rPr>
                <w:rFonts w:eastAsiaTheme="minorEastAsia"/>
                <w:lang w:val="en-US"/>
              </w:rPr>
            </w:pPr>
            <w:r>
              <w:rPr>
                <w:rFonts w:eastAsiaTheme="minorEastAsia"/>
                <w:lang w:val="en-US"/>
              </w:rPr>
              <w:t>One-off</w:t>
            </w:r>
          </w:p>
        </w:tc>
        <w:tc>
          <w:tcPr>
            <w:tcW w:w="2971" w:type="dxa"/>
          </w:tcPr>
          <w:p w14:paraId="38B1DECA" w14:textId="15F87CCB" w:rsidR="0055391D" w:rsidRDefault="0055391D" w:rsidP="0055391D">
            <w:pPr>
              <w:cnfStyle w:val="000000100000" w:firstRow="0" w:lastRow="0" w:firstColumn="0" w:lastColumn="0" w:oddVBand="0" w:evenVBand="0" w:oddHBand="1" w:evenHBand="0" w:firstRowFirstColumn="0" w:firstRowLastColumn="0" w:lastRowFirstColumn="0" w:lastRowLastColumn="0"/>
              <w:rPr>
                <w:rFonts w:eastAsiaTheme="minorEastAsia"/>
                <w:lang w:val="en-US"/>
              </w:rPr>
            </w:pPr>
            <w:r>
              <w:rPr>
                <w:rFonts w:eastAsiaTheme="minorEastAsia"/>
                <w:lang w:val="en-US"/>
              </w:rPr>
              <w:t>H</w:t>
            </w:r>
            <w:r>
              <w:rPr>
                <w:rFonts w:eastAsiaTheme="minorEastAsia"/>
                <w:vertAlign w:val="subscript"/>
                <w:lang w:val="en-US"/>
              </w:rPr>
              <w:t>LL</w:t>
            </w:r>
            <w:r>
              <w:rPr>
                <w:rFonts w:eastAsiaTheme="minorEastAsia"/>
                <w:lang w:val="en-US"/>
              </w:rPr>
              <w:t xml:space="preserve"> = </w:t>
            </w:r>
            <w:r w:rsidR="00332B6F">
              <w:rPr>
                <w:rFonts w:eastAsiaTheme="minorEastAsia"/>
                <w:lang w:val="en-US"/>
              </w:rPr>
              <w:t>1.29</w:t>
            </w:r>
            <w:r>
              <w:rPr>
                <w:rFonts w:eastAsiaTheme="minorEastAsia"/>
                <w:lang w:val="en-US"/>
              </w:rPr>
              <w:t xml:space="preserve"> * </w:t>
            </w:r>
            <w:proofErr w:type="spellStart"/>
            <w:r>
              <w:rPr>
                <w:rFonts w:eastAsiaTheme="minorEastAsia"/>
                <w:lang w:val="en-US"/>
              </w:rPr>
              <w:t>h</w:t>
            </w:r>
            <w:r>
              <w:rPr>
                <w:rFonts w:eastAsiaTheme="minorEastAsia"/>
                <w:vertAlign w:val="subscript"/>
                <w:lang w:val="en-US"/>
              </w:rPr>
              <w:t>HH</w:t>
            </w:r>
            <w:proofErr w:type="spellEnd"/>
            <w:r>
              <w:rPr>
                <w:rFonts w:eastAsiaTheme="minorEastAsia"/>
                <w:lang w:val="en-US"/>
              </w:rPr>
              <w:t xml:space="preserve"> </w:t>
            </w:r>
            <w:r w:rsidR="00332B6F">
              <w:rPr>
                <w:rFonts w:eastAsiaTheme="minorEastAsia"/>
                <w:lang w:val="en-US"/>
              </w:rPr>
              <w:t>– 0.13</w:t>
            </w:r>
            <w:r>
              <w:rPr>
                <w:rFonts w:eastAsiaTheme="minorEastAsia"/>
                <w:lang w:val="en-US"/>
              </w:rPr>
              <w:t xml:space="preserve"> </w:t>
            </w:r>
          </w:p>
        </w:tc>
      </w:tr>
      <w:tr w:rsidR="00434F27" w14:paraId="3AA23746" w14:textId="77777777" w:rsidTr="00663D8D">
        <w:trPr>
          <w:trHeight w:val="273"/>
        </w:trPr>
        <w:tc>
          <w:tcPr>
            <w:cnfStyle w:val="001000000000" w:firstRow="0" w:lastRow="0" w:firstColumn="1" w:lastColumn="0" w:oddVBand="0" w:evenVBand="0" w:oddHBand="0" w:evenHBand="0" w:firstRowFirstColumn="0" w:firstRowLastColumn="0" w:lastRowFirstColumn="0" w:lastRowLastColumn="0"/>
            <w:tcW w:w="2969" w:type="dxa"/>
          </w:tcPr>
          <w:p w14:paraId="634F403E" w14:textId="758EA738" w:rsidR="00434F27" w:rsidRDefault="00434F27" w:rsidP="00434F27">
            <w:pPr>
              <w:rPr>
                <w:rFonts w:eastAsiaTheme="minorEastAsia"/>
                <w:lang w:val="en-US"/>
              </w:rPr>
            </w:pPr>
            <w:r>
              <w:rPr>
                <w:lang w:val="en-US"/>
              </w:rPr>
              <w:t xml:space="preserve">More than </w:t>
            </w:r>
            <w:r w:rsidRPr="00226F8D">
              <w:rPr>
                <w:lang w:val="en-US"/>
              </w:rPr>
              <w:t>1</w:t>
            </w:r>
            <w:r w:rsidRPr="00226F8D">
              <w:t>5</w:t>
            </w:r>
            <w:r>
              <w:t xml:space="preserve"> casual</w:t>
            </w:r>
            <w:r w:rsidRPr="00226F8D">
              <w:t xml:space="preserve"> partners</w:t>
            </w:r>
          </w:p>
        </w:tc>
        <w:tc>
          <w:tcPr>
            <w:tcW w:w="2969" w:type="dxa"/>
          </w:tcPr>
          <w:p w14:paraId="726075F8" w14:textId="3BF6B469" w:rsidR="00434F27" w:rsidRDefault="00434F27" w:rsidP="00434F27">
            <w:pPr>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lang w:val="en-US"/>
              </w:rPr>
              <w:t>Main</w:t>
            </w:r>
          </w:p>
        </w:tc>
        <w:tc>
          <w:tcPr>
            <w:tcW w:w="2971" w:type="dxa"/>
          </w:tcPr>
          <w:p w14:paraId="799A9710" w14:textId="1F8D4B5E" w:rsidR="00434F27" w:rsidRDefault="00434F27" w:rsidP="00434F27">
            <w:pPr>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lang w:val="en-US"/>
              </w:rPr>
              <w:t>H</w:t>
            </w:r>
            <w:r>
              <w:rPr>
                <w:rFonts w:eastAsiaTheme="minorEastAsia"/>
                <w:vertAlign w:val="subscript"/>
                <w:lang w:val="en-US"/>
              </w:rPr>
              <w:t>LL</w:t>
            </w:r>
            <w:r>
              <w:rPr>
                <w:rFonts w:eastAsiaTheme="minorEastAsia"/>
                <w:lang w:val="en-US"/>
              </w:rPr>
              <w:t xml:space="preserve"> = 0.</w:t>
            </w:r>
            <w:r>
              <w:rPr>
                <w:rFonts w:eastAsiaTheme="minorEastAsia"/>
                <w:lang w:val="en-US"/>
              </w:rPr>
              <w:t>35</w:t>
            </w:r>
            <w:r>
              <w:rPr>
                <w:rFonts w:eastAsiaTheme="minorEastAsia"/>
                <w:lang w:val="en-US"/>
              </w:rPr>
              <w:t xml:space="preserve"> * </w:t>
            </w:r>
            <w:proofErr w:type="spellStart"/>
            <w:r>
              <w:rPr>
                <w:rFonts w:eastAsiaTheme="minorEastAsia"/>
                <w:lang w:val="en-US"/>
              </w:rPr>
              <w:t>h</w:t>
            </w:r>
            <w:r>
              <w:rPr>
                <w:rFonts w:eastAsiaTheme="minorEastAsia"/>
                <w:vertAlign w:val="subscript"/>
                <w:lang w:val="en-US"/>
              </w:rPr>
              <w:t>HH</w:t>
            </w:r>
            <w:proofErr w:type="spellEnd"/>
            <w:r>
              <w:rPr>
                <w:rFonts w:eastAsiaTheme="minorEastAsia"/>
                <w:lang w:val="en-US"/>
              </w:rPr>
              <w:t xml:space="preserve"> + 0.</w:t>
            </w:r>
            <w:r>
              <w:rPr>
                <w:rFonts w:eastAsiaTheme="minorEastAsia"/>
                <w:lang w:val="en-US"/>
              </w:rPr>
              <w:t>6</w:t>
            </w:r>
            <w:r>
              <w:rPr>
                <w:rFonts w:eastAsiaTheme="minorEastAsia"/>
                <w:lang w:val="en-US"/>
              </w:rPr>
              <w:t>5</w:t>
            </w:r>
          </w:p>
        </w:tc>
      </w:tr>
      <w:tr w:rsidR="0055391D" w14:paraId="1827F9D2" w14:textId="77777777" w:rsidTr="00663D8D">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969" w:type="dxa"/>
          </w:tcPr>
          <w:p w14:paraId="7BEE162E" w14:textId="77777777" w:rsidR="0055391D" w:rsidRDefault="0055391D" w:rsidP="0055391D">
            <w:pPr>
              <w:rPr>
                <w:rFonts w:eastAsiaTheme="minorEastAsia"/>
                <w:lang w:val="en-US"/>
              </w:rPr>
            </w:pPr>
          </w:p>
        </w:tc>
        <w:tc>
          <w:tcPr>
            <w:tcW w:w="2969" w:type="dxa"/>
          </w:tcPr>
          <w:p w14:paraId="77D5E8FB" w14:textId="50A7BA77" w:rsidR="0055391D" w:rsidRDefault="0055391D" w:rsidP="0055391D">
            <w:pPr>
              <w:cnfStyle w:val="000000100000" w:firstRow="0" w:lastRow="0" w:firstColumn="0" w:lastColumn="0" w:oddVBand="0" w:evenVBand="0" w:oddHBand="1" w:evenHBand="0" w:firstRowFirstColumn="0" w:firstRowLastColumn="0" w:lastRowFirstColumn="0" w:lastRowLastColumn="0"/>
              <w:rPr>
                <w:rFonts w:eastAsiaTheme="minorEastAsia"/>
                <w:lang w:val="en-US"/>
              </w:rPr>
            </w:pPr>
            <w:r>
              <w:rPr>
                <w:rFonts w:eastAsiaTheme="minorEastAsia"/>
                <w:lang w:val="en-US"/>
              </w:rPr>
              <w:t>Persistent casual</w:t>
            </w:r>
          </w:p>
        </w:tc>
        <w:tc>
          <w:tcPr>
            <w:tcW w:w="2971" w:type="dxa"/>
          </w:tcPr>
          <w:p w14:paraId="6457D234" w14:textId="4726EC60" w:rsidR="0055391D" w:rsidRDefault="0055391D" w:rsidP="0055391D">
            <w:pPr>
              <w:cnfStyle w:val="000000100000" w:firstRow="0" w:lastRow="0" w:firstColumn="0" w:lastColumn="0" w:oddVBand="0" w:evenVBand="0" w:oddHBand="1" w:evenHBand="0" w:firstRowFirstColumn="0" w:firstRowLastColumn="0" w:lastRowFirstColumn="0" w:lastRowLastColumn="0"/>
              <w:rPr>
                <w:rFonts w:eastAsiaTheme="minorEastAsia"/>
                <w:lang w:val="en-US"/>
              </w:rPr>
            </w:pPr>
            <w:r>
              <w:rPr>
                <w:rFonts w:eastAsiaTheme="minorEastAsia"/>
                <w:lang w:val="en-US"/>
              </w:rPr>
              <w:t>H</w:t>
            </w:r>
            <w:r>
              <w:rPr>
                <w:rFonts w:eastAsiaTheme="minorEastAsia"/>
                <w:vertAlign w:val="subscript"/>
                <w:lang w:val="en-US"/>
              </w:rPr>
              <w:t>LL</w:t>
            </w:r>
            <w:r>
              <w:rPr>
                <w:rFonts w:eastAsiaTheme="minorEastAsia"/>
                <w:lang w:val="en-US"/>
              </w:rPr>
              <w:t xml:space="preserve"> = </w:t>
            </w:r>
            <w:r w:rsidR="00DD7CFB">
              <w:rPr>
                <w:rFonts w:eastAsiaTheme="minorEastAsia"/>
                <w:lang w:val="en-US"/>
              </w:rPr>
              <w:t>1.64</w:t>
            </w:r>
            <w:r>
              <w:rPr>
                <w:rFonts w:eastAsiaTheme="minorEastAsia"/>
                <w:lang w:val="en-US"/>
              </w:rPr>
              <w:t xml:space="preserve"> * </w:t>
            </w:r>
            <w:proofErr w:type="spellStart"/>
            <w:r>
              <w:rPr>
                <w:rFonts w:eastAsiaTheme="minorEastAsia"/>
                <w:lang w:val="en-US"/>
              </w:rPr>
              <w:t>h</w:t>
            </w:r>
            <w:r>
              <w:rPr>
                <w:rFonts w:eastAsiaTheme="minorEastAsia"/>
                <w:vertAlign w:val="subscript"/>
                <w:lang w:val="en-US"/>
              </w:rPr>
              <w:t>HH</w:t>
            </w:r>
            <w:proofErr w:type="spellEnd"/>
            <w:r>
              <w:rPr>
                <w:rFonts w:eastAsiaTheme="minorEastAsia"/>
                <w:lang w:val="en-US"/>
              </w:rPr>
              <w:t xml:space="preserve"> </w:t>
            </w:r>
            <w:r w:rsidR="00DD7CFB">
              <w:rPr>
                <w:rFonts w:eastAsiaTheme="minorEastAsia"/>
                <w:lang w:val="en-US"/>
              </w:rPr>
              <w:t>– 0.64</w:t>
            </w:r>
          </w:p>
        </w:tc>
      </w:tr>
      <w:tr w:rsidR="0055391D" w14:paraId="7BE04433" w14:textId="77777777" w:rsidTr="00663D8D">
        <w:trPr>
          <w:trHeight w:val="273"/>
        </w:trPr>
        <w:tc>
          <w:tcPr>
            <w:cnfStyle w:val="001000000000" w:firstRow="0" w:lastRow="0" w:firstColumn="1" w:lastColumn="0" w:oddVBand="0" w:evenVBand="0" w:oddHBand="0" w:evenHBand="0" w:firstRowFirstColumn="0" w:firstRowLastColumn="0" w:lastRowFirstColumn="0" w:lastRowLastColumn="0"/>
            <w:tcW w:w="2969" w:type="dxa"/>
          </w:tcPr>
          <w:p w14:paraId="26DDFA5B" w14:textId="77777777" w:rsidR="0055391D" w:rsidRDefault="0055391D" w:rsidP="0055391D">
            <w:pPr>
              <w:rPr>
                <w:rFonts w:eastAsiaTheme="minorEastAsia"/>
                <w:lang w:val="en-US"/>
              </w:rPr>
            </w:pPr>
          </w:p>
        </w:tc>
        <w:tc>
          <w:tcPr>
            <w:tcW w:w="2969" w:type="dxa"/>
          </w:tcPr>
          <w:p w14:paraId="2CDA3F50" w14:textId="65A54BEA" w:rsidR="0055391D" w:rsidRDefault="0055391D" w:rsidP="0055391D">
            <w:pPr>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lang w:val="en-US"/>
              </w:rPr>
              <w:t>One-off</w:t>
            </w:r>
          </w:p>
        </w:tc>
        <w:tc>
          <w:tcPr>
            <w:tcW w:w="2971" w:type="dxa"/>
          </w:tcPr>
          <w:p w14:paraId="4BBBBA20" w14:textId="1D326FBC" w:rsidR="0055391D" w:rsidRDefault="0055391D" w:rsidP="0055391D">
            <w:pPr>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lang w:val="en-US"/>
              </w:rPr>
              <w:t>H</w:t>
            </w:r>
            <w:r>
              <w:rPr>
                <w:rFonts w:eastAsiaTheme="minorEastAsia"/>
                <w:vertAlign w:val="subscript"/>
                <w:lang w:val="en-US"/>
              </w:rPr>
              <w:t>LL</w:t>
            </w:r>
            <w:r>
              <w:rPr>
                <w:rFonts w:eastAsiaTheme="minorEastAsia"/>
                <w:lang w:val="en-US"/>
              </w:rPr>
              <w:t xml:space="preserve"> = 0.</w:t>
            </w:r>
            <w:r w:rsidR="00DD7CFB">
              <w:rPr>
                <w:rFonts w:eastAsiaTheme="minorEastAsia"/>
                <w:lang w:val="en-US"/>
              </w:rPr>
              <w:t>96</w:t>
            </w:r>
            <w:r>
              <w:rPr>
                <w:rFonts w:eastAsiaTheme="minorEastAsia"/>
                <w:lang w:val="en-US"/>
              </w:rPr>
              <w:t xml:space="preserve"> * </w:t>
            </w:r>
            <w:proofErr w:type="spellStart"/>
            <w:r>
              <w:rPr>
                <w:rFonts w:eastAsiaTheme="minorEastAsia"/>
                <w:lang w:val="en-US"/>
              </w:rPr>
              <w:t>h</w:t>
            </w:r>
            <w:r>
              <w:rPr>
                <w:rFonts w:eastAsiaTheme="minorEastAsia"/>
                <w:vertAlign w:val="subscript"/>
                <w:lang w:val="en-US"/>
              </w:rPr>
              <w:t>HH</w:t>
            </w:r>
            <w:proofErr w:type="spellEnd"/>
            <w:r>
              <w:rPr>
                <w:rFonts w:eastAsiaTheme="minorEastAsia"/>
                <w:lang w:val="en-US"/>
              </w:rPr>
              <w:t xml:space="preserve"> + 0.</w:t>
            </w:r>
            <w:r w:rsidR="00DD7CFB">
              <w:rPr>
                <w:rFonts w:eastAsiaTheme="minorEastAsia"/>
                <w:lang w:val="en-US"/>
              </w:rPr>
              <w:t>04</w:t>
            </w:r>
          </w:p>
        </w:tc>
      </w:tr>
    </w:tbl>
    <w:p w14:paraId="2DEBBE31" w14:textId="77777777" w:rsidR="0055391D" w:rsidRPr="005342A5" w:rsidRDefault="0055391D" w:rsidP="00484419">
      <w:pPr>
        <w:rPr>
          <w:rFonts w:eastAsiaTheme="minorEastAsia"/>
          <w:lang w:val="en-US"/>
        </w:rPr>
      </w:pPr>
    </w:p>
    <w:p w14:paraId="6BB5D4E6" w14:textId="26C95C25" w:rsidR="00886321" w:rsidRDefault="00484419" w:rsidP="005577CE">
      <w:pPr>
        <w:rPr>
          <w:lang w:val="en-US"/>
        </w:rPr>
      </w:pPr>
      <w:r>
        <w:rPr>
          <w:lang w:val="en-US"/>
        </w:rPr>
        <w:t xml:space="preserve">Homophily rate estimates were not available in the EMIS 2017 dataset, nor in the literature, thus we calibrated these parameters together with the duration parameters as described in </w:t>
      </w:r>
      <w:r w:rsidRPr="005342A5">
        <w:rPr>
          <w:lang w:val="en-US"/>
        </w:rPr>
        <w:t xml:space="preserve">more detail in Section </w:t>
      </w:r>
      <w:r w:rsidRPr="005342A5">
        <w:rPr>
          <w:lang w:val="en-US"/>
        </w:rPr>
        <w:fldChar w:fldCharType="begin"/>
      </w:r>
      <w:r w:rsidRPr="005342A5">
        <w:rPr>
          <w:lang w:val="en-US"/>
        </w:rPr>
        <w:instrText xml:space="preserve"> REF _Ref114239267 \r \h </w:instrText>
      </w:r>
      <w:r w:rsidRPr="005342A5">
        <w:rPr>
          <w:lang w:val="en-US"/>
        </w:rPr>
      </w:r>
      <w:r w:rsidRPr="005342A5">
        <w:rPr>
          <w:lang w:val="en-US"/>
        </w:rPr>
        <w:fldChar w:fldCharType="separate"/>
      </w:r>
      <w:r w:rsidRPr="005342A5">
        <w:rPr>
          <w:lang w:val="en-US"/>
        </w:rPr>
        <w:t>5</w:t>
      </w:r>
      <w:r w:rsidRPr="005342A5">
        <w:rPr>
          <w:lang w:val="en-US"/>
        </w:rPr>
        <w:fldChar w:fldCharType="end"/>
      </w:r>
      <w:r w:rsidRPr="005342A5">
        <w:rPr>
          <w:lang w:val="en-US"/>
        </w:rPr>
        <w:t>.</w:t>
      </w:r>
      <w:r w:rsidR="00EB7A8D">
        <w:rPr>
          <w:lang w:val="en-US"/>
        </w:rPr>
        <w:t xml:space="preserve"> </w:t>
      </w:r>
    </w:p>
    <w:p w14:paraId="505D82AE" w14:textId="1AF730CE" w:rsidR="00EB7A8D" w:rsidRPr="005342A5" w:rsidRDefault="00EB7A8D" w:rsidP="005577CE">
      <w:pPr>
        <w:rPr>
          <w:lang w:val="en-US"/>
        </w:rPr>
      </w:pPr>
    </w:p>
    <w:bookmarkEnd w:id="7"/>
    <w:p w14:paraId="573E3008" w14:textId="34A0A047" w:rsidR="00162616" w:rsidRPr="005342A5" w:rsidRDefault="00162616" w:rsidP="00751DF0">
      <w:pPr>
        <w:pStyle w:val="Heading2"/>
        <w:numPr>
          <w:ilvl w:val="0"/>
          <w:numId w:val="21"/>
        </w:numPr>
        <w:rPr>
          <w:b/>
          <w:bCs/>
          <w:color w:val="auto"/>
          <w:lang w:val="en-US"/>
        </w:rPr>
      </w:pPr>
      <w:r w:rsidRPr="005342A5">
        <w:rPr>
          <w:b/>
          <w:bCs/>
          <w:color w:val="auto"/>
          <w:lang w:val="en-US"/>
        </w:rPr>
        <w:t>Model processes</w:t>
      </w:r>
    </w:p>
    <w:p w14:paraId="1131A368" w14:textId="2FE0D8B4" w:rsidR="00162616" w:rsidRPr="005342A5" w:rsidRDefault="00162616" w:rsidP="00162616">
      <w:pPr>
        <w:rPr>
          <w:lang w:val="en-US"/>
        </w:rPr>
      </w:pPr>
      <w:r w:rsidRPr="005342A5">
        <w:rPr>
          <w:lang w:val="en-US"/>
        </w:rPr>
        <w:t xml:space="preserve">Once the network of interest was initialized, the following steps </w:t>
      </w:r>
      <w:r w:rsidR="00980577" w:rsidRPr="005342A5">
        <w:rPr>
          <w:lang w:val="en-US"/>
        </w:rPr>
        <w:t>occurred</w:t>
      </w:r>
      <w:r w:rsidRPr="005342A5">
        <w:rPr>
          <w:lang w:val="en-US"/>
        </w:rPr>
        <w:t xml:space="preserve"> at each simulation:</w:t>
      </w:r>
    </w:p>
    <w:p w14:paraId="75C41F23" w14:textId="77777777" w:rsidR="00E81BEB" w:rsidRPr="005342A5" w:rsidRDefault="00E81BEB" w:rsidP="00E81BEB">
      <w:pPr>
        <w:rPr>
          <w:lang w:val="en-US"/>
        </w:rPr>
      </w:pPr>
      <w:r w:rsidRPr="005342A5">
        <w:rPr>
          <w:lang w:val="en-US"/>
        </w:rPr>
        <w:t xml:space="preserve">At time step 1: </w:t>
      </w:r>
    </w:p>
    <w:p w14:paraId="770D8797" w14:textId="76286ABD" w:rsidR="00162616" w:rsidRPr="005342A5" w:rsidRDefault="00162616" w:rsidP="00E81BEB">
      <w:pPr>
        <w:numPr>
          <w:ilvl w:val="0"/>
          <w:numId w:val="29"/>
        </w:numPr>
        <w:rPr>
          <w:lang w:val="en-US"/>
        </w:rPr>
      </w:pPr>
      <w:r w:rsidRPr="005342A5">
        <w:rPr>
          <w:lang w:val="en-US"/>
        </w:rPr>
        <w:t>Random allocat</w:t>
      </w:r>
      <w:r w:rsidR="00980577" w:rsidRPr="005342A5">
        <w:rPr>
          <w:lang w:val="en-US"/>
        </w:rPr>
        <w:t xml:space="preserve">ion of </w:t>
      </w:r>
      <w:r w:rsidR="00E81BEB" w:rsidRPr="005342A5">
        <w:rPr>
          <w:lang w:val="en-US"/>
        </w:rPr>
        <w:t xml:space="preserve">characteristics behavioral characteristics </w:t>
      </w:r>
      <w:r w:rsidR="00421C6E">
        <w:rPr>
          <w:lang w:val="en-US"/>
        </w:rPr>
        <w:t>like</w:t>
      </w:r>
      <w:r w:rsidR="00E81BEB" w:rsidRPr="005342A5">
        <w:rPr>
          <w:lang w:val="en-US"/>
        </w:rPr>
        <w:t xml:space="preserve"> condom use</w:t>
      </w:r>
      <w:r w:rsidR="00421C6E">
        <w:rPr>
          <w:lang w:val="en-US"/>
        </w:rPr>
        <w:t xml:space="preserve"> and screening behavior</w:t>
      </w:r>
      <w:r w:rsidR="00E81BEB" w:rsidRPr="005342A5">
        <w:rPr>
          <w:lang w:val="en-US"/>
        </w:rPr>
        <w:t xml:space="preserve">. </w:t>
      </w:r>
    </w:p>
    <w:p w14:paraId="4EC81049" w14:textId="28F0FF75" w:rsidR="00E81BEB" w:rsidRPr="005342A5" w:rsidRDefault="00E81BEB" w:rsidP="00E81BEB">
      <w:pPr>
        <w:numPr>
          <w:ilvl w:val="0"/>
          <w:numId w:val="29"/>
        </w:numPr>
        <w:rPr>
          <w:lang w:val="en-US"/>
        </w:rPr>
      </w:pPr>
      <w:r w:rsidRPr="005342A5">
        <w:rPr>
          <w:lang w:val="en-US"/>
        </w:rPr>
        <w:t>Increment time by one step</w:t>
      </w:r>
    </w:p>
    <w:p w14:paraId="0BAD6001" w14:textId="25A99E87" w:rsidR="00E81BEB" w:rsidRPr="005342A5" w:rsidRDefault="00E81BEB" w:rsidP="00E81BEB">
      <w:pPr>
        <w:rPr>
          <w:lang w:val="en-US"/>
        </w:rPr>
      </w:pPr>
      <w:r w:rsidRPr="005342A5">
        <w:rPr>
          <w:lang w:val="en-US"/>
        </w:rPr>
        <w:t>At time step &gt; 1:</w:t>
      </w:r>
    </w:p>
    <w:p w14:paraId="77335F75" w14:textId="1F3CD2BD" w:rsidR="00E81BEB" w:rsidRPr="005342A5" w:rsidRDefault="00E81BEB" w:rsidP="00E81BEB">
      <w:pPr>
        <w:numPr>
          <w:ilvl w:val="0"/>
          <w:numId w:val="30"/>
        </w:numPr>
        <w:rPr>
          <w:lang w:val="en-US"/>
        </w:rPr>
      </w:pPr>
      <w:r w:rsidRPr="005342A5">
        <w:rPr>
          <w:lang w:val="en-US"/>
        </w:rPr>
        <w:t xml:space="preserve">Update </w:t>
      </w:r>
      <w:r w:rsidR="00980577" w:rsidRPr="005342A5">
        <w:rPr>
          <w:lang w:val="en-US"/>
        </w:rPr>
        <w:t xml:space="preserve">of </w:t>
      </w:r>
      <w:r w:rsidRPr="005342A5">
        <w:rPr>
          <w:lang w:val="en-US"/>
        </w:rPr>
        <w:t>network given the new time point in terms of creating new relationships or dis</w:t>
      </w:r>
      <w:r w:rsidR="009801AD" w:rsidRPr="005342A5">
        <w:rPr>
          <w:lang w:val="en-US"/>
        </w:rPr>
        <w:t>s</w:t>
      </w:r>
      <w:r w:rsidRPr="005342A5">
        <w:rPr>
          <w:lang w:val="en-US"/>
        </w:rPr>
        <w:t xml:space="preserve">olving current ones. </w:t>
      </w:r>
    </w:p>
    <w:p w14:paraId="712CB6FD" w14:textId="4D15C168" w:rsidR="00E81BEB" w:rsidRPr="005342A5" w:rsidRDefault="00980577" w:rsidP="00E81BEB">
      <w:pPr>
        <w:numPr>
          <w:ilvl w:val="0"/>
          <w:numId w:val="30"/>
        </w:numPr>
        <w:rPr>
          <w:lang w:val="en-US"/>
        </w:rPr>
      </w:pPr>
      <w:r w:rsidRPr="005342A5">
        <w:rPr>
          <w:lang w:val="en-US"/>
        </w:rPr>
        <w:t>Calculation of the number of sex acts that will occur in each active partnership.</w:t>
      </w:r>
    </w:p>
    <w:p w14:paraId="239D3002" w14:textId="0464FBE4" w:rsidR="00BA1AE0" w:rsidRPr="005342A5" w:rsidRDefault="00BA1AE0" w:rsidP="00E81BEB">
      <w:pPr>
        <w:numPr>
          <w:ilvl w:val="0"/>
          <w:numId w:val="30"/>
        </w:numPr>
        <w:rPr>
          <w:lang w:val="en-US"/>
        </w:rPr>
      </w:pPr>
      <w:r w:rsidRPr="005342A5">
        <w:rPr>
          <w:lang w:val="en-US"/>
        </w:rPr>
        <w:t xml:space="preserve">Calculation of </w:t>
      </w:r>
      <w:r w:rsidR="00563A5C">
        <w:rPr>
          <w:lang w:val="en-US"/>
        </w:rPr>
        <w:t xml:space="preserve">network summary </w:t>
      </w:r>
      <w:r w:rsidRPr="005342A5">
        <w:rPr>
          <w:lang w:val="en-US"/>
        </w:rPr>
        <w:t>statistics</w:t>
      </w:r>
    </w:p>
    <w:p w14:paraId="1F555847" w14:textId="628A4687" w:rsidR="00BA1AE0" w:rsidRPr="005342A5" w:rsidRDefault="00BA1AE0" w:rsidP="00E81BEB">
      <w:pPr>
        <w:numPr>
          <w:ilvl w:val="0"/>
          <w:numId w:val="30"/>
        </w:numPr>
        <w:rPr>
          <w:lang w:val="en-US"/>
        </w:rPr>
      </w:pPr>
      <w:r w:rsidRPr="005342A5">
        <w:rPr>
          <w:lang w:val="en-US"/>
        </w:rPr>
        <w:t xml:space="preserve">Increment time by one step. </w:t>
      </w:r>
    </w:p>
    <w:p w14:paraId="6DC0A2E0" w14:textId="32D6B171" w:rsidR="00BA1AE0" w:rsidRDefault="000B094A" w:rsidP="004D7054">
      <w:pPr>
        <w:rPr>
          <w:lang w:val="en-US"/>
        </w:rPr>
      </w:pPr>
      <w:r w:rsidRPr="005342A5">
        <w:rPr>
          <w:lang w:val="en-US"/>
        </w:rPr>
        <w:t xml:space="preserve">In this document as well as in the </w:t>
      </w:r>
      <w:r w:rsidR="000C6DB4">
        <w:rPr>
          <w:lang w:val="en-US"/>
        </w:rPr>
        <w:t>steady</w:t>
      </w:r>
      <w:r w:rsidRPr="005342A5">
        <w:rPr>
          <w:lang w:val="en-US"/>
        </w:rPr>
        <w:t xml:space="preserve"> text, </w:t>
      </w:r>
      <w:r w:rsidR="006822F6">
        <w:rPr>
          <w:lang w:val="en-US"/>
        </w:rPr>
        <w:t xml:space="preserve">a time step refers to one day, </w:t>
      </w:r>
      <w:r w:rsidRPr="005342A5">
        <w:rPr>
          <w:lang w:val="en-US"/>
        </w:rPr>
        <w:t>a month refers to a period of 30 days, and a year is a period of 12 months or 360 days.</w:t>
      </w:r>
    </w:p>
    <w:p w14:paraId="798DE48B" w14:textId="55C67BF8" w:rsidR="00CE602B" w:rsidRDefault="00CE602B" w:rsidP="00CE602B">
      <w:pPr>
        <w:rPr>
          <w:lang w:val="en-US"/>
        </w:rPr>
      </w:pPr>
      <w:r w:rsidRPr="00CE602B">
        <w:rPr>
          <w:lang w:val="en-US"/>
        </w:rPr>
        <w:t xml:space="preserve">We simulated the model </w:t>
      </w:r>
      <w:r w:rsidR="00F86A2A">
        <w:rPr>
          <w:lang w:val="en-US"/>
        </w:rPr>
        <w:t>50</w:t>
      </w:r>
      <w:r w:rsidRPr="00CE602B">
        <w:rPr>
          <w:lang w:val="en-US"/>
        </w:rPr>
        <w:t xml:space="preserve"> times for</w:t>
      </w:r>
      <w:r w:rsidR="00F86A2A">
        <w:rPr>
          <w:lang w:val="en-US"/>
        </w:rPr>
        <w:t xml:space="preserve"> 360</w:t>
      </w:r>
      <w:r w:rsidR="004D204F">
        <w:rPr>
          <w:lang w:val="en-US"/>
        </w:rPr>
        <w:t xml:space="preserve"> days</w:t>
      </w:r>
      <w:r w:rsidRPr="00CE602B">
        <w:rPr>
          <w:lang w:val="en-US"/>
        </w:rPr>
        <w:t xml:space="preserve">. The merged data from all </w:t>
      </w:r>
      <w:r w:rsidR="00F86A2A">
        <w:rPr>
          <w:lang w:val="en-US"/>
        </w:rPr>
        <w:t>50</w:t>
      </w:r>
      <w:r w:rsidRPr="00CE602B">
        <w:rPr>
          <w:lang w:val="en-US"/>
        </w:rPr>
        <w:t xml:space="preserve"> simulations were used to analyze the results. The computational resources and services used in this work were provided by </w:t>
      </w:r>
      <w:r w:rsidRPr="00CE602B">
        <w:rPr>
          <w:lang w:val="en-US"/>
        </w:rPr>
        <w:lastRenderedPageBreak/>
        <w:t>the HPC core facility CalcUA of the Universiteit Antwerpen, and VSC (Flemish Supercomputer Center), funded by the Research Foundation - Flanders (FWO) and the Flemish Government.</w:t>
      </w:r>
    </w:p>
    <w:p w14:paraId="7B663B0B" w14:textId="77777777" w:rsidR="00F86A2A" w:rsidRPr="00CE602B" w:rsidRDefault="00F86A2A" w:rsidP="00CE602B">
      <w:pPr>
        <w:rPr>
          <w:lang w:val="en-US"/>
        </w:rPr>
      </w:pPr>
    </w:p>
    <w:p w14:paraId="32BB8EB4" w14:textId="251FB140" w:rsidR="00E0016B" w:rsidRPr="005342A5" w:rsidRDefault="008A2A82" w:rsidP="005F0E25">
      <w:pPr>
        <w:pStyle w:val="Heading3"/>
        <w:numPr>
          <w:ilvl w:val="1"/>
          <w:numId w:val="21"/>
        </w:numPr>
        <w:rPr>
          <w:rFonts w:asciiTheme="minorHAnsi" w:hAnsiTheme="minorHAnsi" w:cstheme="minorHAnsi"/>
          <w:b/>
          <w:bCs/>
          <w:color w:val="auto"/>
          <w:u w:val="single"/>
          <w:lang w:val="en-US"/>
        </w:rPr>
      </w:pPr>
      <w:r>
        <w:rPr>
          <w:rFonts w:asciiTheme="minorHAnsi" w:hAnsiTheme="minorHAnsi" w:cstheme="minorHAnsi"/>
          <w:b/>
          <w:bCs/>
          <w:color w:val="auto"/>
          <w:u w:val="single"/>
          <w:lang w:val="en-US"/>
        </w:rPr>
        <w:t>Sex acts</w:t>
      </w:r>
    </w:p>
    <w:p w14:paraId="66735B75" w14:textId="7291B3D8" w:rsidR="00B053C2" w:rsidRPr="005342A5" w:rsidRDefault="00CD0192" w:rsidP="00F96448">
      <w:pPr>
        <w:rPr>
          <w:lang w:val="en-US"/>
        </w:rPr>
      </w:pPr>
      <w:r w:rsidRPr="005342A5">
        <w:rPr>
          <w:lang w:val="en-US"/>
        </w:rPr>
        <w:t xml:space="preserve">At each time step of the simulation, a list of active partnerships </w:t>
      </w:r>
      <w:r w:rsidR="00B053C2" w:rsidRPr="005342A5">
        <w:rPr>
          <w:lang w:val="en-US"/>
        </w:rPr>
        <w:t>and their respective type (</w:t>
      </w:r>
      <w:r w:rsidR="000C6DB4">
        <w:rPr>
          <w:lang w:val="en-US"/>
        </w:rPr>
        <w:t>steady</w:t>
      </w:r>
      <w:r w:rsidR="0042682F">
        <w:rPr>
          <w:lang w:val="en-US"/>
        </w:rPr>
        <w:t xml:space="preserve">, </w:t>
      </w:r>
      <w:r w:rsidR="00B053C2" w:rsidRPr="005342A5">
        <w:rPr>
          <w:lang w:val="en-US"/>
        </w:rPr>
        <w:t>casual</w:t>
      </w:r>
      <w:r w:rsidR="0042682F">
        <w:rPr>
          <w:lang w:val="en-US"/>
        </w:rPr>
        <w:t xml:space="preserve"> or one-off</w:t>
      </w:r>
      <w:r w:rsidR="00B053C2" w:rsidRPr="005342A5">
        <w:rPr>
          <w:lang w:val="en-US"/>
        </w:rPr>
        <w:t xml:space="preserve">) </w:t>
      </w:r>
      <w:r w:rsidR="004B5CC1" w:rsidRPr="005342A5">
        <w:rPr>
          <w:lang w:val="en-US"/>
        </w:rPr>
        <w:t>wa</w:t>
      </w:r>
      <w:r w:rsidRPr="005342A5">
        <w:rPr>
          <w:lang w:val="en-US"/>
        </w:rPr>
        <w:t>s created based on the current composition of the network</w:t>
      </w:r>
      <w:r w:rsidR="00D87420" w:rsidRPr="005342A5">
        <w:rPr>
          <w:lang w:val="en-US"/>
        </w:rPr>
        <w:t xml:space="preserve">, which </w:t>
      </w:r>
      <w:r w:rsidRPr="005342A5">
        <w:rPr>
          <w:lang w:val="en-US"/>
        </w:rPr>
        <w:t>is called an “edge</w:t>
      </w:r>
      <w:r w:rsidR="00404408" w:rsidRPr="005342A5">
        <w:rPr>
          <w:lang w:val="en-US"/>
        </w:rPr>
        <w:t>-</w:t>
      </w:r>
      <w:r w:rsidRPr="005342A5">
        <w:rPr>
          <w:lang w:val="en-US"/>
        </w:rPr>
        <w:t xml:space="preserve">list”. </w:t>
      </w:r>
      <w:r w:rsidR="00D87420" w:rsidRPr="005342A5">
        <w:rPr>
          <w:lang w:val="en-US"/>
        </w:rPr>
        <w:t xml:space="preserve">Partnerships were considered as active at a particular time step if the terminus of the partnership was </w:t>
      </w:r>
      <w:r w:rsidR="004B5CC1" w:rsidRPr="005342A5">
        <w:rPr>
          <w:lang w:val="en-US"/>
        </w:rPr>
        <w:t>equal to or</w:t>
      </w:r>
      <w:r w:rsidR="00D87420" w:rsidRPr="005342A5">
        <w:rPr>
          <w:lang w:val="en-US"/>
        </w:rPr>
        <w:t xml:space="preserve"> greater than the current time step. </w:t>
      </w:r>
      <w:r w:rsidRPr="005342A5">
        <w:rPr>
          <w:lang w:val="en-US"/>
        </w:rPr>
        <w:t xml:space="preserve">Based on the type of relationship and the group combination of the </w:t>
      </w:r>
      <w:r w:rsidR="00B97CA0" w:rsidRPr="005342A5">
        <w:rPr>
          <w:lang w:val="en-US"/>
        </w:rPr>
        <w:t>partnership</w:t>
      </w:r>
      <w:r w:rsidRPr="005342A5">
        <w:rPr>
          <w:lang w:val="en-US"/>
        </w:rPr>
        <w:t xml:space="preserve">, the number of sex acts that </w:t>
      </w:r>
      <w:r w:rsidR="00DB348A" w:rsidRPr="005342A5">
        <w:rPr>
          <w:lang w:val="en-US"/>
        </w:rPr>
        <w:t>occurred</w:t>
      </w:r>
      <w:r w:rsidRPr="005342A5">
        <w:rPr>
          <w:lang w:val="en-US"/>
        </w:rPr>
        <w:t xml:space="preserve"> between the two partners </w:t>
      </w:r>
      <w:r w:rsidR="00B97CA0" w:rsidRPr="005342A5">
        <w:rPr>
          <w:lang w:val="en-US"/>
        </w:rPr>
        <w:t>on a</w:t>
      </w:r>
      <w:r w:rsidRPr="005342A5">
        <w:rPr>
          <w:lang w:val="en-US"/>
        </w:rPr>
        <w:t xml:space="preserve"> given time step </w:t>
      </w:r>
      <w:r w:rsidR="004B5CC1" w:rsidRPr="005342A5">
        <w:rPr>
          <w:lang w:val="en-US"/>
        </w:rPr>
        <w:t>wa</w:t>
      </w:r>
      <w:r w:rsidRPr="005342A5">
        <w:rPr>
          <w:lang w:val="en-US"/>
        </w:rPr>
        <w:t xml:space="preserve">s calculated by random draws from a </w:t>
      </w:r>
      <w:r w:rsidR="002B27E8">
        <w:rPr>
          <w:lang w:val="en-US"/>
        </w:rPr>
        <w:t>Binomial</w:t>
      </w:r>
      <w:r w:rsidRPr="005342A5">
        <w:rPr>
          <w:lang w:val="en-US"/>
        </w:rPr>
        <w:t xml:space="preserve"> distribution</w:t>
      </w:r>
      <w:r w:rsidR="0088720A" w:rsidRPr="005342A5">
        <w:rPr>
          <w:lang w:val="en-US"/>
        </w:rPr>
        <w:t xml:space="preserve"> with a </w:t>
      </w:r>
      <w:r w:rsidR="002B27E8">
        <w:rPr>
          <w:lang w:val="en-US"/>
        </w:rPr>
        <w:t xml:space="preserve">success probability </w:t>
      </w:r>
      <w:r w:rsidR="0088720A" w:rsidRPr="005342A5">
        <w:rPr>
          <w:lang w:val="en-US"/>
        </w:rPr>
        <w:t xml:space="preserve">depending on the type of partnership and the group of the two partners, as shown in the </w:t>
      </w:r>
      <w:r w:rsidR="00A51A32" w:rsidRPr="005342A5">
        <w:rPr>
          <w:lang w:val="en-US"/>
        </w:rPr>
        <w:fldChar w:fldCharType="begin"/>
      </w:r>
      <w:r w:rsidR="00A51A32" w:rsidRPr="005342A5">
        <w:rPr>
          <w:lang w:val="en-US"/>
        </w:rPr>
        <w:instrText xml:space="preserve"> REF _Ref84003022 \h </w:instrText>
      </w:r>
      <w:r w:rsidR="00A51A32" w:rsidRPr="005342A5">
        <w:rPr>
          <w:lang w:val="en-US"/>
        </w:rPr>
      </w:r>
      <w:r w:rsidR="00A51A32" w:rsidRPr="005342A5">
        <w:rPr>
          <w:lang w:val="en-US"/>
        </w:rPr>
        <w:fldChar w:fldCharType="separate"/>
      </w:r>
      <w:r w:rsidR="002B27E8" w:rsidRPr="005342A5">
        <w:rPr>
          <w:lang w:val="en-US"/>
        </w:rPr>
        <w:t>Table S</w:t>
      </w:r>
      <w:r w:rsidR="002B27E8">
        <w:rPr>
          <w:noProof/>
          <w:lang w:val="en-US"/>
        </w:rPr>
        <w:t>6</w:t>
      </w:r>
      <w:r w:rsidR="00A51A32" w:rsidRPr="005342A5">
        <w:rPr>
          <w:lang w:val="en-US"/>
        </w:rPr>
        <w:fldChar w:fldCharType="end"/>
      </w:r>
      <w:r w:rsidR="00A51A32" w:rsidRPr="005342A5">
        <w:rPr>
          <w:lang w:val="en-US"/>
        </w:rPr>
        <w:t xml:space="preserve"> </w:t>
      </w:r>
      <w:r w:rsidR="0088720A" w:rsidRPr="005342A5">
        <w:rPr>
          <w:lang w:val="en-US"/>
        </w:rPr>
        <w:t>below</w:t>
      </w:r>
      <w:r w:rsidRPr="005342A5">
        <w:rPr>
          <w:lang w:val="en-US"/>
        </w:rPr>
        <w:t xml:space="preserve">. </w:t>
      </w:r>
      <w:r w:rsidR="0053264A" w:rsidRPr="005342A5">
        <w:rPr>
          <w:lang w:val="en-US"/>
        </w:rPr>
        <w:t>The mean sex act rate for mixed partnerships (a high</w:t>
      </w:r>
      <w:r w:rsidR="0042682F">
        <w:rPr>
          <w:lang w:val="en-US"/>
        </w:rPr>
        <w:t>er</w:t>
      </w:r>
      <w:r w:rsidR="0053264A" w:rsidRPr="005342A5">
        <w:rPr>
          <w:lang w:val="en-US"/>
        </w:rPr>
        <w:t>- and a low</w:t>
      </w:r>
      <w:r w:rsidR="0042682F">
        <w:rPr>
          <w:lang w:val="en-US"/>
        </w:rPr>
        <w:t>er</w:t>
      </w:r>
      <w:r w:rsidR="0053264A" w:rsidRPr="005342A5">
        <w:rPr>
          <w:lang w:val="en-US"/>
        </w:rPr>
        <w:t>-</w:t>
      </w:r>
      <w:r w:rsidR="0042682F">
        <w:rPr>
          <w:lang w:val="en-US"/>
        </w:rPr>
        <w:t>activity</w:t>
      </w:r>
      <w:r w:rsidR="0053264A" w:rsidRPr="005342A5">
        <w:rPr>
          <w:lang w:val="en-US"/>
        </w:rPr>
        <w:t xml:space="preserve"> partner) was not available in </w:t>
      </w:r>
      <w:r w:rsidR="0042682F">
        <w:rPr>
          <w:lang w:val="en-US"/>
        </w:rPr>
        <w:t>the primary</w:t>
      </w:r>
      <w:r w:rsidR="00A51A32" w:rsidRPr="005342A5">
        <w:rPr>
          <w:lang w:val="en-US"/>
        </w:rPr>
        <w:t xml:space="preserve"> data source</w:t>
      </w:r>
      <w:r w:rsidR="00815B2D" w:rsidRPr="005342A5">
        <w:rPr>
          <w:lang w:val="en-US"/>
        </w:rPr>
        <w:t>,</w:t>
      </w:r>
      <w:r w:rsidR="00A51A32" w:rsidRPr="005342A5">
        <w:rPr>
          <w:lang w:val="en-US"/>
        </w:rPr>
        <w:t xml:space="preserve"> </w:t>
      </w:r>
      <w:r w:rsidR="0053264A" w:rsidRPr="005342A5">
        <w:rPr>
          <w:lang w:val="en-US"/>
        </w:rPr>
        <w:t>and the average of</w:t>
      </w:r>
      <w:r w:rsidR="006E0EF9" w:rsidRPr="005342A5">
        <w:rPr>
          <w:lang w:val="en-US"/>
        </w:rPr>
        <w:t xml:space="preserve"> the act rates of the two homogenous</w:t>
      </w:r>
      <w:r w:rsidR="0053264A" w:rsidRPr="005342A5">
        <w:rPr>
          <w:lang w:val="en-US"/>
        </w:rPr>
        <w:t xml:space="preserve"> partnership</w:t>
      </w:r>
      <w:r w:rsidR="006E0EF9" w:rsidRPr="005342A5">
        <w:rPr>
          <w:lang w:val="en-US"/>
        </w:rPr>
        <w:t xml:space="preserve"> combinations</w:t>
      </w:r>
      <w:r w:rsidR="0053264A" w:rsidRPr="005342A5">
        <w:rPr>
          <w:lang w:val="en-US"/>
        </w:rPr>
        <w:t xml:space="preserve"> was assumed instead. </w:t>
      </w:r>
      <w:r w:rsidR="00480EEB">
        <w:rPr>
          <w:lang w:val="en-US"/>
        </w:rPr>
        <w:t xml:space="preserve">The act rate for one-off partnerships was set to 100%. </w:t>
      </w:r>
    </w:p>
    <w:p w14:paraId="7B34F045" w14:textId="4448986A" w:rsidR="00B053C2" w:rsidRPr="005342A5" w:rsidRDefault="006878B0" w:rsidP="00F1222A">
      <w:pPr>
        <w:pStyle w:val="Caption"/>
        <w:rPr>
          <w:lang w:val="en-US"/>
        </w:rPr>
      </w:pPr>
      <w:bookmarkStart w:id="12" w:name="_Ref84003022"/>
      <w:r w:rsidRPr="005342A5">
        <w:rPr>
          <w:lang w:val="en-US"/>
        </w:rPr>
        <w:t>Table S</w:t>
      </w:r>
      <w:r w:rsidR="00F1222A" w:rsidRPr="005342A5">
        <w:rPr>
          <w:lang w:val="en-US"/>
        </w:rPr>
        <w:fldChar w:fldCharType="begin"/>
      </w:r>
      <w:r w:rsidR="00F1222A" w:rsidRPr="005342A5">
        <w:rPr>
          <w:lang w:val="en-US"/>
        </w:rPr>
        <w:instrText xml:space="preserve"> SEQ Table \* ARABIC </w:instrText>
      </w:r>
      <w:r w:rsidR="00F1222A" w:rsidRPr="005342A5">
        <w:rPr>
          <w:lang w:val="en-US"/>
        </w:rPr>
        <w:fldChar w:fldCharType="separate"/>
      </w:r>
      <w:r w:rsidR="00A1207D">
        <w:rPr>
          <w:noProof/>
          <w:lang w:val="en-US"/>
        </w:rPr>
        <w:t>6</w:t>
      </w:r>
      <w:r w:rsidR="00F1222A" w:rsidRPr="005342A5">
        <w:rPr>
          <w:lang w:val="en-US"/>
        </w:rPr>
        <w:fldChar w:fldCharType="end"/>
      </w:r>
      <w:bookmarkEnd w:id="12"/>
      <w:r w:rsidR="00F1222A" w:rsidRPr="005342A5">
        <w:rPr>
          <w:lang w:val="en-US"/>
        </w:rPr>
        <w:t>: Sex a</w:t>
      </w:r>
      <w:r w:rsidR="00C444C1" w:rsidRPr="005342A5">
        <w:rPr>
          <w:lang w:val="en-US"/>
        </w:rPr>
        <w:t>c</w:t>
      </w:r>
      <w:r w:rsidR="00F1222A" w:rsidRPr="005342A5">
        <w:rPr>
          <w:lang w:val="en-US"/>
        </w:rPr>
        <w:t>t rate probabilities per partnership type</w:t>
      </w:r>
    </w:p>
    <w:tbl>
      <w:tblPr>
        <w:tblStyle w:val="ListTable1Light"/>
        <w:tblW w:w="9923" w:type="dxa"/>
        <w:tblLook w:val="04A0" w:firstRow="1" w:lastRow="0" w:firstColumn="1" w:lastColumn="0" w:noHBand="0" w:noVBand="1"/>
      </w:tblPr>
      <w:tblGrid>
        <w:gridCol w:w="1054"/>
        <w:gridCol w:w="1362"/>
        <w:gridCol w:w="1545"/>
        <w:gridCol w:w="1568"/>
        <w:gridCol w:w="1266"/>
        <w:gridCol w:w="1569"/>
        <w:gridCol w:w="1559"/>
      </w:tblGrid>
      <w:tr w:rsidR="00434F27" w:rsidRPr="005342A5" w14:paraId="0DBE8D5B" w14:textId="77777777" w:rsidTr="00434F27">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054" w:type="dxa"/>
          </w:tcPr>
          <w:p w14:paraId="17B7B72C" w14:textId="77777777" w:rsidR="007276F2" w:rsidRPr="005342A5" w:rsidRDefault="007276F2" w:rsidP="00B443DB">
            <w:pPr>
              <w:jc w:val="center"/>
              <w:rPr>
                <w:lang w:val="en-US"/>
              </w:rPr>
            </w:pPr>
          </w:p>
        </w:tc>
        <w:tc>
          <w:tcPr>
            <w:tcW w:w="1362" w:type="dxa"/>
          </w:tcPr>
          <w:p w14:paraId="4C65945E" w14:textId="61F88FF6" w:rsidR="007276F2" w:rsidRPr="005342A5" w:rsidRDefault="007276F2" w:rsidP="00B443DB">
            <w:pPr>
              <w:jc w:val="center"/>
              <w:cnfStyle w:val="100000000000" w:firstRow="1" w:lastRow="0" w:firstColumn="0" w:lastColumn="0" w:oddVBand="0" w:evenVBand="0" w:oddHBand="0" w:evenHBand="0" w:firstRowFirstColumn="0" w:firstRowLastColumn="0" w:lastRowFirstColumn="0" w:lastRowLastColumn="0"/>
              <w:rPr>
                <w:lang w:val="en-US"/>
              </w:rPr>
            </w:pPr>
          </w:p>
        </w:tc>
        <w:tc>
          <w:tcPr>
            <w:tcW w:w="3113" w:type="dxa"/>
            <w:gridSpan w:val="2"/>
          </w:tcPr>
          <w:p w14:paraId="43BDE0D1" w14:textId="369EACB9" w:rsidR="007276F2" w:rsidRPr="005342A5" w:rsidRDefault="007276F2" w:rsidP="00B443DB">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Steady</w:t>
            </w:r>
            <w:r w:rsidRPr="005342A5">
              <w:rPr>
                <w:lang w:val="en-US"/>
              </w:rPr>
              <w:t xml:space="preserve"> partnerships</w:t>
            </w:r>
          </w:p>
        </w:tc>
        <w:tc>
          <w:tcPr>
            <w:tcW w:w="4394" w:type="dxa"/>
            <w:gridSpan w:val="3"/>
          </w:tcPr>
          <w:p w14:paraId="55BEA4A1" w14:textId="61E906FC" w:rsidR="007276F2" w:rsidRPr="005342A5" w:rsidRDefault="007276F2" w:rsidP="00B443DB">
            <w:pPr>
              <w:jc w:val="center"/>
              <w:cnfStyle w:val="100000000000" w:firstRow="1" w:lastRow="0" w:firstColumn="0" w:lastColumn="0" w:oddVBand="0" w:evenVBand="0" w:oddHBand="0" w:evenHBand="0" w:firstRowFirstColumn="0" w:firstRowLastColumn="0" w:lastRowFirstColumn="0" w:lastRowLastColumn="0"/>
              <w:rPr>
                <w:lang w:val="en-US"/>
              </w:rPr>
            </w:pPr>
            <w:r w:rsidRPr="005342A5">
              <w:rPr>
                <w:lang w:val="en-US"/>
              </w:rPr>
              <w:t>Casual partnerships</w:t>
            </w:r>
          </w:p>
        </w:tc>
      </w:tr>
      <w:tr w:rsidR="00261272" w:rsidRPr="005342A5" w14:paraId="16B21560" w14:textId="77777777" w:rsidTr="00434F27">
        <w:trPr>
          <w:cnfStyle w:val="000000100000" w:firstRow="0" w:lastRow="0" w:firstColumn="0" w:lastColumn="0" w:oddVBand="0" w:evenVBand="0" w:oddHBand="1"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1054" w:type="dxa"/>
          </w:tcPr>
          <w:p w14:paraId="19D2E093" w14:textId="0DBC0DB6" w:rsidR="007276F2" w:rsidRPr="0042682F" w:rsidRDefault="007276F2" w:rsidP="00134A4C">
            <w:pPr>
              <w:jc w:val="center"/>
              <w:rPr>
                <w:lang w:val="en-US"/>
              </w:rPr>
            </w:pPr>
            <w:r>
              <w:rPr>
                <w:lang w:val="en-US"/>
              </w:rPr>
              <w:t>PrEP eligibility</w:t>
            </w:r>
          </w:p>
        </w:tc>
        <w:tc>
          <w:tcPr>
            <w:tcW w:w="1362" w:type="dxa"/>
          </w:tcPr>
          <w:p w14:paraId="58D6E9F4" w14:textId="7DFACE8D" w:rsidR="007276F2" w:rsidRPr="0042682F" w:rsidRDefault="007276F2" w:rsidP="00134A4C">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545" w:type="dxa"/>
          </w:tcPr>
          <w:p w14:paraId="79982083" w14:textId="6FF9AFB7" w:rsidR="007276F2" w:rsidRPr="005342A5" w:rsidRDefault="007276F2" w:rsidP="00134A4C">
            <w:pPr>
              <w:jc w:val="center"/>
              <w:cnfStyle w:val="000000100000" w:firstRow="0" w:lastRow="0" w:firstColumn="0" w:lastColumn="0" w:oddVBand="0" w:evenVBand="0" w:oddHBand="1" w:evenHBand="0" w:firstRowFirstColumn="0" w:firstRowLastColumn="0" w:lastRowFirstColumn="0" w:lastRowLastColumn="0"/>
              <w:rPr>
                <w:lang w:val="en-US"/>
              </w:rPr>
            </w:pPr>
            <w:r w:rsidRPr="0042682F">
              <w:rPr>
                <w:lang w:val="en-US"/>
              </w:rPr>
              <w:t>Lower-activity MSM</w:t>
            </w:r>
          </w:p>
        </w:tc>
        <w:tc>
          <w:tcPr>
            <w:tcW w:w="1568" w:type="dxa"/>
          </w:tcPr>
          <w:p w14:paraId="0588A156" w14:textId="4B7CF137" w:rsidR="007276F2" w:rsidRPr="005342A5" w:rsidRDefault="007276F2" w:rsidP="00134A4C">
            <w:pPr>
              <w:jc w:val="center"/>
              <w:cnfStyle w:val="000000100000" w:firstRow="0" w:lastRow="0" w:firstColumn="0" w:lastColumn="0" w:oddVBand="0" w:evenVBand="0" w:oddHBand="1" w:evenHBand="0" w:firstRowFirstColumn="0" w:firstRowLastColumn="0" w:lastRowFirstColumn="0" w:lastRowLastColumn="0"/>
              <w:rPr>
                <w:lang w:val="en-US"/>
              </w:rPr>
            </w:pPr>
            <w:r w:rsidRPr="0042682F">
              <w:rPr>
                <w:lang w:val="en-US"/>
              </w:rPr>
              <w:t>Higher-activity MSM</w:t>
            </w:r>
          </w:p>
        </w:tc>
        <w:tc>
          <w:tcPr>
            <w:tcW w:w="1266" w:type="dxa"/>
          </w:tcPr>
          <w:p w14:paraId="027F5D7C" w14:textId="666681A6" w:rsidR="007276F2" w:rsidRPr="005342A5" w:rsidRDefault="007276F2" w:rsidP="00134A4C">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569" w:type="dxa"/>
          </w:tcPr>
          <w:p w14:paraId="6B3202FC" w14:textId="2E2756AB" w:rsidR="007276F2" w:rsidRPr="005342A5" w:rsidRDefault="007276F2" w:rsidP="00134A4C">
            <w:pPr>
              <w:jc w:val="center"/>
              <w:cnfStyle w:val="000000100000" w:firstRow="0" w:lastRow="0" w:firstColumn="0" w:lastColumn="0" w:oddVBand="0" w:evenVBand="0" w:oddHBand="1" w:evenHBand="0" w:firstRowFirstColumn="0" w:firstRowLastColumn="0" w:lastRowFirstColumn="0" w:lastRowLastColumn="0"/>
              <w:rPr>
                <w:lang w:val="en-US"/>
              </w:rPr>
            </w:pPr>
            <w:r w:rsidRPr="0042682F">
              <w:rPr>
                <w:lang w:val="en-US"/>
              </w:rPr>
              <w:t>Lower-activity MSM</w:t>
            </w:r>
          </w:p>
        </w:tc>
        <w:tc>
          <w:tcPr>
            <w:tcW w:w="1559" w:type="dxa"/>
          </w:tcPr>
          <w:p w14:paraId="78A96C71" w14:textId="1D65C25B" w:rsidR="007276F2" w:rsidRPr="005342A5" w:rsidRDefault="007276F2" w:rsidP="00134A4C">
            <w:pPr>
              <w:jc w:val="center"/>
              <w:cnfStyle w:val="000000100000" w:firstRow="0" w:lastRow="0" w:firstColumn="0" w:lastColumn="0" w:oddVBand="0" w:evenVBand="0" w:oddHBand="1" w:evenHBand="0" w:firstRowFirstColumn="0" w:firstRowLastColumn="0" w:lastRowFirstColumn="0" w:lastRowLastColumn="0"/>
              <w:rPr>
                <w:lang w:val="en-US"/>
              </w:rPr>
            </w:pPr>
            <w:r w:rsidRPr="0042682F">
              <w:rPr>
                <w:lang w:val="en-US"/>
              </w:rPr>
              <w:t>Higher-activity MSM</w:t>
            </w:r>
          </w:p>
        </w:tc>
      </w:tr>
      <w:tr w:rsidR="00261272" w:rsidRPr="005342A5" w14:paraId="1BE69B8D" w14:textId="77777777" w:rsidTr="00434F27">
        <w:trPr>
          <w:trHeight w:val="853"/>
        </w:trPr>
        <w:tc>
          <w:tcPr>
            <w:cnfStyle w:val="001000000000" w:firstRow="0" w:lastRow="0" w:firstColumn="1" w:lastColumn="0" w:oddVBand="0" w:evenVBand="0" w:oddHBand="0" w:evenHBand="0" w:firstRowFirstColumn="0" w:firstRowLastColumn="0" w:lastRowFirstColumn="0" w:lastRowLastColumn="0"/>
            <w:tcW w:w="1054" w:type="dxa"/>
          </w:tcPr>
          <w:p w14:paraId="3698E18C" w14:textId="77777777" w:rsidR="007276F2" w:rsidRPr="00F35581" w:rsidRDefault="007276F2" w:rsidP="00134A4C">
            <w:pPr>
              <w:jc w:val="center"/>
              <w:rPr>
                <w:lang w:val="en-US"/>
              </w:rPr>
            </w:pPr>
          </w:p>
        </w:tc>
        <w:tc>
          <w:tcPr>
            <w:tcW w:w="1362" w:type="dxa"/>
          </w:tcPr>
          <w:p w14:paraId="14376BDC" w14:textId="49FE29DD" w:rsidR="007276F2" w:rsidRPr="00F35581" w:rsidRDefault="007276F2" w:rsidP="00134A4C">
            <w:pPr>
              <w:jc w:val="center"/>
              <w:cnfStyle w:val="000000000000" w:firstRow="0" w:lastRow="0" w:firstColumn="0" w:lastColumn="0" w:oddVBand="0" w:evenVBand="0" w:oddHBand="0" w:evenHBand="0" w:firstRowFirstColumn="0" w:firstRowLastColumn="0" w:lastRowFirstColumn="0" w:lastRowLastColumn="0"/>
              <w:rPr>
                <w:b/>
                <w:bCs/>
                <w:lang w:val="en-US"/>
              </w:rPr>
            </w:pPr>
            <w:r w:rsidRPr="00F35581">
              <w:rPr>
                <w:lang w:val="en-US"/>
              </w:rPr>
              <w:t>Lower-activity MSM</w:t>
            </w:r>
          </w:p>
        </w:tc>
        <w:tc>
          <w:tcPr>
            <w:tcW w:w="1545" w:type="dxa"/>
          </w:tcPr>
          <w:p w14:paraId="7475EC14" w14:textId="2D3D34BC" w:rsidR="007276F2" w:rsidRPr="005342A5" w:rsidRDefault="007276F2" w:rsidP="00134A4C">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27.94</w:t>
            </w:r>
            <w:r w:rsidR="00B57297">
              <w:rPr>
                <w:lang w:val="en-US"/>
              </w:rPr>
              <w:t xml:space="preserve"> </w:t>
            </w:r>
            <w:r w:rsidRPr="005342A5">
              <w:rPr>
                <w:lang w:val="en-US"/>
              </w:rPr>
              <w:t>%</w:t>
            </w:r>
          </w:p>
        </w:tc>
        <w:tc>
          <w:tcPr>
            <w:tcW w:w="1568" w:type="dxa"/>
          </w:tcPr>
          <w:p w14:paraId="18ACCB0F" w14:textId="5C24379A" w:rsidR="007276F2" w:rsidRPr="005342A5" w:rsidRDefault="007276F2" w:rsidP="00134A4C">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266" w:type="dxa"/>
          </w:tcPr>
          <w:p w14:paraId="6BA76E4B" w14:textId="5333E378" w:rsidR="007276F2" w:rsidRPr="005342A5" w:rsidRDefault="007276F2" w:rsidP="00134A4C">
            <w:pPr>
              <w:jc w:val="center"/>
              <w:cnfStyle w:val="000000000000" w:firstRow="0" w:lastRow="0" w:firstColumn="0" w:lastColumn="0" w:oddVBand="0" w:evenVBand="0" w:oddHBand="0" w:evenHBand="0" w:firstRowFirstColumn="0" w:firstRowLastColumn="0" w:lastRowFirstColumn="0" w:lastRowLastColumn="0"/>
              <w:rPr>
                <w:lang w:val="en-US"/>
              </w:rPr>
            </w:pPr>
            <w:r w:rsidRPr="0042682F">
              <w:rPr>
                <w:lang w:val="en-US"/>
              </w:rPr>
              <w:t>Lower-activity MSM</w:t>
            </w:r>
          </w:p>
        </w:tc>
        <w:tc>
          <w:tcPr>
            <w:tcW w:w="1569" w:type="dxa"/>
          </w:tcPr>
          <w:p w14:paraId="113F22BE" w14:textId="01903815" w:rsidR="007276F2" w:rsidRPr="005342A5" w:rsidRDefault="007276F2" w:rsidP="00134A4C">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67.72</w:t>
            </w:r>
            <w:r w:rsidR="00B57297">
              <w:rPr>
                <w:lang w:val="en-US"/>
              </w:rPr>
              <w:t xml:space="preserve"> </w:t>
            </w:r>
            <w:r w:rsidRPr="005342A5">
              <w:rPr>
                <w:lang w:val="en-US"/>
              </w:rPr>
              <w:t>%</w:t>
            </w:r>
          </w:p>
        </w:tc>
        <w:tc>
          <w:tcPr>
            <w:tcW w:w="1559" w:type="dxa"/>
          </w:tcPr>
          <w:p w14:paraId="3E24914A" w14:textId="77777777" w:rsidR="007276F2" w:rsidRPr="005342A5" w:rsidRDefault="007276F2" w:rsidP="00134A4C">
            <w:pPr>
              <w:jc w:val="center"/>
              <w:cnfStyle w:val="000000000000" w:firstRow="0" w:lastRow="0" w:firstColumn="0" w:lastColumn="0" w:oddVBand="0" w:evenVBand="0" w:oddHBand="0" w:evenHBand="0" w:firstRowFirstColumn="0" w:firstRowLastColumn="0" w:lastRowFirstColumn="0" w:lastRowLastColumn="0"/>
              <w:rPr>
                <w:lang w:val="en-US"/>
              </w:rPr>
            </w:pPr>
          </w:p>
        </w:tc>
      </w:tr>
      <w:tr w:rsidR="00261272" w:rsidRPr="005342A5" w14:paraId="4B409DD0" w14:textId="77777777" w:rsidTr="00434F27">
        <w:trPr>
          <w:cnfStyle w:val="000000100000" w:firstRow="0" w:lastRow="0" w:firstColumn="0" w:lastColumn="0" w:oddVBand="0" w:evenVBand="0" w:oddHBand="1" w:evenHBand="0" w:firstRowFirstColumn="0" w:firstRowLastColumn="0" w:lastRowFirstColumn="0" w:lastRowLastColumn="0"/>
          <w:trHeight w:val="853"/>
        </w:trPr>
        <w:tc>
          <w:tcPr>
            <w:cnfStyle w:val="001000000000" w:firstRow="0" w:lastRow="0" w:firstColumn="1" w:lastColumn="0" w:oddVBand="0" w:evenVBand="0" w:oddHBand="0" w:evenHBand="0" w:firstRowFirstColumn="0" w:firstRowLastColumn="0" w:lastRowFirstColumn="0" w:lastRowLastColumn="0"/>
            <w:tcW w:w="1054" w:type="dxa"/>
          </w:tcPr>
          <w:p w14:paraId="1435328D" w14:textId="77777777" w:rsidR="007276F2" w:rsidRPr="00F35581" w:rsidRDefault="007276F2" w:rsidP="00134A4C">
            <w:pPr>
              <w:jc w:val="center"/>
              <w:rPr>
                <w:lang w:val="en-US"/>
              </w:rPr>
            </w:pPr>
          </w:p>
        </w:tc>
        <w:tc>
          <w:tcPr>
            <w:tcW w:w="1362" w:type="dxa"/>
          </w:tcPr>
          <w:p w14:paraId="5F32CCC3" w14:textId="22117EAB" w:rsidR="007276F2" w:rsidRPr="00F35581" w:rsidRDefault="007276F2" w:rsidP="00134A4C">
            <w:pPr>
              <w:jc w:val="center"/>
              <w:cnfStyle w:val="000000100000" w:firstRow="0" w:lastRow="0" w:firstColumn="0" w:lastColumn="0" w:oddVBand="0" w:evenVBand="0" w:oddHBand="1" w:evenHBand="0" w:firstRowFirstColumn="0" w:firstRowLastColumn="0" w:lastRowFirstColumn="0" w:lastRowLastColumn="0"/>
              <w:rPr>
                <w:b/>
                <w:bCs/>
                <w:lang w:val="en-US"/>
              </w:rPr>
            </w:pPr>
            <w:r w:rsidRPr="00F35581">
              <w:rPr>
                <w:lang w:val="en-US"/>
              </w:rPr>
              <w:t>Higher-activity MSM</w:t>
            </w:r>
          </w:p>
        </w:tc>
        <w:tc>
          <w:tcPr>
            <w:tcW w:w="1545" w:type="dxa"/>
          </w:tcPr>
          <w:p w14:paraId="6255EB07" w14:textId="1CBA24C3" w:rsidR="007276F2" w:rsidRPr="005342A5" w:rsidRDefault="007276F2" w:rsidP="00134A4C">
            <w:pPr>
              <w:jc w:val="center"/>
              <w:cnfStyle w:val="000000100000" w:firstRow="0" w:lastRow="0" w:firstColumn="0" w:lastColumn="0" w:oddVBand="0" w:evenVBand="0" w:oddHBand="1" w:evenHBand="0" w:firstRowFirstColumn="0" w:firstRowLastColumn="0" w:lastRowFirstColumn="0" w:lastRowLastColumn="0"/>
              <w:rPr>
                <w:lang w:val="en-US"/>
              </w:rPr>
            </w:pPr>
            <w:r w:rsidRPr="005342A5">
              <w:rPr>
                <w:lang w:val="en-US"/>
              </w:rPr>
              <w:t>3</w:t>
            </w:r>
            <w:r>
              <w:rPr>
                <w:lang w:val="en-US"/>
              </w:rPr>
              <w:t>4</w:t>
            </w:r>
            <w:r w:rsidRPr="005342A5">
              <w:rPr>
                <w:lang w:val="en-US"/>
              </w:rPr>
              <w:t>.1</w:t>
            </w:r>
            <w:r>
              <w:rPr>
                <w:lang w:val="en-US"/>
              </w:rPr>
              <w:t>3</w:t>
            </w:r>
            <w:r w:rsidR="00B57297">
              <w:rPr>
                <w:lang w:val="en-US"/>
              </w:rPr>
              <w:t xml:space="preserve"> </w:t>
            </w:r>
            <w:r w:rsidRPr="005342A5">
              <w:rPr>
                <w:lang w:val="en-US"/>
              </w:rPr>
              <w:t>%</w:t>
            </w:r>
          </w:p>
        </w:tc>
        <w:tc>
          <w:tcPr>
            <w:tcW w:w="1568" w:type="dxa"/>
          </w:tcPr>
          <w:p w14:paraId="0E3A0117" w14:textId="747EA5C0" w:rsidR="007276F2" w:rsidRPr="005342A5" w:rsidRDefault="007276F2" w:rsidP="00134A4C">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40.32</w:t>
            </w:r>
            <w:r w:rsidR="00B57297">
              <w:rPr>
                <w:lang w:val="en-US"/>
              </w:rPr>
              <w:t xml:space="preserve"> </w:t>
            </w:r>
            <w:r w:rsidRPr="005342A5">
              <w:rPr>
                <w:lang w:val="en-US"/>
              </w:rPr>
              <w:t>%</w:t>
            </w:r>
          </w:p>
        </w:tc>
        <w:tc>
          <w:tcPr>
            <w:tcW w:w="1266" w:type="dxa"/>
          </w:tcPr>
          <w:p w14:paraId="5C781C08" w14:textId="0C146407" w:rsidR="007276F2" w:rsidRPr="005342A5" w:rsidRDefault="007276F2" w:rsidP="00134A4C">
            <w:pPr>
              <w:jc w:val="center"/>
              <w:cnfStyle w:val="000000100000" w:firstRow="0" w:lastRow="0" w:firstColumn="0" w:lastColumn="0" w:oddVBand="0" w:evenVBand="0" w:oddHBand="1" w:evenHBand="0" w:firstRowFirstColumn="0" w:firstRowLastColumn="0" w:lastRowFirstColumn="0" w:lastRowLastColumn="0"/>
              <w:rPr>
                <w:lang w:val="en-US"/>
              </w:rPr>
            </w:pPr>
            <w:r w:rsidRPr="0042682F">
              <w:rPr>
                <w:lang w:val="en-US"/>
              </w:rPr>
              <w:t>Higher-activity MSM</w:t>
            </w:r>
          </w:p>
        </w:tc>
        <w:tc>
          <w:tcPr>
            <w:tcW w:w="1569" w:type="dxa"/>
          </w:tcPr>
          <w:p w14:paraId="06D840FE" w14:textId="355FD216" w:rsidR="007276F2" w:rsidRPr="005342A5" w:rsidRDefault="007276F2" w:rsidP="00134A4C">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81.67</w:t>
            </w:r>
            <w:r w:rsidR="00B57297">
              <w:rPr>
                <w:lang w:val="en-US"/>
              </w:rPr>
              <w:t xml:space="preserve"> </w:t>
            </w:r>
            <w:r w:rsidRPr="005342A5">
              <w:rPr>
                <w:lang w:val="en-US"/>
              </w:rPr>
              <w:t>%</w:t>
            </w:r>
          </w:p>
        </w:tc>
        <w:tc>
          <w:tcPr>
            <w:tcW w:w="1559" w:type="dxa"/>
          </w:tcPr>
          <w:p w14:paraId="3141FAD5" w14:textId="5D67FC25" w:rsidR="007276F2" w:rsidRPr="005342A5" w:rsidRDefault="007276F2" w:rsidP="00134A4C">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95.62</w:t>
            </w:r>
            <w:r w:rsidR="00B57297">
              <w:rPr>
                <w:lang w:val="en-US"/>
              </w:rPr>
              <w:t xml:space="preserve"> </w:t>
            </w:r>
            <w:r w:rsidRPr="005342A5">
              <w:rPr>
                <w:lang w:val="en-US"/>
              </w:rPr>
              <w:t>%</w:t>
            </w:r>
          </w:p>
        </w:tc>
      </w:tr>
      <w:tr w:rsidR="00434F27" w:rsidRPr="005342A5" w14:paraId="0BA3B5B3" w14:textId="77777777" w:rsidTr="00434F27">
        <w:trPr>
          <w:trHeight w:val="853"/>
        </w:trPr>
        <w:tc>
          <w:tcPr>
            <w:cnfStyle w:val="001000000000" w:firstRow="0" w:lastRow="0" w:firstColumn="1" w:lastColumn="0" w:oddVBand="0" w:evenVBand="0" w:oddHBand="0" w:evenHBand="0" w:firstRowFirstColumn="0" w:firstRowLastColumn="0" w:lastRowFirstColumn="0" w:lastRowLastColumn="0"/>
            <w:tcW w:w="1054" w:type="dxa"/>
          </w:tcPr>
          <w:p w14:paraId="61987427" w14:textId="162E8589" w:rsidR="00434F27" w:rsidRPr="00F35581" w:rsidRDefault="00434F27" w:rsidP="00434F27">
            <w:pPr>
              <w:jc w:val="center"/>
              <w:rPr>
                <w:lang w:val="en-US"/>
              </w:rPr>
            </w:pPr>
            <w:r>
              <w:rPr>
                <w:lang w:val="en-US"/>
              </w:rPr>
              <w:t xml:space="preserve">More than </w:t>
            </w:r>
            <w:r w:rsidRPr="00226F8D">
              <w:rPr>
                <w:lang w:val="en-US"/>
              </w:rPr>
              <w:t>1</w:t>
            </w:r>
            <w:r w:rsidRPr="00226F8D">
              <w:t>5 partners</w:t>
            </w:r>
          </w:p>
        </w:tc>
        <w:tc>
          <w:tcPr>
            <w:tcW w:w="1362" w:type="dxa"/>
          </w:tcPr>
          <w:p w14:paraId="30ACED89" w14:textId="77777777" w:rsidR="00434F27" w:rsidRPr="00F35581" w:rsidRDefault="00434F27" w:rsidP="00434F27">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545" w:type="dxa"/>
          </w:tcPr>
          <w:p w14:paraId="752173CA" w14:textId="5D043072" w:rsidR="00434F27" w:rsidRPr="005342A5" w:rsidRDefault="00434F27" w:rsidP="00434F27">
            <w:pPr>
              <w:jc w:val="center"/>
              <w:cnfStyle w:val="000000000000" w:firstRow="0" w:lastRow="0" w:firstColumn="0" w:lastColumn="0" w:oddVBand="0" w:evenVBand="0" w:oddHBand="0" w:evenHBand="0" w:firstRowFirstColumn="0" w:firstRowLastColumn="0" w:lastRowFirstColumn="0" w:lastRowLastColumn="0"/>
              <w:rPr>
                <w:lang w:val="en-US"/>
              </w:rPr>
            </w:pPr>
            <w:r w:rsidRPr="0042682F">
              <w:rPr>
                <w:lang w:val="en-US"/>
              </w:rPr>
              <w:t>Lower-activity MSM</w:t>
            </w:r>
          </w:p>
        </w:tc>
        <w:tc>
          <w:tcPr>
            <w:tcW w:w="1568" w:type="dxa"/>
          </w:tcPr>
          <w:p w14:paraId="1F63F01D" w14:textId="04C35BCF" w:rsidR="00434F27" w:rsidRDefault="00434F27" w:rsidP="00434F27">
            <w:pPr>
              <w:jc w:val="center"/>
              <w:cnfStyle w:val="000000000000" w:firstRow="0" w:lastRow="0" w:firstColumn="0" w:lastColumn="0" w:oddVBand="0" w:evenVBand="0" w:oddHBand="0" w:evenHBand="0" w:firstRowFirstColumn="0" w:firstRowLastColumn="0" w:lastRowFirstColumn="0" w:lastRowLastColumn="0"/>
              <w:rPr>
                <w:lang w:val="en-US"/>
              </w:rPr>
            </w:pPr>
            <w:r w:rsidRPr="0042682F">
              <w:rPr>
                <w:lang w:val="en-US"/>
              </w:rPr>
              <w:t>Higher-activity MSM</w:t>
            </w:r>
          </w:p>
        </w:tc>
        <w:tc>
          <w:tcPr>
            <w:tcW w:w="1266" w:type="dxa"/>
          </w:tcPr>
          <w:p w14:paraId="57FF5962" w14:textId="77777777" w:rsidR="00434F27" w:rsidRPr="0042682F" w:rsidRDefault="00434F27" w:rsidP="00434F27">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569" w:type="dxa"/>
          </w:tcPr>
          <w:p w14:paraId="7A14DE10" w14:textId="55A5D83C" w:rsidR="00434F27" w:rsidRDefault="00434F27" w:rsidP="00434F27">
            <w:pPr>
              <w:jc w:val="center"/>
              <w:cnfStyle w:val="000000000000" w:firstRow="0" w:lastRow="0" w:firstColumn="0" w:lastColumn="0" w:oddVBand="0" w:evenVBand="0" w:oddHBand="0" w:evenHBand="0" w:firstRowFirstColumn="0" w:firstRowLastColumn="0" w:lastRowFirstColumn="0" w:lastRowLastColumn="0"/>
              <w:rPr>
                <w:lang w:val="en-US"/>
              </w:rPr>
            </w:pPr>
            <w:r w:rsidRPr="0042682F">
              <w:rPr>
                <w:lang w:val="en-US"/>
              </w:rPr>
              <w:t>Lower-activity MSM</w:t>
            </w:r>
          </w:p>
        </w:tc>
        <w:tc>
          <w:tcPr>
            <w:tcW w:w="1559" w:type="dxa"/>
          </w:tcPr>
          <w:p w14:paraId="0D98075F" w14:textId="56654CF0" w:rsidR="00434F27" w:rsidRDefault="00434F27" w:rsidP="00434F27">
            <w:pPr>
              <w:jc w:val="center"/>
              <w:cnfStyle w:val="000000000000" w:firstRow="0" w:lastRow="0" w:firstColumn="0" w:lastColumn="0" w:oddVBand="0" w:evenVBand="0" w:oddHBand="0" w:evenHBand="0" w:firstRowFirstColumn="0" w:firstRowLastColumn="0" w:lastRowFirstColumn="0" w:lastRowLastColumn="0"/>
              <w:rPr>
                <w:lang w:val="en-US"/>
              </w:rPr>
            </w:pPr>
            <w:r w:rsidRPr="0042682F">
              <w:rPr>
                <w:lang w:val="en-US"/>
              </w:rPr>
              <w:t>Higher-activity MSM</w:t>
            </w:r>
          </w:p>
        </w:tc>
      </w:tr>
      <w:tr w:rsidR="00434F27" w:rsidRPr="005342A5" w14:paraId="473583D5" w14:textId="77777777" w:rsidTr="00434F27">
        <w:trPr>
          <w:cnfStyle w:val="000000100000" w:firstRow="0" w:lastRow="0" w:firstColumn="0" w:lastColumn="0" w:oddVBand="0" w:evenVBand="0" w:oddHBand="1" w:evenHBand="0" w:firstRowFirstColumn="0" w:firstRowLastColumn="0" w:lastRowFirstColumn="0" w:lastRowLastColumn="0"/>
          <w:trHeight w:val="853"/>
        </w:trPr>
        <w:tc>
          <w:tcPr>
            <w:cnfStyle w:val="001000000000" w:firstRow="0" w:lastRow="0" w:firstColumn="1" w:lastColumn="0" w:oddVBand="0" w:evenVBand="0" w:oddHBand="0" w:evenHBand="0" w:firstRowFirstColumn="0" w:firstRowLastColumn="0" w:lastRowFirstColumn="0" w:lastRowLastColumn="0"/>
            <w:tcW w:w="1054" w:type="dxa"/>
          </w:tcPr>
          <w:p w14:paraId="41DA616B" w14:textId="77777777" w:rsidR="007276F2" w:rsidRDefault="007276F2" w:rsidP="007276F2">
            <w:pPr>
              <w:jc w:val="center"/>
              <w:rPr>
                <w:lang w:val="en-US"/>
              </w:rPr>
            </w:pPr>
          </w:p>
        </w:tc>
        <w:tc>
          <w:tcPr>
            <w:tcW w:w="1362" w:type="dxa"/>
          </w:tcPr>
          <w:p w14:paraId="71D81585" w14:textId="6A1557AA" w:rsidR="007276F2" w:rsidRPr="00F35581" w:rsidRDefault="007276F2" w:rsidP="007276F2">
            <w:pPr>
              <w:jc w:val="center"/>
              <w:cnfStyle w:val="000000100000" w:firstRow="0" w:lastRow="0" w:firstColumn="0" w:lastColumn="0" w:oddVBand="0" w:evenVBand="0" w:oddHBand="1" w:evenHBand="0" w:firstRowFirstColumn="0" w:firstRowLastColumn="0" w:lastRowFirstColumn="0" w:lastRowLastColumn="0"/>
              <w:rPr>
                <w:lang w:val="en-US"/>
              </w:rPr>
            </w:pPr>
            <w:r w:rsidRPr="00F35581">
              <w:rPr>
                <w:lang w:val="en-US"/>
              </w:rPr>
              <w:t>Lower-activity MSM</w:t>
            </w:r>
          </w:p>
        </w:tc>
        <w:tc>
          <w:tcPr>
            <w:tcW w:w="1545" w:type="dxa"/>
          </w:tcPr>
          <w:p w14:paraId="09BE7AC4" w14:textId="13EDC321" w:rsidR="007276F2" w:rsidRPr="0042682F" w:rsidRDefault="00367BC3" w:rsidP="007276F2">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25.77 %</w:t>
            </w:r>
          </w:p>
        </w:tc>
        <w:tc>
          <w:tcPr>
            <w:tcW w:w="1568" w:type="dxa"/>
          </w:tcPr>
          <w:p w14:paraId="6B7876F6" w14:textId="77777777" w:rsidR="007276F2" w:rsidRPr="0042682F" w:rsidRDefault="007276F2" w:rsidP="007276F2">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266" w:type="dxa"/>
          </w:tcPr>
          <w:p w14:paraId="07789955" w14:textId="229F78BB" w:rsidR="007276F2" w:rsidRPr="0042682F" w:rsidRDefault="007276F2" w:rsidP="007276F2">
            <w:pPr>
              <w:jc w:val="center"/>
              <w:cnfStyle w:val="000000100000" w:firstRow="0" w:lastRow="0" w:firstColumn="0" w:lastColumn="0" w:oddVBand="0" w:evenVBand="0" w:oddHBand="1" w:evenHBand="0" w:firstRowFirstColumn="0" w:firstRowLastColumn="0" w:lastRowFirstColumn="0" w:lastRowLastColumn="0"/>
              <w:rPr>
                <w:lang w:val="en-US"/>
              </w:rPr>
            </w:pPr>
            <w:r w:rsidRPr="0042682F">
              <w:rPr>
                <w:lang w:val="en-US"/>
              </w:rPr>
              <w:t>Lower-activity MSM</w:t>
            </w:r>
          </w:p>
        </w:tc>
        <w:tc>
          <w:tcPr>
            <w:tcW w:w="1569" w:type="dxa"/>
          </w:tcPr>
          <w:p w14:paraId="389EFCF7" w14:textId="576973CA" w:rsidR="007276F2" w:rsidRPr="0042682F" w:rsidRDefault="00B57297" w:rsidP="007276F2">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68.66 %</w:t>
            </w:r>
          </w:p>
        </w:tc>
        <w:tc>
          <w:tcPr>
            <w:tcW w:w="1559" w:type="dxa"/>
          </w:tcPr>
          <w:p w14:paraId="465B5437" w14:textId="77777777" w:rsidR="007276F2" w:rsidRPr="0042682F" w:rsidRDefault="007276F2" w:rsidP="007276F2">
            <w:pPr>
              <w:jc w:val="center"/>
              <w:cnfStyle w:val="000000100000" w:firstRow="0" w:lastRow="0" w:firstColumn="0" w:lastColumn="0" w:oddVBand="0" w:evenVBand="0" w:oddHBand="1" w:evenHBand="0" w:firstRowFirstColumn="0" w:firstRowLastColumn="0" w:lastRowFirstColumn="0" w:lastRowLastColumn="0"/>
              <w:rPr>
                <w:lang w:val="en-US"/>
              </w:rPr>
            </w:pPr>
          </w:p>
        </w:tc>
      </w:tr>
      <w:tr w:rsidR="00434F27" w:rsidRPr="005342A5" w14:paraId="3BB825AF" w14:textId="77777777" w:rsidTr="00434F27">
        <w:trPr>
          <w:trHeight w:val="853"/>
        </w:trPr>
        <w:tc>
          <w:tcPr>
            <w:cnfStyle w:val="001000000000" w:firstRow="0" w:lastRow="0" w:firstColumn="1" w:lastColumn="0" w:oddVBand="0" w:evenVBand="0" w:oddHBand="0" w:evenHBand="0" w:firstRowFirstColumn="0" w:firstRowLastColumn="0" w:lastRowFirstColumn="0" w:lastRowLastColumn="0"/>
            <w:tcW w:w="1054" w:type="dxa"/>
          </w:tcPr>
          <w:p w14:paraId="6E8E33BD" w14:textId="77777777" w:rsidR="007276F2" w:rsidRDefault="007276F2" w:rsidP="007276F2">
            <w:pPr>
              <w:jc w:val="center"/>
              <w:rPr>
                <w:lang w:val="en-US"/>
              </w:rPr>
            </w:pPr>
          </w:p>
        </w:tc>
        <w:tc>
          <w:tcPr>
            <w:tcW w:w="1362" w:type="dxa"/>
          </w:tcPr>
          <w:p w14:paraId="6063C601" w14:textId="3959BE2A" w:rsidR="007276F2" w:rsidRPr="00F35581" w:rsidRDefault="007276F2" w:rsidP="007276F2">
            <w:pPr>
              <w:jc w:val="center"/>
              <w:cnfStyle w:val="000000000000" w:firstRow="0" w:lastRow="0" w:firstColumn="0" w:lastColumn="0" w:oddVBand="0" w:evenVBand="0" w:oddHBand="0" w:evenHBand="0" w:firstRowFirstColumn="0" w:firstRowLastColumn="0" w:lastRowFirstColumn="0" w:lastRowLastColumn="0"/>
              <w:rPr>
                <w:lang w:val="en-US"/>
              </w:rPr>
            </w:pPr>
            <w:r w:rsidRPr="00F35581">
              <w:rPr>
                <w:lang w:val="en-US"/>
              </w:rPr>
              <w:t>Higher-activity MSM</w:t>
            </w:r>
          </w:p>
        </w:tc>
        <w:tc>
          <w:tcPr>
            <w:tcW w:w="1545" w:type="dxa"/>
          </w:tcPr>
          <w:p w14:paraId="6EB00760" w14:textId="214899F7" w:rsidR="007276F2" w:rsidRDefault="00367BC3" w:rsidP="007276F2">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37.73 %</w:t>
            </w:r>
          </w:p>
        </w:tc>
        <w:tc>
          <w:tcPr>
            <w:tcW w:w="1568" w:type="dxa"/>
          </w:tcPr>
          <w:p w14:paraId="7217E71B" w14:textId="5A0D435A" w:rsidR="007276F2" w:rsidRPr="0042682F" w:rsidRDefault="00367BC3" w:rsidP="007276F2">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49.69 %</w:t>
            </w:r>
          </w:p>
        </w:tc>
        <w:tc>
          <w:tcPr>
            <w:tcW w:w="1266" w:type="dxa"/>
          </w:tcPr>
          <w:p w14:paraId="1A09F31E" w14:textId="4860FDCE" w:rsidR="007276F2" w:rsidRPr="0042682F" w:rsidRDefault="007276F2" w:rsidP="007276F2">
            <w:pPr>
              <w:jc w:val="center"/>
              <w:cnfStyle w:val="000000000000" w:firstRow="0" w:lastRow="0" w:firstColumn="0" w:lastColumn="0" w:oddVBand="0" w:evenVBand="0" w:oddHBand="0" w:evenHBand="0" w:firstRowFirstColumn="0" w:firstRowLastColumn="0" w:lastRowFirstColumn="0" w:lastRowLastColumn="0"/>
              <w:rPr>
                <w:lang w:val="en-US"/>
              </w:rPr>
            </w:pPr>
            <w:r w:rsidRPr="0042682F">
              <w:rPr>
                <w:lang w:val="en-US"/>
              </w:rPr>
              <w:t>Higher-activity MSM</w:t>
            </w:r>
          </w:p>
        </w:tc>
        <w:tc>
          <w:tcPr>
            <w:tcW w:w="1569" w:type="dxa"/>
          </w:tcPr>
          <w:p w14:paraId="0AC08691" w14:textId="7B1E07C0" w:rsidR="007276F2" w:rsidRDefault="00B57297" w:rsidP="007276F2">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83.98 %</w:t>
            </w:r>
          </w:p>
        </w:tc>
        <w:tc>
          <w:tcPr>
            <w:tcW w:w="1559" w:type="dxa"/>
          </w:tcPr>
          <w:p w14:paraId="16F712CA" w14:textId="3CE43A0B" w:rsidR="007276F2" w:rsidRPr="0042682F" w:rsidRDefault="00B57297" w:rsidP="007276F2">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99.29 %</w:t>
            </w:r>
          </w:p>
        </w:tc>
      </w:tr>
      <w:tr w:rsidR="00434F27" w:rsidRPr="005342A5" w14:paraId="39D8771A" w14:textId="77777777" w:rsidTr="00434F27">
        <w:trPr>
          <w:cnfStyle w:val="000000100000" w:firstRow="0" w:lastRow="0" w:firstColumn="0" w:lastColumn="0" w:oddVBand="0" w:evenVBand="0" w:oddHBand="1" w:evenHBand="0" w:firstRowFirstColumn="0" w:firstRowLastColumn="0" w:lastRowFirstColumn="0" w:lastRowLastColumn="0"/>
          <w:trHeight w:val="1280"/>
        </w:trPr>
        <w:tc>
          <w:tcPr>
            <w:cnfStyle w:val="001000000000" w:firstRow="0" w:lastRow="0" w:firstColumn="1" w:lastColumn="0" w:oddVBand="0" w:evenVBand="0" w:oddHBand="0" w:evenHBand="0" w:firstRowFirstColumn="0" w:firstRowLastColumn="0" w:lastRowFirstColumn="0" w:lastRowLastColumn="0"/>
            <w:tcW w:w="1054" w:type="dxa"/>
          </w:tcPr>
          <w:p w14:paraId="2EE53565" w14:textId="4FCDD52C" w:rsidR="00434F27" w:rsidRDefault="00434F27" w:rsidP="00434F27">
            <w:pPr>
              <w:jc w:val="center"/>
              <w:rPr>
                <w:lang w:val="en-US"/>
              </w:rPr>
            </w:pPr>
            <w:r>
              <w:rPr>
                <w:lang w:val="en-US"/>
              </w:rPr>
              <w:t xml:space="preserve">More than </w:t>
            </w:r>
            <w:r w:rsidRPr="00226F8D">
              <w:rPr>
                <w:lang w:val="en-US"/>
              </w:rPr>
              <w:t>1</w:t>
            </w:r>
            <w:r w:rsidRPr="00226F8D">
              <w:t xml:space="preserve">5 </w:t>
            </w:r>
            <w:r>
              <w:t xml:space="preserve">casual </w:t>
            </w:r>
            <w:r w:rsidRPr="00226F8D">
              <w:t>partners</w:t>
            </w:r>
          </w:p>
        </w:tc>
        <w:tc>
          <w:tcPr>
            <w:tcW w:w="1362" w:type="dxa"/>
          </w:tcPr>
          <w:p w14:paraId="2A3E31D8" w14:textId="77777777" w:rsidR="00434F27" w:rsidRPr="00F35581" w:rsidRDefault="00434F27" w:rsidP="00434F27">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545" w:type="dxa"/>
          </w:tcPr>
          <w:p w14:paraId="2F0AF041" w14:textId="31A649DB" w:rsidR="00434F27" w:rsidRPr="005342A5" w:rsidRDefault="00434F27" w:rsidP="00434F27">
            <w:pPr>
              <w:jc w:val="center"/>
              <w:cnfStyle w:val="000000100000" w:firstRow="0" w:lastRow="0" w:firstColumn="0" w:lastColumn="0" w:oddVBand="0" w:evenVBand="0" w:oddHBand="1" w:evenHBand="0" w:firstRowFirstColumn="0" w:firstRowLastColumn="0" w:lastRowFirstColumn="0" w:lastRowLastColumn="0"/>
              <w:rPr>
                <w:lang w:val="en-US"/>
              </w:rPr>
            </w:pPr>
            <w:r w:rsidRPr="0042682F">
              <w:rPr>
                <w:lang w:val="en-US"/>
              </w:rPr>
              <w:t>Lower-activity MSM</w:t>
            </w:r>
          </w:p>
        </w:tc>
        <w:tc>
          <w:tcPr>
            <w:tcW w:w="1568" w:type="dxa"/>
          </w:tcPr>
          <w:p w14:paraId="51AFBDB6" w14:textId="536C214C" w:rsidR="00434F27" w:rsidRDefault="00434F27" w:rsidP="00434F27">
            <w:pPr>
              <w:jc w:val="center"/>
              <w:cnfStyle w:val="000000100000" w:firstRow="0" w:lastRow="0" w:firstColumn="0" w:lastColumn="0" w:oddVBand="0" w:evenVBand="0" w:oddHBand="1" w:evenHBand="0" w:firstRowFirstColumn="0" w:firstRowLastColumn="0" w:lastRowFirstColumn="0" w:lastRowLastColumn="0"/>
              <w:rPr>
                <w:lang w:val="en-US"/>
              </w:rPr>
            </w:pPr>
            <w:r w:rsidRPr="0042682F">
              <w:rPr>
                <w:lang w:val="en-US"/>
              </w:rPr>
              <w:t>Higher-activity MSM</w:t>
            </w:r>
          </w:p>
        </w:tc>
        <w:tc>
          <w:tcPr>
            <w:tcW w:w="1266" w:type="dxa"/>
          </w:tcPr>
          <w:p w14:paraId="5E0DCFA0" w14:textId="77777777" w:rsidR="00434F27" w:rsidRPr="0042682F" w:rsidRDefault="00434F27" w:rsidP="00434F27">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569" w:type="dxa"/>
          </w:tcPr>
          <w:p w14:paraId="52E3052A" w14:textId="764654C8" w:rsidR="00434F27" w:rsidRDefault="00434F27" w:rsidP="00434F27">
            <w:pPr>
              <w:jc w:val="center"/>
              <w:cnfStyle w:val="000000100000" w:firstRow="0" w:lastRow="0" w:firstColumn="0" w:lastColumn="0" w:oddVBand="0" w:evenVBand="0" w:oddHBand="1" w:evenHBand="0" w:firstRowFirstColumn="0" w:firstRowLastColumn="0" w:lastRowFirstColumn="0" w:lastRowLastColumn="0"/>
              <w:rPr>
                <w:lang w:val="en-US"/>
              </w:rPr>
            </w:pPr>
            <w:r w:rsidRPr="0042682F">
              <w:rPr>
                <w:lang w:val="en-US"/>
              </w:rPr>
              <w:t>Lower-activity MSM</w:t>
            </w:r>
          </w:p>
        </w:tc>
        <w:tc>
          <w:tcPr>
            <w:tcW w:w="1559" w:type="dxa"/>
          </w:tcPr>
          <w:p w14:paraId="6A4A0681" w14:textId="032F8208" w:rsidR="00434F27" w:rsidRDefault="00434F27" w:rsidP="00434F27">
            <w:pPr>
              <w:jc w:val="center"/>
              <w:cnfStyle w:val="000000100000" w:firstRow="0" w:lastRow="0" w:firstColumn="0" w:lastColumn="0" w:oddVBand="0" w:evenVBand="0" w:oddHBand="1" w:evenHBand="0" w:firstRowFirstColumn="0" w:firstRowLastColumn="0" w:lastRowFirstColumn="0" w:lastRowLastColumn="0"/>
              <w:rPr>
                <w:lang w:val="en-US"/>
              </w:rPr>
            </w:pPr>
            <w:r w:rsidRPr="0042682F">
              <w:rPr>
                <w:lang w:val="en-US"/>
              </w:rPr>
              <w:t>Higher-activity MSM</w:t>
            </w:r>
          </w:p>
        </w:tc>
      </w:tr>
      <w:tr w:rsidR="00434F27" w:rsidRPr="005342A5" w14:paraId="4F01622A" w14:textId="77777777" w:rsidTr="00434F27">
        <w:trPr>
          <w:trHeight w:val="829"/>
        </w:trPr>
        <w:tc>
          <w:tcPr>
            <w:cnfStyle w:val="001000000000" w:firstRow="0" w:lastRow="0" w:firstColumn="1" w:lastColumn="0" w:oddVBand="0" w:evenVBand="0" w:oddHBand="0" w:evenHBand="0" w:firstRowFirstColumn="0" w:firstRowLastColumn="0" w:lastRowFirstColumn="0" w:lastRowLastColumn="0"/>
            <w:tcW w:w="1054" w:type="dxa"/>
          </w:tcPr>
          <w:p w14:paraId="706A171C" w14:textId="77777777" w:rsidR="007276F2" w:rsidRDefault="007276F2" w:rsidP="007276F2">
            <w:pPr>
              <w:jc w:val="center"/>
              <w:rPr>
                <w:lang w:val="en-US"/>
              </w:rPr>
            </w:pPr>
          </w:p>
        </w:tc>
        <w:tc>
          <w:tcPr>
            <w:tcW w:w="1362" w:type="dxa"/>
          </w:tcPr>
          <w:p w14:paraId="31057852" w14:textId="37FCF712" w:rsidR="007276F2" w:rsidRPr="00F35581" w:rsidRDefault="007276F2" w:rsidP="007276F2">
            <w:pPr>
              <w:jc w:val="center"/>
              <w:cnfStyle w:val="000000000000" w:firstRow="0" w:lastRow="0" w:firstColumn="0" w:lastColumn="0" w:oddVBand="0" w:evenVBand="0" w:oddHBand="0" w:evenHBand="0" w:firstRowFirstColumn="0" w:firstRowLastColumn="0" w:lastRowFirstColumn="0" w:lastRowLastColumn="0"/>
              <w:rPr>
                <w:lang w:val="en-US"/>
              </w:rPr>
            </w:pPr>
            <w:r w:rsidRPr="00F35581">
              <w:rPr>
                <w:lang w:val="en-US"/>
              </w:rPr>
              <w:t>Lower-activity MSM</w:t>
            </w:r>
          </w:p>
        </w:tc>
        <w:tc>
          <w:tcPr>
            <w:tcW w:w="1545" w:type="dxa"/>
          </w:tcPr>
          <w:p w14:paraId="39E5B20A" w14:textId="10E7CCE4" w:rsidR="007276F2" w:rsidRPr="0042682F" w:rsidRDefault="00367BC3" w:rsidP="007276F2">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26.90 %</w:t>
            </w:r>
          </w:p>
        </w:tc>
        <w:tc>
          <w:tcPr>
            <w:tcW w:w="1568" w:type="dxa"/>
          </w:tcPr>
          <w:p w14:paraId="3BEBF1B7" w14:textId="77777777" w:rsidR="007276F2" w:rsidRPr="0042682F" w:rsidRDefault="007276F2" w:rsidP="007276F2">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266" w:type="dxa"/>
          </w:tcPr>
          <w:p w14:paraId="65A4C947" w14:textId="3CA806C2" w:rsidR="007276F2" w:rsidRPr="0042682F" w:rsidRDefault="007276F2" w:rsidP="007276F2">
            <w:pPr>
              <w:jc w:val="center"/>
              <w:cnfStyle w:val="000000000000" w:firstRow="0" w:lastRow="0" w:firstColumn="0" w:lastColumn="0" w:oddVBand="0" w:evenVBand="0" w:oddHBand="0" w:evenHBand="0" w:firstRowFirstColumn="0" w:firstRowLastColumn="0" w:lastRowFirstColumn="0" w:lastRowLastColumn="0"/>
              <w:rPr>
                <w:lang w:val="en-US"/>
              </w:rPr>
            </w:pPr>
            <w:r w:rsidRPr="0042682F">
              <w:rPr>
                <w:lang w:val="en-US"/>
              </w:rPr>
              <w:t>Lower-activity MSM</w:t>
            </w:r>
          </w:p>
        </w:tc>
        <w:tc>
          <w:tcPr>
            <w:tcW w:w="1569" w:type="dxa"/>
          </w:tcPr>
          <w:p w14:paraId="7DCA93CA" w14:textId="6E2DBC08" w:rsidR="007276F2" w:rsidRPr="0042682F" w:rsidRDefault="00B57297" w:rsidP="007276F2">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69.64 %</w:t>
            </w:r>
          </w:p>
        </w:tc>
        <w:tc>
          <w:tcPr>
            <w:tcW w:w="1559" w:type="dxa"/>
          </w:tcPr>
          <w:p w14:paraId="5F9494E8" w14:textId="77777777" w:rsidR="007276F2" w:rsidRPr="0042682F" w:rsidRDefault="007276F2" w:rsidP="007276F2">
            <w:pPr>
              <w:jc w:val="center"/>
              <w:cnfStyle w:val="000000000000" w:firstRow="0" w:lastRow="0" w:firstColumn="0" w:lastColumn="0" w:oddVBand="0" w:evenVBand="0" w:oddHBand="0" w:evenHBand="0" w:firstRowFirstColumn="0" w:firstRowLastColumn="0" w:lastRowFirstColumn="0" w:lastRowLastColumn="0"/>
              <w:rPr>
                <w:lang w:val="en-US"/>
              </w:rPr>
            </w:pPr>
          </w:p>
        </w:tc>
      </w:tr>
      <w:tr w:rsidR="00434F27" w:rsidRPr="005342A5" w14:paraId="04210B39" w14:textId="77777777" w:rsidTr="00434F27">
        <w:trPr>
          <w:cnfStyle w:val="000000100000" w:firstRow="0" w:lastRow="0" w:firstColumn="0" w:lastColumn="0" w:oddVBand="0" w:evenVBand="0" w:oddHBand="1" w:evenHBand="0" w:firstRowFirstColumn="0" w:firstRowLastColumn="0" w:lastRowFirstColumn="0" w:lastRowLastColumn="0"/>
          <w:trHeight w:val="853"/>
        </w:trPr>
        <w:tc>
          <w:tcPr>
            <w:cnfStyle w:val="001000000000" w:firstRow="0" w:lastRow="0" w:firstColumn="1" w:lastColumn="0" w:oddVBand="0" w:evenVBand="0" w:oddHBand="0" w:evenHBand="0" w:firstRowFirstColumn="0" w:firstRowLastColumn="0" w:lastRowFirstColumn="0" w:lastRowLastColumn="0"/>
            <w:tcW w:w="1054" w:type="dxa"/>
          </w:tcPr>
          <w:p w14:paraId="505E5510" w14:textId="77777777" w:rsidR="007276F2" w:rsidRDefault="007276F2" w:rsidP="007276F2">
            <w:pPr>
              <w:jc w:val="center"/>
              <w:rPr>
                <w:lang w:val="en-US"/>
              </w:rPr>
            </w:pPr>
          </w:p>
        </w:tc>
        <w:tc>
          <w:tcPr>
            <w:tcW w:w="1362" w:type="dxa"/>
          </w:tcPr>
          <w:p w14:paraId="4DF218C9" w14:textId="3FF2772E" w:rsidR="007276F2" w:rsidRPr="00F35581" w:rsidRDefault="007276F2" w:rsidP="007276F2">
            <w:pPr>
              <w:jc w:val="center"/>
              <w:cnfStyle w:val="000000100000" w:firstRow="0" w:lastRow="0" w:firstColumn="0" w:lastColumn="0" w:oddVBand="0" w:evenVBand="0" w:oddHBand="1" w:evenHBand="0" w:firstRowFirstColumn="0" w:firstRowLastColumn="0" w:lastRowFirstColumn="0" w:lastRowLastColumn="0"/>
              <w:rPr>
                <w:lang w:val="en-US"/>
              </w:rPr>
            </w:pPr>
            <w:r w:rsidRPr="00F35581">
              <w:rPr>
                <w:lang w:val="en-US"/>
              </w:rPr>
              <w:t>Higher-activity MSM</w:t>
            </w:r>
          </w:p>
        </w:tc>
        <w:tc>
          <w:tcPr>
            <w:tcW w:w="1545" w:type="dxa"/>
          </w:tcPr>
          <w:p w14:paraId="5BADA5EB" w14:textId="75348E9B" w:rsidR="007276F2" w:rsidRDefault="00367BC3" w:rsidP="007276F2">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37.44 %</w:t>
            </w:r>
          </w:p>
        </w:tc>
        <w:tc>
          <w:tcPr>
            <w:tcW w:w="1568" w:type="dxa"/>
          </w:tcPr>
          <w:p w14:paraId="2FC30C7A" w14:textId="04E7B848" w:rsidR="007276F2" w:rsidRPr="0042682F" w:rsidRDefault="00367BC3" w:rsidP="007276F2">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47.97 %</w:t>
            </w:r>
          </w:p>
        </w:tc>
        <w:tc>
          <w:tcPr>
            <w:tcW w:w="1266" w:type="dxa"/>
          </w:tcPr>
          <w:p w14:paraId="68C27192" w14:textId="5A09B2B0" w:rsidR="007276F2" w:rsidRPr="0042682F" w:rsidRDefault="007276F2" w:rsidP="007276F2">
            <w:pPr>
              <w:jc w:val="center"/>
              <w:cnfStyle w:val="000000100000" w:firstRow="0" w:lastRow="0" w:firstColumn="0" w:lastColumn="0" w:oddVBand="0" w:evenVBand="0" w:oddHBand="1" w:evenHBand="0" w:firstRowFirstColumn="0" w:firstRowLastColumn="0" w:lastRowFirstColumn="0" w:lastRowLastColumn="0"/>
              <w:rPr>
                <w:lang w:val="en-US"/>
              </w:rPr>
            </w:pPr>
            <w:r w:rsidRPr="0042682F">
              <w:rPr>
                <w:lang w:val="en-US"/>
              </w:rPr>
              <w:t>Higher-activity MSM</w:t>
            </w:r>
          </w:p>
        </w:tc>
        <w:tc>
          <w:tcPr>
            <w:tcW w:w="1569" w:type="dxa"/>
          </w:tcPr>
          <w:p w14:paraId="068BD24C" w14:textId="4E86510E" w:rsidR="007276F2" w:rsidRDefault="00B57297" w:rsidP="007276F2">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84.59 (</w:t>
            </w:r>
          </w:p>
        </w:tc>
        <w:tc>
          <w:tcPr>
            <w:tcW w:w="1559" w:type="dxa"/>
          </w:tcPr>
          <w:p w14:paraId="3D0F626F" w14:textId="30074475" w:rsidR="007276F2" w:rsidRPr="0042682F" w:rsidRDefault="00B57297" w:rsidP="007276F2">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99.53 %</w:t>
            </w:r>
          </w:p>
        </w:tc>
      </w:tr>
    </w:tbl>
    <w:p w14:paraId="28A03D5A" w14:textId="77777777" w:rsidR="00B06419" w:rsidRDefault="00B06419" w:rsidP="00F96448">
      <w:pPr>
        <w:rPr>
          <w:lang w:val="en-US"/>
        </w:rPr>
      </w:pPr>
    </w:p>
    <w:p w14:paraId="47FC10AB" w14:textId="33CDC6EA" w:rsidR="00B97CA0" w:rsidRPr="005342A5" w:rsidRDefault="00F96448" w:rsidP="002B27E8">
      <w:pPr>
        <w:rPr>
          <w:lang w:val="en-US"/>
        </w:rPr>
      </w:pPr>
      <w:r w:rsidRPr="005342A5">
        <w:rPr>
          <w:lang w:val="en-US"/>
        </w:rPr>
        <w:t>The pairs w</w:t>
      </w:r>
      <w:r w:rsidR="00B06419">
        <w:rPr>
          <w:lang w:val="en-US"/>
        </w:rPr>
        <w:t xml:space="preserve">here 0 sex acts were predicted </w:t>
      </w:r>
      <w:r w:rsidRPr="005342A5">
        <w:rPr>
          <w:lang w:val="en-US"/>
        </w:rPr>
        <w:t>w</w:t>
      </w:r>
      <w:r w:rsidR="004B5CC1" w:rsidRPr="005342A5">
        <w:rPr>
          <w:lang w:val="en-US"/>
        </w:rPr>
        <w:t>ere</w:t>
      </w:r>
      <w:r w:rsidRPr="005342A5">
        <w:rPr>
          <w:lang w:val="en-US"/>
        </w:rPr>
        <w:t xml:space="preserve"> removed from the edge</w:t>
      </w:r>
      <w:r w:rsidR="00404408" w:rsidRPr="005342A5">
        <w:rPr>
          <w:lang w:val="en-US"/>
        </w:rPr>
        <w:t>-</w:t>
      </w:r>
      <w:r w:rsidRPr="005342A5">
        <w:rPr>
          <w:lang w:val="en-US"/>
        </w:rPr>
        <w:t>list, and the final edge</w:t>
      </w:r>
      <w:r w:rsidR="00404408" w:rsidRPr="005342A5">
        <w:rPr>
          <w:lang w:val="en-US"/>
        </w:rPr>
        <w:t>-l</w:t>
      </w:r>
      <w:r w:rsidRPr="005342A5">
        <w:rPr>
          <w:lang w:val="en-US"/>
        </w:rPr>
        <w:t>ist contain</w:t>
      </w:r>
      <w:r w:rsidR="004B5CC1" w:rsidRPr="005342A5">
        <w:rPr>
          <w:lang w:val="en-US"/>
        </w:rPr>
        <w:t>ed</w:t>
      </w:r>
      <w:r w:rsidRPr="005342A5">
        <w:rPr>
          <w:lang w:val="en-US"/>
        </w:rPr>
        <w:t xml:space="preserve"> the IDs of the two </w:t>
      </w:r>
      <w:r w:rsidR="00B97CA0" w:rsidRPr="005342A5">
        <w:rPr>
          <w:lang w:val="en-US"/>
        </w:rPr>
        <w:t>partners</w:t>
      </w:r>
      <w:r w:rsidRPr="005342A5">
        <w:rPr>
          <w:lang w:val="en-US"/>
        </w:rPr>
        <w:t>, the type of relationship (</w:t>
      </w:r>
      <w:r w:rsidR="000C6DB4">
        <w:rPr>
          <w:lang w:val="en-US"/>
        </w:rPr>
        <w:t>steady</w:t>
      </w:r>
      <w:r w:rsidRPr="005342A5">
        <w:rPr>
          <w:lang w:val="en-US"/>
        </w:rPr>
        <w:t>/casual)</w:t>
      </w:r>
      <w:r w:rsidR="002B27E8">
        <w:rPr>
          <w:lang w:val="en-US"/>
        </w:rPr>
        <w:t xml:space="preserve"> </w:t>
      </w:r>
      <w:r w:rsidR="00B97CA0" w:rsidRPr="005342A5">
        <w:rPr>
          <w:lang w:val="en-US"/>
        </w:rPr>
        <w:t>on a given</w:t>
      </w:r>
      <w:r w:rsidRPr="005342A5">
        <w:rPr>
          <w:lang w:val="en-US"/>
        </w:rPr>
        <w:t xml:space="preserve"> time step. </w:t>
      </w:r>
    </w:p>
    <w:p w14:paraId="747EA563" w14:textId="25222AB1" w:rsidR="00733C5E" w:rsidRDefault="00733C5E" w:rsidP="00733C5E">
      <w:pPr>
        <w:rPr>
          <w:lang w:val="en-US"/>
        </w:rPr>
      </w:pPr>
      <w:bookmarkStart w:id="13" w:name="_Hlk93660146"/>
      <w:r w:rsidRPr="005342A5">
        <w:rPr>
          <w:lang w:val="en-US"/>
        </w:rPr>
        <w:t xml:space="preserve">Each sex act contained a combination of six sex types: oral sex (between urethra and pharynx), oro-anal (between pharynx and rectum) and anal sex (between urethra and rectum), each of which could be either insertive or receptive. </w:t>
      </w:r>
      <w:bookmarkEnd w:id="13"/>
      <w:r w:rsidRPr="005342A5">
        <w:rPr>
          <w:lang w:val="en-US"/>
        </w:rPr>
        <w:t xml:space="preserve">As insertive and receptive we define the sex role of the partners in each sex act. Without loss of generality, the first partner in the edge list was always assumed to be reporting the sex act, thus, the insertive/receptive sex act will reflect that person’s sex role. For example, if insertive oral sex was reported, then the anatomical sites involved was the first person’s urethra and the second person’s pharynx. </w:t>
      </w:r>
      <w:bookmarkStart w:id="14" w:name="_Hlk93660469"/>
      <w:r w:rsidRPr="005342A5">
        <w:rPr>
          <w:lang w:val="en-US"/>
        </w:rPr>
        <w:t xml:space="preserve">Each combination of sex types was selected randomly based on the frequency </w:t>
      </w:r>
      <w:r>
        <w:rPr>
          <w:lang w:val="en-US"/>
        </w:rPr>
        <w:t>of sex act combinations as reported in the EMIS</w:t>
      </w:r>
      <w:r w:rsidR="000C6DB4">
        <w:rPr>
          <w:lang w:val="en-US"/>
        </w:rPr>
        <w:t>-</w:t>
      </w:r>
      <w:r>
        <w:rPr>
          <w:lang w:val="en-US"/>
        </w:rPr>
        <w:t xml:space="preserve">2017 </w:t>
      </w:r>
      <w:bookmarkEnd w:id="14"/>
      <w:r w:rsidRPr="005342A5">
        <w:rPr>
          <w:lang w:val="en-US"/>
        </w:rPr>
        <w:t>(</w:t>
      </w:r>
      <w:r w:rsidRPr="005342A5">
        <w:rPr>
          <w:lang w:val="en-US"/>
        </w:rPr>
        <w:fldChar w:fldCharType="begin"/>
      </w:r>
      <w:r w:rsidRPr="005342A5">
        <w:rPr>
          <w:lang w:val="en-US"/>
        </w:rPr>
        <w:instrText xml:space="preserve"> REF _Ref83996914 \h </w:instrText>
      </w:r>
      <w:r w:rsidRPr="005342A5">
        <w:rPr>
          <w:lang w:val="en-US"/>
        </w:rPr>
      </w:r>
      <w:r w:rsidRPr="005342A5">
        <w:rPr>
          <w:lang w:val="en-US"/>
        </w:rPr>
        <w:fldChar w:fldCharType="separate"/>
      </w:r>
      <w:r w:rsidR="005973B4" w:rsidRPr="005342A5">
        <w:rPr>
          <w:lang w:val="en-US"/>
        </w:rPr>
        <w:t>Table S</w:t>
      </w:r>
      <w:r w:rsidR="005973B4">
        <w:rPr>
          <w:noProof/>
          <w:lang w:val="en-US"/>
        </w:rPr>
        <w:t>7</w:t>
      </w:r>
      <w:r w:rsidRPr="005342A5">
        <w:rPr>
          <w:lang w:val="en-US"/>
        </w:rPr>
        <w:fldChar w:fldCharType="end"/>
      </w:r>
      <w:r w:rsidRPr="005342A5">
        <w:rPr>
          <w:lang w:val="en-US"/>
        </w:rPr>
        <w:t xml:space="preserve">). Some combinations of sex types in the published table returned zero probability, which would be unrealistic </w:t>
      </w:r>
      <w:r w:rsidR="004D204F">
        <w:rPr>
          <w:lang w:val="en-US"/>
        </w:rPr>
        <w:t>at</w:t>
      </w:r>
      <w:r w:rsidRPr="005342A5">
        <w:rPr>
          <w:lang w:val="en-US"/>
        </w:rPr>
        <w:t xml:space="preserve"> the population level. Thus, the probabilities for each combination of sex type were adjusted to correct for this shortcoming of the data. Half of the smallest observed probability (0.</w:t>
      </w:r>
      <w:r>
        <w:rPr>
          <w:lang w:val="en-US"/>
        </w:rPr>
        <w:t>0</w:t>
      </w:r>
      <w:r w:rsidRPr="005342A5">
        <w:rPr>
          <w:lang w:val="en-US"/>
        </w:rPr>
        <w:t xml:space="preserve">2%) was arbitrarily assigned to all combinations with a zero probability in the dataset. The remaining probabilities were adjusted using the assumption of a fixed ratio between the adjusted and original probabilities, in order to </w:t>
      </w:r>
      <w:r w:rsidR="004D204F">
        <w:rPr>
          <w:lang w:val="en-US"/>
        </w:rPr>
        <w:t>ensure</w:t>
      </w:r>
      <w:r w:rsidR="004D204F" w:rsidRPr="005342A5">
        <w:rPr>
          <w:lang w:val="en-US"/>
        </w:rPr>
        <w:t xml:space="preserve"> </w:t>
      </w:r>
      <w:r w:rsidRPr="005342A5">
        <w:rPr>
          <w:lang w:val="en-US"/>
        </w:rPr>
        <w:t xml:space="preserve">the sum of all probabilities </w:t>
      </w:r>
      <w:r w:rsidR="004D204F">
        <w:rPr>
          <w:lang w:val="en-US"/>
        </w:rPr>
        <w:t>equals</w:t>
      </w:r>
      <w:r w:rsidR="004D204F" w:rsidRPr="005342A5">
        <w:rPr>
          <w:lang w:val="en-US"/>
        </w:rPr>
        <w:t xml:space="preserve"> </w:t>
      </w:r>
      <w:r w:rsidRPr="005342A5">
        <w:rPr>
          <w:lang w:val="en-US"/>
        </w:rPr>
        <w:t xml:space="preserve">1. </w:t>
      </w:r>
    </w:p>
    <w:p w14:paraId="4FE19122" w14:textId="77777777" w:rsidR="00733C5E" w:rsidRPr="005342A5" w:rsidRDefault="00733C5E" w:rsidP="00733C5E">
      <w:pPr>
        <w:rPr>
          <w:lang w:val="en-US"/>
        </w:rPr>
      </w:pPr>
    </w:p>
    <w:p w14:paraId="1B89B66C" w14:textId="25EEEB12" w:rsidR="00733C5E" w:rsidRDefault="00733C5E" w:rsidP="00733C5E">
      <w:pPr>
        <w:pStyle w:val="Caption"/>
        <w:rPr>
          <w:lang w:val="en-US"/>
        </w:rPr>
      </w:pPr>
      <w:bookmarkStart w:id="15" w:name="_Ref83996914"/>
      <w:r w:rsidRPr="005342A5">
        <w:rPr>
          <w:lang w:val="en-US"/>
        </w:rPr>
        <w:t>Table S</w:t>
      </w:r>
      <w:r w:rsidRPr="005342A5">
        <w:rPr>
          <w:lang w:val="en-US"/>
        </w:rPr>
        <w:fldChar w:fldCharType="begin"/>
      </w:r>
      <w:r w:rsidRPr="005342A5">
        <w:rPr>
          <w:lang w:val="en-US"/>
        </w:rPr>
        <w:instrText xml:space="preserve"> SEQ Table \* ARABIC </w:instrText>
      </w:r>
      <w:r w:rsidRPr="005342A5">
        <w:rPr>
          <w:lang w:val="en-US"/>
        </w:rPr>
        <w:fldChar w:fldCharType="separate"/>
      </w:r>
      <w:r w:rsidR="00A1207D">
        <w:rPr>
          <w:noProof/>
          <w:lang w:val="en-US"/>
        </w:rPr>
        <w:t>7</w:t>
      </w:r>
      <w:r w:rsidRPr="005342A5">
        <w:rPr>
          <w:lang w:val="en-US"/>
        </w:rPr>
        <w:fldChar w:fldCharType="end"/>
      </w:r>
      <w:bookmarkEnd w:id="15"/>
      <w:r w:rsidRPr="005342A5">
        <w:rPr>
          <w:lang w:val="en-US"/>
        </w:rPr>
        <w:t>: Combination of sex acts and probabilities</w:t>
      </w:r>
    </w:p>
    <w:tbl>
      <w:tblPr>
        <w:tblStyle w:val="ListTable1Light"/>
        <w:tblW w:w="9202" w:type="dxa"/>
        <w:tblLook w:val="04A0" w:firstRow="1" w:lastRow="0" w:firstColumn="1" w:lastColumn="0" w:noHBand="0" w:noVBand="1"/>
      </w:tblPr>
      <w:tblGrid>
        <w:gridCol w:w="1102"/>
        <w:gridCol w:w="1096"/>
        <w:gridCol w:w="993"/>
        <w:gridCol w:w="1096"/>
        <w:gridCol w:w="1017"/>
        <w:gridCol w:w="1096"/>
        <w:gridCol w:w="1444"/>
        <w:gridCol w:w="1444"/>
      </w:tblGrid>
      <w:tr w:rsidR="00733C5E" w:rsidRPr="00B06419" w14:paraId="793113E9" w14:textId="77777777" w:rsidTr="004F374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79" w:type="dxa"/>
            <w:gridSpan w:val="2"/>
            <w:noWrap/>
          </w:tcPr>
          <w:p w14:paraId="0D280463" w14:textId="77777777" w:rsidR="00733C5E" w:rsidRPr="00B06419" w:rsidRDefault="00733C5E" w:rsidP="004F3747">
            <w:pPr>
              <w:jc w:val="right"/>
              <w:rPr>
                <w:rFonts w:ascii="Calibri" w:eastAsia="Times New Roman" w:hAnsi="Calibri" w:cs="Calibri"/>
                <w:color w:val="000000"/>
                <w:lang w:eastAsia="nl-BE"/>
              </w:rPr>
            </w:pPr>
            <w:r w:rsidRPr="005342A5">
              <w:rPr>
                <w:lang w:val="en-US"/>
              </w:rPr>
              <w:t>Oral sex</w:t>
            </w:r>
          </w:p>
        </w:tc>
        <w:tc>
          <w:tcPr>
            <w:tcW w:w="2045" w:type="dxa"/>
            <w:gridSpan w:val="2"/>
            <w:noWrap/>
          </w:tcPr>
          <w:p w14:paraId="533CF174" w14:textId="77777777" w:rsidR="00733C5E" w:rsidRPr="00B06419" w:rsidRDefault="00733C5E" w:rsidP="004F374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5342A5">
              <w:rPr>
                <w:lang w:val="en-US"/>
              </w:rPr>
              <w:t>Oro-anal sex</w:t>
            </w:r>
          </w:p>
        </w:tc>
        <w:tc>
          <w:tcPr>
            <w:tcW w:w="2090" w:type="dxa"/>
            <w:gridSpan w:val="2"/>
            <w:noWrap/>
          </w:tcPr>
          <w:p w14:paraId="6407BE6A" w14:textId="77777777" w:rsidR="00733C5E" w:rsidRPr="00B06419" w:rsidRDefault="00733C5E" w:rsidP="004F374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5342A5">
              <w:rPr>
                <w:lang w:val="en-US"/>
              </w:rPr>
              <w:t>Anal sex</w:t>
            </w:r>
          </w:p>
        </w:tc>
        <w:tc>
          <w:tcPr>
            <w:tcW w:w="1444" w:type="dxa"/>
            <w:noWrap/>
          </w:tcPr>
          <w:p w14:paraId="1820C918" w14:textId="77777777" w:rsidR="00733C5E" w:rsidRPr="00B06419" w:rsidRDefault="00733C5E" w:rsidP="004F374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5342A5">
              <w:rPr>
                <w:lang w:val="en-US"/>
              </w:rPr>
              <w:t>Probability</w:t>
            </w:r>
          </w:p>
        </w:tc>
        <w:tc>
          <w:tcPr>
            <w:tcW w:w="1444" w:type="dxa"/>
            <w:noWrap/>
          </w:tcPr>
          <w:p w14:paraId="3CCF565D" w14:textId="77777777" w:rsidR="00733C5E" w:rsidRPr="00B06419" w:rsidRDefault="00733C5E" w:rsidP="004F374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5342A5">
              <w:rPr>
                <w:lang w:val="en-US"/>
              </w:rPr>
              <w:t>Adjusted probability</w:t>
            </w:r>
          </w:p>
        </w:tc>
      </w:tr>
      <w:tr w:rsidR="00733C5E" w:rsidRPr="00B06419" w14:paraId="2D7925C5" w14:textId="77777777" w:rsidTr="004F37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2" w:type="dxa"/>
            <w:noWrap/>
          </w:tcPr>
          <w:p w14:paraId="6AD5C196" w14:textId="77777777" w:rsidR="00733C5E" w:rsidRPr="00B06419" w:rsidRDefault="00733C5E" w:rsidP="004F3747">
            <w:pPr>
              <w:jc w:val="right"/>
              <w:rPr>
                <w:rFonts w:ascii="Calibri" w:eastAsia="Times New Roman" w:hAnsi="Calibri" w:cs="Calibri"/>
                <w:color w:val="000000"/>
                <w:lang w:eastAsia="nl-BE"/>
              </w:rPr>
            </w:pPr>
            <w:r w:rsidRPr="005342A5">
              <w:rPr>
                <w:b w:val="0"/>
                <w:bCs w:val="0"/>
                <w:lang w:val="en-US"/>
              </w:rPr>
              <w:t>Insertive</w:t>
            </w:r>
          </w:p>
        </w:tc>
        <w:tc>
          <w:tcPr>
            <w:tcW w:w="1073" w:type="dxa"/>
            <w:noWrap/>
          </w:tcPr>
          <w:p w14:paraId="25707FB8"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5342A5">
              <w:rPr>
                <w:lang w:val="en-US"/>
              </w:rPr>
              <w:t>Receptive</w:t>
            </w:r>
          </w:p>
        </w:tc>
        <w:tc>
          <w:tcPr>
            <w:tcW w:w="972" w:type="dxa"/>
            <w:noWrap/>
          </w:tcPr>
          <w:p w14:paraId="67E082CB"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5342A5">
              <w:rPr>
                <w:lang w:val="en-US"/>
              </w:rPr>
              <w:t>Insertive</w:t>
            </w:r>
          </w:p>
        </w:tc>
        <w:tc>
          <w:tcPr>
            <w:tcW w:w="1073" w:type="dxa"/>
            <w:noWrap/>
          </w:tcPr>
          <w:p w14:paraId="2B06947E"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5342A5">
              <w:rPr>
                <w:lang w:val="en-US"/>
              </w:rPr>
              <w:t>Receptive</w:t>
            </w:r>
          </w:p>
        </w:tc>
        <w:tc>
          <w:tcPr>
            <w:tcW w:w="1017" w:type="dxa"/>
            <w:noWrap/>
          </w:tcPr>
          <w:p w14:paraId="367B6B15"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5342A5">
              <w:rPr>
                <w:lang w:val="en-US"/>
              </w:rPr>
              <w:t>Insertive</w:t>
            </w:r>
          </w:p>
        </w:tc>
        <w:tc>
          <w:tcPr>
            <w:tcW w:w="1073" w:type="dxa"/>
            <w:noWrap/>
          </w:tcPr>
          <w:p w14:paraId="37C7DF25"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5342A5">
              <w:rPr>
                <w:lang w:val="en-US"/>
              </w:rPr>
              <w:t>Receptive</w:t>
            </w:r>
          </w:p>
        </w:tc>
        <w:tc>
          <w:tcPr>
            <w:tcW w:w="1444" w:type="dxa"/>
            <w:noWrap/>
          </w:tcPr>
          <w:p w14:paraId="09C8521B"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p>
        </w:tc>
        <w:tc>
          <w:tcPr>
            <w:tcW w:w="1444" w:type="dxa"/>
            <w:noWrap/>
          </w:tcPr>
          <w:p w14:paraId="65028A1B"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p>
        </w:tc>
      </w:tr>
      <w:tr w:rsidR="00733C5E" w:rsidRPr="00B06419" w14:paraId="2E25A22E" w14:textId="77777777" w:rsidTr="004F3747">
        <w:trPr>
          <w:trHeight w:val="288"/>
        </w:trPr>
        <w:tc>
          <w:tcPr>
            <w:cnfStyle w:val="001000000000" w:firstRow="0" w:lastRow="0" w:firstColumn="1" w:lastColumn="0" w:oddVBand="0" w:evenVBand="0" w:oddHBand="0" w:evenHBand="0" w:firstRowFirstColumn="0" w:firstRowLastColumn="0" w:lastRowFirstColumn="0" w:lastRowLastColumn="0"/>
            <w:tcW w:w="1102" w:type="dxa"/>
            <w:noWrap/>
          </w:tcPr>
          <w:p w14:paraId="1BAAC8FD" w14:textId="77777777" w:rsidR="00733C5E" w:rsidRPr="00724A25"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0</w:t>
            </w:r>
          </w:p>
        </w:tc>
        <w:tc>
          <w:tcPr>
            <w:tcW w:w="1073" w:type="dxa"/>
            <w:noWrap/>
          </w:tcPr>
          <w:p w14:paraId="01ED6443"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972" w:type="dxa"/>
            <w:noWrap/>
          </w:tcPr>
          <w:p w14:paraId="0B2C035C"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tcPr>
          <w:p w14:paraId="32898990"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17" w:type="dxa"/>
            <w:noWrap/>
          </w:tcPr>
          <w:p w14:paraId="616F1911"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tcPr>
          <w:p w14:paraId="7E2181DE"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444" w:type="dxa"/>
            <w:noWrap/>
          </w:tcPr>
          <w:p w14:paraId="66801E54"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0.0138</w:t>
            </w:r>
          </w:p>
        </w:tc>
        <w:tc>
          <w:tcPr>
            <w:tcW w:w="1444" w:type="dxa"/>
            <w:noWrap/>
          </w:tcPr>
          <w:p w14:paraId="5C185FF2"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0.0137</w:t>
            </w:r>
          </w:p>
        </w:tc>
      </w:tr>
      <w:tr w:rsidR="00733C5E" w:rsidRPr="00B06419" w14:paraId="39D996F7" w14:textId="77777777" w:rsidTr="004F37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74CB7B53"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0</w:t>
            </w:r>
          </w:p>
        </w:tc>
        <w:tc>
          <w:tcPr>
            <w:tcW w:w="1073" w:type="dxa"/>
            <w:noWrap/>
            <w:hideMark/>
          </w:tcPr>
          <w:p w14:paraId="3D471D55"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972" w:type="dxa"/>
            <w:noWrap/>
            <w:hideMark/>
          </w:tcPr>
          <w:p w14:paraId="6C3D1B38"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7F4A2F46"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17" w:type="dxa"/>
            <w:noWrap/>
            <w:hideMark/>
          </w:tcPr>
          <w:p w14:paraId="5C047B0D"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32F18DD8"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444" w:type="dxa"/>
            <w:noWrap/>
            <w:hideMark/>
          </w:tcPr>
          <w:p w14:paraId="77DB756D"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0.0133</w:t>
            </w:r>
          </w:p>
        </w:tc>
        <w:tc>
          <w:tcPr>
            <w:tcW w:w="1444" w:type="dxa"/>
            <w:noWrap/>
            <w:hideMark/>
          </w:tcPr>
          <w:p w14:paraId="3934CE42"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0.0133</w:t>
            </w:r>
          </w:p>
        </w:tc>
      </w:tr>
      <w:tr w:rsidR="00733C5E" w:rsidRPr="00B06419" w14:paraId="3D4B3620" w14:textId="77777777" w:rsidTr="004F3747">
        <w:trPr>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6B81452A"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0</w:t>
            </w:r>
          </w:p>
        </w:tc>
        <w:tc>
          <w:tcPr>
            <w:tcW w:w="1073" w:type="dxa"/>
            <w:noWrap/>
            <w:hideMark/>
          </w:tcPr>
          <w:p w14:paraId="59474861"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972" w:type="dxa"/>
            <w:noWrap/>
            <w:hideMark/>
          </w:tcPr>
          <w:p w14:paraId="1EB08F47"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767548B1"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17" w:type="dxa"/>
            <w:noWrap/>
            <w:hideMark/>
          </w:tcPr>
          <w:p w14:paraId="0C72AD75"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26751E6C"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444" w:type="dxa"/>
            <w:noWrap/>
            <w:hideMark/>
          </w:tcPr>
          <w:p w14:paraId="761CE28F"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0.0014</w:t>
            </w:r>
          </w:p>
        </w:tc>
        <w:tc>
          <w:tcPr>
            <w:tcW w:w="1444" w:type="dxa"/>
            <w:noWrap/>
            <w:hideMark/>
          </w:tcPr>
          <w:p w14:paraId="4D2C732C"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0.0014</w:t>
            </w:r>
          </w:p>
        </w:tc>
      </w:tr>
      <w:tr w:rsidR="00733C5E" w:rsidRPr="00B06419" w14:paraId="7CC995A0" w14:textId="77777777" w:rsidTr="004F37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09684CFC"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0</w:t>
            </w:r>
          </w:p>
        </w:tc>
        <w:tc>
          <w:tcPr>
            <w:tcW w:w="1073" w:type="dxa"/>
            <w:noWrap/>
            <w:hideMark/>
          </w:tcPr>
          <w:p w14:paraId="015E0D7B"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972" w:type="dxa"/>
            <w:noWrap/>
            <w:hideMark/>
          </w:tcPr>
          <w:p w14:paraId="1037E86D"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4BDC4EAD"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17" w:type="dxa"/>
            <w:noWrap/>
            <w:hideMark/>
          </w:tcPr>
          <w:p w14:paraId="5DC32736"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22C43B67"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444" w:type="dxa"/>
            <w:noWrap/>
            <w:hideMark/>
          </w:tcPr>
          <w:p w14:paraId="5D27B0C3"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0.0014</w:t>
            </w:r>
          </w:p>
        </w:tc>
        <w:tc>
          <w:tcPr>
            <w:tcW w:w="1444" w:type="dxa"/>
            <w:noWrap/>
            <w:hideMark/>
          </w:tcPr>
          <w:p w14:paraId="56B51A94"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0.0014</w:t>
            </w:r>
          </w:p>
        </w:tc>
      </w:tr>
      <w:tr w:rsidR="00733C5E" w:rsidRPr="00B06419" w14:paraId="2828B438" w14:textId="77777777" w:rsidTr="004F3747">
        <w:trPr>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5C7E109C"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0</w:t>
            </w:r>
          </w:p>
        </w:tc>
        <w:tc>
          <w:tcPr>
            <w:tcW w:w="1073" w:type="dxa"/>
            <w:noWrap/>
            <w:hideMark/>
          </w:tcPr>
          <w:p w14:paraId="6B5029AE"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972" w:type="dxa"/>
            <w:noWrap/>
            <w:hideMark/>
          </w:tcPr>
          <w:p w14:paraId="7D5BDF75"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48989765"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17" w:type="dxa"/>
            <w:noWrap/>
            <w:hideMark/>
          </w:tcPr>
          <w:p w14:paraId="20F4DC54"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6CB545CD"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444" w:type="dxa"/>
            <w:noWrap/>
            <w:hideMark/>
          </w:tcPr>
          <w:p w14:paraId="0143A7A9"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0.0033</w:t>
            </w:r>
          </w:p>
        </w:tc>
        <w:tc>
          <w:tcPr>
            <w:tcW w:w="1444" w:type="dxa"/>
            <w:noWrap/>
            <w:hideMark/>
          </w:tcPr>
          <w:p w14:paraId="1B83BE50"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0.0033</w:t>
            </w:r>
          </w:p>
        </w:tc>
      </w:tr>
      <w:tr w:rsidR="00733C5E" w:rsidRPr="00B06419" w14:paraId="07279307" w14:textId="77777777" w:rsidTr="004F37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3C968D51"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0</w:t>
            </w:r>
          </w:p>
        </w:tc>
        <w:tc>
          <w:tcPr>
            <w:tcW w:w="1073" w:type="dxa"/>
            <w:noWrap/>
            <w:hideMark/>
          </w:tcPr>
          <w:p w14:paraId="76B82AC3"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972" w:type="dxa"/>
            <w:noWrap/>
            <w:hideMark/>
          </w:tcPr>
          <w:p w14:paraId="124D6431"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3E096E43"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17" w:type="dxa"/>
            <w:noWrap/>
            <w:hideMark/>
          </w:tcPr>
          <w:p w14:paraId="0AD7DE9A"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168380C1"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444" w:type="dxa"/>
            <w:noWrap/>
            <w:hideMark/>
          </w:tcPr>
          <w:p w14:paraId="4DEF388A"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0.0000</w:t>
            </w:r>
          </w:p>
        </w:tc>
        <w:tc>
          <w:tcPr>
            <w:tcW w:w="1444" w:type="dxa"/>
            <w:noWrap/>
            <w:hideMark/>
          </w:tcPr>
          <w:p w14:paraId="6D58EA76"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0.0002</w:t>
            </w:r>
          </w:p>
        </w:tc>
      </w:tr>
      <w:tr w:rsidR="00733C5E" w:rsidRPr="00B06419" w14:paraId="00AA65FA" w14:textId="77777777" w:rsidTr="004F3747">
        <w:trPr>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14402539"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0</w:t>
            </w:r>
          </w:p>
        </w:tc>
        <w:tc>
          <w:tcPr>
            <w:tcW w:w="1073" w:type="dxa"/>
            <w:noWrap/>
            <w:hideMark/>
          </w:tcPr>
          <w:p w14:paraId="7BE0BF97"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972" w:type="dxa"/>
            <w:noWrap/>
            <w:hideMark/>
          </w:tcPr>
          <w:p w14:paraId="7822F36C"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6FE161E7"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17" w:type="dxa"/>
            <w:noWrap/>
            <w:hideMark/>
          </w:tcPr>
          <w:p w14:paraId="3475DBDF"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2880C4B8"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444" w:type="dxa"/>
            <w:noWrap/>
            <w:hideMark/>
          </w:tcPr>
          <w:p w14:paraId="6F077DFD"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0.0014</w:t>
            </w:r>
          </w:p>
        </w:tc>
        <w:tc>
          <w:tcPr>
            <w:tcW w:w="1444" w:type="dxa"/>
            <w:noWrap/>
            <w:hideMark/>
          </w:tcPr>
          <w:p w14:paraId="0D794721"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0.0014</w:t>
            </w:r>
          </w:p>
        </w:tc>
      </w:tr>
      <w:tr w:rsidR="00733C5E" w:rsidRPr="00B06419" w14:paraId="1C298EFD" w14:textId="77777777" w:rsidTr="004F37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2416E903"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0</w:t>
            </w:r>
          </w:p>
        </w:tc>
        <w:tc>
          <w:tcPr>
            <w:tcW w:w="1073" w:type="dxa"/>
            <w:noWrap/>
            <w:hideMark/>
          </w:tcPr>
          <w:p w14:paraId="1DF5CC9E"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972" w:type="dxa"/>
            <w:noWrap/>
            <w:hideMark/>
          </w:tcPr>
          <w:p w14:paraId="79B79509"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12DD7558"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17" w:type="dxa"/>
            <w:noWrap/>
            <w:hideMark/>
          </w:tcPr>
          <w:p w14:paraId="54EB5E99"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6499052C"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444" w:type="dxa"/>
            <w:noWrap/>
            <w:hideMark/>
          </w:tcPr>
          <w:p w14:paraId="5D6850E9"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0.0009</w:t>
            </w:r>
          </w:p>
        </w:tc>
        <w:tc>
          <w:tcPr>
            <w:tcW w:w="1444" w:type="dxa"/>
            <w:noWrap/>
            <w:hideMark/>
          </w:tcPr>
          <w:p w14:paraId="05F4D204"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0.0009</w:t>
            </w:r>
          </w:p>
        </w:tc>
      </w:tr>
      <w:tr w:rsidR="00733C5E" w:rsidRPr="00B06419" w14:paraId="38DFA954" w14:textId="77777777" w:rsidTr="004F3747">
        <w:trPr>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015F47D8"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0</w:t>
            </w:r>
          </w:p>
        </w:tc>
        <w:tc>
          <w:tcPr>
            <w:tcW w:w="1073" w:type="dxa"/>
            <w:noWrap/>
            <w:hideMark/>
          </w:tcPr>
          <w:p w14:paraId="3F53EB55"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972" w:type="dxa"/>
            <w:noWrap/>
            <w:hideMark/>
          </w:tcPr>
          <w:p w14:paraId="1177E8C2"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4029275A"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17" w:type="dxa"/>
            <w:noWrap/>
            <w:hideMark/>
          </w:tcPr>
          <w:p w14:paraId="05D78F7A"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39A7DE63"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444" w:type="dxa"/>
            <w:noWrap/>
            <w:hideMark/>
          </w:tcPr>
          <w:p w14:paraId="780B561A"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0.0014</w:t>
            </w:r>
          </w:p>
        </w:tc>
        <w:tc>
          <w:tcPr>
            <w:tcW w:w="1444" w:type="dxa"/>
            <w:noWrap/>
            <w:hideMark/>
          </w:tcPr>
          <w:p w14:paraId="65F310FD"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0.0014</w:t>
            </w:r>
          </w:p>
        </w:tc>
      </w:tr>
      <w:tr w:rsidR="00733C5E" w:rsidRPr="00B06419" w14:paraId="6E9E427F" w14:textId="77777777" w:rsidTr="004F37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776FD92C"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0</w:t>
            </w:r>
          </w:p>
        </w:tc>
        <w:tc>
          <w:tcPr>
            <w:tcW w:w="1073" w:type="dxa"/>
            <w:noWrap/>
            <w:hideMark/>
          </w:tcPr>
          <w:p w14:paraId="18EB6F23"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972" w:type="dxa"/>
            <w:noWrap/>
            <w:hideMark/>
          </w:tcPr>
          <w:p w14:paraId="1B1358D3"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50435897"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17" w:type="dxa"/>
            <w:noWrap/>
            <w:hideMark/>
          </w:tcPr>
          <w:p w14:paraId="42AA6CB3"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1F18F2AF"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444" w:type="dxa"/>
            <w:noWrap/>
            <w:hideMark/>
          </w:tcPr>
          <w:p w14:paraId="1B22ED62"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0.0009</w:t>
            </w:r>
          </w:p>
        </w:tc>
        <w:tc>
          <w:tcPr>
            <w:tcW w:w="1444" w:type="dxa"/>
            <w:noWrap/>
            <w:hideMark/>
          </w:tcPr>
          <w:p w14:paraId="25F978DB"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0.0009</w:t>
            </w:r>
          </w:p>
        </w:tc>
      </w:tr>
      <w:tr w:rsidR="00733C5E" w:rsidRPr="00B06419" w14:paraId="391D919F" w14:textId="77777777" w:rsidTr="004F3747">
        <w:trPr>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4869F347"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0</w:t>
            </w:r>
          </w:p>
        </w:tc>
        <w:tc>
          <w:tcPr>
            <w:tcW w:w="1073" w:type="dxa"/>
            <w:noWrap/>
            <w:hideMark/>
          </w:tcPr>
          <w:p w14:paraId="23A6CF6C"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972" w:type="dxa"/>
            <w:noWrap/>
            <w:hideMark/>
          </w:tcPr>
          <w:p w14:paraId="517039E6"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596A1A53"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17" w:type="dxa"/>
            <w:noWrap/>
            <w:hideMark/>
          </w:tcPr>
          <w:p w14:paraId="5680BFF6"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24512A18"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444" w:type="dxa"/>
            <w:noWrap/>
            <w:hideMark/>
          </w:tcPr>
          <w:p w14:paraId="58C89982"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0.0000</w:t>
            </w:r>
          </w:p>
        </w:tc>
        <w:tc>
          <w:tcPr>
            <w:tcW w:w="1444" w:type="dxa"/>
            <w:noWrap/>
            <w:hideMark/>
          </w:tcPr>
          <w:p w14:paraId="22B5F24F"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0.0002</w:t>
            </w:r>
          </w:p>
        </w:tc>
      </w:tr>
      <w:tr w:rsidR="00733C5E" w:rsidRPr="00B06419" w14:paraId="3F96AD7C" w14:textId="77777777" w:rsidTr="004F37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3E686132"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0</w:t>
            </w:r>
          </w:p>
        </w:tc>
        <w:tc>
          <w:tcPr>
            <w:tcW w:w="1073" w:type="dxa"/>
            <w:noWrap/>
            <w:hideMark/>
          </w:tcPr>
          <w:p w14:paraId="45658C3D"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972" w:type="dxa"/>
            <w:noWrap/>
            <w:hideMark/>
          </w:tcPr>
          <w:p w14:paraId="63C1C82A"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1C28E274"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17" w:type="dxa"/>
            <w:noWrap/>
            <w:hideMark/>
          </w:tcPr>
          <w:p w14:paraId="678444E5"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5853ED57"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444" w:type="dxa"/>
            <w:noWrap/>
            <w:hideMark/>
          </w:tcPr>
          <w:p w14:paraId="26C50EE1"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0.0000</w:t>
            </w:r>
          </w:p>
        </w:tc>
        <w:tc>
          <w:tcPr>
            <w:tcW w:w="1444" w:type="dxa"/>
            <w:noWrap/>
            <w:hideMark/>
          </w:tcPr>
          <w:p w14:paraId="70D89345"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0.0002</w:t>
            </w:r>
          </w:p>
        </w:tc>
      </w:tr>
      <w:tr w:rsidR="00733C5E" w:rsidRPr="00B06419" w14:paraId="0E000375" w14:textId="77777777" w:rsidTr="004F3747">
        <w:trPr>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128A4BC9"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0</w:t>
            </w:r>
          </w:p>
        </w:tc>
        <w:tc>
          <w:tcPr>
            <w:tcW w:w="1073" w:type="dxa"/>
            <w:noWrap/>
            <w:hideMark/>
          </w:tcPr>
          <w:p w14:paraId="5E8A1A69"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972" w:type="dxa"/>
            <w:noWrap/>
            <w:hideMark/>
          </w:tcPr>
          <w:p w14:paraId="7324176A"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4AA34594"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17" w:type="dxa"/>
            <w:noWrap/>
            <w:hideMark/>
          </w:tcPr>
          <w:p w14:paraId="74B11335"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483ACD4B"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444" w:type="dxa"/>
            <w:noWrap/>
            <w:hideMark/>
          </w:tcPr>
          <w:p w14:paraId="12E28599"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0.0000</w:t>
            </w:r>
          </w:p>
        </w:tc>
        <w:tc>
          <w:tcPr>
            <w:tcW w:w="1444" w:type="dxa"/>
            <w:noWrap/>
            <w:hideMark/>
          </w:tcPr>
          <w:p w14:paraId="172BFFC6"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0.0002</w:t>
            </w:r>
          </w:p>
        </w:tc>
      </w:tr>
      <w:tr w:rsidR="00733C5E" w:rsidRPr="00B06419" w14:paraId="0C0A7031" w14:textId="77777777" w:rsidTr="004F37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31915FA5"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0</w:t>
            </w:r>
          </w:p>
        </w:tc>
        <w:tc>
          <w:tcPr>
            <w:tcW w:w="1073" w:type="dxa"/>
            <w:noWrap/>
            <w:hideMark/>
          </w:tcPr>
          <w:p w14:paraId="310F0300"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972" w:type="dxa"/>
            <w:noWrap/>
            <w:hideMark/>
          </w:tcPr>
          <w:p w14:paraId="27F2EA79"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2D19E4C6"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17" w:type="dxa"/>
            <w:noWrap/>
            <w:hideMark/>
          </w:tcPr>
          <w:p w14:paraId="556A37FA"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66F24690"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444" w:type="dxa"/>
            <w:noWrap/>
            <w:hideMark/>
          </w:tcPr>
          <w:p w14:paraId="7789ECDC"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0.0009</w:t>
            </w:r>
          </w:p>
        </w:tc>
        <w:tc>
          <w:tcPr>
            <w:tcW w:w="1444" w:type="dxa"/>
            <w:noWrap/>
            <w:hideMark/>
          </w:tcPr>
          <w:p w14:paraId="01509901"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0.0009</w:t>
            </w:r>
          </w:p>
        </w:tc>
      </w:tr>
      <w:tr w:rsidR="00733C5E" w:rsidRPr="00B06419" w14:paraId="3D74817C" w14:textId="77777777" w:rsidTr="004F3747">
        <w:trPr>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077EBD74"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0</w:t>
            </w:r>
          </w:p>
        </w:tc>
        <w:tc>
          <w:tcPr>
            <w:tcW w:w="1073" w:type="dxa"/>
            <w:noWrap/>
            <w:hideMark/>
          </w:tcPr>
          <w:p w14:paraId="2436CC38"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972" w:type="dxa"/>
            <w:noWrap/>
            <w:hideMark/>
          </w:tcPr>
          <w:p w14:paraId="65453D98"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2C58F016"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17" w:type="dxa"/>
            <w:noWrap/>
            <w:hideMark/>
          </w:tcPr>
          <w:p w14:paraId="6AFF4186"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5D81A119"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444" w:type="dxa"/>
            <w:noWrap/>
            <w:hideMark/>
          </w:tcPr>
          <w:p w14:paraId="510E19D1"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0.0000</w:t>
            </w:r>
          </w:p>
        </w:tc>
        <w:tc>
          <w:tcPr>
            <w:tcW w:w="1444" w:type="dxa"/>
            <w:noWrap/>
            <w:hideMark/>
          </w:tcPr>
          <w:p w14:paraId="250149AF"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0.0002</w:t>
            </w:r>
          </w:p>
        </w:tc>
      </w:tr>
      <w:tr w:rsidR="00733C5E" w:rsidRPr="00B06419" w14:paraId="03E506B4" w14:textId="77777777" w:rsidTr="004F37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399853C1"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0</w:t>
            </w:r>
          </w:p>
        </w:tc>
        <w:tc>
          <w:tcPr>
            <w:tcW w:w="1073" w:type="dxa"/>
            <w:noWrap/>
            <w:hideMark/>
          </w:tcPr>
          <w:p w14:paraId="23D1E78F"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972" w:type="dxa"/>
            <w:noWrap/>
            <w:hideMark/>
          </w:tcPr>
          <w:p w14:paraId="46AD27A0"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7BD5F452"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17" w:type="dxa"/>
            <w:noWrap/>
            <w:hideMark/>
          </w:tcPr>
          <w:p w14:paraId="5A0AEDC4"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70505B55"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444" w:type="dxa"/>
            <w:noWrap/>
            <w:hideMark/>
          </w:tcPr>
          <w:p w14:paraId="55CCB1A1"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0.0475</w:t>
            </w:r>
          </w:p>
        </w:tc>
        <w:tc>
          <w:tcPr>
            <w:tcW w:w="1444" w:type="dxa"/>
            <w:noWrap/>
            <w:hideMark/>
          </w:tcPr>
          <w:p w14:paraId="28C7611B"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0.0474</w:t>
            </w:r>
          </w:p>
        </w:tc>
      </w:tr>
      <w:tr w:rsidR="00733C5E" w:rsidRPr="00B06419" w14:paraId="7D87D075" w14:textId="77777777" w:rsidTr="004F3747">
        <w:trPr>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043EDC38"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0</w:t>
            </w:r>
          </w:p>
        </w:tc>
        <w:tc>
          <w:tcPr>
            <w:tcW w:w="1073" w:type="dxa"/>
            <w:noWrap/>
            <w:hideMark/>
          </w:tcPr>
          <w:p w14:paraId="7A9305FD"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972" w:type="dxa"/>
            <w:noWrap/>
            <w:hideMark/>
          </w:tcPr>
          <w:p w14:paraId="7559BD35"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0EBC95AA"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17" w:type="dxa"/>
            <w:noWrap/>
            <w:hideMark/>
          </w:tcPr>
          <w:p w14:paraId="73C65486"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1AA59A9C"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444" w:type="dxa"/>
            <w:noWrap/>
            <w:hideMark/>
          </w:tcPr>
          <w:p w14:paraId="5E2904F2"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0.0456</w:t>
            </w:r>
          </w:p>
        </w:tc>
        <w:tc>
          <w:tcPr>
            <w:tcW w:w="1444" w:type="dxa"/>
            <w:noWrap/>
            <w:hideMark/>
          </w:tcPr>
          <w:p w14:paraId="66AFB38B"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0.0455</w:t>
            </w:r>
          </w:p>
        </w:tc>
      </w:tr>
      <w:tr w:rsidR="00733C5E" w:rsidRPr="00B06419" w14:paraId="4DC7C127" w14:textId="77777777" w:rsidTr="004F37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5E550719"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0</w:t>
            </w:r>
          </w:p>
        </w:tc>
        <w:tc>
          <w:tcPr>
            <w:tcW w:w="1073" w:type="dxa"/>
            <w:noWrap/>
            <w:hideMark/>
          </w:tcPr>
          <w:p w14:paraId="7EFE27D0"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972" w:type="dxa"/>
            <w:noWrap/>
            <w:hideMark/>
          </w:tcPr>
          <w:p w14:paraId="774A5FAE"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7B457FA2"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17" w:type="dxa"/>
            <w:noWrap/>
            <w:hideMark/>
          </w:tcPr>
          <w:p w14:paraId="343E5992"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56FF0949"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444" w:type="dxa"/>
            <w:noWrap/>
            <w:hideMark/>
          </w:tcPr>
          <w:p w14:paraId="111407CB"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0.0038</w:t>
            </w:r>
          </w:p>
        </w:tc>
        <w:tc>
          <w:tcPr>
            <w:tcW w:w="1444" w:type="dxa"/>
            <w:noWrap/>
            <w:hideMark/>
          </w:tcPr>
          <w:p w14:paraId="487BBB28"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0.0038</w:t>
            </w:r>
          </w:p>
        </w:tc>
      </w:tr>
      <w:tr w:rsidR="00733C5E" w:rsidRPr="00B06419" w14:paraId="38BF06E2" w14:textId="77777777" w:rsidTr="004F3747">
        <w:trPr>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0349C3EC"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0</w:t>
            </w:r>
          </w:p>
        </w:tc>
        <w:tc>
          <w:tcPr>
            <w:tcW w:w="1073" w:type="dxa"/>
            <w:noWrap/>
            <w:hideMark/>
          </w:tcPr>
          <w:p w14:paraId="3FEDE48A"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972" w:type="dxa"/>
            <w:noWrap/>
            <w:hideMark/>
          </w:tcPr>
          <w:p w14:paraId="246557A1"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5EDF8FA2"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17" w:type="dxa"/>
            <w:noWrap/>
            <w:hideMark/>
          </w:tcPr>
          <w:p w14:paraId="41961304"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35646023"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444" w:type="dxa"/>
            <w:noWrap/>
            <w:hideMark/>
          </w:tcPr>
          <w:p w14:paraId="66C8F6D4"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0.0014</w:t>
            </w:r>
          </w:p>
        </w:tc>
        <w:tc>
          <w:tcPr>
            <w:tcW w:w="1444" w:type="dxa"/>
            <w:noWrap/>
            <w:hideMark/>
          </w:tcPr>
          <w:p w14:paraId="46B2143B"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0.0014</w:t>
            </w:r>
          </w:p>
        </w:tc>
      </w:tr>
      <w:tr w:rsidR="00733C5E" w:rsidRPr="00B06419" w14:paraId="0CAA9E7D" w14:textId="77777777" w:rsidTr="004F37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1377D1B7"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0</w:t>
            </w:r>
          </w:p>
        </w:tc>
        <w:tc>
          <w:tcPr>
            <w:tcW w:w="1073" w:type="dxa"/>
            <w:noWrap/>
            <w:hideMark/>
          </w:tcPr>
          <w:p w14:paraId="76B50323"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972" w:type="dxa"/>
            <w:noWrap/>
            <w:hideMark/>
          </w:tcPr>
          <w:p w14:paraId="1946559F"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3A4F6AA3"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17" w:type="dxa"/>
            <w:noWrap/>
            <w:hideMark/>
          </w:tcPr>
          <w:p w14:paraId="13BAB9B2"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7D72AA44"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444" w:type="dxa"/>
            <w:noWrap/>
            <w:hideMark/>
          </w:tcPr>
          <w:p w14:paraId="32FAF348"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0.0024</w:t>
            </w:r>
          </w:p>
        </w:tc>
        <w:tc>
          <w:tcPr>
            <w:tcW w:w="1444" w:type="dxa"/>
            <w:noWrap/>
            <w:hideMark/>
          </w:tcPr>
          <w:p w14:paraId="6053DF4E"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0.0024</w:t>
            </w:r>
          </w:p>
        </w:tc>
      </w:tr>
      <w:tr w:rsidR="00733C5E" w:rsidRPr="00B06419" w14:paraId="743C7D77" w14:textId="77777777" w:rsidTr="004F3747">
        <w:trPr>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088ECB26"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0</w:t>
            </w:r>
          </w:p>
        </w:tc>
        <w:tc>
          <w:tcPr>
            <w:tcW w:w="1073" w:type="dxa"/>
            <w:noWrap/>
            <w:hideMark/>
          </w:tcPr>
          <w:p w14:paraId="69142AF2"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972" w:type="dxa"/>
            <w:noWrap/>
            <w:hideMark/>
          </w:tcPr>
          <w:p w14:paraId="45C08451"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05A101AE"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17" w:type="dxa"/>
            <w:noWrap/>
            <w:hideMark/>
          </w:tcPr>
          <w:p w14:paraId="0CCA130E"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3F49C552"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444" w:type="dxa"/>
            <w:noWrap/>
            <w:hideMark/>
          </w:tcPr>
          <w:p w14:paraId="0C23AE56"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0.0214</w:t>
            </w:r>
          </w:p>
        </w:tc>
        <w:tc>
          <w:tcPr>
            <w:tcW w:w="1444" w:type="dxa"/>
            <w:noWrap/>
            <w:hideMark/>
          </w:tcPr>
          <w:p w14:paraId="4FE3E106"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0.0213</w:t>
            </w:r>
          </w:p>
        </w:tc>
      </w:tr>
      <w:tr w:rsidR="00733C5E" w:rsidRPr="00B06419" w14:paraId="7105E2B5" w14:textId="77777777" w:rsidTr="004F37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4FA639B6"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0</w:t>
            </w:r>
          </w:p>
        </w:tc>
        <w:tc>
          <w:tcPr>
            <w:tcW w:w="1073" w:type="dxa"/>
            <w:noWrap/>
            <w:hideMark/>
          </w:tcPr>
          <w:p w14:paraId="3700E225"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972" w:type="dxa"/>
            <w:noWrap/>
            <w:hideMark/>
          </w:tcPr>
          <w:p w14:paraId="37F075EA"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1EE86EFF"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17" w:type="dxa"/>
            <w:noWrap/>
            <w:hideMark/>
          </w:tcPr>
          <w:p w14:paraId="55F6F012"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7D64CEA8"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444" w:type="dxa"/>
            <w:noWrap/>
            <w:hideMark/>
          </w:tcPr>
          <w:p w14:paraId="1F59075B"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0.0005</w:t>
            </w:r>
          </w:p>
        </w:tc>
        <w:tc>
          <w:tcPr>
            <w:tcW w:w="1444" w:type="dxa"/>
            <w:noWrap/>
            <w:hideMark/>
          </w:tcPr>
          <w:p w14:paraId="357BFF82"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0.0005</w:t>
            </w:r>
          </w:p>
        </w:tc>
      </w:tr>
      <w:tr w:rsidR="00733C5E" w:rsidRPr="00B06419" w14:paraId="4DC8F6A1" w14:textId="77777777" w:rsidTr="004F3747">
        <w:trPr>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09D73AB6"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0</w:t>
            </w:r>
          </w:p>
        </w:tc>
        <w:tc>
          <w:tcPr>
            <w:tcW w:w="1073" w:type="dxa"/>
            <w:noWrap/>
            <w:hideMark/>
          </w:tcPr>
          <w:p w14:paraId="20F3FC76"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972" w:type="dxa"/>
            <w:noWrap/>
            <w:hideMark/>
          </w:tcPr>
          <w:p w14:paraId="4B28F204"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7CD9514D"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17" w:type="dxa"/>
            <w:noWrap/>
            <w:hideMark/>
          </w:tcPr>
          <w:p w14:paraId="3810EC9C"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7C51FD67"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444" w:type="dxa"/>
            <w:noWrap/>
            <w:hideMark/>
          </w:tcPr>
          <w:p w14:paraId="7073455C"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0.0014</w:t>
            </w:r>
          </w:p>
        </w:tc>
        <w:tc>
          <w:tcPr>
            <w:tcW w:w="1444" w:type="dxa"/>
            <w:noWrap/>
            <w:hideMark/>
          </w:tcPr>
          <w:p w14:paraId="1138DED3"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0.0014</w:t>
            </w:r>
          </w:p>
        </w:tc>
      </w:tr>
      <w:tr w:rsidR="00733C5E" w:rsidRPr="00B06419" w14:paraId="4A921B48" w14:textId="77777777" w:rsidTr="004F37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31AA5E3F"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lastRenderedPageBreak/>
              <w:t>0</w:t>
            </w:r>
          </w:p>
        </w:tc>
        <w:tc>
          <w:tcPr>
            <w:tcW w:w="1073" w:type="dxa"/>
            <w:noWrap/>
            <w:hideMark/>
          </w:tcPr>
          <w:p w14:paraId="6FEE75F8"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972" w:type="dxa"/>
            <w:noWrap/>
            <w:hideMark/>
          </w:tcPr>
          <w:p w14:paraId="2A309831"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254B5543"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17" w:type="dxa"/>
            <w:noWrap/>
            <w:hideMark/>
          </w:tcPr>
          <w:p w14:paraId="5612AD6D"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25941062"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444" w:type="dxa"/>
            <w:noWrap/>
            <w:hideMark/>
          </w:tcPr>
          <w:p w14:paraId="3C4534A7"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0.0081</w:t>
            </w:r>
          </w:p>
        </w:tc>
        <w:tc>
          <w:tcPr>
            <w:tcW w:w="1444" w:type="dxa"/>
            <w:noWrap/>
            <w:hideMark/>
          </w:tcPr>
          <w:p w14:paraId="4601B539"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0.0081</w:t>
            </w:r>
          </w:p>
        </w:tc>
      </w:tr>
      <w:tr w:rsidR="00733C5E" w:rsidRPr="00B06419" w14:paraId="1F295CE8" w14:textId="77777777" w:rsidTr="004F3747">
        <w:trPr>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622D6F3F"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0</w:t>
            </w:r>
          </w:p>
        </w:tc>
        <w:tc>
          <w:tcPr>
            <w:tcW w:w="1073" w:type="dxa"/>
            <w:noWrap/>
            <w:hideMark/>
          </w:tcPr>
          <w:p w14:paraId="0411B8C7"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972" w:type="dxa"/>
            <w:noWrap/>
            <w:hideMark/>
          </w:tcPr>
          <w:p w14:paraId="36EA6B8E"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5A2D0871"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17" w:type="dxa"/>
            <w:noWrap/>
            <w:hideMark/>
          </w:tcPr>
          <w:p w14:paraId="0CA9B96F"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663B9DC1"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444" w:type="dxa"/>
            <w:noWrap/>
            <w:hideMark/>
          </w:tcPr>
          <w:p w14:paraId="181FEB6E"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0.0128</w:t>
            </w:r>
          </w:p>
        </w:tc>
        <w:tc>
          <w:tcPr>
            <w:tcW w:w="1444" w:type="dxa"/>
            <w:noWrap/>
            <w:hideMark/>
          </w:tcPr>
          <w:p w14:paraId="1B97872C"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0.0128</w:t>
            </w:r>
          </w:p>
        </w:tc>
      </w:tr>
      <w:tr w:rsidR="00733C5E" w:rsidRPr="00B06419" w14:paraId="520C4D2E" w14:textId="77777777" w:rsidTr="004F37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10DDF36C"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0</w:t>
            </w:r>
          </w:p>
        </w:tc>
        <w:tc>
          <w:tcPr>
            <w:tcW w:w="1073" w:type="dxa"/>
            <w:noWrap/>
            <w:hideMark/>
          </w:tcPr>
          <w:p w14:paraId="2DD0201F"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972" w:type="dxa"/>
            <w:noWrap/>
            <w:hideMark/>
          </w:tcPr>
          <w:p w14:paraId="246D0D58"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06A5B8C5"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17" w:type="dxa"/>
            <w:noWrap/>
            <w:hideMark/>
          </w:tcPr>
          <w:p w14:paraId="1EAE2234"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1962E70E"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444" w:type="dxa"/>
            <w:noWrap/>
            <w:hideMark/>
          </w:tcPr>
          <w:p w14:paraId="0246C67A"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0.0033</w:t>
            </w:r>
          </w:p>
        </w:tc>
        <w:tc>
          <w:tcPr>
            <w:tcW w:w="1444" w:type="dxa"/>
            <w:noWrap/>
            <w:hideMark/>
          </w:tcPr>
          <w:p w14:paraId="7038E73F"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0.0033</w:t>
            </w:r>
          </w:p>
        </w:tc>
      </w:tr>
      <w:tr w:rsidR="00733C5E" w:rsidRPr="00B06419" w14:paraId="29FA7B08" w14:textId="77777777" w:rsidTr="004F3747">
        <w:trPr>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3CF9C0D7"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0</w:t>
            </w:r>
          </w:p>
        </w:tc>
        <w:tc>
          <w:tcPr>
            <w:tcW w:w="1073" w:type="dxa"/>
            <w:noWrap/>
            <w:hideMark/>
          </w:tcPr>
          <w:p w14:paraId="5467DDDB"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972" w:type="dxa"/>
            <w:noWrap/>
            <w:hideMark/>
          </w:tcPr>
          <w:p w14:paraId="2FB70E06"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1CA1D280"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17" w:type="dxa"/>
            <w:noWrap/>
            <w:hideMark/>
          </w:tcPr>
          <w:p w14:paraId="07153592"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53B4D6F0"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444" w:type="dxa"/>
            <w:noWrap/>
            <w:hideMark/>
          </w:tcPr>
          <w:p w14:paraId="5BA6982B"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0.0019</w:t>
            </w:r>
          </w:p>
        </w:tc>
        <w:tc>
          <w:tcPr>
            <w:tcW w:w="1444" w:type="dxa"/>
            <w:noWrap/>
            <w:hideMark/>
          </w:tcPr>
          <w:p w14:paraId="21288170"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0.0019</w:t>
            </w:r>
          </w:p>
        </w:tc>
      </w:tr>
      <w:tr w:rsidR="00733C5E" w:rsidRPr="00B06419" w14:paraId="3748757A" w14:textId="77777777" w:rsidTr="004F37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094EB77A"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0</w:t>
            </w:r>
          </w:p>
        </w:tc>
        <w:tc>
          <w:tcPr>
            <w:tcW w:w="1073" w:type="dxa"/>
            <w:noWrap/>
            <w:hideMark/>
          </w:tcPr>
          <w:p w14:paraId="2BE1876F"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972" w:type="dxa"/>
            <w:noWrap/>
            <w:hideMark/>
          </w:tcPr>
          <w:p w14:paraId="06156513"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7DD342C5"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17" w:type="dxa"/>
            <w:noWrap/>
            <w:hideMark/>
          </w:tcPr>
          <w:p w14:paraId="2CB57A9A"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492D2350"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444" w:type="dxa"/>
            <w:noWrap/>
            <w:hideMark/>
          </w:tcPr>
          <w:p w14:paraId="63B084D5"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0.0005</w:t>
            </w:r>
          </w:p>
        </w:tc>
        <w:tc>
          <w:tcPr>
            <w:tcW w:w="1444" w:type="dxa"/>
            <w:noWrap/>
            <w:hideMark/>
          </w:tcPr>
          <w:p w14:paraId="05E4D83E"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0.0005</w:t>
            </w:r>
          </w:p>
        </w:tc>
      </w:tr>
      <w:tr w:rsidR="00733C5E" w:rsidRPr="00B06419" w14:paraId="43032BDC" w14:textId="77777777" w:rsidTr="004F3747">
        <w:trPr>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71CF9093"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0</w:t>
            </w:r>
          </w:p>
        </w:tc>
        <w:tc>
          <w:tcPr>
            <w:tcW w:w="1073" w:type="dxa"/>
            <w:noWrap/>
            <w:hideMark/>
          </w:tcPr>
          <w:p w14:paraId="42EA4DA4"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972" w:type="dxa"/>
            <w:noWrap/>
            <w:hideMark/>
          </w:tcPr>
          <w:p w14:paraId="31B15855"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7B9680DA"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17" w:type="dxa"/>
            <w:noWrap/>
            <w:hideMark/>
          </w:tcPr>
          <w:p w14:paraId="57DA3271"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68CDEDA5"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444" w:type="dxa"/>
            <w:noWrap/>
            <w:hideMark/>
          </w:tcPr>
          <w:p w14:paraId="3F22AF8E"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0.0071</w:t>
            </w:r>
          </w:p>
        </w:tc>
        <w:tc>
          <w:tcPr>
            <w:tcW w:w="1444" w:type="dxa"/>
            <w:noWrap/>
            <w:hideMark/>
          </w:tcPr>
          <w:p w14:paraId="30B5A18B"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0.0071</w:t>
            </w:r>
          </w:p>
        </w:tc>
      </w:tr>
      <w:tr w:rsidR="00733C5E" w:rsidRPr="00B06419" w14:paraId="59500B1B" w14:textId="77777777" w:rsidTr="004F37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6BB67302"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0</w:t>
            </w:r>
          </w:p>
        </w:tc>
        <w:tc>
          <w:tcPr>
            <w:tcW w:w="1073" w:type="dxa"/>
            <w:noWrap/>
            <w:hideMark/>
          </w:tcPr>
          <w:p w14:paraId="5166F6A2"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972" w:type="dxa"/>
            <w:noWrap/>
            <w:hideMark/>
          </w:tcPr>
          <w:p w14:paraId="761075B2"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70802D7D"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17" w:type="dxa"/>
            <w:noWrap/>
            <w:hideMark/>
          </w:tcPr>
          <w:p w14:paraId="005E101F"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339D248B"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444" w:type="dxa"/>
            <w:noWrap/>
            <w:hideMark/>
          </w:tcPr>
          <w:p w14:paraId="2E8FB394"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0.0009</w:t>
            </w:r>
          </w:p>
        </w:tc>
        <w:tc>
          <w:tcPr>
            <w:tcW w:w="1444" w:type="dxa"/>
            <w:noWrap/>
            <w:hideMark/>
          </w:tcPr>
          <w:p w14:paraId="59E8F6C7"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0.0009</w:t>
            </w:r>
          </w:p>
        </w:tc>
      </w:tr>
      <w:tr w:rsidR="00733C5E" w:rsidRPr="00B06419" w14:paraId="338059C5" w14:textId="77777777" w:rsidTr="004F3747">
        <w:trPr>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6EC6EA57"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0</w:t>
            </w:r>
          </w:p>
        </w:tc>
        <w:tc>
          <w:tcPr>
            <w:tcW w:w="1073" w:type="dxa"/>
            <w:noWrap/>
            <w:hideMark/>
          </w:tcPr>
          <w:p w14:paraId="6018FC25"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972" w:type="dxa"/>
            <w:noWrap/>
            <w:hideMark/>
          </w:tcPr>
          <w:p w14:paraId="398E110D"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1A30F1FF"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17" w:type="dxa"/>
            <w:noWrap/>
            <w:hideMark/>
          </w:tcPr>
          <w:p w14:paraId="62C0880B"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0F3007FC"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444" w:type="dxa"/>
            <w:noWrap/>
            <w:hideMark/>
          </w:tcPr>
          <w:p w14:paraId="40AEF6EF"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0.0009</w:t>
            </w:r>
          </w:p>
        </w:tc>
        <w:tc>
          <w:tcPr>
            <w:tcW w:w="1444" w:type="dxa"/>
            <w:noWrap/>
            <w:hideMark/>
          </w:tcPr>
          <w:p w14:paraId="134404FF"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0.0009</w:t>
            </w:r>
          </w:p>
        </w:tc>
      </w:tr>
      <w:tr w:rsidR="00733C5E" w:rsidRPr="00B06419" w14:paraId="01E02D44" w14:textId="77777777" w:rsidTr="004F37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5E0097B5"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1</w:t>
            </w:r>
          </w:p>
        </w:tc>
        <w:tc>
          <w:tcPr>
            <w:tcW w:w="1073" w:type="dxa"/>
            <w:noWrap/>
            <w:hideMark/>
          </w:tcPr>
          <w:p w14:paraId="57C8DCFC"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972" w:type="dxa"/>
            <w:noWrap/>
            <w:hideMark/>
          </w:tcPr>
          <w:p w14:paraId="4FD28E68"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5BAE03F8"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17" w:type="dxa"/>
            <w:noWrap/>
            <w:hideMark/>
          </w:tcPr>
          <w:p w14:paraId="3DDB3947"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1E31401F"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444" w:type="dxa"/>
            <w:noWrap/>
            <w:hideMark/>
          </w:tcPr>
          <w:p w14:paraId="6275AB3E"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0.0328</w:t>
            </w:r>
          </w:p>
        </w:tc>
        <w:tc>
          <w:tcPr>
            <w:tcW w:w="1444" w:type="dxa"/>
            <w:noWrap/>
            <w:hideMark/>
          </w:tcPr>
          <w:p w14:paraId="57375C63"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0.0327</w:t>
            </w:r>
          </w:p>
        </w:tc>
      </w:tr>
      <w:tr w:rsidR="00733C5E" w:rsidRPr="00B06419" w14:paraId="5057C273" w14:textId="77777777" w:rsidTr="004F3747">
        <w:trPr>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10354161"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1</w:t>
            </w:r>
          </w:p>
        </w:tc>
        <w:tc>
          <w:tcPr>
            <w:tcW w:w="1073" w:type="dxa"/>
            <w:noWrap/>
            <w:hideMark/>
          </w:tcPr>
          <w:p w14:paraId="6619D824"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972" w:type="dxa"/>
            <w:noWrap/>
            <w:hideMark/>
          </w:tcPr>
          <w:p w14:paraId="0885CCE0"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10116127"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17" w:type="dxa"/>
            <w:noWrap/>
            <w:hideMark/>
          </w:tcPr>
          <w:p w14:paraId="05C8DC5B"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05BA319B"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444" w:type="dxa"/>
            <w:noWrap/>
            <w:hideMark/>
          </w:tcPr>
          <w:p w14:paraId="530DB0AB"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0.0028</w:t>
            </w:r>
          </w:p>
        </w:tc>
        <w:tc>
          <w:tcPr>
            <w:tcW w:w="1444" w:type="dxa"/>
            <w:noWrap/>
            <w:hideMark/>
          </w:tcPr>
          <w:p w14:paraId="4F3F7426"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0.0028</w:t>
            </w:r>
          </w:p>
        </w:tc>
      </w:tr>
      <w:tr w:rsidR="00733C5E" w:rsidRPr="00B06419" w14:paraId="26918B92" w14:textId="77777777" w:rsidTr="004F37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51CB9E27"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1</w:t>
            </w:r>
          </w:p>
        </w:tc>
        <w:tc>
          <w:tcPr>
            <w:tcW w:w="1073" w:type="dxa"/>
            <w:noWrap/>
            <w:hideMark/>
          </w:tcPr>
          <w:p w14:paraId="0B7F18FC"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972" w:type="dxa"/>
            <w:noWrap/>
            <w:hideMark/>
          </w:tcPr>
          <w:p w14:paraId="25EE34B8"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3E694106"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17" w:type="dxa"/>
            <w:noWrap/>
            <w:hideMark/>
          </w:tcPr>
          <w:p w14:paraId="66F05646"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2D2AA621"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444" w:type="dxa"/>
            <w:noWrap/>
            <w:hideMark/>
          </w:tcPr>
          <w:p w14:paraId="58340CA4"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0.0394</w:t>
            </w:r>
          </w:p>
        </w:tc>
        <w:tc>
          <w:tcPr>
            <w:tcW w:w="1444" w:type="dxa"/>
            <w:noWrap/>
            <w:hideMark/>
          </w:tcPr>
          <w:p w14:paraId="5FD5C272"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0.0393</w:t>
            </w:r>
          </w:p>
        </w:tc>
      </w:tr>
      <w:tr w:rsidR="00733C5E" w:rsidRPr="00B06419" w14:paraId="5EAA8D0B" w14:textId="77777777" w:rsidTr="004F3747">
        <w:trPr>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38A4390E"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1</w:t>
            </w:r>
          </w:p>
        </w:tc>
        <w:tc>
          <w:tcPr>
            <w:tcW w:w="1073" w:type="dxa"/>
            <w:noWrap/>
            <w:hideMark/>
          </w:tcPr>
          <w:p w14:paraId="0F2D9FD6"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972" w:type="dxa"/>
            <w:noWrap/>
            <w:hideMark/>
          </w:tcPr>
          <w:p w14:paraId="64598EBC"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5AC5B2C3"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17" w:type="dxa"/>
            <w:noWrap/>
            <w:hideMark/>
          </w:tcPr>
          <w:p w14:paraId="6D67D554"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436FE656"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444" w:type="dxa"/>
            <w:noWrap/>
            <w:hideMark/>
          </w:tcPr>
          <w:p w14:paraId="36E43D98"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0.0005</w:t>
            </w:r>
          </w:p>
        </w:tc>
        <w:tc>
          <w:tcPr>
            <w:tcW w:w="1444" w:type="dxa"/>
            <w:noWrap/>
            <w:hideMark/>
          </w:tcPr>
          <w:p w14:paraId="6D1BCD94"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0.0005</w:t>
            </w:r>
          </w:p>
        </w:tc>
      </w:tr>
      <w:tr w:rsidR="00733C5E" w:rsidRPr="00B06419" w14:paraId="7A87A512" w14:textId="77777777" w:rsidTr="004F37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4FF1B696"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1</w:t>
            </w:r>
          </w:p>
        </w:tc>
        <w:tc>
          <w:tcPr>
            <w:tcW w:w="1073" w:type="dxa"/>
            <w:noWrap/>
            <w:hideMark/>
          </w:tcPr>
          <w:p w14:paraId="06F67F4C"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972" w:type="dxa"/>
            <w:noWrap/>
            <w:hideMark/>
          </w:tcPr>
          <w:p w14:paraId="397E422E"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3BBDA1B3"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17" w:type="dxa"/>
            <w:noWrap/>
            <w:hideMark/>
          </w:tcPr>
          <w:p w14:paraId="74F11256"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5F5963ED"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444" w:type="dxa"/>
            <w:noWrap/>
            <w:hideMark/>
          </w:tcPr>
          <w:p w14:paraId="035B7084"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0.0085</w:t>
            </w:r>
          </w:p>
        </w:tc>
        <w:tc>
          <w:tcPr>
            <w:tcW w:w="1444" w:type="dxa"/>
            <w:noWrap/>
            <w:hideMark/>
          </w:tcPr>
          <w:p w14:paraId="65F81D44"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0.0085</w:t>
            </w:r>
          </w:p>
        </w:tc>
      </w:tr>
      <w:tr w:rsidR="00733C5E" w:rsidRPr="00B06419" w14:paraId="797ECB39" w14:textId="77777777" w:rsidTr="004F3747">
        <w:trPr>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40D4AEE8"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1</w:t>
            </w:r>
          </w:p>
        </w:tc>
        <w:tc>
          <w:tcPr>
            <w:tcW w:w="1073" w:type="dxa"/>
            <w:noWrap/>
            <w:hideMark/>
          </w:tcPr>
          <w:p w14:paraId="3A46CE6D"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972" w:type="dxa"/>
            <w:noWrap/>
            <w:hideMark/>
          </w:tcPr>
          <w:p w14:paraId="496A04C3"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03458C87"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17" w:type="dxa"/>
            <w:noWrap/>
            <w:hideMark/>
          </w:tcPr>
          <w:p w14:paraId="1E2CC8CC"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372004F7"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444" w:type="dxa"/>
            <w:noWrap/>
            <w:hideMark/>
          </w:tcPr>
          <w:p w14:paraId="626B53D1"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0.0043</w:t>
            </w:r>
          </w:p>
        </w:tc>
        <w:tc>
          <w:tcPr>
            <w:tcW w:w="1444" w:type="dxa"/>
            <w:noWrap/>
            <w:hideMark/>
          </w:tcPr>
          <w:p w14:paraId="4A7B5BD5"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0.0043</w:t>
            </w:r>
          </w:p>
        </w:tc>
      </w:tr>
      <w:tr w:rsidR="00733C5E" w:rsidRPr="00B06419" w14:paraId="568CB4D1" w14:textId="77777777" w:rsidTr="004F37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1047498A"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1</w:t>
            </w:r>
          </w:p>
        </w:tc>
        <w:tc>
          <w:tcPr>
            <w:tcW w:w="1073" w:type="dxa"/>
            <w:noWrap/>
            <w:hideMark/>
          </w:tcPr>
          <w:p w14:paraId="19DCE21E"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972" w:type="dxa"/>
            <w:noWrap/>
            <w:hideMark/>
          </w:tcPr>
          <w:p w14:paraId="49DB481A"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7C69F7EA"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17" w:type="dxa"/>
            <w:noWrap/>
            <w:hideMark/>
          </w:tcPr>
          <w:p w14:paraId="0858D07C"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5242DDEB"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444" w:type="dxa"/>
            <w:noWrap/>
            <w:hideMark/>
          </w:tcPr>
          <w:p w14:paraId="6A48550A"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0.0047</w:t>
            </w:r>
          </w:p>
        </w:tc>
        <w:tc>
          <w:tcPr>
            <w:tcW w:w="1444" w:type="dxa"/>
            <w:noWrap/>
            <w:hideMark/>
          </w:tcPr>
          <w:p w14:paraId="73F34436"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0.0047</w:t>
            </w:r>
          </w:p>
        </w:tc>
      </w:tr>
      <w:tr w:rsidR="00733C5E" w:rsidRPr="00B06419" w14:paraId="60FBD4B9" w14:textId="77777777" w:rsidTr="004F3747">
        <w:trPr>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6F0190A9"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1</w:t>
            </w:r>
          </w:p>
        </w:tc>
        <w:tc>
          <w:tcPr>
            <w:tcW w:w="1073" w:type="dxa"/>
            <w:noWrap/>
            <w:hideMark/>
          </w:tcPr>
          <w:p w14:paraId="2A17A253"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972" w:type="dxa"/>
            <w:noWrap/>
            <w:hideMark/>
          </w:tcPr>
          <w:p w14:paraId="67BB189A"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0FABAC9B"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17" w:type="dxa"/>
            <w:noWrap/>
            <w:hideMark/>
          </w:tcPr>
          <w:p w14:paraId="480975EC"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2DFDC0BE"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444" w:type="dxa"/>
            <w:noWrap/>
            <w:hideMark/>
          </w:tcPr>
          <w:p w14:paraId="7AD802F9"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0.0009</w:t>
            </w:r>
          </w:p>
        </w:tc>
        <w:tc>
          <w:tcPr>
            <w:tcW w:w="1444" w:type="dxa"/>
            <w:noWrap/>
            <w:hideMark/>
          </w:tcPr>
          <w:p w14:paraId="4BF71560"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0.0009</w:t>
            </w:r>
          </w:p>
        </w:tc>
      </w:tr>
      <w:tr w:rsidR="00733C5E" w:rsidRPr="00B06419" w14:paraId="54D365FC" w14:textId="77777777" w:rsidTr="004F37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381C96AC"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1</w:t>
            </w:r>
          </w:p>
        </w:tc>
        <w:tc>
          <w:tcPr>
            <w:tcW w:w="1073" w:type="dxa"/>
            <w:noWrap/>
            <w:hideMark/>
          </w:tcPr>
          <w:p w14:paraId="3BCD19AE"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972" w:type="dxa"/>
            <w:noWrap/>
            <w:hideMark/>
          </w:tcPr>
          <w:p w14:paraId="465EEFD8"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4323FDD2"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17" w:type="dxa"/>
            <w:noWrap/>
            <w:hideMark/>
          </w:tcPr>
          <w:p w14:paraId="56CD3EA6"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1AE94C96"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444" w:type="dxa"/>
            <w:noWrap/>
            <w:hideMark/>
          </w:tcPr>
          <w:p w14:paraId="032BC7A6"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0.0033</w:t>
            </w:r>
          </w:p>
        </w:tc>
        <w:tc>
          <w:tcPr>
            <w:tcW w:w="1444" w:type="dxa"/>
            <w:noWrap/>
            <w:hideMark/>
          </w:tcPr>
          <w:p w14:paraId="4196E4C6"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0.0033</w:t>
            </w:r>
          </w:p>
        </w:tc>
      </w:tr>
      <w:tr w:rsidR="00733C5E" w:rsidRPr="00B06419" w14:paraId="2F35A709" w14:textId="77777777" w:rsidTr="004F3747">
        <w:trPr>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4CFC4E29"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1</w:t>
            </w:r>
          </w:p>
        </w:tc>
        <w:tc>
          <w:tcPr>
            <w:tcW w:w="1073" w:type="dxa"/>
            <w:noWrap/>
            <w:hideMark/>
          </w:tcPr>
          <w:p w14:paraId="064F5E07"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972" w:type="dxa"/>
            <w:noWrap/>
            <w:hideMark/>
          </w:tcPr>
          <w:p w14:paraId="2DD6F1EF"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2A0C2AED"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17" w:type="dxa"/>
            <w:noWrap/>
            <w:hideMark/>
          </w:tcPr>
          <w:p w14:paraId="2FD79C6B"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7D9871EF"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444" w:type="dxa"/>
            <w:noWrap/>
            <w:hideMark/>
          </w:tcPr>
          <w:p w14:paraId="5C57DF73"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0.0005</w:t>
            </w:r>
          </w:p>
        </w:tc>
        <w:tc>
          <w:tcPr>
            <w:tcW w:w="1444" w:type="dxa"/>
            <w:noWrap/>
            <w:hideMark/>
          </w:tcPr>
          <w:p w14:paraId="322421E9"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0.0005</w:t>
            </w:r>
          </w:p>
        </w:tc>
      </w:tr>
      <w:tr w:rsidR="00733C5E" w:rsidRPr="00B06419" w14:paraId="4AC02924" w14:textId="77777777" w:rsidTr="004F37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3855D15F"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1</w:t>
            </w:r>
          </w:p>
        </w:tc>
        <w:tc>
          <w:tcPr>
            <w:tcW w:w="1073" w:type="dxa"/>
            <w:noWrap/>
            <w:hideMark/>
          </w:tcPr>
          <w:p w14:paraId="4F4DFFD4"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972" w:type="dxa"/>
            <w:noWrap/>
            <w:hideMark/>
          </w:tcPr>
          <w:p w14:paraId="7E5C4B71"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35C72FAD"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17" w:type="dxa"/>
            <w:noWrap/>
            <w:hideMark/>
          </w:tcPr>
          <w:p w14:paraId="357CE2FB"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131C7693"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444" w:type="dxa"/>
            <w:noWrap/>
            <w:hideMark/>
          </w:tcPr>
          <w:p w14:paraId="45FDB281"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0.0109</w:t>
            </w:r>
          </w:p>
        </w:tc>
        <w:tc>
          <w:tcPr>
            <w:tcW w:w="1444" w:type="dxa"/>
            <w:noWrap/>
            <w:hideMark/>
          </w:tcPr>
          <w:p w14:paraId="30B5D52F"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0.0109</w:t>
            </w:r>
          </w:p>
        </w:tc>
      </w:tr>
      <w:tr w:rsidR="00733C5E" w:rsidRPr="00B06419" w14:paraId="185EB161" w14:textId="77777777" w:rsidTr="004F3747">
        <w:trPr>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48F72557"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1</w:t>
            </w:r>
          </w:p>
        </w:tc>
        <w:tc>
          <w:tcPr>
            <w:tcW w:w="1073" w:type="dxa"/>
            <w:noWrap/>
            <w:hideMark/>
          </w:tcPr>
          <w:p w14:paraId="4C605D96"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972" w:type="dxa"/>
            <w:noWrap/>
            <w:hideMark/>
          </w:tcPr>
          <w:p w14:paraId="27F31B4F"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346B7B0B"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17" w:type="dxa"/>
            <w:noWrap/>
            <w:hideMark/>
          </w:tcPr>
          <w:p w14:paraId="1A5C2A91"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5CD9C0C9"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444" w:type="dxa"/>
            <w:noWrap/>
            <w:hideMark/>
          </w:tcPr>
          <w:p w14:paraId="28C5BD22"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0.0000</w:t>
            </w:r>
          </w:p>
        </w:tc>
        <w:tc>
          <w:tcPr>
            <w:tcW w:w="1444" w:type="dxa"/>
            <w:noWrap/>
            <w:hideMark/>
          </w:tcPr>
          <w:p w14:paraId="44F57A39"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0.0002</w:t>
            </w:r>
          </w:p>
        </w:tc>
      </w:tr>
      <w:tr w:rsidR="00733C5E" w:rsidRPr="00B06419" w14:paraId="20C828F9" w14:textId="77777777" w:rsidTr="004F37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03C79375"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1</w:t>
            </w:r>
          </w:p>
        </w:tc>
        <w:tc>
          <w:tcPr>
            <w:tcW w:w="1073" w:type="dxa"/>
            <w:noWrap/>
            <w:hideMark/>
          </w:tcPr>
          <w:p w14:paraId="1A70B258"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972" w:type="dxa"/>
            <w:noWrap/>
            <w:hideMark/>
          </w:tcPr>
          <w:p w14:paraId="70768E57"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0F3F9E8A"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17" w:type="dxa"/>
            <w:noWrap/>
            <w:hideMark/>
          </w:tcPr>
          <w:p w14:paraId="16B1BC39"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3B8E9100"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444" w:type="dxa"/>
            <w:noWrap/>
            <w:hideMark/>
          </w:tcPr>
          <w:p w14:paraId="675D92FA"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0.0005</w:t>
            </w:r>
          </w:p>
        </w:tc>
        <w:tc>
          <w:tcPr>
            <w:tcW w:w="1444" w:type="dxa"/>
            <w:noWrap/>
            <w:hideMark/>
          </w:tcPr>
          <w:p w14:paraId="0BDC62D4"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0.0005</w:t>
            </w:r>
          </w:p>
        </w:tc>
      </w:tr>
      <w:tr w:rsidR="00733C5E" w:rsidRPr="00B06419" w14:paraId="3847CAD3" w14:textId="77777777" w:rsidTr="004F3747">
        <w:trPr>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39D896A6"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1</w:t>
            </w:r>
          </w:p>
        </w:tc>
        <w:tc>
          <w:tcPr>
            <w:tcW w:w="1073" w:type="dxa"/>
            <w:noWrap/>
            <w:hideMark/>
          </w:tcPr>
          <w:p w14:paraId="45182F01"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972" w:type="dxa"/>
            <w:noWrap/>
            <w:hideMark/>
          </w:tcPr>
          <w:p w14:paraId="4BD004E4"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06587C44"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17" w:type="dxa"/>
            <w:noWrap/>
            <w:hideMark/>
          </w:tcPr>
          <w:p w14:paraId="0BA40397"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2E2A64E4"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444" w:type="dxa"/>
            <w:noWrap/>
            <w:hideMark/>
          </w:tcPr>
          <w:p w14:paraId="2B6D38AD"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0.0000</w:t>
            </w:r>
          </w:p>
        </w:tc>
        <w:tc>
          <w:tcPr>
            <w:tcW w:w="1444" w:type="dxa"/>
            <w:noWrap/>
            <w:hideMark/>
          </w:tcPr>
          <w:p w14:paraId="18240105"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0.0002</w:t>
            </w:r>
          </w:p>
        </w:tc>
      </w:tr>
      <w:tr w:rsidR="00733C5E" w:rsidRPr="00B06419" w14:paraId="3A0D8580" w14:textId="77777777" w:rsidTr="004F37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353CC85C"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1</w:t>
            </w:r>
          </w:p>
        </w:tc>
        <w:tc>
          <w:tcPr>
            <w:tcW w:w="1073" w:type="dxa"/>
            <w:noWrap/>
            <w:hideMark/>
          </w:tcPr>
          <w:p w14:paraId="77DF44BD"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972" w:type="dxa"/>
            <w:noWrap/>
            <w:hideMark/>
          </w:tcPr>
          <w:p w14:paraId="4B5D0643"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4AC61F11"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17" w:type="dxa"/>
            <w:noWrap/>
            <w:hideMark/>
          </w:tcPr>
          <w:p w14:paraId="2DA2AA24"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5465EE2F"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444" w:type="dxa"/>
            <w:noWrap/>
            <w:hideMark/>
          </w:tcPr>
          <w:p w14:paraId="656F695F"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0.0024</w:t>
            </w:r>
          </w:p>
        </w:tc>
        <w:tc>
          <w:tcPr>
            <w:tcW w:w="1444" w:type="dxa"/>
            <w:noWrap/>
            <w:hideMark/>
          </w:tcPr>
          <w:p w14:paraId="7E2A5BB7"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0.0024</w:t>
            </w:r>
          </w:p>
        </w:tc>
      </w:tr>
      <w:tr w:rsidR="00733C5E" w:rsidRPr="00B06419" w14:paraId="658811A5" w14:textId="77777777" w:rsidTr="004F3747">
        <w:trPr>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33C74975"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1</w:t>
            </w:r>
          </w:p>
        </w:tc>
        <w:tc>
          <w:tcPr>
            <w:tcW w:w="1073" w:type="dxa"/>
            <w:noWrap/>
            <w:hideMark/>
          </w:tcPr>
          <w:p w14:paraId="7F59CBB1"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972" w:type="dxa"/>
            <w:noWrap/>
            <w:hideMark/>
          </w:tcPr>
          <w:p w14:paraId="32E83C5D"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12608764"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17" w:type="dxa"/>
            <w:noWrap/>
            <w:hideMark/>
          </w:tcPr>
          <w:p w14:paraId="1C36C55F"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7C3E9045"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444" w:type="dxa"/>
            <w:noWrap/>
            <w:hideMark/>
          </w:tcPr>
          <w:p w14:paraId="0731A134"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0.0009</w:t>
            </w:r>
          </w:p>
        </w:tc>
        <w:tc>
          <w:tcPr>
            <w:tcW w:w="1444" w:type="dxa"/>
            <w:noWrap/>
            <w:hideMark/>
          </w:tcPr>
          <w:p w14:paraId="1601FE5E"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0.0009</w:t>
            </w:r>
          </w:p>
        </w:tc>
      </w:tr>
      <w:tr w:rsidR="00733C5E" w:rsidRPr="00B06419" w14:paraId="1F49C98C" w14:textId="77777777" w:rsidTr="004F37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3019DB4E"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1</w:t>
            </w:r>
          </w:p>
        </w:tc>
        <w:tc>
          <w:tcPr>
            <w:tcW w:w="1073" w:type="dxa"/>
            <w:noWrap/>
            <w:hideMark/>
          </w:tcPr>
          <w:p w14:paraId="6AFF1C8B"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972" w:type="dxa"/>
            <w:noWrap/>
            <w:hideMark/>
          </w:tcPr>
          <w:p w14:paraId="57F6FF33"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39A9275D"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17" w:type="dxa"/>
            <w:noWrap/>
            <w:hideMark/>
          </w:tcPr>
          <w:p w14:paraId="2957DA7A"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2A653CEF"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444" w:type="dxa"/>
            <w:noWrap/>
            <w:hideMark/>
          </w:tcPr>
          <w:p w14:paraId="08DF62A9"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0.1201</w:t>
            </w:r>
          </w:p>
        </w:tc>
        <w:tc>
          <w:tcPr>
            <w:tcW w:w="1444" w:type="dxa"/>
            <w:noWrap/>
            <w:hideMark/>
          </w:tcPr>
          <w:p w14:paraId="7CD8ABF5"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0.1199</w:t>
            </w:r>
          </w:p>
        </w:tc>
      </w:tr>
      <w:tr w:rsidR="00733C5E" w:rsidRPr="00B06419" w14:paraId="38920E06" w14:textId="77777777" w:rsidTr="004F3747">
        <w:trPr>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6CC5B6EE"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1</w:t>
            </w:r>
          </w:p>
        </w:tc>
        <w:tc>
          <w:tcPr>
            <w:tcW w:w="1073" w:type="dxa"/>
            <w:noWrap/>
            <w:hideMark/>
          </w:tcPr>
          <w:p w14:paraId="7807B5B4"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972" w:type="dxa"/>
            <w:noWrap/>
            <w:hideMark/>
          </w:tcPr>
          <w:p w14:paraId="5AD2B44C"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605BB5D4"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17" w:type="dxa"/>
            <w:noWrap/>
            <w:hideMark/>
          </w:tcPr>
          <w:p w14:paraId="395B6746"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0295B96E"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444" w:type="dxa"/>
            <w:noWrap/>
            <w:hideMark/>
          </w:tcPr>
          <w:p w14:paraId="44F77200"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0.0736</w:t>
            </w:r>
          </w:p>
        </w:tc>
        <w:tc>
          <w:tcPr>
            <w:tcW w:w="1444" w:type="dxa"/>
            <w:noWrap/>
            <w:hideMark/>
          </w:tcPr>
          <w:p w14:paraId="63DD36F4"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0.0735</w:t>
            </w:r>
          </w:p>
        </w:tc>
      </w:tr>
      <w:tr w:rsidR="00733C5E" w:rsidRPr="00B06419" w14:paraId="7C879BE9" w14:textId="77777777" w:rsidTr="004F37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5630DEC9"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1</w:t>
            </w:r>
          </w:p>
        </w:tc>
        <w:tc>
          <w:tcPr>
            <w:tcW w:w="1073" w:type="dxa"/>
            <w:noWrap/>
            <w:hideMark/>
          </w:tcPr>
          <w:p w14:paraId="2BDFA05C"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972" w:type="dxa"/>
            <w:noWrap/>
            <w:hideMark/>
          </w:tcPr>
          <w:p w14:paraId="3D17AD02"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5054F96C"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17" w:type="dxa"/>
            <w:noWrap/>
            <w:hideMark/>
          </w:tcPr>
          <w:p w14:paraId="66F179F3"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58E057B0"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444" w:type="dxa"/>
            <w:noWrap/>
            <w:hideMark/>
          </w:tcPr>
          <w:p w14:paraId="3190D0CE"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0.0689</w:t>
            </w:r>
          </w:p>
        </w:tc>
        <w:tc>
          <w:tcPr>
            <w:tcW w:w="1444" w:type="dxa"/>
            <w:noWrap/>
            <w:hideMark/>
          </w:tcPr>
          <w:p w14:paraId="1BA74ED2"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0.0687</w:t>
            </w:r>
          </w:p>
        </w:tc>
      </w:tr>
      <w:tr w:rsidR="00733C5E" w:rsidRPr="00B06419" w14:paraId="248B4060" w14:textId="77777777" w:rsidTr="004F3747">
        <w:trPr>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797540BD"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1</w:t>
            </w:r>
          </w:p>
        </w:tc>
        <w:tc>
          <w:tcPr>
            <w:tcW w:w="1073" w:type="dxa"/>
            <w:noWrap/>
            <w:hideMark/>
          </w:tcPr>
          <w:p w14:paraId="22417FAF"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972" w:type="dxa"/>
            <w:noWrap/>
            <w:hideMark/>
          </w:tcPr>
          <w:p w14:paraId="45CC1B24"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423A0141"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17" w:type="dxa"/>
            <w:noWrap/>
            <w:hideMark/>
          </w:tcPr>
          <w:p w14:paraId="464EF7E6"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5E8911DD"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444" w:type="dxa"/>
            <w:noWrap/>
            <w:hideMark/>
          </w:tcPr>
          <w:p w14:paraId="4B7F26EC"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0.0190</w:t>
            </w:r>
          </w:p>
        </w:tc>
        <w:tc>
          <w:tcPr>
            <w:tcW w:w="1444" w:type="dxa"/>
            <w:noWrap/>
            <w:hideMark/>
          </w:tcPr>
          <w:p w14:paraId="68050B31"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0.0190</w:t>
            </w:r>
          </w:p>
        </w:tc>
      </w:tr>
      <w:tr w:rsidR="00733C5E" w:rsidRPr="00B06419" w14:paraId="2D07FCF4" w14:textId="77777777" w:rsidTr="004F37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0D317A18"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1</w:t>
            </w:r>
          </w:p>
        </w:tc>
        <w:tc>
          <w:tcPr>
            <w:tcW w:w="1073" w:type="dxa"/>
            <w:noWrap/>
            <w:hideMark/>
          </w:tcPr>
          <w:p w14:paraId="3E25AEAE"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972" w:type="dxa"/>
            <w:noWrap/>
            <w:hideMark/>
          </w:tcPr>
          <w:p w14:paraId="46AB1962"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2CF9AC14"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17" w:type="dxa"/>
            <w:noWrap/>
            <w:hideMark/>
          </w:tcPr>
          <w:p w14:paraId="014B4F31"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4129A8B3"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444" w:type="dxa"/>
            <w:noWrap/>
            <w:hideMark/>
          </w:tcPr>
          <w:p w14:paraId="7639A0B5"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0.0190</w:t>
            </w:r>
          </w:p>
        </w:tc>
        <w:tc>
          <w:tcPr>
            <w:tcW w:w="1444" w:type="dxa"/>
            <w:noWrap/>
            <w:hideMark/>
          </w:tcPr>
          <w:p w14:paraId="1BD74893"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0.0190</w:t>
            </w:r>
          </w:p>
        </w:tc>
      </w:tr>
      <w:tr w:rsidR="00733C5E" w:rsidRPr="00B06419" w14:paraId="20810A35" w14:textId="77777777" w:rsidTr="004F3747">
        <w:trPr>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267FF668"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1</w:t>
            </w:r>
          </w:p>
        </w:tc>
        <w:tc>
          <w:tcPr>
            <w:tcW w:w="1073" w:type="dxa"/>
            <w:noWrap/>
            <w:hideMark/>
          </w:tcPr>
          <w:p w14:paraId="161CBE7D"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972" w:type="dxa"/>
            <w:noWrap/>
            <w:hideMark/>
          </w:tcPr>
          <w:p w14:paraId="67C4788E"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7751D3CC"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17" w:type="dxa"/>
            <w:noWrap/>
            <w:hideMark/>
          </w:tcPr>
          <w:p w14:paraId="19372EC0"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7509361E"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444" w:type="dxa"/>
            <w:noWrap/>
            <w:hideMark/>
          </w:tcPr>
          <w:p w14:paraId="7D6E09D7"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0.0802</w:t>
            </w:r>
          </w:p>
        </w:tc>
        <w:tc>
          <w:tcPr>
            <w:tcW w:w="1444" w:type="dxa"/>
            <w:noWrap/>
            <w:hideMark/>
          </w:tcPr>
          <w:p w14:paraId="017C8182"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0.0801</w:t>
            </w:r>
          </w:p>
        </w:tc>
      </w:tr>
      <w:tr w:rsidR="00733C5E" w:rsidRPr="00B06419" w14:paraId="34E3D415" w14:textId="77777777" w:rsidTr="004F37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11714CA7"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1</w:t>
            </w:r>
          </w:p>
        </w:tc>
        <w:tc>
          <w:tcPr>
            <w:tcW w:w="1073" w:type="dxa"/>
            <w:noWrap/>
            <w:hideMark/>
          </w:tcPr>
          <w:p w14:paraId="429666E4"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972" w:type="dxa"/>
            <w:noWrap/>
            <w:hideMark/>
          </w:tcPr>
          <w:p w14:paraId="1EF60E36"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608BF373"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17" w:type="dxa"/>
            <w:noWrap/>
            <w:hideMark/>
          </w:tcPr>
          <w:p w14:paraId="740767B4"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5B2257EE"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444" w:type="dxa"/>
            <w:noWrap/>
            <w:hideMark/>
          </w:tcPr>
          <w:p w14:paraId="4F9422E5"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0.0123</w:t>
            </w:r>
          </w:p>
        </w:tc>
        <w:tc>
          <w:tcPr>
            <w:tcW w:w="1444" w:type="dxa"/>
            <w:noWrap/>
            <w:hideMark/>
          </w:tcPr>
          <w:p w14:paraId="010B9871"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0.0123</w:t>
            </w:r>
          </w:p>
        </w:tc>
      </w:tr>
      <w:tr w:rsidR="00733C5E" w:rsidRPr="00B06419" w14:paraId="350C6DD3" w14:textId="77777777" w:rsidTr="004F3747">
        <w:trPr>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234C09D7"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1</w:t>
            </w:r>
          </w:p>
        </w:tc>
        <w:tc>
          <w:tcPr>
            <w:tcW w:w="1073" w:type="dxa"/>
            <w:noWrap/>
            <w:hideMark/>
          </w:tcPr>
          <w:p w14:paraId="372244C6"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972" w:type="dxa"/>
            <w:noWrap/>
            <w:hideMark/>
          </w:tcPr>
          <w:p w14:paraId="38B542F3"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1CD62C5C"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17" w:type="dxa"/>
            <w:noWrap/>
            <w:hideMark/>
          </w:tcPr>
          <w:p w14:paraId="5F709538"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7D197057"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444" w:type="dxa"/>
            <w:noWrap/>
            <w:hideMark/>
          </w:tcPr>
          <w:p w14:paraId="53F7A221"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0.0190</w:t>
            </w:r>
          </w:p>
        </w:tc>
        <w:tc>
          <w:tcPr>
            <w:tcW w:w="1444" w:type="dxa"/>
            <w:noWrap/>
            <w:hideMark/>
          </w:tcPr>
          <w:p w14:paraId="5E13B4D0"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0.0190</w:t>
            </w:r>
          </w:p>
        </w:tc>
      </w:tr>
      <w:tr w:rsidR="00733C5E" w:rsidRPr="00B06419" w14:paraId="3E646439" w14:textId="77777777" w:rsidTr="004F37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38DDFE76"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1</w:t>
            </w:r>
          </w:p>
        </w:tc>
        <w:tc>
          <w:tcPr>
            <w:tcW w:w="1073" w:type="dxa"/>
            <w:noWrap/>
            <w:hideMark/>
          </w:tcPr>
          <w:p w14:paraId="3777C14B"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972" w:type="dxa"/>
            <w:noWrap/>
            <w:hideMark/>
          </w:tcPr>
          <w:p w14:paraId="083F3E94"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7D506F8E"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17" w:type="dxa"/>
            <w:noWrap/>
            <w:hideMark/>
          </w:tcPr>
          <w:p w14:paraId="11D498D8"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23F84C7E"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444" w:type="dxa"/>
            <w:noWrap/>
            <w:hideMark/>
          </w:tcPr>
          <w:p w14:paraId="079B5631"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0.0171</w:t>
            </w:r>
          </w:p>
        </w:tc>
        <w:tc>
          <w:tcPr>
            <w:tcW w:w="1444" w:type="dxa"/>
            <w:noWrap/>
            <w:hideMark/>
          </w:tcPr>
          <w:p w14:paraId="6D465629"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0.0171</w:t>
            </w:r>
          </w:p>
        </w:tc>
      </w:tr>
      <w:tr w:rsidR="00733C5E" w:rsidRPr="00B06419" w14:paraId="30676D9D" w14:textId="77777777" w:rsidTr="004F3747">
        <w:trPr>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2C65A5F7"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1</w:t>
            </w:r>
          </w:p>
        </w:tc>
        <w:tc>
          <w:tcPr>
            <w:tcW w:w="1073" w:type="dxa"/>
            <w:noWrap/>
            <w:hideMark/>
          </w:tcPr>
          <w:p w14:paraId="529CC49A"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972" w:type="dxa"/>
            <w:noWrap/>
            <w:hideMark/>
          </w:tcPr>
          <w:p w14:paraId="632F39E9"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25CD840D"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17" w:type="dxa"/>
            <w:noWrap/>
            <w:hideMark/>
          </w:tcPr>
          <w:p w14:paraId="584FA97C"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0325CDD2"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444" w:type="dxa"/>
            <w:noWrap/>
            <w:hideMark/>
          </w:tcPr>
          <w:p w14:paraId="5C55A79C"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0.0123</w:t>
            </w:r>
          </w:p>
        </w:tc>
        <w:tc>
          <w:tcPr>
            <w:tcW w:w="1444" w:type="dxa"/>
            <w:noWrap/>
            <w:hideMark/>
          </w:tcPr>
          <w:p w14:paraId="5D0BFFF6"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0.0123</w:t>
            </w:r>
          </w:p>
        </w:tc>
      </w:tr>
      <w:tr w:rsidR="00733C5E" w:rsidRPr="00B06419" w14:paraId="4A8E978E" w14:textId="77777777" w:rsidTr="004F37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0AE4F36F"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1</w:t>
            </w:r>
          </w:p>
        </w:tc>
        <w:tc>
          <w:tcPr>
            <w:tcW w:w="1073" w:type="dxa"/>
            <w:noWrap/>
            <w:hideMark/>
          </w:tcPr>
          <w:p w14:paraId="0C5BA32C"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972" w:type="dxa"/>
            <w:noWrap/>
            <w:hideMark/>
          </w:tcPr>
          <w:p w14:paraId="328F8B27"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47DA2B89"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17" w:type="dxa"/>
            <w:noWrap/>
            <w:hideMark/>
          </w:tcPr>
          <w:p w14:paraId="17C514D8"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7EBD4F6C"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444" w:type="dxa"/>
            <w:noWrap/>
            <w:hideMark/>
          </w:tcPr>
          <w:p w14:paraId="3F9CE1D6"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0.0632</w:t>
            </w:r>
          </w:p>
        </w:tc>
        <w:tc>
          <w:tcPr>
            <w:tcW w:w="1444" w:type="dxa"/>
            <w:noWrap/>
            <w:hideMark/>
          </w:tcPr>
          <w:p w14:paraId="0090B579"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0.0630</w:t>
            </w:r>
          </w:p>
        </w:tc>
      </w:tr>
      <w:tr w:rsidR="00733C5E" w:rsidRPr="00B06419" w14:paraId="29364B86" w14:textId="77777777" w:rsidTr="004F3747">
        <w:trPr>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5B59100E"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1</w:t>
            </w:r>
          </w:p>
        </w:tc>
        <w:tc>
          <w:tcPr>
            <w:tcW w:w="1073" w:type="dxa"/>
            <w:noWrap/>
            <w:hideMark/>
          </w:tcPr>
          <w:p w14:paraId="02C9DCDB"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972" w:type="dxa"/>
            <w:noWrap/>
            <w:hideMark/>
          </w:tcPr>
          <w:p w14:paraId="152A6307"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1625B021"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17" w:type="dxa"/>
            <w:noWrap/>
            <w:hideMark/>
          </w:tcPr>
          <w:p w14:paraId="3EE2AF64"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196F5B29"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444" w:type="dxa"/>
            <w:noWrap/>
            <w:hideMark/>
          </w:tcPr>
          <w:p w14:paraId="6008E07A"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0.0104</w:t>
            </w:r>
          </w:p>
        </w:tc>
        <w:tc>
          <w:tcPr>
            <w:tcW w:w="1444" w:type="dxa"/>
            <w:noWrap/>
            <w:hideMark/>
          </w:tcPr>
          <w:p w14:paraId="4F988515"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0.0104</w:t>
            </w:r>
          </w:p>
        </w:tc>
      </w:tr>
      <w:tr w:rsidR="00733C5E" w:rsidRPr="00B06419" w14:paraId="55E827E4" w14:textId="77777777" w:rsidTr="004F37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22FC25CE"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1</w:t>
            </w:r>
          </w:p>
        </w:tc>
        <w:tc>
          <w:tcPr>
            <w:tcW w:w="1073" w:type="dxa"/>
            <w:noWrap/>
            <w:hideMark/>
          </w:tcPr>
          <w:p w14:paraId="3E43064F"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972" w:type="dxa"/>
            <w:noWrap/>
            <w:hideMark/>
          </w:tcPr>
          <w:p w14:paraId="2C55E090"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7594C24F"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17" w:type="dxa"/>
            <w:noWrap/>
            <w:hideMark/>
          </w:tcPr>
          <w:p w14:paraId="66EF5445"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0680D9C6"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444" w:type="dxa"/>
            <w:noWrap/>
            <w:hideMark/>
          </w:tcPr>
          <w:p w14:paraId="182F3A54"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0.0157</w:t>
            </w:r>
          </w:p>
        </w:tc>
        <w:tc>
          <w:tcPr>
            <w:tcW w:w="1444" w:type="dxa"/>
            <w:noWrap/>
            <w:hideMark/>
          </w:tcPr>
          <w:p w14:paraId="66DD613C"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0.0156</w:t>
            </w:r>
          </w:p>
        </w:tc>
      </w:tr>
      <w:tr w:rsidR="00733C5E" w:rsidRPr="00B06419" w14:paraId="062D308B" w14:textId="77777777" w:rsidTr="004F3747">
        <w:trPr>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464F41A6"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1</w:t>
            </w:r>
          </w:p>
        </w:tc>
        <w:tc>
          <w:tcPr>
            <w:tcW w:w="1073" w:type="dxa"/>
            <w:noWrap/>
            <w:hideMark/>
          </w:tcPr>
          <w:p w14:paraId="699665C1"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972" w:type="dxa"/>
            <w:noWrap/>
            <w:hideMark/>
          </w:tcPr>
          <w:p w14:paraId="49CA7EE5"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7872F29A"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17" w:type="dxa"/>
            <w:noWrap/>
            <w:hideMark/>
          </w:tcPr>
          <w:p w14:paraId="6CD1EEDC"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073" w:type="dxa"/>
            <w:noWrap/>
            <w:hideMark/>
          </w:tcPr>
          <w:p w14:paraId="4CC563EF"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444" w:type="dxa"/>
            <w:noWrap/>
            <w:hideMark/>
          </w:tcPr>
          <w:p w14:paraId="4B97A4F6"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0.0456</w:t>
            </w:r>
          </w:p>
        </w:tc>
        <w:tc>
          <w:tcPr>
            <w:tcW w:w="1444" w:type="dxa"/>
            <w:noWrap/>
            <w:hideMark/>
          </w:tcPr>
          <w:p w14:paraId="13A042BE"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0.0455</w:t>
            </w:r>
          </w:p>
        </w:tc>
      </w:tr>
      <w:tr w:rsidR="00733C5E" w:rsidRPr="00B06419" w14:paraId="5E5FAEB1" w14:textId="77777777" w:rsidTr="004F37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0EABFCD8"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1</w:t>
            </w:r>
          </w:p>
        </w:tc>
        <w:tc>
          <w:tcPr>
            <w:tcW w:w="1073" w:type="dxa"/>
            <w:noWrap/>
            <w:hideMark/>
          </w:tcPr>
          <w:p w14:paraId="770FB4B8"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972" w:type="dxa"/>
            <w:noWrap/>
            <w:hideMark/>
          </w:tcPr>
          <w:p w14:paraId="3094F746"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5DDEF8CB"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17" w:type="dxa"/>
            <w:noWrap/>
            <w:hideMark/>
          </w:tcPr>
          <w:p w14:paraId="4DFB5EB5"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3F6D3339"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w:t>
            </w:r>
          </w:p>
        </w:tc>
        <w:tc>
          <w:tcPr>
            <w:tcW w:w="1444" w:type="dxa"/>
            <w:noWrap/>
            <w:hideMark/>
          </w:tcPr>
          <w:p w14:paraId="5B52FA02"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0.0385</w:t>
            </w:r>
          </w:p>
        </w:tc>
        <w:tc>
          <w:tcPr>
            <w:tcW w:w="1444" w:type="dxa"/>
            <w:noWrap/>
            <w:hideMark/>
          </w:tcPr>
          <w:p w14:paraId="194DF293" w14:textId="77777777" w:rsidR="00733C5E" w:rsidRPr="00B06419" w:rsidRDefault="00733C5E" w:rsidP="004F374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0.0384</w:t>
            </w:r>
          </w:p>
        </w:tc>
      </w:tr>
      <w:tr w:rsidR="00733C5E" w:rsidRPr="00B06419" w14:paraId="3D9C10F8" w14:textId="77777777" w:rsidTr="004F3747">
        <w:trPr>
          <w:trHeight w:val="288"/>
        </w:trPr>
        <w:tc>
          <w:tcPr>
            <w:cnfStyle w:val="001000000000" w:firstRow="0" w:lastRow="0" w:firstColumn="1" w:lastColumn="0" w:oddVBand="0" w:evenVBand="0" w:oddHBand="0" w:evenHBand="0" w:firstRowFirstColumn="0" w:firstRowLastColumn="0" w:lastRowFirstColumn="0" w:lastRowLastColumn="0"/>
            <w:tcW w:w="1102" w:type="dxa"/>
            <w:noWrap/>
            <w:hideMark/>
          </w:tcPr>
          <w:p w14:paraId="17BDAC79" w14:textId="77777777" w:rsidR="00733C5E" w:rsidRPr="00B06419" w:rsidRDefault="00733C5E" w:rsidP="004F3747">
            <w:pPr>
              <w:jc w:val="right"/>
              <w:rPr>
                <w:rFonts w:ascii="Calibri" w:eastAsia="Times New Roman" w:hAnsi="Calibri" w:cs="Calibri"/>
                <w:b w:val="0"/>
                <w:bCs w:val="0"/>
                <w:color w:val="000000"/>
                <w:lang w:eastAsia="nl-BE"/>
              </w:rPr>
            </w:pPr>
            <w:r w:rsidRPr="00B06419">
              <w:rPr>
                <w:rFonts w:ascii="Calibri" w:eastAsia="Times New Roman" w:hAnsi="Calibri" w:cs="Calibri"/>
                <w:b w:val="0"/>
                <w:bCs w:val="0"/>
                <w:color w:val="000000"/>
                <w:lang w:eastAsia="nl-BE"/>
              </w:rPr>
              <w:t>1</w:t>
            </w:r>
          </w:p>
        </w:tc>
        <w:tc>
          <w:tcPr>
            <w:tcW w:w="1073" w:type="dxa"/>
            <w:noWrap/>
            <w:hideMark/>
          </w:tcPr>
          <w:p w14:paraId="628E4E36"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972" w:type="dxa"/>
            <w:noWrap/>
            <w:hideMark/>
          </w:tcPr>
          <w:p w14:paraId="085B4690"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30AEA6BB"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17" w:type="dxa"/>
            <w:noWrap/>
            <w:hideMark/>
          </w:tcPr>
          <w:p w14:paraId="373F120D"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073" w:type="dxa"/>
            <w:noWrap/>
            <w:hideMark/>
          </w:tcPr>
          <w:p w14:paraId="09A44675"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1</w:t>
            </w:r>
          </w:p>
        </w:tc>
        <w:tc>
          <w:tcPr>
            <w:tcW w:w="1444" w:type="dxa"/>
            <w:noWrap/>
            <w:hideMark/>
          </w:tcPr>
          <w:p w14:paraId="7E2F9FC9"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0.0741</w:t>
            </w:r>
          </w:p>
        </w:tc>
        <w:tc>
          <w:tcPr>
            <w:tcW w:w="1444" w:type="dxa"/>
            <w:noWrap/>
            <w:hideMark/>
          </w:tcPr>
          <w:p w14:paraId="0411E573" w14:textId="77777777" w:rsidR="00733C5E" w:rsidRPr="00B06419" w:rsidRDefault="00733C5E" w:rsidP="004F374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BE"/>
              </w:rPr>
            </w:pPr>
            <w:r w:rsidRPr="00B06419">
              <w:rPr>
                <w:rFonts w:ascii="Calibri" w:eastAsia="Times New Roman" w:hAnsi="Calibri" w:cs="Calibri"/>
                <w:color w:val="000000"/>
                <w:lang w:eastAsia="nl-BE"/>
              </w:rPr>
              <w:t>0.0740</w:t>
            </w:r>
          </w:p>
        </w:tc>
      </w:tr>
    </w:tbl>
    <w:p w14:paraId="2743C9AB" w14:textId="77777777" w:rsidR="00733C5E" w:rsidRPr="005342A5" w:rsidRDefault="00733C5E" w:rsidP="00733C5E">
      <w:pPr>
        <w:rPr>
          <w:lang w:val="en-US"/>
        </w:rPr>
      </w:pPr>
    </w:p>
    <w:p w14:paraId="3672FDC8" w14:textId="77777777" w:rsidR="00733C5E" w:rsidRPr="005342A5" w:rsidRDefault="00733C5E" w:rsidP="00F96448">
      <w:pPr>
        <w:rPr>
          <w:lang w:val="en-US"/>
        </w:rPr>
      </w:pPr>
    </w:p>
    <w:p w14:paraId="6FD7ECAC" w14:textId="7B7A788C" w:rsidR="008F7A19" w:rsidRPr="008A2A82" w:rsidRDefault="008A2A82" w:rsidP="00D369A7">
      <w:pPr>
        <w:pStyle w:val="Heading3"/>
        <w:numPr>
          <w:ilvl w:val="1"/>
          <w:numId w:val="21"/>
        </w:numPr>
        <w:rPr>
          <w:lang w:val="en-US"/>
        </w:rPr>
      </w:pPr>
      <w:r>
        <w:rPr>
          <w:rFonts w:asciiTheme="minorHAnsi" w:hAnsiTheme="minorHAnsi" w:cstheme="minorHAnsi"/>
          <w:b/>
          <w:bCs/>
          <w:color w:val="auto"/>
          <w:u w:val="single"/>
          <w:lang w:val="en-US"/>
        </w:rPr>
        <w:t>B</w:t>
      </w:r>
      <w:r w:rsidRPr="008A2A82">
        <w:rPr>
          <w:rFonts w:asciiTheme="minorHAnsi" w:hAnsiTheme="minorHAnsi" w:cstheme="minorHAnsi"/>
          <w:b/>
          <w:bCs/>
          <w:color w:val="auto"/>
          <w:u w:val="single"/>
          <w:lang w:val="en-US"/>
        </w:rPr>
        <w:t xml:space="preserve">ehavioral </w:t>
      </w:r>
      <w:r>
        <w:rPr>
          <w:rFonts w:asciiTheme="minorHAnsi" w:hAnsiTheme="minorHAnsi" w:cstheme="minorHAnsi"/>
          <w:b/>
          <w:bCs/>
          <w:color w:val="auto"/>
          <w:u w:val="single"/>
          <w:lang w:val="en-US"/>
        </w:rPr>
        <w:t>characteristics</w:t>
      </w:r>
    </w:p>
    <w:p w14:paraId="684134EF" w14:textId="77777777" w:rsidR="008A2A82" w:rsidRDefault="008A2A82" w:rsidP="00F96448">
      <w:pPr>
        <w:rPr>
          <w:lang w:val="en-US"/>
        </w:rPr>
      </w:pPr>
      <w:bookmarkStart w:id="16" w:name="_Hlk93660956"/>
    </w:p>
    <w:p w14:paraId="09F67C31" w14:textId="451B0B91" w:rsidR="008F4A7B" w:rsidRPr="003F6982" w:rsidRDefault="008F4A7B" w:rsidP="00F96448">
      <w:pPr>
        <w:rPr>
          <w:lang w:val="en-US"/>
        </w:rPr>
      </w:pPr>
      <w:r w:rsidRPr="003F6982">
        <w:rPr>
          <w:lang w:val="en-US"/>
        </w:rPr>
        <w:lastRenderedPageBreak/>
        <w:t>EMIS</w:t>
      </w:r>
      <w:r w:rsidR="000C6DB4" w:rsidRPr="003F6982">
        <w:rPr>
          <w:lang w:val="en-US"/>
        </w:rPr>
        <w:t>-2017</w:t>
      </w:r>
      <w:r w:rsidRPr="003F6982">
        <w:rPr>
          <w:lang w:val="en-US"/>
        </w:rPr>
        <w:t xml:space="preserve">participants were classified in regard to sex role, as either exclusively insertive (active), receptive (passive) or as versatile, if they reported being both insertive and receptive in their last sex act. </w:t>
      </w:r>
    </w:p>
    <w:p w14:paraId="633845B7" w14:textId="02503A79" w:rsidR="00AF5FA8" w:rsidRPr="003F6982" w:rsidRDefault="00F96448" w:rsidP="00F96448">
      <w:pPr>
        <w:rPr>
          <w:lang w:val="en-US"/>
        </w:rPr>
      </w:pPr>
      <w:r w:rsidRPr="003F6982">
        <w:rPr>
          <w:lang w:val="en-US"/>
        </w:rPr>
        <w:t xml:space="preserve">Condom use </w:t>
      </w:r>
      <w:r w:rsidR="00F739BF" w:rsidRPr="003F6982">
        <w:rPr>
          <w:lang w:val="en-US"/>
        </w:rPr>
        <w:t xml:space="preserve">and STI screening </w:t>
      </w:r>
      <w:r w:rsidR="008A2A82" w:rsidRPr="003F6982">
        <w:rPr>
          <w:lang w:val="en-US"/>
        </w:rPr>
        <w:t xml:space="preserve">behavior </w:t>
      </w:r>
      <w:r w:rsidR="00F739BF" w:rsidRPr="003F6982">
        <w:rPr>
          <w:lang w:val="en-US"/>
        </w:rPr>
        <w:t>were</w:t>
      </w:r>
      <w:r w:rsidR="008A2A82" w:rsidRPr="003F6982">
        <w:rPr>
          <w:lang w:val="en-US"/>
        </w:rPr>
        <w:t xml:space="preserve"> included in the</w:t>
      </w:r>
      <w:r w:rsidR="00F739BF" w:rsidRPr="003F6982">
        <w:rPr>
          <w:lang w:val="en-US"/>
        </w:rPr>
        <w:t xml:space="preserve"> population at the network initiation step</w:t>
      </w:r>
      <w:r w:rsidR="008A2A82" w:rsidRPr="003F6982">
        <w:rPr>
          <w:lang w:val="en-US"/>
        </w:rPr>
        <w:t xml:space="preserve">. </w:t>
      </w:r>
      <w:r w:rsidR="00F739BF" w:rsidRPr="003F6982">
        <w:rPr>
          <w:lang w:val="en-US"/>
        </w:rPr>
        <w:t xml:space="preserve">A </w:t>
      </w:r>
      <w:r w:rsidR="001E12A3" w:rsidRPr="003F6982">
        <w:rPr>
          <w:lang w:val="en-US"/>
        </w:rPr>
        <w:t xml:space="preserve">proportion of the population </w:t>
      </w:r>
      <w:r w:rsidRPr="003F6982">
        <w:rPr>
          <w:lang w:val="en-US"/>
        </w:rPr>
        <w:t xml:space="preserve">in the network </w:t>
      </w:r>
      <w:r w:rsidR="00087B53" w:rsidRPr="003F6982">
        <w:rPr>
          <w:lang w:val="en-US"/>
        </w:rPr>
        <w:t>were</w:t>
      </w:r>
      <w:r w:rsidRPr="003F6982">
        <w:rPr>
          <w:lang w:val="en-US"/>
        </w:rPr>
        <w:t xml:space="preserve"> stochastically assigned</w:t>
      </w:r>
      <w:r w:rsidR="001E12A3" w:rsidRPr="003F6982">
        <w:rPr>
          <w:lang w:val="en-US"/>
        </w:rPr>
        <w:t xml:space="preserve"> during network initiation</w:t>
      </w:r>
      <w:r w:rsidRPr="003F6982">
        <w:rPr>
          <w:lang w:val="en-US"/>
        </w:rPr>
        <w:t xml:space="preserve"> as consistent condom users with all </w:t>
      </w:r>
      <w:r w:rsidR="00380A2B" w:rsidRPr="003F6982">
        <w:rPr>
          <w:lang w:val="en-US"/>
        </w:rPr>
        <w:t xml:space="preserve">their </w:t>
      </w:r>
      <w:r w:rsidRPr="003F6982">
        <w:rPr>
          <w:lang w:val="en-US"/>
        </w:rPr>
        <w:t xml:space="preserve">casual partners </w:t>
      </w:r>
      <w:r w:rsidR="00974F32" w:rsidRPr="003F6982">
        <w:rPr>
          <w:lang w:val="en-US"/>
        </w:rPr>
        <w:t xml:space="preserve">calculated from </w:t>
      </w:r>
      <w:r w:rsidR="00380A2B" w:rsidRPr="003F6982">
        <w:rPr>
          <w:lang w:val="en-US"/>
        </w:rPr>
        <w:t>EMIS</w:t>
      </w:r>
      <w:r w:rsidR="000C6DB4" w:rsidRPr="003F6982">
        <w:rPr>
          <w:lang w:val="en-US"/>
        </w:rPr>
        <w:t>-</w:t>
      </w:r>
      <w:r w:rsidR="00380A2B" w:rsidRPr="003F6982">
        <w:rPr>
          <w:lang w:val="en-US"/>
        </w:rPr>
        <w:t>2017 da</w:t>
      </w:r>
      <w:r w:rsidR="00815B2D" w:rsidRPr="003F6982">
        <w:rPr>
          <w:lang w:val="en-US"/>
        </w:rPr>
        <w:t>ta</w:t>
      </w:r>
      <w:r w:rsidR="00380A2B" w:rsidRPr="003F6982">
        <w:rPr>
          <w:lang w:val="en-US"/>
        </w:rPr>
        <w:t>set</w:t>
      </w:r>
      <w:r w:rsidR="00F739BF" w:rsidRPr="003F6982">
        <w:rPr>
          <w:lang w:val="en-US"/>
        </w:rPr>
        <w:t xml:space="preserve">. </w:t>
      </w:r>
    </w:p>
    <w:bookmarkEnd w:id="16"/>
    <w:p w14:paraId="4E0DCA01" w14:textId="36848023" w:rsidR="006D6579" w:rsidRPr="003F6982" w:rsidRDefault="00897CC1" w:rsidP="00180732">
      <w:pPr>
        <w:rPr>
          <w:lang w:val="en-US"/>
        </w:rPr>
      </w:pPr>
      <w:r w:rsidRPr="003F6982">
        <w:rPr>
          <w:lang w:val="en-US"/>
        </w:rPr>
        <w:t xml:space="preserve">The </w:t>
      </w:r>
      <w:r w:rsidR="003E4975" w:rsidRPr="003F6982">
        <w:rPr>
          <w:lang w:val="en-US"/>
        </w:rPr>
        <w:t>European</w:t>
      </w:r>
      <w:r w:rsidR="00DC73C0" w:rsidRPr="003F6982">
        <w:rPr>
          <w:lang w:val="en-US"/>
        </w:rPr>
        <w:t xml:space="preserve"> STI</w:t>
      </w:r>
      <w:r w:rsidR="003E4975" w:rsidRPr="003F6982">
        <w:rPr>
          <w:lang w:val="en-US"/>
        </w:rPr>
        <w:t xml:space="preserve"> </w:t>
      </w:r>
      <w:r w:rsidRPr="003F6982">
        <w:rPr>
          <w:lang w:val="en-US"/>
        </w:rPr>
        <w:t>screening guidelines</w:t>
      </w:r>
      <w:r w:rsidR="003E4975" w:rsidRPr="003F6982">
        <w:rPr>
          <w:lang w:val="en-US"/>
        </w:rPr>
        <w:t xml:space="preserve"> for</w:t>
      </w:r>
      <w:r w:rsidR="00DC73C0" w:rsidRPr="003F6982">
        <w:rPr>
          <w:lang w:val="en-US"/>
        </w:rPr>
        <w:t xml:space="preserve"> </w:t>
      </w:r>
      <w:r w:rsidR="003E4975" w:rsidRPr="003F6982">
        <w:rPr>
          <w:lang w:val="en-US"/>
        </w:rPr>
        <w:t xml:space="preserve">MSM </w:t>
      </w:r>
      <w:r w:rsidR="006F5A5E" w:rsidRPr="003F6982">
        <w:rPr>
          <w:lang w:val="en-US"/>
        </w:rPr>
        <w:t>recommend</w:t>
      </w:r>
      <w:r w:rsidR="003E4975" w:rsidRPr="003F6982">
        <w:rPr>
          <w:lang w:val="en-US"/>
        </w:rPr>
        <w:t xml:space="preserve"> at least annual </w:t>
      </w:r>
      <w:r w:rsidR="006F5A5E" w:rsidRPr="003F6982">
        <w:rPr>
          <w:lang w:val="en-US"/>
        </w:rPr>
        <w:t xml:space="preserve">3-site </w:t>
      </w:r>
      <w:r w:rsidR="003E4975" w:rsidRPr="003F6982">
        <w:rPr>
          <w:lang w:val="en-US"/>
        </w:rPr>
        <w:t>screening</w:t>
      </w:r>
      <w:r w:rsidR="003E4975" w:rsidRPr="003F6982">
        <w:rPr>
          <w:lang w:val="en-US"/>
        </w:rPr>
        <w:fldChar w:fldCharType="begin" w:fldLock="1"/>
      </w:r>
      <w:r w:rsidR="00702287" w:rsidRPr="003F6982">
        <w:rPr>
          <w:lang w:val="en-US"/>
        </w:rPr>
        <w:instrText>ADDIN CSL_CITATION {"citationItems":[{"id":"ITEM-1","itemData":{"DOI":"10.1177/0956462415618837","ISSN":"17581052","PMID":"26608577","abstract":"Chlamydia trachomatis infections, which most frequently are asymptomatic, are major public health concerns globally. The 2015 European C. trachomatis guideline provides: up-to-date guidance regarding broader indications for testing and treatment of C. trachomatis infections; a clearer recommendation of using exclusively-validated nucleic acid amplification tests for diagnosis; advice on (repeated) C. trachomatis testing; the recommendation of increased testing to reduce the incidence of pelvic inflammatory disease and prevent exposure to infection; and recommendations to identify, verify and report C. trachomatis variants. Improvement of access to testing, test performance, diagnostics, antimicrobial treatment and follow-up of C. trachomatis patients are crucial to control its spread. For detailed background, evidence base and discussions, see the background review for the present 2015 European guideline on the management of Chlamydia trachomatis infections (Lanjouw E, et al. Int J STD AIDS. 2015).","author":[{"dropping-particle":"","family":"Lanjouw","given":"E.","non-dropping-particle":"","parse-names":false,"suffix":""},{"dropping-particle":"","family":"Ouburg","given":"S.","non-dropping-particle":"","parse-names":false,"suffix":""},{"dropping-particle":"","family":"Vries","given":"H. J.","non-dropping-particle":"de","parse-names":false,"suffix":""},{"dropping-particle":"","family":"Stary","given":"A.","non-dropping-particle":"","parse-names":false,"suffix":""},{"dropping-particle":"","family":"Radcliffe","given":"K.","non-dropping-particle":"","parse-names":false,"suffix":""},{"dropping-particle":"","family":"Unemo","given":"M.","non-dropping-particle":"","parse-names":false,"suffix":""}],"container-title":"International Journal of STD and AIDS","id":"ITEM-1","issue":"5","issued":{"date-parts":[["2016"]]},"page":"333-348","title":"2015 European guideline on the management of Chlamydia trachomatis infections","type":"article-journal","volume":"27"},"uris":["http://www.mendeley.com/documents/?uuid=b460930b-b9ce-48fe-a5ce-4e1fd04c9ad3"]},{"id":"ITEM-2","itemData":{"ISBN":"9789291936434","author":[{"dropping-particle":"","family":"Pharris","given":"Anastasia","non-dropping-particle":"","parse-names":false,"suffix":""},{"dropping-particle":"","family":"Amato","given":"Andrew J","non-dropping-particle":"","parse-names":false,"suffix":""},{"dropping-particle":"","family":"Carrillo-Santisteve","given":"Paloma","non-dropping-particle":"","parse-names":false,"suffix":""},{"dropping-particle":"","family":"Derrough","given":"Tarik","non-dropping-particle":"","parse-names":false,"suffix":""},{"dropping-particle":"","family":"Duffell","given":"Erika","non-dropping-particle":"","parse-names":false,"suffix":""},{"dropping-particle":"","family":"Fonzo","given":"Marco","non-dropping-particle":"","parse-names":false,"suffix":""},{"dropping-particle":"","family":"Hutin","given":"Yvan","non-dropping-particle":"","parse-names":false,"suffix":""},{"dropping-particle":"","family":"Noori","given":"Teymur","non-dropping-particle":"","parse-names":false,"suffix":""},{"dropping-particle":"","family":"Mårdh","given":"Otilia","non-dropping-particle":"","parse-names":false,"suffix":""},{"dropping-particle":"","family":"Spiteri","given":"Gianfranco","non-dropping-particle":"","parse-names":false,"suffix":""},{"dropping-particle":"","family":"Tavoschi","given":"Lara","non-dropping-particle":"","parse-names":false,"suffix":""},{"dropping-particle":"","family":"Laar","given":"Marita","non-dropping-particle":"van de","parse-names":false,"suffix":""},{"dropping-particle":"","family":"Wysocki","given":"Piotr","non-dropping-particle":"","parse-names":false,"suffix":""}],"id":"ITEM-2","issued":{"date-parts":[["2015"]]},"title":"HIV and STI prevention among men who have sex with men HIV and STI prevention among men who have sex with men-Gauci with technical input from","type":"book"},"uris":["http://www.mendeley.com/documents/?uuid=12aa7322-0c9a-46cb-bc47-e0346e018676"]}],"mendeley":{"formattedCitation":"&lt;sup&gt;17,18&lt;/sup&gt;","plainTextFormattedCitation":"17,18","previouslyFormattedCitation":"&lt;sup&gt;34,35&lt;/sup&gt;"},"properties":{"noteIndex":0},"schema":"https://github.com/citation-style-language/schema/raw/master/csl-citation.json"}</w:instrText>
      </w:r>
      <w:r w:rsidR="003E4975" w:rsidRPr="003F6982">
        <w:rPr>
          <w:lang w:val="en-US"/>
        </w:rPr>
        <w:fldChar w:fldCharType="separate"/>
      </w:r>
      <w:r w:rsidR="00702287" w:rsidRPr="003F6982">
        <w:rPr>
          <w:noProof/>
          <w:vertAlign w:val="superscript"/>
          <w:lang w:val="en-US"/>
        </w:rPr>
        <w:t>17,18</w:t>
      </w:r>
      <w:r w:rsidR="003E4975" w:rsidRPr="003F6982">
        <w:rPr>
          <w:lang w:val="en-US"/>
        </w:rPr>
        <w:fldChar w:fldCharType="end"/>
      </w:r>
      <w:r w:rsidR="003E4975" w:rsidRPr="003F6982">
        <w:rPr>
          <w:lang w:val="en-US"/>
        </w:rPr>
        <w:t xml:space="preserve">, </w:t>
      </w:r>
      <w:r w:rsidR="00DC73C0" w:rsidRPr="003F6982">
        <w:rPr>
          <w:lang w:val="en-US"/>
        </w:rPr>
        <w:t xml:space="preserve">with </w:t>
      </w:r>
      <w:r w:rsidR="006F5A5E" w:rsidRPr="003F6982">
        <w:rPr>
          <w:lang w:val="en-US"/>
        </w:rPr>
        <w:t>PrEP users attending 3-monthly screening visits. However, the Belgian EMIS</w:t>
      </w:r>
      <w:r w:rsidR="000C6DB4" w:rsidRPr="003F6982">
        <w:rPr>
          <w:lang w:val="en-US"/>
        </w:rPr>
        <w:t>-</w:t>
      </w:r>
      <w:r w:rsidR="006F5A5E" w:rsidRPr="003F6982">
        <w:rPr>
          <w:lang w:val="en-US"/>
        </w:rPr>
        <w:t>20</w:t>
      </w:r>
      <w:r w:rsidR="000C6DB4" w:rsidRPr="003F6982">
        <w:rPr>
          <w:lang w:val="en-US"/>
        </w:rPr>
        <w:t>1</w:t>
      </w:r>
      <w:r w:rsidR="006F5A5E" w:rsidRPr="003F6982">
        <w:rPr>
          <w:lang w:val="en-US"/>
        </w:rPr>
        <w:t xml:space="preserve">7 participants, reported </w:t>
      </w:r>
      <w:r w:rsidR="00290C73" w:rsidRPr="00663D8D">
        <w:rPr>
          <w:lang w:val="en-US"/>
        </w:rPr>
        <w:t xml:space="preserve">significantly lower percentages, varying across the three definitions. The majority reported only </w:t>
      </w:r>
      <w:r w:rsidR="006F5A5E" w:rsidRPr="003F6982">
        <w:rPr>
          <w:lang w:val="en-US"/>
        </w:rPr>
        <w:t>provid</w:t>
      </w:r>
      <w:r w:rsidR="00290C73" w:rsidRPr="00663D8D">
        <w:rPr>
          <w:lang w:val="en-US"/>
        </w:rPr>
        <w:t>ing</w:t>
      </w:r>
      <w:r w:rsidR="006F5A5E" w:rsidRPr="003F6982">
        <w:rPr>
          <w:lang w:val="en-US"/>
        </w:rPr>
        <w:t xml:space="preserve"> samples from the urethra </w:t>
      </w:r>
      <w:r w:rsidR="00312460" w:rsidRPr="003F6982">
        <w:rPr>
          <w:lang w:val="en-US"/>
        </w:rPr>
        <w:t xml:space="preserve">(urine sample or urethral swab) and </w:t>
      </w:r>
      <w:r w:rsidR="00290C73" w:rsidRPr="00663D8D">
        <w:rPr>
          <w:lang w:val="en-US"/>
        </w:rPr>
        <w:t xml:space="preserve">only a small fraction provided samples only </w:t>
      </w:r>
      <w:r w:rsidR="00312460" w:rsidRPr="003F6982">
        <w:rPr>
          <w:lang w:val="en-US"/>
        </w:rPr>
        <w:t xml:space="preserve">a pharyngeal or rectal swab. </w:t>
      </w:r>
    </w:p>
    <w:p w14:paraId="51A18FEB" w14:textId="7A0581F4" w:rsidR="00897CC1" w:rsidRDefault="00312460" w:rsidP="00180732">
      <w:pPr>
        <w:rPr>
          <w:lang w:val="en-US"/>
        </w:rPr>
      </w:pPr>
      <w:r w:rsidRPr="003F6982">
        <w:rPr>
          <w:lang w:val="en-US"/>
        </w:rPr>
        <w:t xml:space="preserve">Regarding the screening frequency, </w:t>
      </w:r>
      <w:r w:rsidR="005B1477" w:rsidRPr="00663D8D">
        <w:rPr>
          <w:lang w:val="en-US"/>
        </w:rPr>
        <w:t>almost 30% of the LA-MSM and 10% of the HA-MSM of Belgian EMIS-2017 participants reported that they have never screened for STIs in all three definitions</w:t>
      </w:r>
      <w:r w:rsidR="006D6579" w:rsidRPr="003F6982">
        <w:rPr>
          <w:lang w:val="en-US"/>
        </w:rPr>
        <w:t xml:space="preserve">. </w:t>
      </w:r>
      <w:r w:rsidR="005B1477" w:rsidRPr="00663D8D">
        <w:rPr>
          <w:lang w:val="en-US"/>
        </w:rPr>
        <w:t xml:space="preserve">The percentages of LA- and HA-MSM who </w:t>
      </w:r>
      <w:r w:rsidR="006D6579" w:rsidRPr="003F6982">
        <w:rPr>
          <w:lang w:val="en-US"/>
        </w:rPr>
        <w:t>reported that</w:t>
      </w:r>
      <w:r w:rsidRPr="003F6982">
        <w:rPr>
          <w:lang w:val="en-US"/>
        </w:rPr>
        <w:t xml:space="preserve"> had an STI test during the </w:t>
      </w:r>
      <w:r w:rsidR="000C6DB4" w:rsidRPr="003F6982">
        <w:rPr>
          <w:lang w:val="en-US"/>
        </w:rPr>
        <w:t xml:space="preserve">previous </w:t>
      </w:r>
      <w:r w:rsidR="005B1477" w:rsidRPr="00663D8D">
        <w:rPr>
          <w:lang w:val="en-US"/>
        </w:rPr>
        <w:t xml:space="preserve">6 or </w:t>
      </w:r>
      <w:r w:rsidRPr="003F6982">
        <w:rPr>
          <w:lang w:val="en-US"/>
        </w:rPr>
        <w:t xml:space="preserve">12 months, </w:t>
      </w:r>
      <w:r w:rsidR="005B1477" w:rsidRPr="00663D8D">
        <w:rPr>
          <w:lang w:val="en-US"/>
        </w:rPr>
        <w:t>differed among the three definitions, but not considerably.</w:t>
      </w:r>
      <w:r w:rsidRPr="003F6982">
        <w:rPr>
          <w:lang w:val="en-US"/>
        </w:rPr>
        <w:t>.</w:t>
      </w:r>
      <w:r>
        <w:rPr>
          <w:lang w:val="en-US"/>
        </w:rPr>
        <w:t xml:space="preserve"> </w:t>
      </w:r>
    </w:p>
    <w:p w14:paraId="05240A64" w14:textId="77777777" w:rsidR="005B1477" w:rsidRDefault="005B1477" w:rsidP="00180732">
      <w:pPr>
        <w:rPr>
          <w:lang w:val="en-US"/>
        </w:rPr>
      </w:pPr>
    </w:p>
    <w:tbl>
      <w:tblPr>
        <w:tblStyle w:val="ListTable2"/>
        <w:tblW w:w="9180" w:type="dxa"/>
        <w:tblLook w:val="04A0" w:firstRow="1" w:lastRow="0" w:firstColumn="1" w:lastColumn="0" w:noHBand="0" w:noVBand="1"/>
      </w:tblPr>
      <w:tblGrid>
        <w:gridCol w:w="1812"/>
        <w:gridCol w:w="3743"/>
        <w:gridCol w:w="1812"/>
        <w:gridCol w:w="1813"/>
      </w:tblGrid>
      <w:tr w:rsidR="00434F27" w14:paraId="2F5DECB5" w14:textId="77777777" w:rsidTr="00663D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2F0FD34C" w14:textId="6A873027" w:rsidR="00434F27" w:rsidRDefault="00434F27" w:rsidP="00434F27">
            <w:pPr>
              <w:rPr>
                <w:rFonts w:cstheme="minorHAnsi"/>
                <w:b w:val="0"/>
                <w:sz w:val="24"/>
                <w:szCs w:val="24"/>
                <w:lang w:val="en-US"/>
              </w:rPr>
            </w:pPr>
            <w:r>
              <w:rPr>
                <w:rFonts w:cstheme="minorHAnsi"/>
                <w:sz w:val="24"/>
                <w:szCs w:val="24"/>
                <w:lang w:val="en-US"/>
              </w:rPr>
              <w:t>Activity group</w:t>
            </w:r>
          </w:p>
        </w:tc>
        <w:tc>
          <w:tcPr>
            <w:tcW w:w="3743" w:type="dxa"/>
          </w:tcPr>
          <w:p w14:paraId="0D29DFCE" w14:textId="0508712A" w:rsidR="00434F27" w:rsidRDefault="007623E7" w:rsidP="00434F27">
            <w:pPr>
              <w:cnfStyle w:val="100000000000" w:firstRow="1" w:lastRow="0" w:firstColumn="0" w:lastColumn="0" w:oddVBand="0" w:evenVBand="0" w:oddHBand="0" w:evenHBand="0" w:firstRowFirstColumn="0" w:firstRowLastColumn="0" w:lastRowFirstColumn="0" w:lastRowLastColumn="0"/>
              <w:rPr>
                <w:rFonts w:cstheme="minorHAnsi"/>
                <w:b w:val="0"/>
                <w:sz w:val="24"/>
                <w:szCs w:val="24"/>
                <w:lang w:val="en-US"/>
              </w:rPr>
            </w:pPr>
            <w:proofErr w:type="spellStart"/>
            <w:r>
              <w:rPr>
                <w:rFonts w:cstheme="minorHAnsi"/>
                <w:sz w:val="24"/>
                <w:szCs w:val="24"/>
                <w:lang w:val="en-US"/>
              </w:rPr>
              <w:t>Behavioural</w:t>
            </w:r>
            <w:proofErr w:type="spellEnd"/>
            <w:r>
              <w:rPr>
                <w:rFonts w:cstheme="minorHAnsi"/>
                <w:sz w:val="24"/>
                <w:szCs w:val="24"/>
                <w:lang w:val="en-US"/>
              </w:rPr>
              <w:t xml:space="preserve"> characteristic</w:t>
            </w:r>
          </w:p>
        </w:tc>
        <w:tc>
          <w:tcPr>
            <w:tcW w:w="1812" w:type="dxa"/>
          </w:tcPr>
          <w:p w14:paraId="1A7BA978" w14:textId="51114678" w:rsidR="00434F27" w:rsidRDefault="00434F27" w:rsidP="00434F27">
            <w:pPr>
              <w:cnfStyle w:val="100000000000" w:firstRow="1" w:lastRow="0" w:firstColumn="0" w:lastColumn="0" w:oddVBand="0" w:evenVBand="0" w:oddHBand="0" w:evenHBand="0" w:firstRowFirstColumn="0" w:firstRowLastColumn="0" w:lastRowFirstColumn="0" w:lastRowLastColumn="0"/>
              <w:rPr>
                <w:rFonts w:cstheme="minorHAnsi"/>
                <w:b w:val="0"/>
                <w:sz w:val="24"/>
                <w:szCs w:val="24"/>
                <w:lang w:val="en-US"/>
              </w:rPr>
            </w:pPr>
            <w:r w:rsidRPr="0042682F">
              <w:rPr>
                <w:lang w:val="en-US"/>
              </w:rPr>
              <w:t>Lower-activity MSM</w:t>
            </w:r>
          </w:p>
        </w:tc>
        <w:tc>
          <w:tcPr>
            <w:tcW w:w="1813" w:type="dxa"/>
          </w:tcPr>
          <w:p w14:paraId="15212CF3" w14:textId="2C7170E0" w:rsidR="00434F27" w:rsidRDefault="00434F27" w:rsidP="00434F27">
            <w:pPr>
              <w:cnfStyle w:val="100000000000" w:firstRow="1" w:lastRow="0" w:firstColumn="0" w:lastColumn="0" w:oddVBand="0" w:evenVBand="0" w:oddHBand="0" w:evenHBand="0" w:firstRowFirstColumn="0" w:firstRowLastColumn="0" w:lastRowFirstColumn="0" w:lastRowLastColumn="0"/>
              <w:rPr>
                <w:rFonts w:cstheme="minorHAnsi"/>
                <w:b w:val="0"/>
                <w:sz w:val="24"/>
                <w:szCs w:val="24"/>
                <w:lang w:val="en-US"/>
              </w:rPr>
            </w:pPr>
            <w:r w:rsidRPr="0042682F">
              <w:rPr>
                <w:lang w:val="en-US"/>
              </w:rPr>
              <w:t>Higher-activity MSM</w:t>
            </w:r>
          </w:p>
        </w:tc>
      </w:tr>
      <w:tr w:rsidR="00434F27" w14:paraId="64F610EB" w14:textId="77777777" w:rsidTr="00663D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414EB345" w14:textId="162E9526" w:rsidR="00434F27" w:rsidRDefault="00434F27" w:rsidP="00434F27">
            <w:pPr>
              <w:rPr>
                <w:rFonts w:cstheme="minorHAnsi"/>
                <w:b w:val="0"/>
                <w:sz w:val="24"/>
                <w:szCs w:val="24"/>
                <w:lang w:val="en-US"/>
              </w:rPr>
            </w:pPr>
            <w:r>
              <w:rPr>
                <w:rFonts w:cstheme="minorHAnsi"/>
                <w:sz w:val="24"/>
                <w:szCs w:val="24"/>
                <w:lang w:val="en-US"/>
              </w:rPr>
              <w:t>PrEP eligibility</w:t>
            </w:r>
          </w:p>
        </w:tc>
        <w:tc>
          <w:tcPr>
            <w:tcW w:w="3743" w:type="dxa"/>
          </w:tcPr>
          <w:p w14:paraId="03403DE7" w14:textId="4E68BA76" w:rsidR="00434F27" w:rsidRDefault="00434F27" w:rsidP="00434F27">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Sex role: Insertive</w:t>
            </w:r>
          </w:p>
        </w:tc>
        <w:tc>
          <w:tcPr>
            <w:tcW w:w="1812" w:type="dxa"/>
          </w:tcPr>
          <w:p w14:paraId="5293869B" w14:textId="62EC9AFE" w:rsidR="00434F27" w:rsidRDefault="00434F27" w:rsidP="00434F27">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38.85</w:t>
            </w:r>
            <w:r w:rsidR="00DF7A69">
              <w:rPr>
                <w:rFonts w:cstheme="minorHAnsi"/>
                <w:b/>
                <w:sz w:val="24"/>
                <w:szCs w:val="24"/>
                <w:lang w:val="en-US"/>
              </w:rPr>
              <w:t xml:space="preserve"> %</w:t>
            </w:r>
          </w:p>
        </w:tc>
        <w:tc>
          <w:tcPr>
            <w:tcW w:w="1813" w:type="dxa"/>
          </w:tcPr>
          <w:p w14:paraId="009FD14A" w14:textId="1371753E" w:rsidR="00434F27" w:rsidRDefault="001D25D6" w:rsidP="00434F27">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34.43</w:t>
            </w:r>
            <w:r w:rsidR="00DF7A69">
              <w:rPr>
                <w:rFonts w:cstheme="minorHAnsi"/>
                <w:b/>
                <w:sz w:val="24"/>
                <w:szCs w:val="24"/>
                <w:lang w:val="en-US"/>
              </w:rPr>
              <w:t xml:space="preserve"> %</w:t>
            </w:r>
          </w:p>
        </w:tc>
      </w:tr>
      <w:tr w:rsidR="00434F27" w14:paraId="64B7A2FF" w14:textId="77777777" w:rsidTr="00663D8D">
        <w:tc>
          <w:tcPr>
            <w:cnfStyle w:val="001000000000" w:firstRow="0" w:lastRow="0" w:firstColumn="1" w:lastColumn="0" w:oddVBand="0" w:evenVBand="0" w:oddHBand="0" w:evenHBand="0" w:firstRowFirstColumn="0" w:firstRowLastColumn="0" w:lastRowFirstColumn="0" w:lastRowLastColumn="0"/>
            <w:tcW w:w="1812" w:type="dxa"/>
          </w:tcPr>
          <w:p w14:paraId="4EF4073C" w14:textId="77777777" w:rsidR="00434F27" w:rsidRDefault="00434F27" w:rsidP="00434F27">
            <w:pPr>
              <w:rPr>
                <w:rFonts w:cstheme="minorHAnsi"/>
                <w:b w:val="0"/>
                <w:sz w:val="24"/>
                <w:szCs w:val="24"/>
                <w:lang w:val="en-US"/>
              </w:rPr>
            </w:pPr>
          </w:p>
        </w:tc>
        <w:tc>
          <w:tcPr>
            <w:tcW w:w="3743" w:type="dxa"/>
          </w:tcPr>
          <w:p w14:paraId="02C674B3" w14:textId="7BB3F890" w:rsidR="00434F27" w:rsidRDefault="00434F27" w:rsidP="00434F27">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Receptive</w:t>
            </w:r>
          </w:p>
        </w:tc>
        <w:tc>
          <w:tcPr>
            <w:tcW w:w="1812" w:type="dxa"/>
          </w:tcPr>
          <w:p w14:paraId="127799B9" w14:textId="5BB44ACD" w:rsidR="00434F27" w:rsidRDefault="001D25D6" w:rsidP="00434F27">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48.15</w:t>
            </w:r>
            <w:r w:rsidR="00DF7A69">
              <w:rPr>
                <w:rFonts w:cstheme="minorHAnsi"/>
                <w:b/>
                <w:sz w:val="24"/>
                <w:szCs w:val="24"/>
                <w:lang w:val="en-US"/>
              </w:rPr>
              <w:t xml:space="preserve"> %</w:t>
            </w:r>
          </w:p>
        </w:tc>
        <w:tc>
          <w:tcPr>
            <w:tcW w:w="1813" w:type="dxa"/>
          </w:tcPr>
          <w:p w14:paraId="11510582" w14:textId="0BF25622" w:rsidR="00434F27" w:rsidRDefault="001D25D6" w:rsidP="00434F27">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42.03</w:t>
            </w:r>
            <w:r w:rsidR="00DF7A69">
              <w:rPr>
                <w:rFonts w:cstheme="minorHAnsi"/>
                <w:b/>
                <w:sz w:val="24"/>
                <w:szCs w:val="24"/>
                <w:lang w:val="en-US"/>
              </w:rPr>
              <w:t xml:space="preserve"> %</w:t>
            </w:r>
          </w:p>
        </w:tc>
      </w:tr>
      <w:tr w:rsidR="00434F27" w14:paraId="1F8C85E1" w14:textId="77777777" w:rsidTr="00663D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73F4F2DD" w14:textId="77777777" w:rsidR="00434F27" w:rsidRDefault="00434F27" w:rsidP="00434F27">
            <w:pPr>
              <w:rPr>
                <w:rFonts w:cstheme="minorHAnsi"/>
                <w:b w:val="0"/>
                <w:sz w:val="24"/>
                <w:szCs w:val="24"/>
                <w:lang w:val="en-US"/>
              </w:rPr>
            </w:pPr>
          </w:p>
        </w:tc>
        <w:tc>
          <w:tcPr>
            <w:tcW w:w="3743" w:type="dxa"/>
          </w:tcPr>
          <w:p w14:paraId="17160D83" w14:textId="7313AAE3" w:rsidR="00434F27" w:rsidRDefault="00434F27" w:rsidP="00434F27">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Versatile</w:t>
            </w:r>
          </w:p>
        </w:tc>
        <w:tc>
          <w:tcPr>
            <w:tcW w:w="1812" w:type="dxa"/>
          </w:tcPr>
          <w:p w14:paraId="44110C91" w14:textId="75A24F5D" w:rsidR="00434F27" w:rsidRDefault="001D25D6" w:rsidP="00434F27">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13.00</w:t>
            </w:r>
            <w:r w:rsidR="00DF7A69">
              <w:rPr>
                <w:rFonts w:cstheme="minorHAnsi"/>
                <w:b/>
                <w:sz w:val="24"/>
                <w:szCs w:val="24"/>
                <w:lang w:val="en-US"/>
              </w:rPr>
              <w:t xml:space="preserve"> %</w:t>
            </w:r>
          </w:p>
        </w:tc>
        <w:tc>
          <w:tcPr>
            <w:tcW w:w="1813" w:type="dxa"/>
          </w:tcPr>
          <w:p w14:paraId="5D1BF66F" w14:textId="618043FB" w:rsidR="00434F27" w:rsidRDefault="001D25D6" w:rsidP="00434F27">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23.54</w:t>
            </w:r>
            <w:r w:rsidR="00DF7A69">
              <w:rPr>
                <w:rFonts w:cstheme="minorHAnsi"/>
                <w:b/>
                <w:sz w:val="24"/>
                <w:szCs w:val="24"/>
                <w:lang w:val="en-US"/>
              </w:rPr>
              <w:t xml:space="preserve"> %</w:t>
            </w:r>
          </w:p>
        </w:tc>
      </w:tr>
      <w:tr w:rsidR="00434F27" w14:paraId="34B3F1E0" w14:textId="77777777" w:rsidTr="00663D8D">
        <w:tc>
          <w:tcPr>
            <w:cnfStyle w:val="001000000000" w:firstRow="0" w:lastRow="0" w:firstColumn="1" w:lastColumn="0" w:oddVBand="0" w:evenVBand="0" w:oddHBand="0" w:evenHBand="0" w:firstRowFirstColumn="0" w:firstRowLastColumn="0" w:lastRowFirstColumn="0" w:lastRowLastColumn="0"/>
            <w:tcW w:w="1812" w:type="dxa"/>
          </w:tcPr>
          <w:p w14:paraId="6CF8CE32" w14:textId="77777777" w:rsidR="00434F27" w:rsidRDefault="00434F27" w:rsidP="00434F27">
            <w:pPr>
              <w:rPr>
                <w:rFonts w:cstheme="minorHAnsi"/>
                <w:b w:val="0"/>
                <w:sz w:val="24"/>
                <w:szCs w:val="24"/>
                <w:lang w:val="en-US"/>
              </w:rPr>
            </w:pPr>
          </w:p>
        </w:tc>
        <w:tc>
          <w:tcPr>
            <w:tcW w:w="3743" w:type="dxa"/>
          </w:tcPr>
          <w:p w14:paraId="200B3C9E" w14:textId="7B0721BB" w:rsidR="00434F27" w:rsidRDefault="005372E1" w:rsidP="00434F27">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Consistent condom users</w:t>
            </w:r>
          </w:p>
        </w:tc>
        <w:tc>
          <w:tcPr>
            <w:tcW w:w="1812" w:type="dxa"/>
          </w:tcPr>
          <w:p w14:paraId="6A2134F7" w14:textId="6A5B3047" w:rsidR="00434F27" w:rsidRDefault="0018491F" w:rsidP="00434F27">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67.72</w:t>
            </w:r>
            <w:r w:rsidR="00DF7A69">
              <w:rPr>
                <w:rFonts w:cstheme="minorHAnsi"/>
                <w:b/>
                <w:sz w:val="24"/>
                <w:szCs w:val="24"/>
                <w:lang w:val="en-US"/>
              </w:rPr>
              <w:t xml:space="preserve"> %</w:t>
            </w:r>
          </w:p>
        </w:tc>
        <w:tc>
          <w:tcPr>
            <w:tcW w:w="1813" w:type="dxa"/>
          </w:tcPr>
          <w:p w14:paraId="16F9D115" w14:textId="05566236" w:rsidR="00434F27" w:rsidRDefault="004F23C3" w:rsidP="00434F27">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8.06</w:t>
            </w:r>
            <w:r w:rsidR="00DF7A69">
              <w:rPr>
                <w:rFonts w:cstheme="minorHAnsi"/>
                <w:b/>
                <w:sz w:val="24"/>
                <w:szCs w:val="24"/>
                <w:lang w:val="en-US"/>
              </w:rPr>
              <w:t xml:space="preserve"> %</w:t>
            </w:r>
          </w:p>
        </w:tc>
      </w:tr>
      <w:tr w:rsidR="00434F27" w14:paraId="4FE921CD" w14:textId="77777777" w:rsidTr="00663D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7652ED6C" w14:textId="77777777" w:rsidR="00434F27" w:rsidRDefault="00434F27" w:rsidP="00434F27">
            <w:pPr>
              <w:rPr>
                <w:rFonts w:cstheme="minorHAnsi"/>
                <w:b w:val="0"/>
                <w:sz w:val="24"/>
                <w:szCs w:val="24"/>
                <w:lang w:val="en-US"/>
              </w:rPr>
            </w:pPr>
          </w:p>
        </w:tc>
        <w:tc>
          <w:tcPr>
            <w:tcW w:w="3743" w:type="dxa"/>
          </w:tcPr>
          <w:p w14:paraId="666B3A46" w14:textId="54272DCD" w:rsidR="00434F27" w:rsidRDefault="005372E1" w:rsidP="00434F27">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Never screen for STIs</w:t>
            </w:r>
          </w:p>
        </w:tc>
        <w:tc>
          <w:tcPr>
            <w:tcW w:w="1812" w:type="dxa"/>
          </w:tcPr>
          <w:p w14:paraId="3AA77AF4" w14:textId="653A0832" w:rsidR="00434F27" w:rsidRDefault="008040C6" w:rsidP="00434F27">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32.3</w:t>
            </w:r>
            <w:r w:rsidR="00DF7A69">
              <w:rPr>
                <w:rFonts w:cstheme="minorHAnsi"/>
                <w:b/>
                <w:sz w:val="24"/>
                <w:szCs w:val="24"/>
                <w:lang w:val="en-US"/>
              </w:rPr>
              <w:t>0 %</w:t>
            </w:r>
          </w:p>
        </w:tc>
        <w:tc>
          <w:tcPr>
            <w:tcW w:w="1813" w:type="dxa"/>
          </w:tcPr>
          <w:p w14:paraId="4624AF38" w14:textId="7A5472AB" w:rsidR="00434F27" w:rsidRDefault="008040C6" w:rsidP="00434F27">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10.72</w:t>
            </w:r>
            <w:r w:rsidR="00DF7A69">
              <w:rPr>
                <w:rFonts w:cstheme="minorHAnsi"/>
                <w:b/>
                <w:sz w:val="24"/>
                <w:szCs w:val="24"/>
                <w:lang w:val="en-US"/>
              </w:rPr>
              <w:t xml:space="preserve"> %</w:t>
            </w:r>
          </w:p>
        </w:tc>
      </w:tr>
      <w:tr w:rsidR="00434F27" w14:paraId="40C107DF" w14:textId="77777777" w:rsidTr="00663D8D">
        <w:tc>
          <w:tcPr>
            <w:cnfStyle w:val="001000000000" w:firstRow="0" w:lastRow="0" w:firstColumn="1" w:lastColumn="0" w:oddVBand="0" w:evenVBand="0" w:oddHBand="0" w:evenHBand="0" w:firstRowFirstColumn="0" w:firstRowLastColumn="0" w:lastRowFirstColumn="0" w:lastRowLastColumn="0"/>
            <w:tcW w:w="1812" w:type="dxa"/>
          </w:tcPr>
          <w:p w14:paraId="6F43048D" w14:textId="77777777" w:rsidR="00434F27" w:rsidRDefault="00434F27" w:rsidP="00434F27">
            <w:pPr>
              <w:rPr>
                <w:rFonts w:cstheme="minorHAnsi"/>
                <w:b w:val="0"/>
                <w:sz w:val="24"/>
                <w:szCs w:val="24"/>
                <w:lang w:val="en-US"/>
              </w:rPr>
            </w:pPr>
          </w:p>
        </w:tc>
        <w:tc>
          <w:tcPr>
            <w:tcW w:w="3743" w:type="dxa"/>
          </w:tcPr>
          <w:p w14:paraId="7912792D" w14:textId="3E1805E7" w:rsidR="00434F27" w:rsidRDefault="005372E1" w:rsidP="00434F27">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STI screening in the previous 12 months</w:t>
            </w:r>
          </w:p>
        </w:tc>
        <w:tc>
          <w:tcPr>
            <w:tcW w:w="1812" w:type="dxa"/>
          </w:tcPr>
          <w:p w14:paraId="54BF992D" w14:textId="506E2991" w:rsidR="00434F27" w:rsidRDefault="002C29A8" w:rsidP="00434F27">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67.40</w:t>
            </w:r>
            <w:r w:rsidR="00DF7A69">
              <w:rPr>
                <w:rFonts w:cstheme="minorHAnsi"/>
                <w:b/>
                <w:sz w:val="24"/>
                <w:szCs w:val="24"/>
                <w:lang w:val="en-US"/>
              </w:rPr>
              <w:t xml:space="preserve"> %</w:t>
            </w:r>
          </w:p>
        </w:tc>
        <w:tc>
          <w:tcPr>
            <w:tcW w:w="1813" w:type="dxa"/>
          </w:tcPr>
          <w:p w14:paraId="5564277E" w14:textId="077334B0" w:rsidR="00434F27" w:rsidRDefault="007B4D5E" w:rsidP="00434F27">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89.80</w:t>
            </w:r>
            <w:r w:rsidR="00DF7A69">
              <w:rPr>
                <w:rFonts w:cstheme="minorHAnsi"/>
                <w:b/>
                <w:sz w:val="24"/>
                <w:szCs w:val="24"/>
                <w:lang w:val="en-US"/>
              </w:rPr>
              <w:t xml:space="preserve"> %</w:t>
            </w:r>
          </w:p>
        </w:tc>
      </w:tr>
      <w:tr w:rsidR="00434F27" w14:paraId="7D49FB54" w14:textId="77777777" w:rsidTr="00663D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1E89E37A" w14:textId="77777777" w:rsidR="00434F27" w:rsidRDefault="00434F27" w:rsidP="00434F27">
            <w:pPr>
              <w:rPr>
                <w:rFonts w:cstheme="minorHAnsi"/>
                <w:b w:val="0"/>
                <w:sz w:val="24"/>
                <w:szCs w:val="24"/>
                <w:lang w:val="en-US"/>
              </w:rPr>
            </w:pPr>
          </w:p>
        </w:tc>
        <w:tc>
          <w:tcPr>
            <w:tcW w:w="3743" w:type="dxa"/>
          </w:tcPr>
          <w:p w14:paraId="2AE87E30" w14:textId="40B5B07D" w:rsidR="00434F27" w:rsidRDefault="005372E1" w:rsidP="00434F27">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STI screening in the previous 6 months</w:t>
            </w:r>
          </w:p>
        </w:tc>
        <w:tc>
          <w:tcPr>
            <w:tcW w:w="1812" w:type="dxa"/>
          </w:tcPr>
          <w:p w14:paraId="343DBA20" w14:textId="2F8CD424" w:rsidR="00434F27" w:rsidRDefault="00184399" w:rsidP="00434F27">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46.38</w:t>
            </w:r>
            <w:r w:rsidR="00DF7A69">
              <w:rPr>
                <w:rFonts w:cstheme="minorHAnsi"/>
                <w:b/>
                <w:sz w:val="24"/>
                <w:szCs w:val="24"/>
                <w:lang w:val="en-US"/>
              </w:rPr>
              <w:t xml:space="preserve"> %</w:t>
            </w:r>
          </w:p>
        </w:tc>
        <w:tc>
          <w:tcPr>
            <w:tcW w:w="1813" w:type="dxa"/>
          </w:tcPr>
          <w:p w14:paraId="3F1A2A6D" w14:textId="2D535D25" w:rsidR="00434F27" w:rsidRDefault="00CC0668" w:rsidP="00434F27">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77.79</w:t>
            </w:r>
            <w:r w:rsidR="00DF7A69">
              <w:rPr>
                <w:rFonts w:cstheme="minorHAnsi"/>
                <w:b/>
                <w:sz w:val="24"/>
                <w:szCs w:val="24"/>
                <w:lang w:val="en-US"/>
              </w:rPr>
              <w:t xml:space="preserve"> %</w:t>
            </w:r>
          </w:p>
        </w:tc>
      </w:tr>
      <w:tr w:rsidR="00434F27" w14:paraId="166508A3" w14:textId="77777777" w:rsidTr="00663D8D">
        <w:tc>
          <w:tcPr>
            <w:cnfStyle w:val="001000000000" w:firstRow="0" w:lastRow="0" w:firstColumn="1" w:lastColumn="0" w:oddVBand="0" w:evenVBand="0" w:oddHBand="0" w:evenHBand="0" w:firstRowFirstColumn="0" w:firstRowLastColumn="0" w:lastRowFirstColumn="0" w:lastRowLastColumn="0"/>
            <w:tcW w:w="1812" w:type="dxa"/>
          </w:tcPr>
          <w:p w14:paraId="627EC467" w14:textId="77777777" w:rsidR="00434F27" w:rsidRDefault="00434F27" w:rsidP="00434F27">
            <w:pPr>
              <w:rPr>
                <w:rFonts w:cstheme="minorHAnsi"/>
                <w:b w:val="0"/>
                <w:sz w:val="24"/>
                <w:szCs w:val="24"/>
                <w:lang w:val="en-US"/>
              </w:rPr>
            </w:pPr>
          </w:p>
        </w:tc>
        <w:tc>
          <w:tcPr>
            <w:tcW w:w="3743" w:type="dxa"/>
          </w:tcPr>
          <w:p w14:paraId="344198AF" w14:textId="74A93E0D" w:rsidR="00434F27" w:rsidRDefault="005372E1" w:rsidP="00434F27">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Screening sites: Urethra only</w:t>
            </w:r>
          </w:p>
        </w:tc>
        <w:tc>
          <w:tcPr>
            <w:tcW w:w="1812" w:type="dxa"/>
          </w:tcPr>
          <w:p w14:paraId="538B2F50" w14:textId="1508748F" w:rsidR="00434F27" w:rsidRDefault="00751DAD" w:rsidP="00434F27">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75.54</w:t>
            </w:r>
            <w:r w:rsidR="00DF7A69">
              <w:rPr>
                <w:rFonts w:cstheme="minorHAnsi"/>
                <w:b/>
                <w:sz w:val="24"/>
                <w:szCs w:val="24"/>
                <w:lang w:val="en-US"/>
              </w:rPr>
              <w:t xml:space="preserve"> %</w:t>
            </w:r>
          </w:p>
        </w:tc>
        <w:tc>
          <w:tcPr>
            <w:tcW w:w="1813" w:type="dxa"/>
          </w:tcPr>
          <w:p w14:paraId="1DA303AE" w14:textId="79A1C047" w:rsidR="00434F27" w:rsidRDefault="00751DAD" w:rsidP="00434F27">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49.24</w:t>
            </w:r>
            <w:r w:rsidR="00DF7A69">
              <w:rPr>
                <w:rFonts w:cstheme="minorHAnsi"/>
                <w:b/>
                <w:sz w:val="24"/>
                <w:szCs w:val="24"/>
                <w:lang w:val="en-US"/>
              </w:rPr>
              <w:t xml:space="preserve"> %</w:t>
            </w:r>
          </w:p>
        </w:tc>
      </w:tr>
      <w:tr w:rsidR="00434F27" w14:paraId="6707B88B" w14:textId="77777777" w:rsidTr="00663D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27F8BCCE" w14:textId="77777777" w:rsidR="00434F27" w:rsidRDefault="00434F27" w:rsidP="00434F27">
            <w:pPr>
              <w:rPr>
                <w:rFonts w:cstheme="minorHAnsi"/>
                <w:b w:val="0"/>
                <w:sz w:val="24"/>
                <w:szCs w:val="24"/>
                <w:lang w:val="en-US"/>
              </w:rPr>
            </w:pPr>
          </w:p>
        </w:tc>
        <w:tc>
          <w:tcPr>
            <w:tcW w:w="3743" w:type="dxa"/>
          </w:tcPr>
          <w:p w14:paraId="0C7003C7" w14:textId="1CC33166" w:rsidR="00434F27" w:rsidRDefault="005372E1" w:rsidP="00434F27">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Pharynx and/or rectum</w:t>
            </w:r>
          </w:p>
        </w:tc>
        <w:tc>
          <w:tcPr>
            <w:tcW w:w="1812" w:type="dxa"/>
          </w:tcPr>
          <w:p w14:paraId="404DB412" w14:textId="680D567A" w:rsidR="00434F27" w:rsidRDefault="00751DAD" w:rsidP="00434F27">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2.79</w:t>
            </w:r>
            <w:r w:rsidR="00DF7A69">
              <w:rPr>
                <w:rFonts w:cstheme="minorHAnsi"/>
                <w:b/>
                <w:sz w:val="24"/>
                <w:szCs w:val="24"/>
                <w:lang w:val="en-US"/>
              </w:rPr>
              <w:t xml:space="preserve"> %</w:t>
            </w:r>
          </w:p>
        </w:tc>
        <w:tc>
          <w:tcPr>
            <w:tcW w:w="1813" w:type="dxa"/>
          </w:tcPr>
          <w:p w14:paraId="0001FB06" w14:textId="3437C612" w:rsidR="00434F27" w:rsidRDefault="00751DAD" w:rsidP="00434F27">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2.36</w:t>
            </w:r>
            <w:r w:rsidR="00DF7A69">
              <w:rPr>
                <w:rFonts w:cstheme="minorHAnsi"/>
                <w:b/>
                <w:sz w:val="24"/>
                <w:szCs w:val="24"/>
                <w:lang w:val="en-US"/>
              </w:rPr>
              <w:t xml:space="preserve"> %</w:t>
            </w:r>
          </w:p>
        </w:tc>
      </w:tr>
      <w:tr w:rsidR="00434F27" w14:paraId="5CBF2F07" w14:textId="77777777" w:rsidTr="00663D8D">
        <w:tc>
          <w:tcPr>
            <w:cnfStyle w:val="001000000000" w:firstRow="0" w:lastRow="0" w:firstColumn="1" w:lastColumn="0" w:oddVBand="0" w:evenVBand="0" w:oddHBand="0" w:evenHBand="0" w:firstRowFirstColumn="0" w:firstRowLastColumn="0" w:lastRowFirstColumn="0" w:lastRowLastColumn="0"/>
            <w:tcW w:w="1812" w:type="dxa"/>
          </w:tcPr>
          <w:p w14:paraId="10B6798D" w14:textId="77777777" w:rsidR="00434F27" w:rsidRDefault="00434F27" w:rsidP="00434F27">
            <w:pPr>
              <w:rPr>
                <w:rFonts w:cstheme="minorHAnsi"/>
                <w:b w:val="0"/>
                <w:sz w:val="24"/>
                <w:szCs w:val="24"/>
                <w:lang w:val="en-US"/>
              </w:rPr>
            </w:pPr>
          </w:p>
        </w:tc>
        <w:tc>
          <w:tcPr>
            <w:tcW w:w="3743" w:type="dxa"/>
          </w:tcPr>
          <w:p w14:paraId="4361C7D3" w14:textId="2CD214C0" w:rsidR="00434F27" w:rsidRDefault="005372E1" w:rsidP="00434F27">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Pharynx, Urethra and rectum</w:t>
            </w:r>
          </w:p>
        </w:tc>
        <w:tc>
          <w:tcPr>
            <w:tcW w:w="1812" w:type="dxa"/>
          </w:tcPr>
          <w:p w14:paraId="193BCCEF" w14:textId="155660CE" w:rsidR="00434F27" w:rsidRDefault="00751DAD" w:rsidP="00434F27">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21.67</w:t>
            </w:r>
            <w:r w:rsidR="00DF7A69">
              <w:rPr>
                <w:rFonts w:cstheme="minorHAnsi"/>
                <w:b/>
                <w:sz w:val="24"/>
                <w:szCs w:val="24"/>
                <w:lang w:val="en-US"/>
              </w:rPr>
              <w:t xml:space="preserve"> %</w:t>
            </w:r>
          </w:p>
        </w:tc>
        <w:tc>
          <w:tcPr>
            <w:tcW w:w="1813" w:type="dxa"/>
          </w:tcPr>
          <w:p w14:paraId="2631BA27" w14:textId="74959676" w:rsidR="00434F27" w:rsidRDefault="00751DAD" w:rsidP="00434F27">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48.40</w:t>
            </w:r>
            <w:r w:rsidR="00DF7A69">
              <w:rPr>
                <w:rFonts w:cstheme="minorHAnsi"/>
                <w:b/>
                <w:sz w:val="24"/>
                <w:szCs w:val="24"/>
                <w:lang w:val="en-US"/>
              </w:rPr>
              <w:t xml:space="preserve"> %</w:t>
            </w:r>
          </w:p>
        </w:tc>
      </w:tr>
      <w:tr w:rsidR="00434F27" w14:paraId="69A5CBD3" w14:textId="77777777" w:rsidTr="00663D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14EA5DF9" w14:textId="7281A7A7" w:rsidR="00434F27" w:rsidRDefault="00434F27" w:rsidP="00434F27">
            <w:pPr>
              <w:rPr>
                <w:rFonts w:cstheme="minorHAnsi"/>
                <w:b w:val="0"/>
                <w:sz w:val="24"/>
                <w:szCs w:val="24"/>
                <w:lang w:val="en-US"/>
              </w:rPr>
            </w:pPr>
            <w:r>
              <w:rPr>
                <w:rFonts w:cstheme="minorHAnsi"/>
                <w:sz w:val="24"/>
                <w:szCs w:val="24"/>
                <w:lang w:val="en-US"/>
              </w:rPr>
              <w:t>More than 15 partners</w:t>
            </w:r>
          </w:p>
        </w:tc>
        <w:tc>
          <w:tcPr>
            <w:tcW w:w="3743" w:type="dxa"/>
          </w:tcPr>
          <w:p w14:paraId="7E23E176" w14:textId="7BDEB9D9" w:rsidR="00434F27" w:rsidRDefault="00434F27" w:rsidP="00434F27">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Sex role: Insertive</w:t>
            </w:r>
          </w:p>
        </w:tc>
        <w:tc>
          <w:tcPr>
            <w:tcW w:w="1812" w:type="dxa"/>
          </w:tcPr>
          <w:p w14:paraId="418D5B10" w14:textId="30D0ABFE" w:rsidR="00434F27" w:rsidRDefault="001D25D6" w:rsidP="00434F27">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35.52</w:t>
            </w:r>
            <w:r w:rsidR="00DF7A69">
              <w:rPr>
                <w:rFonts w:cstheme="minorHAnsi"/>
                <w:b/>
                <w:sz w:val="24"/>
                <w:szCs w:val="24"/>
                <w:lang w:val="en-US"/>
              </w:rPr>
              <w:t xml:space="preserve"> %</w:t>
            </w:r>
          </w:p>
        </w:tc>
        <w:tc>
          <w:tcPr>
            <w:tcW w:w="1813" w:type="dxa"/>
          </w:tcPr>
          <w:p w14:paraId="66EB3D91" w14:textId="591B3A6A" w:rsidR="00434F27" w:rsidRDefault="001D25D6" w:rsidP="00434F27">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37.72</w:t>
            </w:r>
            <w:r w:rsidR="00DF7A69">
              <w:rPr>
                <w:rFonts w:cstheme="minorHAnsi"/>
                <w:b/>
                <w:sz w:val="24"/>
                <w:szCs w:val="24"/>
                <w:lang w:val="en-US"/>
              </w:rPr>
              <w:t xml:space="preserve"> %</w:t>
            </w:r>
          </w:p>
        </w:tc>
      </w:tr>
      <w:tr w:rsidR="00434F27" w14:paraId="5BC4A657" w14:textId="77777777" w:rsidTr="00663D8D">
        <w:tc>
          <w:tcPr>
            <w:cnfStyle w:val="001000000000" w:firstRow="0" w:lastRow="0" w:firstColumn="1" w:lastColumn="0" w:oddVBand="0" w:evenVBand="0" w:oddHBand="0" w:evenHBand="0" w:firstRowFirstColumn="0" w:firstRowLastColumn="0" w:lastRowFirstColumn="0" w:lastRowLastColumn="0"/>
            <w:tcW w:w="1812" w:type="dxa"/>
          </w:tcPr>
          <w:p w14:paraId="27860282" w14:textId="77777777" w:rsidR="00434F27" w:rsidRDefault="00434F27" w:rsidP="00434F27">
            <w:pPr>
              <w:rPr>
                <w:rFonts w:cstheme="minorHAnsi"/>
                <w:b w:val="0"/>
                <w:sz w:val="24"/>
                <w:szCs w:val="24"/>
                <w:lang w:val="en-US"/>
              </w:rPr>
            </w:pPr>
          </w:p>
        </w:tc>
        <w:tc>
          <w:tcPr>
            <w:tcW w:w="3743" w:type="dxa"/>
          </w:tcPr>
          <w:p w14:paraId="5B1AF43D" w14:textId="2A8CA56E" w:rsidR="00434F27" w:rsidRDefault="00434F27" w:rsidP="00434F27">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Receptive</w:t>
            </w:r>
          </w:p>
        </w:tc>
        <w:tc>
          <w:tcPr>
            <w:tcW w:w="1812" w:type="dxa"/>
          </w:tcPr>
          <w:p w14:paraId="3418BF26" w14:textId="0E5E06D2" w:rsidR="00434F27" w:rsidRDefault="001D25D6" w:rsidP="00434F27">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49.20</w:t>
            </w:r>
            <w:r w:rsidR="00DF7A69">
              <w:rPr>
                <w:rFonts w:cstheme="minorHAnsi"/>
                <w:b/>
                <w:sz w:val="24"/>
                <w:szCs w:val="24"/>
                <w:lang w:val="en-US"/>
              </w:rPr>
              <w:t xml:space="preserve"> %</w:t>
            </w:r>
          </w:p>
        </w:tc>
        <w:tc>
          <w:tcPr>
            <w:tcW w:w="1813" w:type="dxa"/>
          </w:tcPr>
          <w:p w14:paraId="3469D95D" w14:textId="1A53A2EE" w:rsidR="00434F27" w:rsidRDefault="001D25D6" w:rsidP="00434F27">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39.28</w:t>
            </w:r>
            <w:r w:rsidR="00DF7A69">
              <w:rPr>
                <w:rFonts w:cstheme="minorHAnsi"/>
                <w:b/>
                <w:sz w:val="24"/>
                <w:szCs w:val="24"/>
                <w:lang w:val="en-US"/>
              </w:rPr>
              <w:t xml:space="preserve"> %</w:t>
            </w:r>
          </w:p>
        </w:tc>
      </w:tr>
      <w:tr w:rsidR="00434F27" w14:paraId="13CCD103" w14:textId="77777777" w:rsidTr="00663D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728ECF88" w14:textId="77777777" w:rsidR="00434F27" w:rsidRDefault="00434F27" w:rsidP="00434F27">
            <w:pPr>
              <w:rPr>
                <w:rFonts w:cstheme="minorHAnsi"/>
                <w:b w:val="0"/>
                <w:sz w:val="24"/>
                <w:szCs w:val="24"/>
                <w:lang w:val="en-US"/>
              </w:rPr>
            </w:pPr>
          </w:p>
        </w:tc>
        <w:tc>
          <w:tcPr>
            <w:tcW w:w="3743" w:type="dxa"/>
          </w:tcPr>
          <w:p w14:paraId="6BBC8CBD" w14:textId="70B34081" w:rsidR="00434F27" w:rsidRDefault="00434F27" w:rsidP="00434F27">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Versatile</w:t>
            </w:r>
          </w:p>
        </w:tc>
        <w:tc>
          <w:tcPr>
            <w:tcW w:w="1812" w:type="dxa"/>
          </w:tcPr>
          <w:p w14:paraId="3B702413" w14:textId="4A27774D" w:rsidR="00434F27" w:rsidRDefault="001D25D6" w:rsidP="00434F27">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15.29</w:t>
            </w:r>
            <w:r w:rsidR="00DF7A69">
              <w:rPr>
                <w:rFonts w:cstheme="minorHAnsi"/>
                <w:b/>
                <w:sz w:val="24"/>
                <w:szCs w:val="24"/>
                <w:lang w:val="en-US"/>
              </w:rPr>
              <w:t xml:space="preserve"> %</w:t>
            </w:r>
          </w:p>
        </w:tc>
        <w:tc>
          <w:tcPr>
            <w:tcW w:w="1813" w:type="dxa"/>
          </w:tcPr>
          <w:p w14:paraId="5824B8A7" w14:textId="1DAF8B89" w:rsidR="00434F27" w:rsidRDefault="001D25D6" w:rsidP="00434F27">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23.00</w:t>
            </w:r>
            <w:r w:rsidR="00DF7A69">
              <w:rPr>
                <w:rFonts w:cstheme="minorHAnsi"/>
                <w:b/>
                <w:sz w:val="24"/>
                <w:szCs w:val="24"/>
                <w:lang w:val="en-US"/>
              </w:rPr>
              <w:t xml:space="preserve"> %</w:t>
            </w:r>
          </w:p>
        </w:tc>
      </w:tr>
      <w:tr w:rsidR="005372E1" w14:paraId="393D6E7E" w14:textId="77777777" w:rsidTr="00663D8D">
        <w:tc>
          <w:tcPr>
            <w:cnfStyle w:val="001000000000" w:firstRow="0" w:lastRow="0" w:firstColumn="1" w:lastColumn="0" w:oddVBand="0" w:evenVBand="0" w:oddHBand="0" w:evenHBand="0" w:firstRowFirstColumn="0" w:firstRowLastColumn="0" w:lastRowFirstColumn="0" w:lastRowLastColumn="0"/>
            <w:tcW w:w="1812" w:type="dxa"/>
          </w:tcPr>
          <w:p w14:paraId="1982A765" w14:textId="77777777" w:rsidR="005372E1" w:rsidRDefault="005372E1" w:rsidP="005372E1">
            <w:pPr>
              <w:rPr>
                <w:rFonts w:cstheme="minorHAnsi"/>
                <w:b w:val="0"/>
                <w:sz w:val="24"/>
                <w:szCs w:val="24"/>
                <w:lang w:val="en-US"/>
              </w:rPr>
            </w:pPr>
          </w:p>
        </w:tc>
        <w:tc>
          <w:tcPr>
            <w:tcW w:w="3743" w:type="dxa"/>
          </w:tcPr>
          <w:p w14:paraId="445C7D1F" w14:textId="679863DD" w:rsidR="005372E1" w:rsidRDefault="005372E1" w:rsidP="005372E1">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Consistent condom users</w:t>
            </w:r>
          </w:p>
        </w:tc>
        <w:tc>
          <w:tcPr>
            <w:tcW w:w="1812" w:type="dxa"/>
          </w:tcPr>
          <w:p w14:paraId="2B38E747" w14:textId="4C6CB129" w:rsidR="005372E1" w:rsidRDefault="0018491F" w:rsidP="005372E1">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45.74</w:t>
            </w:r>
            <w:r w:rsidR="00DF7A69">
              <w:rPr>
                <w:rFonts w:cstheme="minorHAnsi"/>
                <w:b/>
                <w:sz w:val="24"/>
                <w:szCs w:val="24"/>
                <w:lang w:val="en-US"/>
              </w:rPr>
              <w:t xml:space="preserve"> %</w:t>
            </w:r>
          </w:p>
        </w:tc>
        <w:tc>
          <w:tcPr>
            <w:tcW w:w="1813" w:type="dxa"/>
          </w:tcPr>
          <w:p w14:paraId="410D608A" w14:textId="2681900F" w:rsidR="005372E1" w:rsidRDefault="004F23C3" w:rsidP="005372E1">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29.46</w:t>
            </w:r>
            <w:r w:rsidR="00DF7A69">
              <w:rPr>
                <w:rFonts w:cstheme="minorHAnsi"/>
                <w:b/>
                <w:sz w:val="24"/>
                <w:szCs w:val="24"/>
                <w:lang w:val="en-US"/>
              </w:rPr>
              <w:t xml:space="preserve"> %</w:t>
            </w:r>
          </w:p>
        </w:tc>
      </w:tr>
      <w:tr w:rsidR="005372E1" w14:paraId="72720F5D" w14:textId="77777777" w:rsidTr="00663D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1FA1E483" w14:textId="77777777" w:rsidR="005372E1" w:rsidRDefault="005372E1" w:rsidP="005372E1">
            <w:pPr>
              <w:rPr>
                <w:rFonts w:cstheme="minorHAnsi"/>
                <w:b w:val="0"/>
                <w:sz w:val="24"/>
                <w:szCs w:val="24"/>
                <w:lang w:val="en-US"/>
              </w:rPr>
            </w:pPr>
          </w:p>
        </w:tc>
        <w:tc>
          <w:tcPr>
            <w:tcW w:w="3743" w:type="dxa"/>
          </w:tcPr>
          <w:p w14:paraId="20C83A3A" w14:textId="5C3BF5CB" w:rsidR="005372E1" w:rsidRDefault="005372E1" w:rsidP="005372E1">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Never screen for STIs</w:t>
            </w:r>
          </w:p>
        </w:tc>
        <w:tc>
          <w:tcPr>
            <w:tcW w:w="1812" w:type="dxa"/>
          </w:tcPr>
          <w:p w14:paraId="3C6E853C" w14:textId="162FB842" w:rsidR="005372E1" w:rsidRDefault="008040C6" w:rsidP="005372E1">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31.61</w:t>
            </w:r>
            <w:r w:rsidR="00DF7A69">
              <w:rPr>
                <w:rFonts w:cstheme="minorHAnsi"/>
                <w:b/>
                <w:sz w:val="24"/>
                <w:szCs w:val="24"/>
                <w:lang w:val="en-US"/>
              </w:rPr>
              <w:t xml:space="preserve"> %</w:t>
            </w:r>
          </w:p>
        </w:tc>
        <w:tc>
          <w:tcPr>
            <w:tcW w:w="1813" w:type="dxa"/>
          </w:tcPr>
          <w:p w14:paraId="76FA112E" w14:textId="73539007" w:rsidR="005372E1" w:rsidRDefault="008040C6" w:rsidP="005372E1">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9.55</w:t>
            </w:r>
            <w:r w:rsidR="00DF7A69">
              <w:rPr>
                <w:rFonts w:cstheme="minorHAnsi"/>
                <w:b/>
                <w:sz w:val="24"/>
                <w:szCs w:val="24"/>
                <w:lang w:val="en-US"/>
              </w:rPr>
              <w:t xml:space="preserve"> %</w:t>
            </w:r>
          </w:p>
        </w:tc>
      </w:tr>
      <w:tr w:rsidR="005372E1" w14:paraId="5340A821" w14:textId="77777777" w:rsidTr="00663D8D">
        <w:tc>
          <w:tcPr>
            <w:cnfStyle w:val="001000000000" w:firstRow="0" w:lastRow="0" w:firstColumn="1" w:lastColumn="0" w:oddVBand="0" w:evenVBand="0" w:oddHBand="0" w:evenHBand="0" w:firstRowFirstColumn="0" w:firstRowLastColumn="0" w:lastRowFirstColumn="0" w:lastRowLastColumn="0"/>
            <w:tcW w:w="1812" w:type="dxa"/>
          </w:tcPr>
          <w:p w14:paraId="715BABDE" w14:textId="77777777" w:rsidR="005372E1" w:rsidRDefault="005372E1" w:rsidP="005372E1">
            <w:pPr>
              <w:rPr>
                <w:rFonts w:cstheme="minorHAnsi"/>
                <w:b w:val="0"/>
                <w:sz w:val="24"/>
                <w:szCs w:val="24"/>
                <w:lang w:val="en-US"/>
              </w:rPr>
            </w:pPr>
          </w:p>
        </w:tc>
        <w:tc>
          <w:tcPr>
            <w:tcW w:w="3743" w:type="dxa"/>
          </w:tcPr>
          <w:p w14:paraId="64DD558A" w14:textId="035144CA" w:rsidR="005372E1" w:rsidRDefault="005372E1" w:rsidP="005372E1">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STI screening in the previous 12 months</w:t>
            </w:r>
          </w:p>
        </w:tc>
        <w:tc>
          <w:tcPr>
            <w:tcW w:w="1812" w:type="dxa"/>
          </w:tcPr>
          <w:p w14:paraId="1A276C92" w14:textId="1976581E" w:rsidR="005372E1" w:rsidRDefault="002C29A8" w:rsidP="005372E1">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70.56</w:t>
            </w:r>
            <w:r w:rsidR="00DF7A69">
              <w:rPr>
                <w:rFonts w:cstheme="minorHAnsi"/>
                <w:b/>
                <w:sz w:val="24"/>
                <w:szCs w:val="24"/>
                <w:lang w:val="en-US"/>
              </w:rPr>
              <w:t xml:space="preserve"> %</w:t>
            </w:r>
          </w:p>
        </w:tc>
        <w:tc>
          <w:tcPr>
            <w:tcW w:w="1813" w:type="dxa"/>
          </w:tcPr>
          <w:p w14:paraId="757CE3EB" w14:textId="0B9846C1" w:rsidR="005372E1" w:rsidRDefault="007B4D5E" w:rsidP="005372E1">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86.97</w:t>
            </w:r>
            <w:r w:rsidR="00DF7A69">
              <w:rPr>
                <w:rFonts w:cstheme="minorHAnsi"/>
                <w:b/>
                <w:sz w:val="24"/>
                <w:szCs w:val="24"/>
                <w:lang w:val="en-US"/>
              </w:rPr>
              <w:t xml:space="preserve"> %</w:t>
            </w:r>
          </w:p>
        </w:tc>
      </w:tr>
      <w:tr w:rsidR="005372E1" w14:paraId="3945CDF9" w14:textId="77777777" w:rsidTr="00663D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487B3156" w14:textId="77777777" w:rsidR="005372E1" w:rsidRDefault="005372E1" w:rsidP="005372E1">
            <w:pPr>
              <w:rPr>
                <w:rFonts w:cstheme="minorHAnsi"/>
                <w:b w:val="0"/>
                <w:sz w:val="24"/>
                <w:szCs w:val="24"/>
                <w:lang w:val="en-US"/>
              </w:rPr>
            </w:pPr>
          </w:p>
        </w:tc>
        <w:tc>
          <w:tcPr>
            <w:tcW w:w="3743" w:type="dxa"/>
          </w:tcPr>
          <w:p w14:paraId="39209EC3" w14:textId="5FC8BD44" w:rsidR="005372E1" w:rsidRDefault="005372E1" w:rsidP="005372E1">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STI screening in the previous 6 months</w:t>
            </w:r>
          </w:p>
        </w:tc>
        <w:tc>
          <w:tcPr>
            <w:tcW w:w="1812" w:type="dxa"/>
          </w:tcPr>
          <w:p w14:paraId="3377759C" w14:textId="68A54C88" w:rsidR="005372E1" w:rsidRDefault="00184399" w:rsidP="005372E1">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50.84</w:t>
            </w:r>
            <w:r w:rsidR="00DF7A69">
              <w:rPr>
                <w:rFonts w:cstheme="minorHAnsi"/>
                <w:b/>
                <w:sz w:val="24"/>
                <w:szCs w:val="24"/>
                <w:lang w:val="en-US"/>
              </w:rPr>
              <w:t xml:space="preserve"> %</w:t>
            </w:r>
          </w:p>
        </w:tc>
        <w:tc>
          <w:tcPr>
            <w:tcW w:w="1813" w:type="dxa"/>
          </w:tcPr>
          <w:p w14:paraId="08E7A230" w14:textId="3A1269F4" w:rsidR="005372E1" w:rsidRDefault="00CC0668" w:rsidP="005372E1">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73.39</w:t>
            </w:r>
            <w:r w:rsidR="00DF7A69">
              <w:rPr>
                <w:rFonts w:cstheme="minorHAnsi"/>
                <w:b/>
                <w:sz w:val="24"/>
                <w:szCs w:val="24"/>
                <w:lang w:val="en-US"/>
              </w:rPr>
              <w:t xml:space="preserve"> %</w:t>
            </w:r>
          </w:p>
        </w:tc>
      </w:tr>
      <w:tr w:rsidR="005372E1" w14:paraId="0DCF8580" w14:textId="77777777" w:rsidTr="00663D8D">
        <w:tc>
          <w:tcPr>
            <w:cnfStyle w:val="001000000000" w:firstRow="0" w:lastRow="0" w:firstColumn="1" w:lastColumn="0" w:oddVBand="0" w:evenVBand="0" w:oddHBand="0" w:evenHBand="0" w:firstRowFirstColumn="0" w:firstRowLastColumn="0" w:lastRowFirstColumn="0" w:lastRowLastColumn="0"/>
            <w:tcW w:w="1812" w:type="dxa"/>
          </w:tcPr>
          <w:p w14:paraId="5530C5D5" w14:textId="77777777" w:rsidR="005372E1" w:rsidRDefault="005372E1" w:rsidP="005372E1">
            <w:pPr>
              <w:rPr>
                <w:rFonts w:cstheme="minorHAnsi"/>
                <w:b w:val="0"/>
                <w:sz w:val="24"/>
                <w:szCs w:val="24"/>
                <w:lang w:val="en-US"/>
              </w:rPr>
            </w:pPr>
          </w:p>
        </w:tc>
        <w:tc>
          <w:tcPr>
            <w:tcW w:w="3743" w:type="dxa"/>
          </w:tcPr>
          <w:p w14:paraId="4B226BF2" w14:textId="3311C946" w:rsidR="005372E1" w:rsidRDefault="005372E1" w:rsidP="005372E1">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Screening sites: Urethra only</w:t>
            </w:r>
          </w:p>
        </w:tc>
        <w:tc>
          <w:tcPr>
            <w:tcW w:w="1812" w:type="dxa"/>
          </w:tcPr>
          <w:p w14:paraId="02940E84" w14:textId="7D051F16" w:rsidR="005372E1" w:rsidRDefault="008B0F58" w:rsidP="005372E1">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49.90</w:t>
            </w:r>
            <w:r w:rsidR="00DF7A69">
              <w:rPr>
                <w:rFonts w:cstheme="minorHAnsi"/>
                <w:b/>
                <w:sz w:val="24"/>
                <w:szCs w:val="24"/>
                <w:lang w:val="en-US"/>
              </w:rPr>
              <w:t xml:space="preserve"> %</w:t>
            </w:r>
          </w:p>
        </w:tc>
        <w:tc>
          <w:tcPr>
            <w:tcW w:w="1813" w:type="dxa"/>
          </w:tcPr>
          <w:p w14:paraId="04FD8B24" w14:textId="621C6BB4" w:rsidR="005372E1" w:rsidRDefault="008B0F58" w:rsidP="005372E1">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70.55</w:t>
            </w:r>
            <w:r w:rsidR="00DF7A69">
              <w:rPr>
                <w:rFonts w:cstheme="minorHAnsi"/>
                <w:b/>
                <w:sz w:val="24"/>
                <w:szCs w:val="24"/>
                <w:lang w:val="en-US"/>
              </w:rPr>
              <w:t xml:space="preserve"> %</w:t>
            </w:r>
          </w:p>
        </w:tc>
      </w:tr>
      <w:tr w:rsidR="005372E1" w14:paraId="1A2340C0" w14:textId="77777777" w:rsidTr="00663D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6846D964" w14:textId="77777777" w:rsidR="005372E1" w:rsidRDefault="005372E1" w:rsidP="005372E1">
            <w:pPr>
              <w:rPr>
                <w:rFonts w:cstheme="minorHAnsi"/>
                <w:b w:val="0"/>
                <w:sz w:val="24"/>
                <w:szCs w:val="24"/>
                <w:lang w:val="en-US"/>
              </w:rPr>
            </w:pPr>
          </w:p>
        </w:tc>
        <w:tc>
          <w:tcPr>
            <w:tcW w:w="3743" w:type="dxa"/>
          </w:tcPr>
          <w:p w14:paraId="010EC672" w14:textId="4C635EAA" w:rsidR="005372E1" w:rsidRDefault="005372E1" w:rsidP="005372E1">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Pharynx and/or rectum</w:t>
            </w:r>
          </w:p>
        </w:tc>
        <w:tc>
          <w:tcPr>
            <w:tcW w:w="1812" w:type="dxa"/>
          </w:tcPr>
          <w:p w14:paraId="2EDFB338" w14:textId="2850054C" w:rsidR="005372E1" w:rsidRDefault="008B0F58" w:rsidP="005372E1">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3.07</w:t>
            </w:r>
            <w:r w:rsidR="00DF7A69">
              <w:rPr>
                <w:rFonts w:cstheme="minorHAnsi"/>
                <w:b/>
                <w:sz w:val="24"/>
                <w:szCs w:val="24"/>
                <w:lang w:val="en-US"/>
              </w:rPr>
              <w:t xml:space="preserve"> %</w:t>
            </w:r>
          </w:p>
        </w:tc>
        <w:tc>
          <w:tcPr>
            <w:tcW w:w="1813" w:type="dxa"/>
          </w:tcPr>
          <w:p w14:paraId="56EB40D6" w14:textId="72D661E3" w:rsidR="005372E1" w:rsidRDefault="008B0F58" w:rsidP="005372E1">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2.00</w:t>
            </w:r>
            <w:r w:rsidR="00DF7A69">
              <w:rPr>
                <w:rFonts w:cstheme="minorHAnsi"/>
                <w:b/>
                <w:sz w:val="24"/>
                <w:szCs w:val="24"/>
                <w:lang w:val="en-US"/>
              </w:rPr>
              <w:t xml:space="preserve"> %</w:t>
            </w:r>
          </w:p>
        </w:tc>
      </w:tr>
      <w:tr w:rsidR="005372E1" w14:paraId="79926B95" w14:textId="77777777" w:rsidTr="00663D8D">
        <w:tc>
          <w:tcPr>
            <w:cnfStyle w:val="001000000000" w:firstRow="0" w:lastRow="0" w:firstColumn="1" w:lastColumn="0" w:oddVBand="0" w:evenVBand="0" w:oddHBand="0" w:evenHBand="0" w:firstRowFirstColumn="0" w:firstRowLastColumn="0" w:lastRowFirstColumn="0" w:lastRowLastColumn="0"/>
            <w:tcW w:w="1812" w:type="dxa"/>
          </w:tcPr>
          <w:p w14:paraId="673E073A" w14:textId="77777777" w:rsidR="005372E1" w:rsidRDefault="005372E1" w:rsidP="005372E1">
            <w:pPr>
              <w:rPr>
                <w:rFonts w:cstheme="minorHAnsi"/>
                <w:b w:val="0"/>
                <w:sz w:val="24"/>
                <w:szCs w:val="24"/>
                <w:lang w:val="en-US"/>
              </w:rPr>
            </w:pPr>
          </w:p>
        </w:tc>
        <w:tc>
          <w:tcPr>
            <w:tcW w:w="3743" w:type="dxa"/>
          </w:tcPr>
          <w:p w14:paraId="51A83754" w14:textId="1B33909A" w:rsidR="005372E1" w:rsidRDefault="005372E1" w:rsidP="005372E1">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Pharynx, Urethra and rectum</w:t>
            </w:r>
          </w:p>
        </w:tc>
        <w:tc>
          <w:tcPr>
            <w:tcW w:w="1812" w:type="dxa"/>
          </w:tcPr>
          <w:p w14:paraId="3D5F63A3" w14:textId="422A9B8A" w:rsidR="005372E1" w:rsidRDefault="008B0F58" w:rsidP="005372E1">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47.03</w:t>
            </w:r>
            <w:r w:rsidR="00DF7A69">
              <w:rPr>
                <w:rFonts w:cstheme="minorHAnsi"/>
                <w:b/>
                <w:sz w:val="24"/>
                <w:szCs w:val="24"/>
                <w:lang w:val="en-US"/>
              </w:rPr>
              <w:t xml:space="preserve"> %</w:t>
            </w:r>
          </w:p>
        </w:tc>
        <w:tc>
          <w:tcPr>
            <w:tcW w:w="1813" w:type="dxa"/>
          </w:tcPr>
          <w:p w14:paraId="0F7E410E" w14:textId="3BAC86F7" w:rsidR="005372E1" w:rsidRDefault="008B0F58" w:rsidP="005372E1">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27.45</w:t>
            </w:r>
            <w:r w:rsidR="00DF7A69">
              <w:rPr>
                <w:rFonts w:cstheme="minorHAnsi"/>
                <w:b/>
                <w:sz w:val="24"/>
                <w:szCs w:val="24"/>
                <w:lang w:val="en-US"/>
              </w:rPr>
              <w:t xml:space="preserve"> %</w:t>
            </w:r>
          </w:p>
        </w:tc>
      </w:tr>
      <w:tr w:rsidR="005372E1" w14:paraId="0E4F57C2" w14:textId="77777777" w:rsidTr="00663D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040E5D05" w14:textId="26286EF9" w:rsidR="005372E1" w:rsidRDefault="005372E1" w:rsidP="005372E1">
            <w:pPr>
              <w:rPr>
                <w:rFonts w:cstheme="minorHAnsi"/>
                <w:b w:val="0"/>
                <w:sz w:val="24"/>
                <w:szCs w:val="24"/>
                <w:lang w:val="en-US"/>
              </w:rPr>
            </w:pPr>
            <w:r>
              <w:rPr>
                <w:rFonts w:cstheme="minorHAnsi"/>
                <w:sz w:val="24"/>
                <w:szCs w:val="24"/>
                <w:lang w:val="en-US"/>
              </w:rPr>
              <w:lastRenderedPageBreak/>
              <w:t>More than 15 casual partners</w:t>
            </w:r>
          </w:p>
        </w:tc>
        <w:tc>
          <w:tcPr>
            <w:tcW w:w="3743" w:type="dxa"/>
          </w:tcPr>
          <w:p w14:paraId="36133EC4" w14:textId="42153D76" w:rsidR="005372E1" w:rsidRDefault="005372E1" w:rsidP="005372E1">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Sex role: Insertive</w:t>
            </w:r>
          </w:p>
        </w:tc>
        <w:tc>
          <w:tcPr>
            <w:tcW w:w="1812" w:type="dxa"/>
          </w:tcPr>
          <w:p w14:paraId="1B5BB6A7" w14:textId="2F01AE72" w:rsidR="005372E1" w:rsidRDefault="005372E1" w:rsidP="005372E1">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35.79</w:t>
            </w:r>
            <w:r w:rsidR="00DF7A69">
              <w:rPr>
                <w:rFonts w:cstheme="minorHAnsi"/>
                <w:b/>
                <w:sz w:val="24"/>
                <w:szCs w:val="24"/>
                <w:lang w:val="en-US"/>
              </w:rPr>
              <w:t xml:space="preserve"> %</w:t>
            </w:r>
          </w:p>
        </w:tc>
        <w:tc>
          <w:tcPr>
            <w:tcW w:w="1813" w:type="dxa"/>
          </w:tcPr>
          <w:p w14:paraId="287AE927" w14:textId="296F9A6F" w:rsidR="005372E1" w:rsidRDefault="005372E1" w:rsidP="005372E1">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37.48</w:t>
            </w:r>
            <w:r w:rsidR="00DF7A69">
              <w:rPr>
                <w:rFonts w:cstheme="minorHAnsi"/>
                <w:b/>
                <w:sz w:val="24"/>
                <w:szCs w:val="24"/>
                <w:lang w:val="en-US"/>
              </w:rPr>
              <w:t xml:space="preserve"> %</w:t>
            </w:r>
          </w:p>
        </w:tc>
      </w:tr>
      <w:tr w:rsidR="005372E1" w14:paraId="09A9EA14" w14:textId="77777777" w:rsidTr="00663D8D">
        <w:tc>
          <w:tcPr>
            <w:cnfStyle w:val="001000000000" w:firstRow="0" w:lastRow="0" w:firstColumn="1" w:lastColumn="0" w:oddVBand="0" w:evenVBand="0" w:oddHBand="0" w:evenHBand="0" w:firstRowFirstColumn="0" w:firstRowLastColumn="0" w:lastRowFirstColumn="0" w:lastRowLastColumn="0"/>
            <w:tcW w:w="1812" w:type="dxa"/>
          </w:tcPr>
          <w:p w14:paraId="499DD995" w14:textId="77777777" w:rsidR="005372E1" w:rsidRDefault="005372E1" w:rsidP="005372E1">
            <w:pPr>
              <w:rPr>
                <w:rFonts w:cstheme="minorHAnsi"/>
                <w:b w:val="0"/>
                <w:sz w:val="24"/>
                <w:szCs w:val="24"/>
                <w:lang w:val="en-US"/>
              </w:rPr>
            </w:pPr>
          </w:p>
        </w:tc>
        <w:tc>
          <w:tcPr>
            <w:tcW w:w="3743" w:type="dxa"/>
          </w:tcPr>
          <w:p w14:paraId="47B0F6FB" w14:textId="43E3AC9C" w:rsidR="005372E1" w:rsidRDefault="005372E1" w:rsidP="005372E1">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Receptive</w:t>
            </w:r>
          </w:p>
        </w:tc>
        <w:tc>
          <w:tcPr>
            <w:tcW w:w="1812" w:type="dxa"/>
          </w:tcPr>
          <w:p w14:paraId="6AFFCA75" w14:textId="407CE968" w:rsidR="005372E1" w:rsidRDefault="005372E1" w:rsidP="005372E1">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48.16</w:t>
            </w:r>
            <w:r w:rsidR="00DF7A69">
              <w:rPr>
                <w:rFonts w:cstheme="minorHAnsi"/>
                <w:b/>
                <w:sz w:val="24"/>
                <w:szCs w:val="24"/>
                <w:lang w:val="en-US"/>
              </w:rPr>
              <w:t xml:space="preserve"> %</w:t>
            </w:r>
          </w:p>
        </w:tc>
        <w:tc>
          <w:tcPr>
            <w:tcW w:w="1813" w:type="dxa"/>
          </w:tcPr>
          <w:p w14:paraId="7206CB15" w14:textId="57EA5BFA" w:rsidR="005372E1" w:rsidRDefault="005372E1" w:rsidP="005372E1">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40.03</w:t>
            </w:r>
            <w:r w:rsidR="00DF7A69">
              <w:rPr>
                <w:rFonts w:cstheme="minorHAnsi"/>
                <w:b/>
                <w:sz w:val="24"/>
                <w:szCs w:val="24"/>
                <w:lang w:val="en-US"/>
              </w:rPr>
              <w:t xml:space="preserve"> %</w:t>
            </w:r>
          </w:p>
        </w:tc>
      </w:tr>
      <w:tr w:rsidR="005372E1" w14:paraId="6C5CB0AC" w14:textId="77777777" w:rsidTr="00663D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321AC442" w14:textId="77777777" w:rsidR="005372E1" w:rsidRDefault="005372E1" w:rsidP="005372E1">
            <w:pPr>
              <w:rPr>
                <w:rFonts w:cstheme="minorHAnsi"/>
                <w:b w:val="0"/>
                <w:sz w:val="24"/>
                <w:szCs w:val="24"/>
                <w:lang w:val="en-US"/>
              </w:rPr>
            </w:pPr>
          </w:p>
        </w:tc>
        <w:tc>
          <w:tcPr>
            <w:tcW w:w="3743" w:type="dxa"/>
          </w:tcPr>
          <w:p w14:paraId="47E7EF0B" w14:textId="1061C739" w:rsidR="005372E1" w:rsidRDefault="005372E1" w:rsidP="005372E1">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Versatile</w:t>
            </w:r>
          </w:p>
        </w:tc>
        <w:tc>
          <w:tcPr>
            <w:tcW w:w="1812" w:type="dxa"/>
          </w:tcPr>
          <w:p w14:paraId="27CA5562" w14:textId="2D0EEE19" w:rsidR="005372E1" w:rsidRDefault="005372E1" w:rsidP="005372E1">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16.05</w:t>
            </w:r>
            <w:r w:rsidR="00DF7A69">
              <w:rPr>
                <w:rFonts w:cstheme="minorHAnsi"/>
                <w:b/>
                <w:sz w:val="24"/>
                <w:szCs w:val="24"/>
                <w:lang w:val="en-US"/>
              </w:rPr>
              <w:t xml:space="preserve"> %</w:t>
            </w:r>
          </w:p>
        </w:tc>
        <w:tc>
          <w:tcPr>
            <w:tcW w:w="1813" w:type="dxa"/>
          </w:tcPr>
          <w:p w14:paraId="183A6905" w14:textId="1B1BA445" w:rsidR="005372E1" w:rsidRDefault="005372E1" w:rsidP="005372E1">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22.49</w:t>
            </w:r>
            <w:r w:rsidR="00DF7A69">
              <w:rPr>
                <w:rFonts w:cstheme="minorHAnsi"/>
                <w:b/>
                <w:sz w:val="24"/>
                <w:szCs w:val="24"/>
                <w:lang w:val="en-US"/>
              </w:rPr>
              <w:t xml:space="preserve"> %</w:t>
            </w:r>
          </w:p>
        </w:tc>
      </w:tr>
      <w:tr w:rsidR="005372E1" w14:paraId="7E7F67E5" w14:textId="77777777" w:rsidTr="00663D8D">
        <w:tc>
          <w:tcPr>
            <w:cnfStyle w:val="001000000000" w:firstRow="0" w:lastRow="0" w:firstColumn="1" w:lastColumn="0" w:oddVBand="0" w:evenVBand="0" w:oddHBand="0" w:evenHBand="0" w:firstRowFirstColumn="0" w:firstRowLastColumn="0" w:lastRowFirstColumn="0" w:lastRowLastColumn="0"/>
            <w:tcW w:w="1812" w:type="dxa"/>
          </w:tcPr>
          <w:p w14:paraId="15894E2B" w14:textId="77777777" w:rsidR="005372E1" w:rsidRDefault="005372E1" w:rsidP="005372E1">
            <w:pPr>
              <w:rPr>
                <w:rFonts w:cstheme="minorHAnsi"/>
                <w:b w:val="0"/>
                <w:sz w:val="24"/>
                <w:szCs w:val="24"/>
                <w:lang w:val="en-US"/>
              </w:rPr>
            </w:pPr>
          </w:p>
        </w:tc>
        <w:tc>
          <w:tcPr>
            <w:tcW w:w="3743" w:type="dxa"/>
          </w:tcPr>
          <w:p w14:paraId="4F888BA8" w14:textId="732D33A9" w:rsidR="005372E1" w:rsidRDefault="005372E1" w:rsidP="005372E1">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Consistent condom users</w:t>
            </w:r>
          </w:p>
        </w:tc>
        <w:tc>
          <w:tcPr>
            <w:tcW w:w="1812" w:type="dxa"/>
          </w:tcPr>
          <w:p w14:paraId="4462832C" w14:textId="7508749F" w:rsidR="005372E1" w:rsidRDefault="0018491F" w:rsidP="005372E1">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44.87</w:t>
            </w:r>
            <w:r w:rsidR="00DF7A69">
              <w:rPr>
                <w:rFonts w:cstheme="minorHAnsi"/>
                <w:b/>
                <w:sz w:val="24"/>
                <w:szCs w:val="24"/>
                <w:lang w:val="en-US"/>
              </w:rPr>
              <w:t xml:space="preserve"> %</w:t>
            </w:r>
          </w:p>
        </w:tc>
        <w:tc>
          <w:tcPr>
            <w:tcW w:w="1813" w:type="dxa"/>
          </w:tcPr>
          <w:p w14:paraId="124F1258" w14:textId="6E5F1CA6" w:rsidR="005372E1" w:rsidRDefault="004F23C3" w:rsidP="005372E1">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29.53</w:t>
            </w:r>
            <w:r w:rsidR="00DF7A69">
              <w:rPr>
                <w:rFonts w:cstheme="minorHAnsi"/>
                <w:b/>
                <w:sz w:val="24"/>
                <w:szCs w:val="24"/>
                <w:lang w:val="en-US"/>
              </w:rPr>
              <w:t xml:space="preserve"> %</w:t>
            </w:r>
          </w:p>
        </w:tc>
      </w:tr>
      <w:tr w:rsidR="005372E1" w14:paraId="3BB8D766" w14:textId="77777777" w:rsidTr="00663D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02A87F02" w14:textId="77777777" w:rsidR="005372E1" w:rsidRDefault="005372E1" w:rsidP="005372E1">
            <w:pPr>
              <w:rPr>
                <w:rFonts w:cstheme="minorHAnsi"/>
                <w:b w:val="0"/>
                <w:sz w:val="24"/>
                <w:szCs w:val="24"/>
                <w:lang w:val="en-US"/>
              </w:rPr>
            </w:pPr>
          </w:p>
        </w:tc>
        <w:tc>
          <w:tcPr>
            <w:tcW w:w="3743" w:type="dxa"/>
          </w:tcPr>
          <w:p w14:paraId="151D3051" w14:textId="2823C864" w:rsidR="005372E1" w:rsidRDefault="005372E1" w:rsidP="005372E1">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Never screen for STIs</w:t>
            </w:r>
          </w:p>
        </w:tc>
        <w:tc>
          <w:tcPr>
            <w:tcW w:w="1812" w:type="dxa"/>
          </w:tcPr>
          <w:p w14:paraId="1BD35CEF" w14:textId="2D945792" w:rsidR="005372E1" w:rsidRDefault="008040C6" w:rsidP="005372E1">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31.03</w:t>
            </w:r>
            <w:r w:rsidR="00DF7A69">
              <w:rPr>
                <w:rFonts w:cstheme="minorHAnsi"/>
                <w:b/>
                <w:sz w:val="24"/>
                <w:szCs w:val="24"/>
                <w:lang w:val="en-US"/>
              </w:rPr>
              <w:t xml:space="preserve"> %</w:t>
            </w:r>
          </w:p>
        </w:tc>
        <w:tc>
          <w:tcPr>
            <w:tcW w:w="1813" w:type="dxa"/>
          </w:tcPr>
          <w:p w14:paraId="16A10E93" w14:textId="1C8FE076" w:rsidR="005372E1" w:rsidRDefault="008040C6" w:rsidP="005372E1">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9.05</w:t>
            </w:r>
            <w:r w:rsidR="00DF7A69">
              <w:rPr>
                <w:rFonts w:cstheme="minorHAnsi"/>
                <w:b/>
                <w:sz w:val="24"/>
                <w:szCs w:val="24"/>
                <w:lang w:val="en-US"/>
              </w:rPr>
              <w:t xml:space="preserve"> %</w:t>
            </w:r>
          </w:p>
        </w:tc>
      </w:tr>
      <w:tr w:rsidR="005372E1" w14:paraId="7AFF68FA" w14:textId="77777777" w:rsidTr="00663D8D">
        <w:tc>
          <w:tcPr>
            <w:cnfStyle w:val="001000000000" w:firstRow="0" w:lastRow="0" w:firstColumn="1" w:lastColumn="0" w:oddVBand="0" w:evenVBand="0" w:oddHBand="0" w:evenHBand="0" w:firstRowFirstColumn="0" w:firstRowLastColumn="0" w:lastRowFirstColumn="0" w:lastRowLastColumn="0"/>
            <w:tcW w:w="1812" w:type="dxa"/>
          </w:tcPr>
          <w:p w14:paraId="7F467C8B" w14:textId="77777777" w:rsidR="005372E1" w:rsidRDefault="005372E1" w:rsidP="005372E1">
            <w:pPr>
              <w:rPr>
                <w:rFonts w:cstheme="minorHAnsi"/>
                <w:b w:val="0"/>
                <w:sz w:val="24"/>
                <w:szCs w:val="24"/>
                <w:lang w:val="en-US"/>
              </w:rPr>
            </w:pPr>
          </w:p>
        </w:tc>
        <w:tc>
          <w:tcPr>
            <w:tcW w:w="3743" w:type="dxa"/>
          </w:tcPr>
          <w:p w14:paraId="4E24DA07" w14:textId="7FCB70AD" w:rsidR="005372E1" w:rsidRDefault="005372E1" w:rsidP="005372E1">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STI screening in the previous 12 months</w:t>
            </w:r>
          </w:p>
        </w:tc>
        <w:tc>
          <w:tcPr>
            <w:tcW w:w="1812" w:type="dxa"/>
          </w:tcPr>
          <w:p w14:paraId="76CD305B" w14:textId="047DCE49" w:rsidR="005372E1" w:rsidRDefault="002C29A8" w:rsidP="005372E1">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71.21</w:t>
            </w:r>
            <w:r w:rsidR="00DF7A69">
              <w:rPr>
                <w:rFonts w:cstheme="minorHAnsi"/>
                <w:b/>
                <w:sz w:val="24"/>
                <w:szCs w:val="24"/>
                <w:lang w:val="en-US"/>
              </w:rPr>
              <w:t xml:space="preserve"> %</w:t>
            </w:r>
          </w:p>
        </w:tc>
        <w:tc>
          <w:tcPr>
            <w:tcW w:w="1813" w:type="dxa"/>
          </w:tcPr>
          <w:p w14:paraId="38C50FE4" w14:textId="662D2ABB" w:rsidR="005372E1" w:rsidRDefault="007B4D5E" w:rsidP="005372E1">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87.07</w:t>
            </w:r>
            <w:r w:rsidR="00DF7A69">
              <w:rPr>
                <w:rFonts w:cstheme="minorHAnsi"/>
                <w:b/>
                <w:sz w:val="24"/>
                <w:szCs w:val="24"/>
                <w:lang w:val="en-US"/>
              </w:rPr>
              <w:t xml:space="preserve"> %</w:t>
            </w:r>
          </w:p>
        </w:tc>
      </w:tr>
      <w:tr w:rsidR="005372E1" w14:paraId="375CA3D4" w14:textId="77777777" w:rsidTr="00663D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39745BD4" w14:textId="77777777" w:rsidR="005372E1" w:rsidRDefault="005372E1" w:rsidP="005372E1">
            <w:pPr>
              <w:rPr>
                <w:rFonts w:cstheme="minorHAnsi"/>
                <w:b w:val="0"/>
                <w:sz w:val="24"/>
                <w:szCs w:val="24"/>
                <w:lang w:val="en-US"/>
              </w:rPr>
            </w:pPr>
          </w:p>
        </w:tc>
        <w:tc>
          <w:tcPr>
            <w:tcW w:w="3743" w:type="dxa"/>
          </w:tcPr>
          <w:p w14:paraId="3FF3B1E7" w14:textId="3AAEA092" w:rsidR="005372E1" w:rsidRDefault="005372E1" w:rsidP="005372E1">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STI screening in the previous 6 months</w:t>
            </w:r>
          </w:p>
        </w:tc>
        <w:tc>
          <w:tcPr>
            <w:tcW w:w="1812" w:type="dxa"/>
          </w:tcPr>
          <w:p w14:paraId="02FCB540" w14:textId="2D5D7340" w:rsidR="005372E1" w:rsidRDefault="00184399" w:rsidP="005372E1">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51.58</w:t>
            </w:r>
            <w:r w:rsidR="00DF7A69">
              <w:rPr>
                <w:rFonts w:cstheme="minorHAnsi"/>
                <w:b/>
                <w:sz w:val="24"/>
                <w:szCs w:val="24"/>
                <w:lang w:val="en-US"/>
              </w:rPr>
              <w:t xml:space="preserve"> %</w:t>
            </w:r>
          </w:p>
        </w:tc>
        <w:tc>
          <w:tcPr>
            <w:tcW w:w="1813" w:type="dxa"/>
          </w:tcPr>
          <w:p w14:paraId="33C212EC" w14:textId="2618B860" w:rsidR="005372E1" w:rsidRDefault="00D3534E" w:rsidP="005372E1">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73.85</w:t>
            </w:r>
            <w:r w:rsidR="00DF7A69">
              <w:rPr>
                <w:rFonts w:cstheme="minorHAnsi"/>
                <w:b/>
                <w:sz w:val="24"/>
                <w:szCs w:val="24"/>
                <w:lang w:val="en-US"/>
              </w:rPr>
              <w:t xml:space="preserve"> %</w:t>
            </w:r>
          </w:p>
        </w:tc>
      </w:tr>
      <w:tr w:rsidR="005372E1" w14:paraId="206A35AB" w14:textId="77777777" w:rsidTr="00663D8D">
        <w:tc>
          <w:tcPr>
            <w:cnfStyle w:val="001000000000" w:firstRow="0" w:lastRow="0" w:firstColumn="1" w:lastColumn="0" w:oddVBand="0" w:evenVBand="0" w:oddHBand="0" w:evenHBand="0" w:firstRowFirstColumn="0" w:firstRowLastColumn="0" w:lastRowFirstColumn="0" w:lastRowLastColumn="0"/>
            <w:tcW w:w="1812" w:type="dxa"/>
          </w:tcPr>
          <w:p w14:paraId="6CFFACFE" w14:textId="77777777" w:rsidR="005372E1" w:rsidRDefault="005372E1" w:rsidP="005372E1">
            <w:pPr>
              <w:rPr>
                <w:rFonts w:cstheme="minorHAnsi"/>
                <w:b w:val="0"/>
                <w:sz w:val="24"/>
                <w:szCs w:val="24"/>
                <w:lang w:val="en-US"/>
              </w:rPr>
            </w:pPr>
          </w:p>
        </w:tc>
        <w:tc>
          <w:tcPr>
            <w:tcW w:w="3743" w:type="dxa"/>
          </w:tcPr>
          <w:p w14:paraId="279C7686" w14:textId="5852E777" w:rsidR="005372E1" w:rsidRDefault="005372E1" w:rsidP="005372E1">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Screening sites: Urethra only</w:t>
            </w:r>
          </w:p>
        </w:tc>
        <w:tc>
          <w:tcPr>
            <w:tcW w:w="1812" w:type="dxa"/>
          </w:tcPr>
          <w:p w14:paraId="387BBC09" w14:textId="4E2E29D0" w:rsidR="005372E1" w:rsidRDefault="00126061" w:rsidP="005372E1">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75.54</w:t>
            </w:r>
            <w:r w:rsidR="00DF7A69">
              <w:rPr>
                <w:rFonts w:cstheme="minorHAnsi"/>
                <w:b/>
                <w:sz w:val="24"/>
                <w:szCs w:val="24"/>
                <w:lang w:val="en-US"/>
              </w:rPr>
              <w:t xml:space="preserve"> %</w:t>
            </w:r>
          </w:p>
        </w:tc>
        <w:tc>
          <w:tcPr>
            <w:tcW w:w="1813" w:type="dxa"/>
          </w:tcPr>
          <w:p w14:paraId="7DE97870" w14:textId="03CBE751" w:rsidR="005372E1" w:rsidRDefault="00126061" w:rsidP="005372E1">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49.24</w:t>
            </w:r>
            <w:r w:rsidR="00DF7A69">
              <w:rPr>
                <w:rFonts w:cstheme="minorHAnsi"/>
                <w:b/>
                <w:sz w:val="24"/>
                <w:szCs w:val="24"/>
                <w:lang w:val="en-US"/>
              </w:rPr>
              <w:t xml:space="preserve"> %</w:t>
            </w:r>
          </w:p>
        </w:tc>
      </w:tr>
      <w:tr w:rsidR="005372E1" w14:paraId="75ACFF8A" w14:textId="77777777" w:rsidTr="00663D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52210559" w14:textId="77777777" w:rsidR="005372E1" w:rsidRDefault="005372E1" w:rsidP="005372E1">
            <w:pPr>
              <w:rPr>
                <w:rFonts w:cstheme="minorHAnsi"/>
                <w:b w:val="0"/>
                <w:sz w:val="24"/>
                <w:szCs w:val="24"/>
                <w:lang w:val="en-US"/>
              </w:rPr>
            </w:pPr>
          </w:p>
        </w:tc>
        <w:tc>
          <w:tcPr>
            <w:tcW w:w="3743" w:type="dxa"/>
          </w:tcPr>
          <w:p w14:paraId="57D70C42" w14:textId="08D45A1B" w:rsidR="005372E1" w:rsidRDefault="005372E1" w:rsidP="005372E1">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Pharynx and/or rectum</w:t>
            </w:r>
          </w:p>
        </w:tc>
        <w:tc>
          <w:tcPr>
            <w:tcW w:w="1812" w:type="dxa"/>
          </w:tcPr>
          <w:p w14:paraId="6FFE3383" w14:textId="55F90EDF" w:rsidR="005372E1" w:rsidRDefault="00126061" w:rsidP="005372E1">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2.79</w:t>
            </w:r>
            <w:r w:rsidR="00DF7A69">
              <w:rPr>
                <w:rFonts w:cstheme="minorHAnsi"/>
                <w:b/>
                <w:sz w:val="24"/>
                <w:szCs w:val="24"/>
                <w:lang w:val="en-US"/>
              </w:rPr>
              <w:t xml:space="preserve"> %</w:t>
            </w:r>
          </w:p>
        </w:tc>
        <w:tc>
          <w:tcPr>
            <w:tcW w:w="1813" w:type="dxa"/>
          </w:tcPr>
          <w:p w14:paraId="060B2C3E" w14:textId="0C5921D0" w:rsidR="005372E1" w:rsidRDefault="00126061" w:rsidP="005372E1">
            <w:pPr>
              <w:cnfStyle w:val="000000100000" w:firstRow="0" w:lastRow="0" w:firstColumn="0" w:lastColumn="0" w:oddVBand="0" w:evenVBand="0" w:oddHBand="1" w:evenHBand="0" w:firstRowFirstColumn="0" w:firstRowLastColumn="0" w:lastRowFirstColumn="0" w:lastRowLastColumn="0"/>
              <w:rPr>
                <w:rFonts w:cstheme="minorHAnsi"/>
                <w:b/>
                <w:sz w:val="24"/>
                <w:szCs w:val="24"/>
                <w:lang w:val="en-US"/>
              </w:rPr>
            </w:pPr>
            <w:r>
              <w:rPr>
                <w:rFonts w:cstheme="minorHAnsi"/>
                <w:b/>
                <w:sz w:val="24"/>
                <w:szCs w:val="24"/>
                <w:lang w:val="en-US"/>
              </w:rPr>
              <w:t>2.36</w:t>
            </w:r>
            <w:r w:rsidR="00DF7A69">
              <w:rPr>
                <w:rFonts w:cstheme="minorHAnsi"/>
                <w:b/>
                <w:sz w:val="24"/>
                <w:szCs w:val="24"/>
                <w:lang w:val="en-US"/>
              </w:rPr>
              <w:t xml:space="preserve"> %</w:t>
            </w:r>
          </w:p>
        </w:tc>
      </w:tr>
      <w:tr w:rsidR="005372E1" w14:paraId="16BB8F4B" w14:textId="77777777" w:rsidTr="00663D8D">
        <w:tc>
          <w:tcPr>
            <w:cnfStyle w:val="001000000000" w:firstRow="0" w:lastRow="0" w:firstColumn="1" w:lastColumn="0" w:oddVBand="0" w:evenVBand="0" w:oddHBand="0" w:evenHBand="0" w:firstRowFirstColumn="0" w:firstRowLastColumn="0" w:lastRowFirstColumn="0" w:lastRowLastColumn="0"/>
            <w:tcW w:w="1812" w:type="dxa"/>
          </w:tcPr>
          <w:p w14:paraId="2AD6FDAD" w14:textId="77777777" w:rsidR="005372E1" w:rsidRDefault="005372E1" w:rsidP="005372E1">
            <w:pPr>
              <w:rPr>
                <w:rFonts w:cstheme="minorHAnsi"/>
                <w:b w:val="0"/>
                <w:sz w:val="24"/>
                <w:szCs w:val="24"/>
                <w:lang w:val="en-US"/>
              </w:rPr>
            </w:pPr>
          </w:p>
        </w:tc>
        <w:tc>
          <w:tcPr>
            <w:tcW w:w="3743" w:type="dxa"/>
          </w:tcPr>
          <w:p w14:paraId="14CEABB8" w14:textId="3474F6E8" w:rsidR="005372E1" w:rsidRDefault="005372E1" w:rsidP="005372E1">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Pharynx, Urethra and rectum</w:t>
            </w:r>
          </w:p>
        </w:tc>
        <w:tc>
          <w:tcPr>
            <w:tcW w:w="1812" w:type="dxa"/>
          </w:tcPr>
          <w:p w14:paraId="579E6B76" w14:textId="064A892F" w:rsidR="005372E1" w:rsidRDefault="00126061" w:rsidP="005372E1">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21.67</w:t>
            </w:r>
            <w:r w:rsidR="00DF7A69">
              <w:rPr>
                <w:rFonts w:cstheme="minorHAnsi"/>
                <w:b/>
                <w:sz w:val="24"/>
                <w:szCs w:val="24"/>
                <w:lang w:val="en-US"/>
              </w:rPr>
              <w:t xml:space="preserve"> %</w:t>
            </w:r>
          </w:p>
        </w:tc>
        <w:tc>
          <w:tcPr>
            <w:tcW w:w="1813" w:type="dxa"/>
          </w:tcPr>
          <w:p w14:paraId="738D81DA" w14:textId="77D1A6DB" w:rsidR="005372E1" w:rsidRDefault="00126061" w:rsidP="005372E1">
            <w:pPr>
              <w:cnfStyle w:val="000000000000" w:firstRow="0" w:lastRow="0" w:firstColumn="0" w:lastColumn="0" w:oddVBand="0" w:evenVBand="0" w:oddHBand="0" w:evenHBand="0" w:firstRowFirstColumn="0" w:firstRowLastColumn="0" w:lastRowFirstColumn="0" w:lastRowLastColumn="0"/>
              <w:rPr>
                <w:rFonts w:cstheme="minorHAnsi"/>
                <w:b/>
                <w:sz w:val="24"/>
                <w:szCs w:val="24"/>
                <w:lang w:val="en-US"/>
              </w:rPr>
            </w:pPr>
            <w:r>
              <w:rPr>
                <w:rFonts w:cstheme="minorHAnsi"/>
                <w:b/>
                <w:sz w:val="24"/>
                <w:szCs w:val="24"/>
                <w:lang w:val="en-US"/>
              </w:rPr>
              <w:t>48.40</w:t>
            </w:r>
            <w:r w:rsidR="00DF7A69">
              <w:rPr>
                <w:rFonts w:cstheme="minorHAnsi"/>
                <w:b/>
                <w:sz w:val="24"/>
                <w:szCs w:val="24"/>
                <w:lang w:val="en-US"/>
              </w:rPr>
              <w:t xml:space="preserve"> %</w:t>
            </w:r>
          </w:p>
        </w:tc>
      </w:tr>
    </w:tbl>
    <w:p w14:paraId="268606DF" w14:textId="77777777" w:rsidR="00FC6CEA" w:rsidRDefault="00FC6CEA" w:rsidP="00180732">
      <w:pPr>
        <w:rPr>
          <w:rFonts w:cstheme="minorHAnsi"/>
          <w:b/>
          <w:sz w:val="24"/>
          <w:szCs w:val="24"/>
          <w:lang w:val="en-US"/>
        </w:rPr>
      </w:pPr>
    </w:p>
    <w:p w14:paraId="13EB5A24" w14:textId="4167C9C4" w:rsidR="00BE176C" w:rsidRPr="00702287" w:rsidRDefault="00BE176C" w:rsidP="008A2A82">
      <w:pPr>
        <w:pStyle w:val="Heading2"/>
        <w:numPr>
          <w:ilvl w:val="0"/>
          <w:numId w:val="21"/>
        </w:numPr>
        <w:rPr>
          <w:b/>
          <w:bCs/>
          <w:color w:val="auto"/>
          <w:lang w:val="en-US"/>
        </w:rPr>
      </w:pPr>
      <w:bookmarkStart w:id="17" w:name="_Ref114239267"/>
      <w:r w:rsidRPr="00702287">
        <w:rPr>
          <w:b/>
          <w:bCs/>
          <w:color w:val="auto"/>
          <w:lang w:val="en-US"/>
        </w:rPr>
        <w:t>Parameter estimation</w:t>
      </w:r>
      <w:bookmarkEnd w:id="17"/>
    </w:p>
    <w:p w14:paraId="46EDCD53" w14:textId="77777777" w:rsidR="00BE176C" w:rsidRPr="005342A5" w:rsidRDefault="00BE176C" w:rsidP="008A2A82">
      <w:pPr>
        <w:numPr>
          <w:ilvl w:val="1"/>
          <w:numId w:val="21"/>
        </w:numPr>
        <w:ind w:left="431" w:hanging="431"/>
        <w:rPr>
          <w:b/>
          <w:bCs/>
          <w:lang w:val="en-US"/>
        </w:rPr>
      </w:pPr>
      <w:r w:rsidRPr="005342A5">
        <w:rPr>
          <w:b/>
          <w:bCs/>
          <w:lang w:val="en-US"/>
        </w:rPr>
        <w:t>Estimation methods</w:t>
      </w:r>
    </w:p>
    <w:p w14:paraId="6B32BA51" w14:textId="336FAA3C" w:rsidR="00BE176C" w:rsidRPr="005342A5" w:rsidRDefault="00BE176C" w:rsidP="00BE176C">
      <w:pPr>
        <w:rPr>
          <w:lang w:val="en-US"/>
        </w:rPr>
      </w:pPr>
      <w:bookmarkStart w:id="18" w:name="_Hlk93669358"/>
      <w:bookmarkStart w:id="19" w:name="_Hlk152181975"/>
      <w:r w:rsidRPr="005342A5">
        <w:rPr>
          <w:lang w:val="en-US"/>
        </w:rPr>
        <w:t xml:space="preserve">For all parameters that were not available in the </w:t>
      </w:r>
      <w:r w:rsidR="00702287">
        <w:rPr>
          <w:lang w:val="en-US"/>
        </w:rPr>
        <w:t>EMIS</w:t>
      </w:r>
      <w:r w:rsidR="000F39C0">
        <w:rPr>
          <w:lang w:val="en-US"/>
        </w:rPr>
        <w:t>-</w:t>
      </w:r>
      <w:r w:rsidR="00702287">
        <w:rPr>
          <w:lang w:val="en-US"/>
        </w:rPr>
        <w:t xml:space="preserve">2017 </w:t>
      </w:r>
      <w:r w:rsidRPr="005342A5">
        <w:rPr>
          <w:lang w:val="en-US"/>
        </w:rPr>
        <w:t xml:space="preserve">data, we </w:t>
      </w:r>
      <w:r w:rsidR="00702287">
        <w:rPr>
          <w:lang w:val="en-US"/>
        </w:rPr>
        <w:t>used approximate B</w:t>
      </w:r>
      <w:r w:rsidRPr="005342A5">
        <w:rPr>
          <w:lang w:val="en-US"/>
        </w:rPr>
        <w:t>ayesian computation with sequential Monte Carlo sampling (ABC-SMC) to estimate th</w:t>
      </w:r>
      <w:r w:rsidR="00B06ED0">
        <w:rPr>
          <w:lang w:val="en-US"/>
        </w:rPr>
        <w:t>os</w:t>
      </w:r>
      <w:r w:rsidRPr="005342A5">
        <w:rPr>
          <w:lang w:val="en-US"/>
        </w:rPr>
        <w:t xml:space="preserve">e parameters. </w:t>
      </w:r>
      <w:bookmarkEnd w:id="18"/>
      <w:r w:rsidRPr="005342A5">
        <w:rPr>
          <w:lang w:val="en-US"/>
        </w:rPr>
        <w:t>The method of ABC-S</w:t>
      </w:r>
      <w:r w:rsidR="00DC2522">
        <w:rPr>
          <w:lang w:val="en-US"/>
        </w:rPr>
        <w:t>M</w:t>
      </w:r>
      <w:r w:rsidRPr="005342A5">
        <w:rPr>
          <w:lang w:val="en-US"/>
        </w:rPr>
        <w:t>C has been extensively described in the literature</w:t>
      </w:r>
      <w:r w:rsidRPr="005342A5">
        <w:rPr>
          <w:lang w:val="en-US"/>
        </w:rPr>
        <w:fldChar w:fldCharType="begin" w:fldLock="1"/>
      </w:r>
      <w:r w:rsidR="00702287">
        <w:rPr>
          <w:lang w:val="en-US"/>
        </w:rPr>
        <w:instrText>ADDIN CSL_CITATION {"citationItems":[{"id":"ITEM-1","itemData":{"DOI":"10.1098/rsif.2008.0172","ISSN":"17425662","PMID":"19205079","abstract":"Approximate Bayesian computation (ABC) methods can be used to evaluate posterior distributions without having to calculate likelihoods. In this paper, we discuss and apply an ABC method based on sequential Monte Carlo (SMC) to estimate parameters of dynamical models. We show that ABC SMC provides information about the inferability of parameters and model sensitivity to changes in parameters, and tends to perform better than other ABC approaches. The algorithm is applied to several well-known biological systems, for which parameters and their credible intervals are inferred. Moreover, we develop ABC SMC as a tool for model selection; given a range of different mathematical descriptions, ABC SMC is able to choose the best model using the standard Bayesian model selection apparatus. © 2008 The Royal Society.","author":[{"dropping-particle":"","family":"Toni","given":"Tina","non-dropping-particle":"","parse-names":false,"suffix":""},{"dropping-particle":"","family":"Welch","given":"David","non-dropping-particle":"","parse-names":false,"suffix":""},{"dropping-particle":"","family":"Strelkowa","given":"Natalja","non-dropping-particle":"","parse-names":false,"suffix":""},{"dropping-particle":"","family":"Ipsen","given":"Andreas","non-dropping-particle":"","parse-names":false,"suffix":""},{"dropping-particle":"","family":"Stumpf","given":"Michael P.H.","non-dropping-particle":"","parse-names":false,"suffix":""}],"container-title":"Journal of the Royal Society Interface","id":"ITEM-1","issue":"31","issued":{"date-parts":[["2009"]]},"page":"187-202","title":"Approximate Bayesian computation scheme for parameter inference and model selection in dynamical systems","type":"article-journal","volume":"6"},"uris":["http://www.mendeley.com/documents/?uuid=f115e417-0c63-4dc3-8282-631f137a38e4"]},{"id":"ITEM-2","itemData":{"DOI":"https://doi.org/10.1201/9781315222912","ISBN":"9781315222912","author":[{"dropping-particle":"","family":"Held","given":"Leonard","non-dropping-particle":"","parse-names":false,"suffix":""},{"dropping-particle":"","family":"Hens","given":"Niel","non-dropping-particle":"","parse-names":false,"suffix":""},{"dropping-particle":"","family":"O'Neil","given":"Philip","non-dropping-particle":"","parse-names":false,"suffix":""},{"dropping-particle":"","family":"Wallinga","given":"Jacco","non-dropping-particle":"","parse-names":false,"suffix":""}],"id":"ITEM-2","issued":{"date-parts":[["2020"]]},"publisher":"Chapman and Hall/CRC","title":"Handbook of Infectious Disease Data Analysis","type":"book"},"uris":["http://www.mendeley.com/documents/?uuid=a1999e2f-685e-4740-a4d3-498707fd3561","http://www.mendeley.com/documents/?uuid=ea868f96-52c2-44d5-865d-7dd289ee7a10","http://www.mendeley.com/documents/?uuid=d42a3283-38de-406e-ab6c-0fdb1796f95c"]},{"id":"ITEM-3","itemData":{"DOI":"10.1093/biomet/asp052","ISSN":"14643510","abstract":"Sequential techniques can enhance the efficiency of the approximate Bayesian computation algorithm, as in Sisson et al.'s (2007) partial rejection control version. While this method is based upon the theoretical works of Del Moral et al. (2006), the application to approximate Bayesian computation results in a bias in the approximation to the posterior. An alternative version based on genuine importance sampling arguments bypasses this difficulty, in connection with the population Monte Carlo method of Cappé et al. (2004), and it includes an automatic scaling of the forward kernel. When applied to a population genetics example, it compares favourably with two other versions of the approximate algorithm. © 2009 Biometrika Trust.","author":[{"dropping-particle":"","family":"Beaumont","given":"Mark A.","non-dropping-particle":"","parse-names":false,"suffix":""},{"dropping-particle":"","family":"Cornuet","given":"Jean Marie","non-dropping-particle":"","parse-names":false,"suffix":""},{"dropping-particle":"","family":"Marin","given":"Jean Michel","non-dropping-particle":"","parse-names":false,"suffix":""},{"dropping-particle":"","family":"Robert","given":"Christian P.","non-dropping-particle":"","parse-names":false,"suffix":""}],"container-title":"Biometrika","id":"ITEM-3","issue":"4","issued":{"date-parts":[["2009"]]},"page":"983-990","title":"Adaptive approximate Bayesian computation","type":"article-journal","volume":"96"},"uris":["http://www.mendeley.com/documents/?uuid=dd48cd13-c148-41b8-bdc8-15186ac4adc6"]},{"id":"ITEM-4","itemData":{"DOI":"10.1073/pnas.0908847106","ISBN":"0607208104","ISSN":"00278424","author":[{"dropping-particle":"","family":"Sisson","given":"S. A.","non-dropping-particle":"","parse-names":false,"suffix":""},{"dropping-particle":"","family":"Fan","given":"Y.","non-dropping-particle":"","parse-names":false,"suffix":""},{"dropping-particle":"","family":"Tanaka","given":"Mark M.","non-dropping-particle":"","parse-names":false,"suffix":""}],"container-title":"Proceedings of the National Academy of Sciences of the United States of America","id":"ITEM-4","issue":"39","issued":{"date-parts":[["2009"]]},"page":"16889","title":"Sequential Monte Carlo without likelihoods (Proceedings of the National Academy of Sciences of the United States of America (2007) 104, 6, (1760-1765) DOI:10.1073/pnas.0607208104)","type":"article-journal","volume":"106"},"uris":["http://www.mendeley.com/documents/?uuid=2f33a191-89bb-4b75-9f97-bb2e741fd741"]}],"mendeley":{"formattedCitation":"&lt;sup&gt;19–22&lt;/sup&gt;","plainTextFormattedCitation":"19–22","previouslyFormattedCitation":"&lt;sup&gt;62–65&lt;/sup&gt;"},"properties":{"noteIndex":0},"schema":"https://github.com/citation-style-language/schema/raw/master/csl-citation.json"}</w:instrText>
      </w:r>
      <w:r w:rsidRPr="005342A5">
        <w:rPr>
          <w:lang w:val="en-US"/>
        </w:rPr>
        <w:fldChar w:fldCharType="separate"/>
      </w:r>
      <w:r w:rsidR="00702287" w:rsidRPr="00702287">
        <w:rPr>
          <w:noProof/>
          <w:vertAlign w:val="superscript"/>
          <w:lang w:val="en-US"/>
        </w:rPr>
        <w:t>19–22</w:t>
      </w:r>
      <w:r w:rsidRPr="005342A5">
        <w:rPr>
          <w:lang w:val="en-US"/>
        </w:rPr>
        <w:fldChar w:fldCharType="end"/>
      </w:r>
      <w:r w:rsidRPr="005342A5">
        <w:rPr>
          <w:lang w:val="en-US"/>
        </w:rPr>
        <w:t xml:space="preserve"> and is particularly useful in cases where the likelihood is not tractable. </w:t>
      </w:r>
      <w:r w:rsidR="000D0032">
        <w:rPr>
          <w:lang w:val="en-US"/>
        </w:rPr>
        <w:t>T</w:t>
      </w:r>
      <w:r w:rsidRPr="005342A5">
        <w:rPr>
          <w:lang w:val="en-US"/>
        </w:rPr>
        <w:t>he ABC-SMC method returns estimations for the posterior distribution of the parameters of interest after defining prior distributions</w:t>
      </w:r>
      <w:r w:rsidR="00702287">
        <w:rPr>
          <w:lang w:val="en-US"/>
        </w:rPr>
        <w:t xml:space="preserve">. </w:t>
      </w:r>
      <w:bookmarkStart w:id="20" w:name="_Hlk93669413"/>
      <w:r w:rsidRPr="005342A5">
        <w:rPr>
          <w:lang w:val="en-US"/>
        </w:rPr>
        <w:t>The Lenormand method of the EasyABC package</w:t>
      </w:r>
      <w:r w:rsidRPr="005342A5">
        <w:rPr>
          <w:lang w:val="en-US"/>
        </w:rPr>
        <w:fldChar w:fldCharType="begin" w:fldLock="1"/>
      </w:r>
      <w:r w:rsidR="00702287">
        <w:rPr>
          <w:lang w:val="en-US"/>
        </w:rPr>
        <w:instrText>ADDIN CSL_CITATION {"citationItems":[{"id":"ITEM-1","itemData":{"author":[{"dropping-particle":"","family":"Jabot","given":"Franck","non-dropping-particle":"","parse-names":false,"suffix":""},{"dropping-particle":"","family":"Faure","given":"Thierry","non-dropping-particle":"","parse-names":false,"suffix":""},{"dropping-particle":"","family":"Dumoulin","given":"Nicolas","non-dropping-particle":"","parse-names":false,"suffix":""}],"id":"ITEM-1","issued":{"date-parts":[["2015"]]},"title":"EasyABC: Efficient Approximate Bayesian Computation Sampling Schemes","type":"article"},"uris":["http://www.mendeley.com/documents/?uuid=7bbb2f0c-5283-49a7-b2b6-5b6497a2a398","http://www.mendeley.com/documents/?uuid=0ffbfb56-0dc7-4447-8513-d54fa501e1f0","http://www.mendeley.com/documents/?uuid=e1d192a7-f407-4a71-ba19-42e7f6453e2f"]}],"mendeley":{"formattedCitation":"&lt;sup&gt;23&lt;/sup&gt;","plainTextFormattedCitation":"23","previouslyFormattedCitation":"&lt;sup&gt;66&lt;/sup&gt;"},"properties":{"noteIndex":0},"schema":"https://github.com/citation-style-language/schema/raw/master/csl-citation.json"}</w:instrText>
      </w:r>
      <w:r w:rsidRPr="005342A5">
        <w:rPr>
          <w:lang w:val="en-US"/>
        </w:rPr>
        <w:fldChar w:fldCharType="separate"/>
      </w:r>
      <w:r w:rsidR="00702287" w:rsidRPr="00702287">
        <w:rPr>
          <w:noProof/>
          <w:vertAlign w:val="superscript"/>
          <w:lang w:val="en-US"/>
        </w:rPr>
        <w:t>23</w:t>
      </w:r>
      <w:r w:rsidRPr="005342A5">
        <w:rPr>
          <w:lang w:val="en-US"/>
        </w:rPr>
        <w:fldChar w:fldCharType="end"/>
      </w:r>
      <w:r w:rsidRPr="005342A5">
        <w:rPr>
          <w:lang w:val="en-US"/>
        </w:rPr>
        <w:t xml:space="preserve"> (Version 1.5) was used for the parameter estimation.</w:t>
      </w:r>
    </w:p>
    <w:bookmarkEnd w:id="19"/>
    <w:p w14:paraId="3C74A2C5" w14:textId="66A8FA23" w:rsidR="00A41A21" w:rsidRPr="005342A5" w:rsidRDefault="000D0032" w:rsidP="008A2A82">
      <w:pPr>
        <w:pStyle w:val="ListParagraph"/>
        <w:numPr>
          <w:ilvl w:val="2"/>
          <w:numId w:val="21"/>
        </w:numPr>
        <w:ind w:left="505" w:hanging="505"/>
        <w:rPr>
          <w:b/>
          <w:bCs/>
          <w:lang w:val="en-US"/>
        </w:rPr>
      </w:pPr>
      <w:r>
        <w:rPr>
          <w:b/>
          <w:bCs/>
          <w:lang w:val="en-US"/>
        </w:rPr>
        <w:t xml:space="preserve">Network </w:t>
      </w:r>
      <w:r w:rsidR="006855BB" w:rsidRPr="005342A5">
        <w:rPr>
          <w:b/>
          <w:bCs/>
          <w:lang w:val="en-US"/>
        </w:rPr>
        <w:t>calibration</w:t>
      </w:r>
      <w:r>
        <w:rPr>
          <w:b/>
          <w:bCs/>
          <w:lang w:val="en-US"/>
        </w:rPr>
        <w:t>: Partnership duration and homophily</w:t>
      </w:r>
    </w:p>
    <w:p w14:paraId="5DCD1043" w14:textId="73F22707" w:rsidR="00F40B1D" w:rsidRDefault="00BA0373" w:rsidP="00412960">
      <w:pPr>
        <w:rPr>
          <w:lang w:val="en-US"/>
        </w:rPr>
      </w:pPr>
      <w:r>
        <w:rPr>
          <w:lang w:val="en-US"/>
        </w:rPr>
        <w:t>E</w:t>
      </w:r>
      <w:r w:rsidR="000D0032">
        <w:rPr>
          <w:lang w:val="en-US"/>
        </w:rPr>
        <w:t xml:space="preserve">stimates for the partnership </w:t>
      </w:r>
      <w:r w:rsidR="00620129" w:rsidRPr="005342A5">
        <w:rPr>
          <w:lang w:val="en-US"/>
        </w:rPr>
        <w:t>durations</w:t>
      </w:r>
      <w:r w:rsidR="000D0032">
        <w:rPr>
          <w:lang w:val="en-US"/>
        </w:rPr>
        <w:t xml:space="preserve"> among MSM for each partnership type and/or risk group</w:t>
      </w:r>
      <w:r>
        <w:rPr>
          <w:lang w:val="en-US"/>
        </w:rPr>
        <w:t xml:space="preserve"> were not available in the EMIS questionnaire. </w:t>
      </w:r>
      <w:r w:rsidRPr="00F40B1D">
        <w:rPr>
          <w:lang w:val="en-US"/>
        </w:rPr>
        <w:t>In Buyze et al</w:t>
      </w:r>
      <w:r w:rsidRPr="00F40B1D">
        <w:rPr>
          <w:lang w:val="en-US"/>
        </w:rPr>
        <w:fldChar w:fldCharType="begin" w:fldLock="1"/>
      </w:r>
      <w:r w:rsidR="00702287">
        <w:rPr>
          <w:lang w:val="en-US"/>
        </w:rPr>
        <w:instrText>ADDIN CSL_CITATION {"citationItems":[{"id":"ITEM-1","itemData":{"DOI":"10.1017/S0950268818000092","ISSN":"14694409","PMID":"29386078","abstract":"There is considerable uncertainty as to the effectiveness of Neisseria gonorrhoeae (NG) screening in men who have sex with men. It is important to ensure that screening has benefits that outweigh the risks of increased antibiotics resistance. We develop a mathematical model to estimate the effectiveness of screening on prevalence. Separable Temporal Exponential family Random Graph Models are used to model the sexual relationships network, both with main and casual partners. Next, the transmission of Gonorrhoea is simulated on this network. The models are implemented using the R package 'statnet', which we adapted among other things to incorporate infection status at the pharynx, urethra and rectum separately and to distinguish between anal sex, oral sex and rimming. The different screening programmes compared are no screening, 3.5% of the population screened, 32% screened and 50% screened. The model simulates day-by-day evolution for 10 years of a population of 10 000. If half of the population would be screened, the prevalence in the pharynx decreases from 11.9% to 10.2%. We conclude that the limited impact of screening on NG prevalence may not outweigh the increased risk of antibiotic resistance.","author":[{"dropping-particle":"","family":"Buyze","given":"J.","non-dropping-particle":"","parse-names":false,"suffix":""},{"dropping-particle":"","family":"Berghe","given":"W.","non-dropping-particle":"Vanden","parse-names":false,"suffix":""},{"dropping-particle":"","family":"Hens","given":"N.","non-dropping-particle":"","parse-names":false,"suffix":""},{"dropping-particle":"","family":"Kenyon","given":"C.","non-dropping-particle":"","parse-names":false,"suffix":""}],"container-title":"Epidemiology and Infection","id":"ITEM-1","issue":"3","issued":{"date-parts":[["2018"]]},"page":"333-338","title":"Current levels of gonorrhoea screening in MSM in Belgium may have little effect on prevalence: A modelling study","type":"article-journal","volume":"146"},"uris":["http://www.mendeley.com/documents/?uuid=b7f20432-77a6-4d10-a3db-2dc6751e89a7"]}],"mendeley":{"formattedCitation":"&lt;sup&gt;24&lt;/sup&gt;","plainTextFormattedCitation":"24","previouslyFormattedCitation":"&lt;sup&gt;13&lt;/sup&gt;"},"properties":{"noteIndex":0},"schema":"https://github.com/citation-style-language/schema/raw/master/csl-citation.json"}</w:instrText>
      </w:r>
      <w:r w:rsidRPr="00F40B1D">
        <w:rPr>
          <w:lang w:val="en-US"/>
        </w:rPr>
        <w:fldChar w:fldCharType="separate"/>
      </w:r>
      <w:r w:rsidR="00702287" w:rsidRPr="00702287">
        <w:rPr>
          <w:noProof/>
          <w:vertAlign w:val="superscript"/>
          <w:lang w:val="en-US"/>
        </w:rPr>
        <w:t>24</w:t>
      </w:r>
      <w:r w:rsidRPr="00F40B1D">
        <w:rPr>
          <w:lang w:val="en-US"/>
        </w:rPr>
        <w:fldChar w:fldCharType="end"/>
      </w:r>
      <w:r w:rsidRPr="00F40B1D">
        <w:rPr>
          <w:lang w:val="en-US"/>
        </w:rPr>
        <w:t xml:space="preserve">, the </w:t>
      </w:r>
      <w:r w:rsidR="00D5234F">
        <w:rPr>
          <w:lang w:val="en-US"/>
        </w:rPr>
        <w:t xml:space="preserve">average </w:t>
      </w:r>
      <w:r w:rsidRPr="00F40B1D">
        <w:rPr>
          <w:lang w:val="en-US"/>
        </w:rPr>
        <w:t xml:space="preserve">partnership duration was 2318 days for </w:t>
      </w:r>
      <w:r w:rsidR="000C6DB4">
        <w:rPr>
          <w:lang w:val="en-US"/>
        </w:rPr>
        <w:t>steady</w:t>
      </w:r>
      <w:r w:rsidRPr="00F40B1D">
        <w:rPr>
          <w:lang w:val="en-US"/>
        </w:rPr>
        <w:t xml:space="preserve"> and 62 days for casual, while in </w:t>
      </w:r>
      <w:proofErr w:type="spellStart"/>
      <w:r w:rsidRPr="00F40B1D">
        <w:rPr>
          <w:lang w:val="en-US"/>
        </w:rPr>
        <w:t>Reitsema</w:t>
      </w:r>
      <w:proofErr w:type="spellEnd"/>
      <w:r w:rsidRPr="00F40B1D">
        <w:rPr>
          <w:lang w:val="en-US"/>
        </w:rPr>
        <w:t xml:space="preserve"> et al</w:t>
      </w:r>
      <w:r w:rsidRPr="00F40B1D">
        <w:rPr>
          <w:lang w:val="en-US"/>
        </w:rPr>
        <w:fldChar w:fldCharType="begin" w:fldLock="1"/>
      </w:r>
      <w:r w:rsidR="00702287">
        <w:rPr>
          <w:lang w:val="en-US"/>
        </w:rPr>
        <w:instrText>ADDIN CSL_CITATION {"citationItems":[{"id":"ITEM-1","itemData":{"DOI":"10.1136/sextrans-2018-053943","ISSN":"14723263","PMID":"31801895","abstract":"Objectives To investigate the impact and efficiency of combined testing for HIV and other STIs on HIV and STI transmission among men who have sex with men (MSM) and to assess what subgroups of MSM should be targeted for frequent testing. Methods We developed an agent-based transmission model that simulates infection with HIV or Neisseria gonorrhoeae (NG) among MSM. We examined scenarios with increased percentages of MSM getting tested six monthly, among all MSM or only specific subgroups of MSM (defined according to recent gonorrhoea, number of partners and engagement in condomless anal intercourse (CAI)) and scenarios with reduced intervals between HIV/STI tests. Results The most efficient strategies were those with increased percentage of MSM getting tested every 6 months among MSM with a recent gonorrhoea diagnosis; or among MSM who had CAI and ≥10 partners; or MSM who had ≥10 partners. Over 10 years, these strategies resulted in 387-718 averted HIV infections and required 29-164 additional HIV tests per averted HIV infection or one to seven additional gonorrhoea tests per averted NG infection. The most effective strategy in reducing HIV transmission was the one where the intervals between tests were reduced by half, followed by the strategy with increased percentage of MSM getting tested every 6 months among all MSM. Over 10 years, these strategies resulted in 1362 and 1319 averted HIV infections, but required 663 and 584 additional HIV tests per averted HIV infection, respectively. Conclusions Targeting MSM with recent gonorrhoea diagnosis or MSM with many partners is efficient in terms of HIV/STI tests needed to prevent new HIV or NG infections. Major reductions in HIV incidence can be achieved with consistent HIV/STI testing every 6 months among larger groups, including low-risk MSM. To impede HIV transmission, frequent testing should be combined with other prevention measures.","author":[{"dropping-particle":"","family":"Reitsema","given":"Maarten","non-dropping-particle":"","parse-names":false,"suffix":""},{"dropping-particle":"","family":"Heijne","given":"Janneke","non-dropping-particle":"","parse-names":false,"suffix":""},{"dropping-particle":"","family":"Visser","given":"Maartje","non-dropping-particle":"","parse-names":false,"suffix":""},{"dropping-particle":"","family":"Sighem","given":"Ard","non-dropping-particle":"Van","parse-names":false,"suffix":""},{"dropping-particle":"","family":"Schim Van Der Loeff","given":"Maarten","non-dropping-particle":"","parse-names":false,"suffix":""},{"dropping-particle":"","family":"Coul","given":"Eline L.M.","non-dropping-particle":"Op De","parse-names":false,"suffix":""},{"dropping-particle":"","family":"Bezemer","given":"Daniela","non-dropping-particle":"","parse-names":false,"suffix":""},{"dropping-particle":"","family":"Wallinga","given":"Jacco","non-dropping-particle":"","parse-names":false,"suffix":""},{"dropping-particle":"","family":"Benthem","given":"Birgit H.B.","non-dropping-particle":"Van","parse-names":false,"suffix":""},{"dropping-particle":"","family":"Xiridou","given":"Maria","non-dropping-particle":"","parse-names":false,"suffix":""}],"container-title":"Sexually Transmitted Infections","id":"ITEM-1","issue":"5","issued":{"date-parts":[["2020"]]},"page":"361-367","title":"Impact of frequent testing on the transmission of HIV and N. gonorrhoeae among men who have sex with men: A mathematical modelling study","type":"article-journal","volume":"96"},"uris":["http://www.mendeley.com/documents/?uuid=b8746873-55e7-4776-bdd3-37d5720a760b"]}],"mendeley":{"formattedCitation":"&lt;sup&gt;25&lt;/sup&gt;","plainTextFormattedCitation":"25","previouslyFormattedCitation":"&lt;sup&gt;19&lt;/sup&gt;"},"properties":{"noteIndex":0},"schema":"https://github.com/citation-style-language/schema/raw/master/csl-citation.json"}</w:instrText>
      </w:r>
      <w:r w:rsidRPr="00F40B1D">
        <w:rPr>
          <w:lang w:val="en-US"/>
        </w:rPr>
        <w:fldChar w:fldCharType="separate"/>
      </w:r>
      <w:r w:rsidR="00702287" w:rsidRPr="00702287">
        <w:rPr>
          <w:noProof/>
          <w:vertAlign w:val="superscript"/>
          <w:lang w:val="en-US"/>
        </w:rPr>
        <w:t>25</w:t>
      </w:r>
      <w:r w:rsidRPr="00F40B1D">
        <w:rPr>
          <w:lang w:val="en-US"/>
        </w:rPr>
        <w:fldChar w:fldCharType="end"/>
      </w:r>
      <w:r w:rsidRPr="00F40B1D">
        <w:rPr>
          <w:lang w:val="en-US"/>
        </w:rPr>
        <w:t xml:space="preserve"> the average duration for </w:t>
      </w:r>
      <w:r w:rsidR="000C6DB4">
        <w:rPr>
          <w:lang w:val="en-US"/>
        </w:rPr>
        <w:t>steady</w:t>
      </w:r>
      <w:r w:rsidRPr="00F40B1D">
        <w:rPr>
          <w:lang w:val="en-US"/>
        </w:rPr>
        <w:t xml:space="preserve"> partnerships was 1355 days and for casual partnerships 155 days. Neither</w:t>
      </w:r>
      <w:r>
        <w:rPr>
          <w:lang w:val="en-US"/>
        </w:rPr>
        <w:t xml:space="preserve"> paper made a distinction for </w:t>
      </w:r>
      <w:r w:rsidR="00F40B1D">
        <w:rPr>
          <w:lang w:val="en-US"/>
        </w:rPr>
        <w:t>activity</w:t>
      </w:r>
      <w:r>
        <w:rPr>
          <w:lang w:val="en-US"/>
        </w:rPr>
        <w:t xml:space="preserve">-group or for one-off partnerships. </w:t>
      </w:r>
      <w:bookmarkStart w:id="21" w:name="_Hlk152182143"/>
      <w:r>
        <w:rPr>
          <w:lang w:val="en-US"/>
        </w:rPr>
        <w:t xml:space="preserve">To evaluate these parameter estimates from literature, we opted to use the cumulative number of partners per partnership type and group over a period of 12 months as a measure of goodness-of-fit for our model. The total number of </w:t>
      </w:r>
      <w:r w:rsidR="000C6DB4">
        <w:rPr>
          <w:lang w:val="en-US"/>
        </w:rPr>
        <w:t>steady</w:t>
      </w:r>
      <w:r>
        <w:rPr>
          <w:lang w:val="en-US"/>
        </w:rPr>
        <w:t xml:space="preserve"> and casual partners over a period of 12 months is reported in the EMIS 2017 dataset, but as a categorical variable: 0, 1, 2, …, 9, or 10 or more for </w:t>
      </w:r>
      <w:r w:rsidR="000C6DB4">
        <w:rPr>
          <w:lang w:val="en-US"/>
        </w:rPr>
        <w:t>steady</w:t>
      </w:r>
      <w:r>
        <w:rPr>
          <w:lang w:val="en-US"/>
        </w:rPr>
        <w:t xml:space="preserve"> partners and 0, 1, 2, …, 10, 11-20, 21-30, 31-40, 41-50, or more than 50 for casual. </w:t>
      </w:r>
      <w:r w:rsidR="00912AB8">
        <w:rPr>
          <w:lang w:val="en-US"/>
        </w:rPr>
        <w:t xml:space="preserve">Assuming at most 12 </w:t>
      </w:r>
      <w:r w:rsidR="000C6DB4">
        <w:rPr>
          <w:lang w:val="en-US"/>
        </w:rPr>
        <w:t>steady</w:t>
      </w:r>
      <w:r w:rsidR="00912AB8">
        <w:rPr>
          <w:lang w:val="en-US"/>
        </w:rPr>
        <w:t xml:space="preserve"> partners over 12 months, w</w:t>
      </w:r>
      <w:r>
        <w:rPr>
          <w:lang w:val="en-US"/>
        </w:rPr>
        <w:t>e used the methodology and statistics mentioned in Mendez-Lopez et al</w:t>
      </w:r>
      <w:r>
        <w:rPr>
          <w:lang w:val="en-US"/>
        </w:rPr>
        <w:fldChar w:fldCharType="begin" w:fldLock="1"/>
      </w:r>
      <w:r w:rsidR="00702287">
        <w:rPr>
          <w:lang w:val="en-US"/>
        </w:rPr>
        <w:instrText>ADDIN CSL_CITATION {"citationItems":[{"id":"ITEM-1","itemData":{"DOI":"10.1186/s12874-021-01483-8","ISSN":"14712288","PMID":"35249527","abstract":"Background: To provide empirically based guidance for substituting partner number categories in large MSM surveys with mean numbers of sexual and condomless anal intercourse (CAI) partners in a secondary analysis of survey data. Methods: We collated data on numbers of sexual and CAI partners reported in a continuous scale (write-in number) in thirteen MSM surveys on sexual health and behaviour across 17 countries. Pooled descriptive statistics for the number of sexual and CAI partners during the last twelve (N = 55,180) and 6 months (N = 31,759) were calculated for two sets of categories commonly used in reporting numbers of sexual partners in sexual behaviour surveys. Results: The pooled mean number of partners in the previous 12 months for the total sample was 15.8 partners (SD = 36.6), while the median number of partners was 5 (IQR = 2–15). Means for number of partners in the previous 12 months for the first set of categories were: 16.4 for 11–20 partners (SD = 3.3); 27.8 for 21–30 (SD = 2.8); 38.6 for 31–40 (SD = 2.4); 49.6 for 41–50 (SD = 1.5); and 128.2 for ‘more than 50’ (SD = 98.1). Alternative upper cut-offs: 43.4 for ‘more than 10’ (SD = 57.7); 65.3 for ‘more than 20’ (SD = 70.3). Self-reported partner numbers for both time frames consistently exceeded 200 or 300. While there was substantial variation of overall means across surveys, the means for all chosen categories were very similar. Partner numbers above nine mainly clustered at multiples of tens, regardless of the selected time frame. The overall means for CAI partners were lower than those for sexual partners; however, such difference was completely absent from all categories beyond ten sexual and CAI partners. Conclusions: Clustering of reported partner numbers confirm common MSM sexual behaviour surveys’ questionnaire piloting feedback indicating that responses to numbers of sexual partners beyond 10 are best guesses rather than precise counts, but large partner numbers above typical upper cut-offs are common.","author":[{"dropping-particle":"","family":"Mendez-Lopez","given":"Ana","non-dropping-particle":"","parse-names":false,"suffix":""},{"dropping-particle":"","family":"Hickson","given":"Ford","non-dropping-particle":"","parse-names":false,"suffix":""},{"dropping-particle":"","family":"Jansen","given":"Klaus","non-dropping-particle":"","parse-names":false,"suffix":""},{"dropping-particle":"","family":"Lachowsky","given":"Nathan","non-dropping-particle":"","parse-names":false,"suffix":""},{"dropping-particle":"","family":"Burns","given":"Fiona","non-dropping-particle":"","parse-names":false,"suffix":""},{"dropping-particle":"","family":"Folch","given":"Cinta","non-dropping-particle":"","parse-names":false,"suffix":""},{"dropping-particle":"","family":"Velter","given":"Annie","non-dropping-particle":"","parse-names":false,"suffix":""},{"dropping-particle":"","family":"Weatherburn","given":"Peter","non-dropping-particle":"","parse-names":false,"suffix":""},{"dropping-particle":"","family":"Marcus","given":"Ulrich","non-dropping-particle":"","parse-names":false,"suffix":""},{"dropping-particle":"","family":"Rüden","given":"Ursula","non-dropping-particle":"von","parse-names":false,"suffix":""},{"dropping-particle":"","family":"Mirandola","given":"Massimo","non-dropping-particle":"","parse-names":false,"suffix":""},{"dropping-particle":"","family":"Gios","given":"Lorenzo","non-dropping-particle":"","parse-names":false,"suffix":""},{"dropping-particle":"","family":"Frankis","given":"Jamie","non-dropping-particle":"","parse-names":false,"suffix":""},{"dropping-particle":"","family":"Brennan","given":"David J.","non-dropping-particle":"","parse-names":false,"suffix":""},{"dropping-particle":"","family":"Schmidt","given":"Axel J.","non-dropping-particle":"","parse-names":false,"suffix":""}],"container-title":"BMC Medical Research Methodology","id":"ITEM-1","issue":"1","issued":{"date-parts":[["2022"]]},"page":"1-7","publisher":"BioMed Central","title":"What is the empirical basis for converting banded ordinal data on numbers of sex partners among MSM into a continuous scale level variable? A secondary analysis of 13 surveys across 17 countries","type":"article-journal","volume":"22"},"uris":["http://www.mendeley.com/documents/?uuid=b9139ca8-9074-4de3-8537-fb0f7d747ce1","http://www.mendeley.com/documents/?uuid=7731589d-812c-42b1-ab1d-57638944d525"]}],"mendeley":{"formattedCitation":"&lt;sup&gt;26&lt;/sup&gt;","plainTextFormattedCitation":"26","previouslyFormattedCitation":"&lt;sup&gt;67&lt;/sup&gt;"},"properties":{"noteIndex":0},"schema":"https://github.com/citation-style-language/schema/raw/master/csl-citation.json"}</w:instrText>
      </w:r>
      <w:r>
        <w:rPr>
          <w:lang w:val="en-US"/>
        </w:rPr>
        <w:fldChar w:fldCharType="separate"/>
      </w:r>
      <w:r w:rsidR="00702287" w:rsidRPr="00702287">
        <w:rPr>
          <w:noProof/>
          <w:vertAlign w:val="superscript"/>
          <w:lang w:val="en-US"/>
        </w:rPr>
        <w:t>26</w:t>
      </w:r>
      <w:r>
        <w:rPr>
          <w:lang w:val="en-US"/>
        </w:rPr>
        <w:fldChar w:fldCharType="end"/>
      </w:r>
      <w:r>
        <w:rPr>
          <w:lang w:val="en-US"/>
        </w:rPr>
        <w:t xml:space="preserve">, to </w:t>
      </w:r>
      <w:r w:rsidR="00912AB8">
        <w:rPr>
          <w:lang w:val="en-US"/>
        </w:rPr>
        <w:t xml:space="preserve">build an algorithm to </w:t>
      </w:r>
      <w:r>
        <w:rPr>
          <w:lang w:val="en-US"/>
        </w:rPr>
        <w:t xml:space="preserve">assign </w:t>
      </w:r>
      <w:r w:rsidR="00912AB8">
        <w:rPr>
          <w:lang w:val="en-US"/>
        </w:rPr>
        <w:t xml:space="preserve">integer values to the number of total partners that match the mean (standard deviation) and median (interquartile range) for each category level and overall. With the estimated number of total partners, we could calculate the cumulative number of </w:t>
      </w:r>
      <w:r w:rsidR="000C6DB4">
        <w:rPr>
          <w:lang w:val="en-US"/>
        </w:rPr>
        <w:t>steady</w:t>
      </w:r>
      <w:r w:rsidR="00912AB8">
        <w:rPr>
          <w:lang w:val="en-US"/>
        </w:rPr>
        <w:t xml:space="preserve"> and casual partners per risk-group over 12 months.</w:t>
      </w:r>
      <w:r w:rsidR="00702287">
        <w:rPr>
          <w:lang w:val="en-US"/>
        </w:rPr>
        <w:t xml:space="preserve"> </w:t>
      </w:r>
    </w:p>
    <w:bookmarkEnd w:id="21"/>
    <w:p w14:paraId="0BCA32A4" w14:textId="4120436F" w:rsidR="00A933AF" w:rsidRDefault="000D0032" w:rsidP="00BE176C">
      <w:pPr>
        <w:rPr>
          <w:lang w:val="en-US"/>
        </w:rPr>
      </w:pPr>
      <w:r>
        <w:rPr>
          <w:lang w:val="en-US"/>
        </w:rPr>
        <w:t>We opted to calibrate our model</w:t>
      </w:r>
      <w:r w:rsidR="00912AB8">
        <w:rPr>
          <w:lang w:val="en-US"/>
        </w:rPr>
        <w:t>, using a data-driven approach,</w:t>
      </w:r>
      <w:r>
        <w:rPr>
          <w:lang w:val="en-US"/>
        </w:rPr>
        <w:t xml:space="preserve"> in terms of partnership durations</w:t>
      </w:r>
      <w:r w:rsidR="00912AB8">
        <w:rPr>
          <w:lang w:val="en-US"/>
        </w:rPr>
        <w:t xml:space="preserve"> and </w:t>
      </w:r>
      <w:r>
        <w:rPr>
          <w:lang w:val="en-US"/>
        </w:rPr>
        <w:t>homophily rates</w:t>
      </w:r>
      <w:r w:rsidR="00912AB8">
        <w:rPr>
          <w:lang w:val="en-US"/>
        </w:rPr>
        <w:t xml:space="preserve">. </w:t>
      </w:r>
      <w:r w:rsidR="00392A3E">
        <w:rPr>
          <w:lang w:val="en-US"/>
        </w:rPr>
        <w:t>A model was simulated for one year</w:t>
      </w:r>
      <w:r w:rsidR="00A933AF">
        <w:rPr>
          <w:lang w:val="en-US"/>
        </w:rPr>
        <w:t xml:space="preserve"> with 20 simulations</w:t>
      </w:r>
      <w:r w:rsidR="00392A3E">
        <w:rPr>
          <w:lang w:val="en-US"/>
        </w:rPr>
        <w:t xml:space="preserve"> and the distribution of </w:t>
      </w:r>
      <w:r w:rsidR="00463966">
        <w:rPr>
          <w:lang w:val="en-US"/>
        </w:rPr>
        <w:t xml:space="preserve">cumulative </w:t>
      </w:r>
      <w:r w:rsidR="000C6DB4">
        <w:rPr>
          <w:lang w:val="en-US"/>
        </w:rPr>
        <w:t>steady</w:t>
      </w:r>
      <w:r w:rsidR="00392A3E">
        <w:rPr>
          <w:lang w:val="en-US"/>
        </w:rPr>
        <w:t>, casual, and one-off partners was compared to those reported among EMIS</w:t>
      </w:r>
      <w:r w:rsidR="000F39C0">
        <w:rPr>
          <w:lang w:val="en-US"/>
        </w:rPr>
        <w:t>-</w:t>
      </w:r>
      <w:r w:rsidR="00392A3E">
        <w:rPr>
          <w:lang w:val="en-US"/>
        </w:rPr>
        <w:t>2017 participants, for each group</w:t>
      </w:r>
      <w:r w:rsidR="003D4B5A">
        <w:rPr>
          <w:lang w:val="en-US"/>
        </w:rPr>
        <w:t>, in terms of mean, media</w:t>
      </w:r>
      <w:r w:rsidR="00FE44DA">
        <w:rPr>
          <w:lang w:val="en-US"/>
        </w:rPr>
        <w:t>n</w:t>
      </w:r>
      <w:r w:rsidR="003D4B5A">
        <w:rPr>
          <w:lang w:val="en-US"/>
        </w:rPr>
        <w:t xml:space="preserve"> and interquartile range</w:t>
      </w:r>
      <w:r w:rsidR="00392A3E">
        <w:rPr>
          <w:lang w:val="en-US"/>
        </w:rPr>
        <w:t xml:space="preserve">. </w:t>
      </w:r>
      <w:r w:rsidR="00D81688" w:rsidRPr="005342A5">
        <w:rPr>
          <w:lang w:val="en-US"/>
        </w:rPr>
        <w:t>Since the process for estimating the</w:t>
      </w:r>
      <w:r w:rsidR="007553E3" w:rsidRPr="005342A5">
        <w:rPr>
          <w:lang w:val="en-US"/>
        </w:rPr>
        <w:t xml:space="preserve"> </w:t>
      </w:r>
      <w:r w:rsidR="00912AB8">
        <w:rPr>
          <w:lang w:val="en-US"/>
        </w:rPr>
        <w:t>parameters</w:t>
      </w:r>
      <w:r w:rsidR="007553E3" w:rsidRPr="005342A5">
        <w:rPr>
          <w:lang w:val="en-US"/>
        </w:rPr>
        <w:t xml:space="preserve"> was</w:t>
      </w:r>
      <w:r w:rsidR="00D81688" w:rsidRPr="005342A5">
        <w:rPr>
          <w:lang w:val="en-US"/>
        </w:rPr>
        <w:t xml:space="preserve"> too computationally intensive </w:t>
      </w:r>
      <w:r w:rsidR="007553E3" w:rsidRPr="005342A5">
        <w:rPr>
          <w:lang w:val="en-US"/>
        </w:rPr>
        <w:t>using the ABC-SM</w:t>
      </w:r>
      <w:r w:rsidR="00FE44DA">
        <w:rPr>
          <w:lang w:val="en-US"/>
        </w:rPr>
        <w:t>C</w:t>
      </w:r>
      <w:r w:rsidR="007553E3" w:rsidRPr="005342A5">
        <w:rPr>
          <w:lang w:val="en-US"/>
        </w:rPr>
        <w:t xml:space="preserve"> method</w:t>
      </w:r>
      <w:r w:rsidR="00D81688" w:rsidRPr="005342A5">
        <w:rPr>
          <w:lang w:val="en-US"/>
        </w:rPr>
        <w:t xml:space="preserve">, we </w:t>
      </w:r>
      <w:r w:rsidR="00912AB8">
        <w:rPr>
          <w:lang w:val="en-US"/>
        </w:rPr>
        <w:t xml:space="preserve">reduced the parameter space by dividing the </w:t>
      </w:r>
      <w:r w:rsidR="00D81688" w:rsidRPr="005342A5">
        <w:rPr>
          <w:lang w:val="en-US"/>
        </w:rPr>
        <w:t xml:space="preserve">ranges for each of the </w:t>
      </w:r>
      <w:r w:rsidR="00912AB8">
        <w:rPr>
          <w:lang w:val="en-US"/>
        </w:rPr>
        <w:t xml:space="preserve">parameters into </w:t>
      </w:r>
      <w:r w:rsidR="00A933AF">
        <w:rPr>
          <w:lang w:val="en-US"/>
        </w:rPr>
        <w:t xml:space="preserve">smaller sections </w:t>
      </w:r>
      <w:r w:rsidR="00A933AF">
        <w:rPr>
          <w:lang w:val="en-US"/>
        </w:rPr>
        <w:lastRenderedPageBreak/>
        <w:t xml:space="preserve">and calculating the absolute error between the produced location and spread statistics to the observed ones. </w:t>
      </w:r>
      <w:r w:rsidR="00D81688" w:rsidRPr="005342A5">
        <w:rPr>
          <w:lang w:val="en-US"/>
        </w:rPr>
        <w:t xml:space="preserve">This process was repeated a number of times, with the range and step </w:t>
      </w:r>
      <w:r w:rsidR="004D204F">
        <w:rPr>
          <w:lang w:val="en-US"/>
        </w:rPr>
        <w:t xml:space="preserve">size </w:t>
      </w:r>
      <w:r w:rsidR="00D81688" w:rsidRPr="005342A5">
        <w:rPr>
          <w:lang w:val="en-US"/>
        </w:rPr>
        <w:t xml:space="preserve">being refined until the resulting distribution was similar to the reported one. </w:t>
      </w:r>
      <w:r w:rsidR="00F74C37" w:rsidRPr="005342A5">
        <w:rPr>
          <w:lang w:val="en-US"/>
        </w:rPr>
        <w:t>Once the parameter space was deemed sufficiently optimal, we used ABC-SM</w:t>
      </w:r>
      <w:r w:rsidR="004A15D0">
        <w:rPr>
          <w:lang w:val="en-US"/>
        </w:rPr>
        <w:t>C</w:t>
      </w:r>
      <w:r w:rsidR="00F74C37" w:rsidRPr="005342A5">
        <w:rPr>
          <w:lang w:val="en-US"/>
        </w:rPr>
        <w:t xml:space="preserve"> with the range of the last set of parameters as the priors, to obtain the final estimates for the partnership durations. </w:t>
      </w:r>
    </w:p>
    <w:p w14:paraId="330AD1E1" w14:textId="28F8E5BD" w:rsidR="00294E5B" w:rsidRPr="005342A5" w:rsidRDefault="00294E5B" w:rsidP="00294E5B">
      <w:pPr>
        <w:rPr>
          <w:lang w:val="en-US"/>
        </w:rPr>
      </w:pPr>
      <w:r>
        <w:rPr>
          <w:lang w:val="en-US"/>
        </w:rPr>
        <w:t xml:space="preserve">Using this information we calibrated the partnership duration parameters in our model to reproduce the distribution of total unique partners over a 12-month period as reported in EMIS 2017. We used Approximate Bayesian Computation (ABC) </w:t>
      </w:r>
      <w:r w:rsidR="00FF1750">
        <w:rPr>
          <w:lang w:val="en-US"/>
        </w:rPr>
        <w:t xml:space="preserve">with </w:t>
      </w:r>
      <w:r>
        <w:rPr>
          <w:lang w:val="en-US"/>
        </w:rPr>
        <w:t>the number of sex partners as targets</w:t>
      </w:r>
      <w:r w:rsidR="000C2625">
        <w:rPr>
          <w:lang w:val="en-US"/>
        </w:rPr>
        <w:t xml:space="preserve">. </w:t>
      </w:r>
    </w:p>
    <w:p w14:paraId="1367F9A6" w14:textId="5F7BE3AE" w:rsidR="00413985" w:rsidRDefault="00413985" w:rsidP="00BE176C">
      <w:pPr>
        <w:rPr>
          <w:lang w:val="en-US"/>
        </w:rPr>
      </w:pPr>
    </w:p>
    <w:bookmarkEnd w:id="20"/>
    <w:p w14:paraId="44081C0F" w14:textId="5D1C86E1" w:rsidR="006F792B" w:rsidRPr="005342A5" w:rsidRDefault="006F792B" w:rsidP="008A2A82">
      <w:pPr>
        <w:pStyle w:val="Heading2"/>
        <w:numPr>
          <w:ilvl w:val="0"/>
          <w:numId w:val="21"/>
        </w:numPr>
        <w:rPr>
          <w:b/>
          <w:bCs/>
          <w:color w:val="auto"/>
          <w:lang w:val="en-US"/>
        </w:rPr>
      </w:pPr>
      <w:r>
        <w:rPr>
          <w:b/>
          <w:bCs/>
          <w:color w:val="auto"/>
          <w:lang w:val="en-US"/>
        </w:rPr>
        <w:t>Bibliography</w:t>
      </w:r>
    </w:p>
    <w:p w14:paraId="0440C667" w14:textId="77777777" w:rsidR="006F792B" w:rsidRDefault="006F792B" w:rsidP="00BE176C">
      <w:pPr>
        <w:spacing w:after="0" w:line="240" w:lineRule="auto"/>
        <w:rPr>
          <w:rFonts w:eastAsia="Times New Roman"/>
          <w:lang w:val="en-US"/>
        </w:rPr>
      </w:pPr>
    </w:p>
    <w:p w14:paraId="4F9D97D6" w14:textId="5BC92F8C" w:rsidR="00702287" w:rsidRPr="005A1835" w:rsidRDefault="006F792B" w:rsidP="00702287">
      <w:pPr>
        <w:widowControl w:val="0"/>
        <w:autoSpaceDE w:val="0"/>
        <w:autoSpaceDN w:val="0"/>
        <w:adjustRightInd w:val="0"/>
        <w:spacing w:after="0" w:line="240" w:lineRule="auto"/>
        <w:ind w:left="640" w:hanging="640"/>
        <w:rPr>
          <w:rFonts w:ascii="Calibri" w:hAnsi="Calibri" w:cs="Calibri"/>
          <w:noProof/>
          <w:szCs w:val="24"/>
          <w:lang w:val="en-US"/>
        </w:rPr>
      </w:pPr>
      <w:r>
        <w:rPr>
          <w:rFonts w:eastAsia="Times New Roman"/>
          <w:lang w:val="en-US"/>
        </w:rPr>
        <w:fldChar w:fldCharType="begin" w:fldLock="1"/>
      </w:r>
      <w:r>
        <w:rPr>
          <w:rFonts w:eastAsia="Times New Roman"/>
          <w:lang w:val="en-US"/>
        </w:rPr>
        <w:instrText xml:space="preserve">ADDIN Mendeley Bibliography CSL_BIBLIOGRAPHY </w:instrText>
      </w:r>
      <w:r>
        <w:rPr>
          <w:rFonts w:eastAsia="Times New Roman"/>
          <w:lang w:val="en-US"/>
        </w:rPr>
        <w:fldChar w:fldCharType="separate"/>
      </w:r>
      <w:r w:rsidR="00702287" w:rsidRPr="005A1835">
        <w:rPr>
          <w:rFonts w:ascii="Calibri" w:hAnsi="Calibri" w:cs="Calibri"/>
          <w:noProof/>
          <w:szCs w:val="24"/>
          <w:lang w:val="en-US"/>
        </w:rPr>
        <w:t>1.</w:t>
      </w:r>
      <w:r w:rsidR="00702287" w:rsidRPr="005A1835">
        <w:rPr>
          <w:rFonts w:ascii="Calibri" w:hAnsi="Calibri" w:cs="Calibri"/>
          <w:noProof/>
          <w:szCs w:val="24"/>
          <w:lang w:val="en-US"/>
        </w:rPr>
        <w:tab/>
        <w:t xml:space="preserve">Krivitsky PN, Handcock MS. A separable model for dynamic networks. </w:t>
      </w:r>
      <w:r w:rsidR="00702287" w:rsidRPr="005A1835">
        <w:rPr>
          <w:rFonts w:ascii="Calibri" w:hAnsi="Calibri" w:cs="Calibri"/>
          <w:i/>
          <w:iCs/>
          <w:noProof/>
          <w:szCs w:val="24"/>
          <w:lang w:val="en-US"/>
        </w:rPr>
        <w:t>J R Stat Soc Ser B Stat Methodol</w:t>
      </w:r>
      <w:r w:rsidR="00702287" w:rsidRPr="005A1835">
        <w:rPr>
          <w:rFonts w:ascii="Calibri" w:hAnsi="Calibri" w:cs="Calibri"/>
          <w:noProof/>
          <w:szCs w:val="24"/>
          <w:lang w:val="en-US"/>
        </w:rPr>
        <w:t>. 2014;76(1):29-46. doi:10.1111/rssb.12014</w:t>
      </w:r>
    </w:p>
    <w:p w14:paraId="6BD6CBC0" w14:textId="77777777" w:rsidR="00702287" w:rsidRPr="005A1835" w:rsidRDefault="00702287" w:rsidP="00702287">
      <w:pPr>
        <w:widowControl w:val="0"/>
        <w:autoSpaceDE w:val="0"/>
        <w:autoSpaceDN w:val="0"/>
        <w:adjustRightInd w:val="0"/>
        <w:spacing w:after="0" w:line="240" w:lineRule="auto"/>
        <w:ind w:left="640" w:hanging="640"/>
        <w:rPr>
          <w:rFonts w:ascii="Calibri" w:hAnsi="Calibri" w:cs="Calibri"/>
          <w:noProof/>
          <w:szCs w:val="24"/>
          <w:lang w:val="en-US"/>
        </w:rPr>
      </w:pPr>
      <w:r w:rsidRPr="005A1835">
        <w:rPr>
          <w:rFonts w:ascii="Calibri" w:hAnsi="Calibri" w:cs="Calibri"/>
          <w:noProof/>
          <w:szCs w:val="24"/>
          <w:lang w:val="en-US"/>
        </w:rPr>
        <w:t>2.</w:t>
      </w:r>
      <w:r w:rsidRPr="005A1835">
        <w:rPr>
          <w:rFonts w:ascii="Calibri" w:hAnsi="Calibri" w:cs="Calibri"/>
          <w:noProof/>
          <w:szCs w:val="24"/>
          <w:lang w:val="en-US"/>
        </w:rPr>
        <w:tab/>
        <w:t xml:space="preserve">Hunter DR, Handcock MS, Butts CT, Goodreau SM, Morris M. ergm: A package to fit, simulate and diagnose exponential-family models for networks. </w:t>
      </w:r>
      <w:r w:rsidRPr="005A1835">
        <w:rPr>
          <w:rFonts w:ascii="Calibri" w:hAnsi="Calibri" w:cs="Calibri"/>
          <w:i/>
          <w:iCs/>
          <w:noProof/>
          <w:szCs w:val="24"/>
          <w:lang w:val="en-US"/>
        </w:rPr>
        <w:t>J Stat Softw</w:t>
      </w:r>
      <w:r w:rsidRPr="005A1835">
        <w:rPr>
          <w:rFonts w:ascii="Calibri" w:hAnsi="Calibri" w:cs="Calibri"/>
          <w:noProof/>
          <w:szCs w:val="24"/>
          <w:lang w:val="en-US"/>
        </w:rPr>
        <w:t>. 2008;24(3):1-29. doi:10.18637/jss.v024.i03</w:t>
      </w:r>
    </w:p>
    <w:p w14:paraId="2A536AE1" w14:textId="77777777" w:rsidR="00702287" w:rsidRPr="005A1835" w:rsidRDefault="00702287" w:rsidP="00702287">
      <w:pPr>
        <w:widowControl w:val="0"/>
        <w:autoSpaceDE w:val="0"/>
        <w:autoSpaceDN w:val="0"/>
        <w:adjustRightInd w:val="0"/>
        <w:spacing w:after="0" w:line="240" w:lineRule="auto"/>
        <w:ind w:left="640" w:hanging="640"/>
        <w:rPr>
          <w:rFonts w:ascii="Calibri" w:hAnsi="Calibri" w:cs="Calibri"/>
          <w:noProof/>
          <w:szCs w:val="24"/>
          <w:lang w:val="en-US"/>
        </w:rPr>
      </w:pPr>
      <w:r w:rsidRPr="005A1835">
        <w:rPr>
          <w:rFonts w:ascii="Calibri" w:hAnsi="Calibri" w:cs="Calibri"/>
          <w:noProof/>
          <w:szCs w:val="24"/>
          <w:lang w:val="en-US"/>
        </w:rPr>
        <w:t>3.</w:t>
      </w:r>
      <w:r w:rsidRPr="005A1835">
        <w:rPr>
          <w:rFonts w:ascii="Calibri" w:hAnsi="Calibri" w:cs="Calibri"/>
          <w:noProof/>
          <w:szCs w:val="24"/>
          <w:lang w:val="en-US"/>
        </w:rPr>
        <w:tab/>
        <w:t xml:space="preserve">Goodreau SM, Carnegie NB, Vittinghoff E, et al. What Drives the US and Peruvian HIV Epidemics in Men Who Have Sex with Men (MSM)? </w:t>
      </w:r>
      <w:r w:rsidRPr="005A1835">
        <w:rPr>
          <w:rFonts w:ascii="Calibri" w:hAnsi="Calibri" w:cs="Calibri"/>
          <w:i/>
          <w:iCs/>
          <w:noProof/>
          <w:szCs w:val="24"/>
          <w:lang w:val="en-US"/>
        </w:rPr>
        <w:t>PLoS One</w:t>
      </w:r>
      <w:r w:rsidRPr="005A1835">
        <w:rPr>
          <w:rFonts w:ascii="Calibri" w:hAnsi="Calibri" w:cs="Calibri"/>
          <w:noProof/>
          <w:szCs w:val="24"/>
          <w:lang w:val="en-US"/>
        </w:rPr>
        <w:t>. 2012;7(11). doi:10.1371/journal.pone.0050522</w:t>
      </w:r>
    </w:p>
    <w:p w14:paraId="5D380364" w14:textId="77777777" w:rsidR="00702287" w:rsidRPr="005A1835" w:rsidRDefault="00702287" w:rsidP="00702287">
      <w:pPr>
        <w:widowControl w:val="0"/>
        <w:autoSpaceDE w:val="0"/>
        <w:autoSpaceDN w:val="0"/>
        <w:adjustRightInd w:val="0"/>
        <w:spacing w:after="0" w:line="240" w:lineRule="auto"/>
        <w:ind w:left="640" w:hanging="640"/>
        <w:rPr>
          <w:rFonts w:ascii="Calibri" w:hAnsi="Calibri" w:cs="Calibri"/>
          <w:noProof/>
          <w:szCs w:val="24"/>
          <w:lang w:val="en-US"/>
        </w:rPr>
      </w:pPr>
      <w:r w:rsidRPr="005A1835">
        <w:rPr>
          <w:rFonts w:ascii="Calibri" w:hAnsi="Calibri" w:cs="Calibri"/>
          <w:noProof/>
          <w:szCs w:val="24"/>
          <w:lang w:val="en-US"/>
        </w:rPr>
        <w:t>4.</w:t>
      </w:r>
      <w:r w:rsidRPr="005A1835">
        <w:rPr>
          <w:rFonts w:ascii="Calibri" w:hAnsi="Calibri" w:cs="Calibri"/>
          <w:noProof/>
          <w:szCs w:val="24"/>
          <w:lang w:val="en-US"/>
        </w:rPr>
        <w:tab/>
        <w:t xml:space="preserve">Jenness SM, Goodreau SM, Rosenberg E, et al. Impact of the centers for disease control’s HIV preexposure prophylaxis guidelines for men who have sex with men in the United States. </w:t>
      </w:r>
      <w:r w:rsidRPr="005A1835">
        <w:rPr>
          <w:rFonts w:ascii="Calibri" w:hAnsi="Calibri" w:cs="Calibri"/>
          <w:i/>
          <w:iCs/>
          <w:noProof/>
          <w:szCs w:val="24"/>
          <w:lang w:val="en-US"/>
        </w:rPr>
        <w:t>J Infect Dis</w:t>
      </w:r>
      <w:r w:rsidRPr="005A1835">
        <w:rPr>
          <w:rFonts w:ascii="Calibri" w:hAnsi="Calibri" w:cs="Calibri"/>
          <w:noProof/>
          <w:szCs w:val="24"/>
          <w:lang w:val="en-US"/>
        </w:rPr>
        <w:t>. 2016;214(12):1800-1807. doi:10.1093/infdis/jiw223</w:t>
      </w:r>
    </w:p>
    <w:p w14:paraId="48E7025F" w14:textId="77777777" w:rsidR="00702287" w:rsidRPr="005A1835" w:rsidRDefault="00702287" w:rsidP="00702287">
      <w:pPr>
        <w:widowControl w:val="0"/>
        <w:autoSpaceDE w:val="0"/>
        <w:autoSpaceDN w:val="0"/>
        <w:adjustRightInd w:val="0"/>
        <w:spacing w:after="0" w:line="240" w:lineRule="auto"/>
        <w:ind w:left="640" w:hanging="640"/>
        <w:rPr>
          <w:rFonts w:ascii="Calibri" w:hAnsi="Calibri" w:cs="Calibri"/>
          <w:noProof/>
          <w:szCs w:val="24"/>
          <w:lang w:val="en-US"/>
        </w:rPr>
      </w:pPr>
      <w:r w:rsidRPr="005A1835">
        <w:rPr>
          <w:rFonts w:ascii="Calibri" w:hAnsi="Calibri" w:cs="Calibri"/>
          <w:noProof/>
          <w:szCs w:val="24"/>
          <w:lang w:val="en-US"/>
        </w:rPr>
        <w:t>5.</w:t>
      </w:r>
      <w:r w:rsidRPr="005A1835">
        <w:rPr>
          <w:rFonts w:ascii="Calibri" w:hAnsi="Calibri" w:cs="Calibri"/>
          <w:noProof/>
          <w:szCs w:val="24"/>
          <w:lang w:val="en-US"/>
        </w:rPr>
        <w:tab/>
        <w:t xml:space="preserve">Jenness SM, Weiss KM, Goodreau SM, et al. Incidence of gonorrhea and chlamydia following human immunodeficiency virus preexposure prophylaxis among men who have sex with men: A modeling study. </w:t>
      </w:r>
      <w:r w:rsidRPr="005A1835">
        <w:rPr>
          <w:rFonts w:ascii="Calibri" w:hAnsi="Calibri" w:cs="Calibri"/>
          <w:i/>
          <w:iCs/>
          <w:noProof/>
          <w:szCs w:val="24"/>
          <w:lang w:val="en-US"/>
        </w:rPr>
        <w:t>Clin Infect Dis</w:t>
      </w:r>
      <w:r w:rsidRPr="005A1835">
        <w:rPr>
          <w:rFonts w:ascii="Calibri" w:hAnsi="Calibri" w:cs="Calibri"/>
          <w:noProof/>
          <w:szCs w:val="24"/>
          <w:lang w:val="en-US"/>
        </w:rPr>
        <w:t>. 2017;65(5):712-718. doi:10.1093/cid/cix439</w:t>
      </w:r>
    </w:p>
    <w:p w14:paraId="6152D7B1" w14:textId="77777777" w:rsidR="00702287" w:rsidRPr="005A1835" w:rsidRDefault="00702287" w:rsidP="00702287">
      <w:pPr>
        <w:widowControl w:val="0"/>
        <w:autoSpaceDE w:val="0"/>
        <w:autoSpaceDN w:val="0"/>
        <w:adjustRightInd w:val="0"/>
        <w:spacing w:after="0" w:line="240" w:lineRule="auto"/>
        <w:ind w:left="640" w:hanging="640"/>
        <w:rPr>
          <w:rFonts w:ascii="Calibri" w:hAnsi="Calibri" w:cs="Calibri"/>
          <w:noProof/>
          <w:szCs w:val="24"/>
          <w:lang w:val="en-US"/>
        </w:rPr>
      </w:pPr>
      <w:r w:rsidRPr="005A1835">
        <w:rPr>
          <w:rFonts w:ascii="Calibri" w:hAnsi="Calibri" w:cs="Calibri"/>
          <w:noProof/>
          <w:szCs w:val="24"/>
          <w:lang w:val="en-US"/>
        </w:rPr>
        <w:t>6.</w:t>
      </w:r>
      <w:r w:rsidRPr="005A1835">
        <w:rPr>
          <w:rFonts w:ascii="Calibri" w:hAnsi="Calibri" w:cs="Calibri"/>
          <w:noProof/>
          <w:szCs w:val="24"/>
          <w:lang w:val="en-US"/>
        </w:rPr>
        <w:tab/>
        <w:t>R Core Team (2017). R: A language and environment for statistical computing. R Foundation for Statistical Computing, Vienna, Austria. URL https://www.R-project.org/.</w:t>
      </w:r>
    </w:p>
    <w:p w14:paraId="422991B2" w14:textId="77777777" w:rsidR="00702287" w:rsidRPr="005A1835" w:rsidRDefault="00702287" w:rsidP="00702287">
      <w:pPr>
        <w:widowControl w:val="0"/>
        <w:autoSpaceDE w:val="0"/>
        <w:autoSpaceDN w:val="0"/>
        <w:adjustRightInd w:val="0"/>
        <w:spacing w:after="0" w:line="240" w:lineRule="auto"/>
        <w:ind w:left="640" w:hanging="640"/>
        <w:rPr>
          <w:rFonts w:ascii="Calibri" w:hAnsi="Calibri" w:cs="Calibri"/>
          <w:noProof/>
          <w:szCs w:val="24"/>
          <w:lang w:val="en-US"/>
        </w:rPr>
      </w:pPr>
      <w:r w:rsidRPr="005A1835">
        <w:rPr>
          <w:rFonts w:ascii="Calibri" w:hAnsi="Calibri" w:cs="Calibri"/>
          <w:noProof/>
          <w:szCs w:val="24"/>
          <w:lang w:val="en-US"/>
        </w:rPr>
        <w:t>7.</w:t>
      </w:r>
      <w:r w:rsidRPr="005A1835">
        <w:rPr>
          <w:rFonts w:ascii="Calibri" w:hAnsi="Calibri" w:cs="Calibri"/>
          <w:noProof/>
          <w:szCs w:val="24"/>
          <w:lang w:val="en-US"/>
        </w:rPr>
        <w:tab/>
        <w:t xml:space="preserve">Jenness SM, Goodreau SM, Morris M. Epimodel: An R package for mathematical modeling of infectious disease over networks. </w:t>
      </w:r>
      <w:r w:rsidRPr="005A1835">
        <w:rPr>
          <w:rFonts w:ascii="Calibri" w:hAnsi="Calibri" w:cs="Calibri"/>
          <w:i/>
          <w:iCs/>
          <w:noProof/>
          <w:szCs w:val="24"/>
          <w:lang w:val="en-US"/>
        </w:rPr>
        <w:t>J Stat Softw</w:t>
      </w:r>
      <w:r w:rsidRPr="005A1835">
        <w:rPr>
          <w:rFonts w:ascii="Calibri" w:hAnsi="Calibri" w:cs="Calibri"/>
          <w:noProof/>
          <w:szCs w:val="24"/>
          <w:lang w:val="en-US"/>
        </w:rPr>
        <w:t>. 2018;84(8). doi:10.18637/jss.v084.i08</w:t>
      </w:r>
    </w:p>
    <w:p w14:paraId="4FC71ED2" w14:textId="77777777" w:rsidR="00702287" w:rsidRPr="005A1835" w:rsidRDefault="00702287" w:rsidP="00702287">
      <w:pPr>
        <w:widowControl w:val="0"/>
        <w:autoSpaceDE w:val="0"/>
        <w:autoSpaceDN w:val="0"/>
        <w:adjustRightInd w:val="0"/>
        <w:spacing w:after="0" w:line="240" w:lineRule="auto"/>
        <w:ind w:left="640" w:hanging="640"/>
        <w:rPr>
          <w:rFonts w:ascii="Calibri" w:hAnsi="Calibri" w:cs="Calibri"/>
          <w:noProof/>
          <w:szCs w:val="24"/>
          <w:lang w:val="fr-BE"/>
        </w:rPr>
      </w:pPr>
      <w:r w:rsidRPr="005A1835">
        <w:rPr>
          <w:rFonts w:ascii="Calibri" w:hAnsi="Calibri" w:cs="Calibri"/>
          <w:noProof/>
          <w:szCs w:val="24"/>
          <w:lang w:val="en-US"/>
        </w:rPr>
        <w:t>8.</w:t>
      </w:r>
      <w:r w:rsidRPr="005A1835">
        <w:rPr>
          <w:rFonts w:ascii="Calibri" w:hAnsi="Calibri" w:cs="Calibri"/>
          <w:noProof/>
          <w:szCs w:val="24"/>
          <w:lang w:val="en-US"/>
        </w:rPr>
        <w:tab/>
        <w:t xml:space="preserve">Weatherburn P, Hickson F, Reid DS, Marcus U, Schmidt AJ. European Men-Who-Have-Sex-With-Men Internet Survey (EMIS-2017): Design and Methods. </w:t>
      </w:r>
      <w:r w:rsidRPr="005A1835">
        <w:rPr>
          <w:rFonts w:ascii="Calibri" w:hAnsi="Calibri" w:cs="Calibri"/>
          <w:i/>
          <w:iCs/>
          <w:noProof/>
          <w:szCs w:val="24"/>
          <w:lang w:val="fr-BE"/>
        </w:rPr>
        <w:t>Sex Res Soc Policy</w:t>
      </w:r>
      <w:r w:rsidRPr="005A1835">
        <w:rPr>
          <w:rFonts w:ascii="Calibri" w:hAnsi="Calibri" w:cs="Calibri"/>
          <w:noProof/>
          <w:szCs w:val="24"/>
          <w:lang w:val="fr-BE"/>
        </w:rPr>
        <w:t>. 2020;17(4):543-557. doi:10.1007/s13178-019-00413-0</w:t>
      </w:r>
    </w:p>
    <w:p w14:paraId="24F6513B" w14:textId="77777777" w:rsidR="00702287" w:rsidRPr="005A1835" w:rsidRDefault="00702287" w:rsidP="00702287">
      <w:pPr>
        <w:widowControl w:val="0"/>
        <w:autoSpaceDE w:val="0"/>
        <w:autoSpaceDN w:val="0"/>
        <w:adjustRightInd w:val="0"/>
        <w:spacing w:after="0" w:line="240" w:lineRule="auto"/>
        <w:ind w:left="640" w:hanging="640"/>
        <w:rPr>
          <w:rFonts w:ascii="Calibri" w:hAnsi="Calibri" w:cs="Calibri"/>
          <w:noProof/>
          <w:szCs w:val="24"/>
          <w:lang w:val="en-US"/>
        </w:rPr>
      </w:pPr>
      <w:r w:rsidRPr="005A1835">
        <w:rPr>
          <w:rFonts w:ascii="Calibri" w:hAnsi="Calibri" w:cs="Calibri"/>
          <w:noProof/>
          <w:szCs w:val="24"/>
          <w:lang w:val="fr-BE"/>
        </w:rPr>
        <w:t>9.</w:t>
      </w:r>
      <w:r w:rsidRPr="005A1835">
        <w:rPr>
          <w:rFonts w:ascii="Calibri" w:hAnsi="Calibri" w:cs="Calibri"/>
          <w:noProof/>
          <w:szCs w:val="24"/>
          <w:lang w:val="fr-BE"/>
        </w:rPr>
        <w:tab/>
        <w:t xml:space="preserve">Buffel V, Reyniers T, Masquillier C, et al. </w:t>
      </w:r>
      <w:r w:rsidRPr="005A1835">
        <w:rPr>
          <w:rFonts w:ascii="Calibri" w:hAnsi="Calibri" w:cs="Calibri"/>
          <w:noProof/>
          <w:szCs w:val="24"/>
          <w:lang w:val="en-US"/>
        </w:rPr>
        <w:t xml:space="preserve">Awareness of, Willingness to Take PrEP and Its Actual Use Among Belgian MSM at High Risk of HIV Infection: Secondary Analysis of the Belgian European MSM Internet Survey. </w:t>
      </w:r>
      <w:r w:rsidRPr="005A1835">
        <w:rPr>
          <w:rFonts w:ascii="Calibri" w:hAnsi="Calibri" w:cs="Calibri"/>
          <w:i/>
          <w:iCs/>
          <w:noProof/>
          <w:szCs w:val="24"/>
          <w:lang w:val="en-US"/>
        </w:rPr>
        <w:t>AIDS Behav</w:t>
      </w:r>
      <w:r w:rsidRPr="005A1835">
        <w:rPr>
          <w:rFonts w:ascii="Calibri" w:hAnsi="Calibri" w:cs="Calibri"/>
          <w:noProof/>
          <w:szCs w:val="24"/>
          <w:lang w:val="en-US"/>
        </w:rPr>
        <w:t>. 2022;26(6):1793-1807. doi:10.1007/s10461-021-03526-z</w:t>
      </w:r>
    </w:p>
    <w:p w14:paraId="18971057" w14:textId="77777777" w:rsidR="00702287" w:rsidRPr="005A1835" w:rsidRDefault="00702287" w:rsidP="00702287">
      <w:pPr>
        <w:widowControl w:val="0"/>
        <w:autoSpaceDE w:val="0"/>
        <w:autoSpaceDN w:val="0"/>
        <w:adjustRightInd w:val="0"/>
        <w:spacing w:after="0" w:line="240" w:lineRule="auto"/>
        <w:ind w:left="640" w:hanging="640"/>
        <w:rPr>
          <w:rFonts w:ascii="Calibri" w:hAnsi="Calibri" w:cs="Calibri"/>
          <w:noProof/>
          <w:szCs w:val="24"/>
          <w:lang w:val="en-US"/>
        </w:rPr>
      </w:pPr>
      <w:r w:rsidRPr="005A1835">
        <w:rPr>
          <w:rFonts w:ascii="Calibri" w:hAnsi="Calibri" w:cs="Calibri"/>
          <w:noProof/>
          <w:szCs w:val="24"/>
          <w:lang w:val="en-US"/>
        </w:rPr>
        <w:t>10.</w:t>
      </w:r>
      <w:r w:rsidRPr="005A1835">
        <w:rPr>
          <w:rFonts w:ascii="Calibri" w:hAnsi="Calibri" w:cs="Calibri"/>
          <w:noProof/>
          <w:szCs w:val="24"/>
          <w:lang w:val="en-US"/>
        </w:rPr>
        <w:tab/>
        <w:t xml:space="preserve">Sherriff NS, Jones AM, Mirandola M, et al. Factors related to condomless anal intercourse between men who have sex with men: Results from a European bio-behavioural survey. </w:t>
      </w:r>
      <w:r w:rsidRPr="005A1835">
        <w:rPr>
          <w:rFonts w:ascii="Calibri" w:hAnsi="Calibri" w:cs="Calibri"/>
          <w:i/>
          <w:iCs/>
          <w:noProof/>
          <w:szCs w:val="24"/>
          <w:lang w:val="en-US"/>
        </w:rPr>
        <w:t>J Public Heal (United Kingdom)</w:t>
      </w:r>
      <w:r w:rsidRPr="005A1835">
        <w:rPr>
          <w:rFonts w:ascii="Calibri" w:hAnsi="Calibri" w:cs="Calibri"/>
          <w:noProof/>
          <w:szCs w:val="24"/>
          <w:lang w:val="en-US"/>
        </w:rPr>
        <w:t>. 2020;42(2):1-13. doi:10.1093/pubmed/fdz052</w:t>
      </w:r>
    </w:p>
    <w:p w14:paraId="765A8D27" w14:textId="77777777" w:rsidR="00702287" w:rsidRPr="005A1835" w:rsidRDefault="00702287" w:rsidP="00702287">
      <w:pPr>
        <w:widowControl w:val="0"/>
        <w:autoSpaceDE w:val="0"/>
        <w:autoSpaceDN w:val="0"/>
        <w:adjustRightInd w:val="0"/>
        <w:spacing w:after="0" w:line="240" w:lineRule="auto"/>
        <w:ind w:left="640" w:hanging="640"/>
        <w:rPr>
          <w:rFonts w:ascii="Calibri" w:hAnsi="Calibri" w:cs="Calibri"/>
          <w:noProof/>
          <w:szCs w:val="24"/>
          <w:lang w:val="en-US"/>
        </w:rPr>
      </w:pPr>
      <w:r w:rsidRPr="005A1835">
        <w:rPr>
          <w:rFonts w:ascii="Calibri" w:hAnsi="Calibri" w:cs="Calibri"/>
          <w:noProof/>
          <w:szCs w:val="24"/>
          <w:lang w:val="en-US"/>
        </w:rPr>
        <w:t>11.</w:t>
      </w:r>
      <w:r w:rsidRPr="005A1835">
        <w:rPr>
          <w:rFonts w:ascii="Calibri" w:hAnsi="Calibri" w:cs="Calibri"/>
          <w:noProof/>
          <w:szCs w:val="24"/>
          <w:lang w:val="en-US"/>
        </w:rPr>
        <w:tab/>
        <w:t xml:space="preserve">Hansson D, Strömdahl S, Leung KY, Britton T. </w:t>
      </w:r>
      <w:r w:rsidRPr="005A1835">
        <w:rPr>
          <w:rFonts w:ascii="Calibri" w:hAnsi="Calibri" w:cs="Calibri"/>
          <w:i/>
          <w:iCs/>
          <w:noProof/>
          <w:szCs w:val="24"/>
          <w:lang w:val="en-US"/>
        </w:rPr>
        <w:t>Introducing Pre-Exposure Prophylaxis to Prevent HIV Acquisition among Men Who Have Sex with Men in Sweden: Insights from a Mathematical Pair Formation Model</w:t>
      </w:r>
      <w:r w:rsidRPr="005A1835">
        <w:rPr>
          <w:rFonts w:ascii="Calibri" w:hAnsi="Calibri" w:cs="Calibri"/>
          <w:noProof/>
          <w:szCs w:val="24"/>
          <w:lang w:val="en-US"/>
        </w:rPr>
        <w:t>. Vol 10.; 2020. doi:10.1136/bmjopen-2019-033852</w:t>
      </w:r>
    </w:p>
    <w:p w14:paraId="0AE6102D" w14:textId="77777777" w:rsidR="00702287" w:rsidRPr="005A1835" w:rsidRDefault="00702287" w:rsidP="00702287">
      <w:pPr>
        <w:widowControl w:val="0"/>
        <w:autoSpaceDE w:val="0"/>
        <w:autoSpaceDN w:val="0"/>
        <w:adjustRightInd w:val="0"/>
        <w:spacing w:after="0" w:line="240" w:lineRule="auto"/>
        <w:ind w:left="640" w:hanging="640"/>
        <w:rPr>
          <w:rFonts w:ascii="Calibri" w:hAnsi="Calibri" w:cs="Calibri"/>
          <w:noProof/>
          <w:szCs w:val="24"/>
          <w:lang w:val="en-US"/>
        </w:rPr>
      </w:pPr>
      <w:r w:rsidRPr="005A1835">
        <w:rPr>
          <w:rFonts w:ascii="Calibri" w:hAnsi="Calibri" w:cs="Calibri"/>
          <w:noProof/>
          <w:szCs w:val="24"/>
          <w:lang w:val="en-US"/>
        </w:rPr>
        <w:t>12.</w:t>
      </w:r>
      <w:r w:rsidRPr="005A1835">
        <w:rPr>
          <w:rFonts w:ascii="Calibri" w:hAnsi="Calibri" w:cs="Calibri"/>
          <w:noProof/>
          <w:szCs w:val="24"/>
          <w:lang w:val="en-US"/>
        </w:rPr>
        <w:tab/>
        <w:t xml:space="preserve">Krivitsky PN, Handcock MS, Morris M. Adjusting for network size and composition effects in exponential-family random graph models. </w:t>
      </w:r>
      <w:r w:rsidRPr="005A1835">
        <w:rPr>
          <w:rFonts w:ascii="Calibri" w:hAnsi="Calibri" w:cs="Calibri"/>
          <w:i/>
          <w:iCs/>
          <w:noProof/>
          <w:szCs w:val="24"/>
          <w:lang w:val="en-US"/>
        </w:rPr>
        <w:t>Stat Methodol</w:t>
      </w:r>
      <w:r w:rsidRPr="005A1835">
        <w:rPr>
          <w:rFonts w:ascii="Calibri" w:hAnsi="Calibri" w:cs="Calibri"/>
          <w:noProof/>
          <w:szCs w:val="24"/>
          <w:lang w:val="en-US"/>
        </w:rPr>
        <w:t>. 2011;8(4):319-339. doi:10.1016/j.stamet.2011.01.005</w:t>
      </w:r>
    </w:p>
    <w:p w14:paraId="37073D54" w14:textId="77777777" w:rsidR="00702287" w:rsidRPr="005A1835" w:rsidRDefault="00702287" w:rsidP="00702287">
      <w:pPr>
        <w:widowControl w:val="0"/>
        <w:autoSpaceDE w:val="0"/>
        <w:autoSpaceDN w:val="0"/>
        <w:adjustRightInd w:val="0"/>
        <w:spacing w:after="0" w:line="240" w:lineRule="auto"/>
        <w:ind w:left="640" w:hanging="640"/>
        <w:rPr>
          <w:rFonts w:ascii="Calibri" w:hAnsi="Calibri" w:cs="Calibri"/>
          <w:noProof/>
          <w:szCs w:val="24"/>
          <w:lang w:val="en-US"/>
        </w:rPr>
      </w:pPr>
      <w:r w:rsidRPr="005A1835">
        <w:rPr>
          <w:rFonts w:ascii="Calibri" w:hAnsi="Calibri" w:cs="Calibri"/>
          <w:noProof/>
          <w:szCs w:val="24"/>
          <w:lang w:val="en-US"/>
        </w:rPr>
        <w:t>13.</w:t>
      </w:r>
      <w:r w:rsidRPr="005A1835">
        <w:rPr>
          <w:rFonts w:ascii="Calibri" w:hAnsi="Calibri" w:cs="Calibri"/>
          <w:noProof/>
          <w:szCs w:val="24"/>
          <w:lang w:val="en-US"/>
        </w:rPr>
        <w:tab/>
        <w:t xml:space="preserve">Liu C, Lu X. Network evolution of a large online MSM dating community: 2005–2018. </w:t>
      </w:r>
      <w:r w:rsidRPr="005A1835">
        <w:rPr>
          <w:rFonts w:ascii="Calibri" w:hAnsi="Calibri" w:cs="Calibri"/>
          <w:i/>
          <w:iCs/>
          <w:noProof/>
          <w:szCs w:val="24"/>
          <w:lang w:val="en-US"/>
        </w:rPr>
        <w:t>Int J Environ Res Public Health</w:t>
      </w:r>
      <w:r w:rsidRPr="005A1835">
        <w:rPr>
          <w:rFonts w:ascii="Calibri" w:hAnsi="Calibri" w:cs="Calibri"/>
          <w:noProof/>
          <w:szCs w:val="24"/>
          <w:lang w:val="en-US"/>
        </w:rPr>
        <w:t>. 2019;16(22). doi:10.3390/ijerph16224322</w:t>
      </w:r>
    </w:p>
    <w:p w14:paraId="2BC89516" w14:textId="77777777" w:rsidR="00702287" w:rsidRPr="005A1835" w:rsidRDefault="00702287" w:rsidP="00702287">
      <w:pPr>
        <w:widowControl w:val="0"/>
        <w:autoSpaceDE w:val="0"/>
        <w:autoSpaceDN w:val="0"/>
        <w:adjustRightInd w:val="0"/>
        <w:spacing w:after="0" w:line="240" w:lineRule="auto"/>
        <w:ind w:left="640" w:hanging="640"/>
        <w:rPr>
          <w:rFonts w:ascii="Calibri" w:hAnsi="Calibri" w:cs="Calibri"/>
          <w:noProof/>
          <w:szCs w:val="24"/>
          <w:lang w:val="en-US"/>
        </w:rPr>
      </w:pPr>
      <w:r w:rsidRPr="005A1835">
        <w:rPr>
          <w:rFonts w:ascii="Calibri" w:hAnsi="Calibri" w:cs="Calibri"/>
          <w:noProof/>
          <w:szCs w:val="24"/>
          <w:lang w:val="en-US"/>
        </w:rPr>
        <w:t>14.</w:t>
      </w:r>
      <w:r w:rsidRPr="005A1835">
        <w:rPr>
          <w:rFonts w:ascii="Calibri" w:hAnsi="Calibri" w:cs="Calibri"/>
          <w:noProof/>
          <w:szCs w:val="24"/>
          <w:lang w:val="en-US"/>
        </w:rPr>
        <w:tab/>
        <w:t>Currarini S, Vega Redondo F. A Simple Model of Homophily in Social Networks Department of Economics A Simple Model of Homophily in Social Networks. 2011;(16).</w:t>
      </w:r>
    </w:p>
    <w:p w14:paraId="490C311A" w14:textId="77777777" w:rsidR="00702287" w:rsidRPr="005A1835" w:rsidRDefault="00702287" w:rsidP="00702287">
      <w:pPr>
        <w:widowControl w:val="0"/>
        <w:autoSpaceDE w:val="0"/>
        <w:autoSpaceDN w:val="0"/>
        <w:adjustRightInd w:val="0"/>
        <w:spacing w:after="0" w:line="240" w:lineRule="auto"/>
        <w:ind w:left="640" w:hanging="640"/>
        <w:rPr>
          <w:rFonts w:ascii="Calibri" w:hAnsi="Calibri" w:cs="Calibri"/>
          <w:noProof/>
          <w:szCs w:val="24"/>
          <w:lang w:val="en-US"/>
        </w:rPr>
      </w:pPr>
      <w:r w:rsidRPr="005A1835">
        <w:rPr>
          <w:rFonts w:ascii="Calibri" w:hAnsi="Calibri" w:cs="Calibri"/>
          <w:noProof/>
          <w:szCs w:val="24"/>
          <w:lang w:val="en-US"/>
        </w:rPr>
        <w:lastRenderedPageBreak/>
        <w:t>15.</w:t>
      </w:r>
      <w:r w:rsidRPr="005A1835">
        <w:rPr>
          <w:rFonts w:ascii="Calibri" w:hAnsi="Calibri" w:cs="Calibri"/>
          <w:noProof/>
          <w:szCs w:val="24"/>
          <w:lang w:val="en-US"/>
        </w:rPr>
        <w:tab/>
        <w:t xml:space="preserve">Cai M, Huang G, Kretzschmar ME, Chen X, Lu X. Extremely Low Reciprocity and Strong Homophily in the World Largest MSM Social Network. </w:t>
      </w:r>
      <w:r w:rsidRPr="005A1835">
        <w:rPr>
          <w:rFonts w:ascii="Calibri" w:hAnsi="Calibri" w:cs="Calibri"/>
          <w:i/>
          <w:iCs/>
          <w:noProof/>
          <w:szCs w:val="24"/>
          <w:lang w:val="en-US"/>
        </w:rPr>
        <w:t>IEEE Trans Netw Sci Eng</w:t>
      </w:r>
      <w:r w:rsidRPr="005A1835">
        <w:rPr>
          <w:rFonts w:ascii="Calibri" w:hAnsi="Calibri" w:cs="Calibri"/>
          <w:noProof/>
          <w:szCs w:val="24"/>
          <w:lang w:val="en-US"/>
        </w:rPr>
        <w:t>. 2021;8(3):2279-2287. doi:10.1109/TNSE.2021.3085984</w:t>
      </w:r>
    </w:p>
    <w:p w14:paraId="73C4908D" w14:textId="77777777" w:rsidR="00702287" w:rsidRPr="005A1835" w:rsidRDefault="00702287" w:rsidP="00702287">
      <w:pPr>
        <w:widowControl w:val="0"/>
        <w:autoSpaceDE w:val="0"/>
        <w:autoSpaceDN w:val="0"/>
        <w:adjustRightInd w:val="0"/>
        <w:spacing w:after="0" w:line="240" w:lineRule="auto"/>
        <w:ind w:left="640" w:hanging="640"/>
        <w:rPr>
          <w:rFonts w:ascii="Calibri" w:hAnsi="Calibri" w:cs="Calibri"/>
          <w:noProof/>
          <w:szCs w:val="24"/>
          <w:lang w:val="en-US"/>
        </w:rPr>
      </w:pPr>
      <w:r w:rsidRPr="005A1835">
        <w:rPr>
          <w:rFonts w:ascii="Calibri" w:hAnsi="Calibri" w:cs="Calibri"/>
          <w:noProof/>
          <w:szCs w:val="24"/>
          <w:lang w:val="en-US"/>
        </w:rPr>
        <w:t>16.</w:t>
      </w:r>
      <w:r w:rsidRPr="005A1835">
        <w:rPr>
          <w:rFonts w:ascii="Calibri" w:hAnsi="Calibri" w:cs="Calibri"/>
          <w:noProof/>
          <w:szCs w:val="24"/>
          <w:lang w:val="en-US"/>
        </w:rPr>
        <w:tab/>
        <w:t xml:space="preserve">Murase Y, Jo HH, Török J, Kertész J, Kaski K. Structural transition in social networks: The role of homophily. </w:t>
      </w:r>
      <w:r w:rsidRPr="005A1835">
        <w:rPr>
          <w:rFonts w:ascii="Calibri" w:hAnsi="Calibri" w:cs="Calibri"/>
          <w:i/>
          <w:iCs/>
          <w:noProof/>
          <w:szCs w:val="24"/>
          <w:lang w:val="en-US"/>
        </w:rPr>
        <w:t>Sci Rep</w:t>
      </w:r>
      <w:r w:rsidRPr="005A1835">
        <w:rPr>
          <w:rFonts w:ascii="Calibri" w:hAnsi="Calibri" w:cs="Calibri"/>
          <w:noProof/>
          <w:szCs w:val="24"/>
          <w:lang w:val="en-US"/>
        </w:rPr>
        <w:t>. 2019;9(1):1-8. doi:10.1038/s41598-019-40990-z</w:t>
      </w:r>
    </w:p>
    <w:p w14:paraId="56EA76D2" w14:textId="77777777" w:rsidR="00702287" w:rsidRPr="005A1835" w:rsidRDefault="00702287" w:rsidP="00702287">
      <w:pPr>
        <w:widowControl w:val="0"/>
        <w:autoSpaceDE w:val="0"/>
        <w:autoSpaceDN w:val="0"/>
        <w:adjustRightInd w:val="0"/>
        <w:spacing w:after="0" w:line="240" w:lineRule="auto"/>
        <w:ind w:left="640" w:hanging="640"/>
        <w:rPr>
          <w:rFonts w:ascii="Calibri" w:hAnsi="Calibri" w:cs="Calibri"/>
          <w:noProof/>
          <w:szCs w:val="24"/>
          <w:lang w:val="en-US"/>
        </w:rPr>
      </w:pPr>
      <w:r w:rsidRPr="005A1835">
        <w:rPr>
          <w:rFonts w:ascii="Calibri" w:hAnsi="Calibri" w:cs="Calibri"/>
          <w:noProof/>
          <w:szCs w:val="24"/>
          <w:lang w:val="en-US"/>
        </w:rPr>
        <w:t>17.</w:t>
      </w:r>
      <w:r w:rsidRPr="005A1835">
        <w:rPr>
          <w:rFonts w:ascii="Calibri" w:hAnsi="Calibri" w:cs="Calibri"/>
          <w:noProof/>
          <w:szCs w:val="24"/>
          <w:lang w:val="en-US"/>
        </w:rPr>
        <w:tab/>
        <w:t xml:space="preserve">Lanjouw E, Ouburg S, de Vries HJ, Stary A, Radcliffe K, Unemo M. 2015 European guideline on the management of Chlamydia trachomatis infections. </w:t>
      </w:r>
      <w:r w:rsidRPr="005A1835">
        <w:rPr>
          <w:rFonts w:ascii="Calibri" w:hAnsi="Calibri" w:cs="Calibri"/>
          <w:i/>
          <w:iCs/>
          <w:noProof/>
          <w:szCs w:val="24"/>
          <w:lang w:val="en-US"/>
        </w:rPr>
        <w:t>Int J STD AIDS</w:t>
      </w:r>
      <w:r w:rsidRPr="005A1835">
        <w:rPr>
          <w:rFonts w:ascii="Calibri" w:hAnsi="Calibri" w:cs="Calibri"/>
          <w:noProof/>
          <w:szCs w:val="24"/>
          <w:lang w:val="en-US"/>
        </w:rPr>
        <w:t>. 2016;27(5):333-348. doi:10.1177/0956462415618837</w:t>
      </w:r>
    </w:p>
    <w:p w14:paraId="7BDD2B08" w14:textId="77777777" w:rsidR="00702287" w:rsidRPr="005A1835" w:rsidRDefault="00702287" w:rsidP="00702287">
      <w:pPr>
        <w:widowControl w:val="0"/>
        <w:autoSpaceDE w:val="0"/>
        <w:autoSpaceDN w:val="0"/>
        <w:adjustRightInd w:val="0"/>
        <w:spacing w:after="0" w:line="240" w:lineRule="auto"/>
        <w:ind w:left="640" w:hanging="640"/>
        <w:rPr>
          <w:rFonts w:ascii="Calibri" w:hAnsi="Calibri" w:cs="Calibri"/>
          <w:noProof/>
          <w:szCs w:val="24"/>
          <w:lang w:val="en-US"/>
        </w:rPr>
      </w:pPr>
      <w:r w:rsidRPr="005A1835">
        <w:rPr>
          <w:rFonts w:ascii="Calibri" w:hAnsi="Calibri" w:cs="Calibri"/>
          <w:noProof/>
          <w:szCs w:val="24"/>
          <w:lang w:val="en-US"/>
        </w:rPr>
        <w:t>18.</w:t>
      </w:r>
      <w:r w:rsidRPr="005A1835">
        <w:rPr>
          <w:rFonts w:ascii="Calibri" w:hAnsi="Calibri" w:cs="Calibri"/>
          <w:noProof/>
          <w:szCs w:val="24"/>
          <w:lang w:val="en-US"/>
        </w:rPr>
        <w:tab/>
        <w:t xml:space="preserve">Pharris A, Amato AJ, Carrillo-Santisteve P, et al. </w:t>
      </w:r>
      <w:r w:rsidRPr="005A1835">
        <w:rPr>
          <w:rFonts w:ascii="Calibri" w:hAnsi="Calibri" w:cs="Calibri"/>
          <w:i/>
          <w:iCs/>
          <w:noProof/>
          <w:szCs w:val="24"/>
          <w:lang w:val="en-US"/>
        </w:rPr>
        <w:t>HIV and STI Prevention among Men Who Have Sex with Men HIV and STI Prevention among Men Who Have Sex with Men-Gauci with Technical Input From</w:t>
      </w:r>
      <w:r w:rsidRPr="005A1835">
        <w:rPr>
          <w:rFonts w:ascii="Calibri" w:hAnsi="Calibri" w:cs="Calibri"/>
          <w:noProof/>
          <w:szCs w:val="24"/>
          <w:lang w:val="en-US"/>
        </w:rPr>
        <w:t>.; 2015. https://ecdc.europa.eu/sites/portal/files/media/en/publications/Publications/hiv-sti-prevention-among-men-who-have-sex-with-men-guidance.pdf</w:t>
      </w:r>
    </w:p>
    <w:p w14:paraId="6EC8BC74" w14:textId="77777777" w:rsidR="00702287" w:rsidRPr="005A1835" w:rsidRDefault="00702287" w:rsidP="00702287">
      <w:pPr>
        <w:widowControl w:val="0"/>
        <w:autoSpaceDE w:val="0"/>
        <w:autoSpaceDN w:val="0"/>
        <w:adjustRightInd w:val="0"/>
        <w:spacing w:after="0" w:line="240" w:lineRule="auto"/>
        <w:ind w:left="640" w:hanging="640"/>
        <w:rPr>
          <w:rFonts w:ascii="Calibri" w:hAnsi="Calibri" w:cs="Calibri"/>
          <w:noProof/>
          <w:szCs w:val="24"/>
          <w:lang w:val="en-US"/>
        </w:rPr>
      </w:pPr>
      <w:r w:rsidRPr="005A1835">
        <w:rPr>
          <w:rFonts w:ascii="Calibri" w:hAnsi="Calibri" w:cs="Calibri"/>
          <w:noProof/>
          <w:szCs w:val="24"/>
          <w:lang w:val="de-DE"/>
        </w:rPr>
        <w:t>19.</w:t>
      </w:r>
      <w:r w:rsidRPr="005A1835">
        <w:rPr>
          <w:rFonts w:ascii="Calibri" w:hAnsi="Calibri" w:cs="Calibri"/>
          <w:noProof/>
          <w:szCs w:val="24"/>
          <w:lang w:val="de-DE"/>
        </w:rPr>
        <w:tab/>
        <w:t xml:space="preserve">Toni T, Welch D, Strelkowa N, Ipsen A, Stumpf MPH. </w:t>
      </w:r>
      <w:r w:rsidRPr="005A1835">
        <w:rPr>
          <w:rFonts w:ascii="Calibri" w:hAnsi="Calibri" w:cs="Calibri"/>
          <w:noProof/>
          <w:szCs w:val="24"/>
          <w:lang w:val="en-US"/>
        </w:rPr>
        <w:t xml:space="preserve">Approximate Bayesian computation scheme for parameter inference and model selection in dynamical systems. </w:t>
      </w:r>
      <w:r w:rsidRPr="005A1835">
        <w:rPr>
          <w:rFonts w:ascii="Calibri" w:hAnsi="Calibri" w:cs="Calibri"/>
          <w:i/>
          <w:iCs/>
          <w:noProof/>
          <w:szCs w:val="24"/>
          <w:lang w:val="en-US"/>
        </w:rPr>
        <w:t>J R Soc Interface</w:t>
      </w:r>
      <w:r w:rsidRPr="005A1835">
        <w:rPr>
          <w:rFonts w:ascii="Calibri" w:hAnsi="Calibri" w:cs="Calibri"/>
          <w:noProof/>
          <w:szCs w:val="24"/>
          <w:lang w:val="en-US"/>
        </w:rPr>
        <w:t>. 2009;6(31):187-202. doi:10.1098/rsif.2008.0172</w:t>
      </w:r>
    </w:p>
    <w:p w14:paraId="25F2935F" w14:textId="77777777" w:rsidR="00702287" w:rsidRPr="005A1835" w:rsidRDefault="00702287" w:rsidP="00702287">
      <w:pPr>
        <w:widowControl w:val="0"/>
        <w:autoSpaceDE w:val="0"/>
        <w:autoSpaceDN w:val="0"/>
        <w:adjustRightInd w:val="0"/>
        <w:spacing w:after="0" w:line="240" w:lineRule="auto"/>
        <w:ind w:left="640" w:hanging="640"/>
        <w:rPr>
          <w:rFonts w:ascii="Calibri" w:hAnsi="Calibri" w:cs="Calibri"/>
          <w:noProof/>
          <w:szCs w:val="24"/>
          <w:lang w:val="en-US"/>
        </w:rPr>
      </w:pPr>
      <w:r w:rsidRPr="005A1835">
        <w:rPr>
          <w:rFonts w:ascii="Calibri" w:hAnsi="Calibri" w:cs="Calibri"/>
          <w:noProof/>
          <w:szCs w:val="24"/>
          <w:lang w:val="en-US"/>
        </w:rPr>
        <w:t>20.</w:t>
      </w:r>
      <w:r w:rsidRPr="005A1835">
        <w:rPr>
          <w:rFonts w:ascii="Calibri" w:hAnsi="Calibri" w:cs="Calibri"/>
          <w:noProof/>
          <w:szCs w:val="24"/>
          <w:lang w:val="en-US"/>
        </w:rPr>
        <w:tab/>
        <w:t xml:space="preserve">Held L, Hens N, O’Neil P, Wallinga J. </w:t>
      </w:r>
      <w:r w:rsidRPr="005A1835">
        <w:rPr>
          <w:rFonts w:ascii="Calibri" w:hAnsi="Calibri" w:cs="Calibri"/>
          <w:i/>
          <w:iCs/>
          <w:noProof/>
          <w:szCs w:val="24"/>
          <w:lang w:val="en-US"/>
        </w:rPr>
        <w:t>Handbook of Infectious Disease Data Analysis</w:t>
      </w:r>
      <w:r w:rsidRPr="005A1835">
        <w:rPr>
          <w:rFonts w:ascii="Calibri" w:hAnsi="Calibri" w:cs="Calibri"/>
          <w:noProof/>
          <w:szCs w:val="24"/>
          <w:lang w:val="en-US"/>
        </w:rPr>
        <w:t>. Chapman and Hall/CRC; 2020. doi:https://doi.org/10.1201/9781315222912</w:t>
      </w:r>
    </w:p>
    <w:p w14:paraId="660C6645" w14:textId="77777777" w:rsidR="00702287" w:rsidRPr="005A1835" w:rsidRDefault="00702287" w:rsidP="00702287">
      <w:pPr>
        <w:widowControl w:val="0"/>
        <w:autoSpaceDE w:val="0"/>
        <w:autoSpaceDN w:val="0"/>
        <w:adjustRightInd w:val="0"/>
        <w:spacing w:after="0" w:line="240" w:lineRule="auto"/>
        <w:ind w:left="640" w:hanging="640"/>
        <w:rPr>
          <w:rFonts w:ascii="Calibri" w:hAnsi="Calibri" w:cs="Calibri"/>
          <w:noProof/>
          <w:szCs w:val="24"/>
          <w:lang w:val="fr-BE"/>
        </w:rPr>
      </w:pPr>
      <w:r w:rsidRPr="005A1835">
        <w:rPr>
          <w:rFonts w:ascii="Calibri" w:hAnsi="Calibri" w:cs="Calibri"/>
          <w:noProof/>
          <w:szCs w:val="24"/>
          <w:lang w:val="en-US"/>
        </w:rPr>
        <w:t>21.</w:t>
      </w:r>
      <w:r w:rsidRPr="005A1835">
        <w:rPr>
          <w:rFonts w:ascii="Calibri" w:hAnsi="Calibri" w:cs="Calibri"/>
          <w:noProof/>
          <w:szCs w:val="24"/>
          <w:lang w:val="en-US"/>
        </w:rPr>
        <w:tab/>
        <w:t xml:space="preserve">Beaumont MA, Cornuet JM, Marin JM, Robert CP. </w:t>
      </w:r>
      <w:r w:rsidRPr="005A1835">
        <w:rPr>
          <w:rFonts w:ascii="Calibri" w:hAnsi="Calibri" w:cs="Calibri"/>
          <w:noProof/>
          <w:szCs w:val="24"/>
          <w:lang w:val="fr-BE"/>
        </w:rPr>
        <w:t xml:space="preserve">Adaptive approximate Bayesian computation. </w:t>
      </w:r>
      <w:r w:rsidRPr="005A1835">
        <w:rPr>
          <w:rFonts w:ascii="Calibri" w:hAnsi="Calibri" w:cs="Calibri"/>
          <w:i/>
          <w:iCs/>
          <w:noProof/>
          <w:szCs w:val="24"/>
          <w:lang w:val="fr-BE"/>
        </w:rPr>
        <w:t>Biometrika</w:t>
      </w:r>
      <w:r w:rsidRPr="005A1835">
        <w:rPr>
          <w:rFonts w:ascii="Calibri" w:hAnsi="Calibri" w:cs="Calibri"/>
          <w:noProof/>
          <w:szCs w:val="24"/>
          <w:lang w:val="fr-BE"/>
        </w:rPr>
        <w:t>. 2009;96(4):983-990. doi:10.1093/biomet/asp052</w:t>
      </w:r>
    </w:p>
    <w:p w14:paraId="04BC5F34" w14:textId="77777777" w:rsidR="00702287" w:rsidRPr="005A1835" w:rsidRDefault="00702287" w:rsidP="00702287">
      <w:pPr>
        <w:widowControl w:val="0"/>
        <w:autoSpaceDE w:val="0"/>
        <w:autoSpaceDN w:val="0"/>
        <w:adjustRightInd w:val="0"/>
        <w:spacing w:after="0" w:line="240" w:lineRule="auto"/>
        <w:ind w:left="640" w:hanging="640"/>
        <w:rPr>
          <w:rFonts w:ascii="Calibri" w:hAnsi="Calibri" w:cs="Calibri"/>
          <w:noProof/>
          <w:szCs w:val="24"/>
          <w:lang w:val="en-US"/>
        </w:rPr>
      </w:pPr>
      <w:r w:rsidRPr="005A1835">
        <w:rPr>
          <w:rFonts w:ascii="Calibri" w:hAnsi="Calibri" w:cs="Calibri"/>
          <w:noProof/>
          <w:szCs w:val="24"/>
          <w:lang w:val="fr-BE"/>
        </w:rPr>
        <w:t>22.</w:t>
      </w:r>
      <w:r w:rsidRPr="005A1835">
        <w:rPr>
          <w:rFonts w:ascii="Calibri" w:hAnsi="Calibri" w:cs="Calibri"/>
          <w:noProof/>
          <w:szCs w:val="24"/>
          <w:lang w:val="fr-BE"/>
        </w:rPr>
        <w:tab/>
        <w:t xml:space="preserve">Sisson SA, Fan Y, Tanaka MM. </w:t>
      </w:r>
      <w:r w:rsidRPr="005A1835">
        <w:rPr>
          <w:rFonts w:ascii="Calibri" w:hAnsi="Calibri" w:cs="Calibri"/>
          <w:noProof/>
          <w:szCs w:val="24"/>
          <w:lang w:val="en-US"/>
        </w:rPr>
        <w:t xml:space="preserve">Sequential Monte Carlo without likelihoods (Proceedings of the National Academy of Sciences of the United States of America (2007) 104, 6, (1760-1765) DOI:10.1073/pnas.0607208104). </w:t>
      </w:r>
      <w:r w:rsidRPr="005A1835">
        <w:rPr>
          <w:rFonts w:ascii="Calibri" w:hAnsi="Calibri" w:cs="Calibri"/>
          <w:i/>
          <w:iCs/>
          <w:noProof/>
          <w:szCs w:val="24"/>
          <w:lang w:val="en-US"/>
        </w:rPr>
        <w:t>Proc Natl Acad Sci U S A</w:t>
      </w:r>
      <w:r w:rsidRPr="005A1835">
        <w:rPr>
          <w:rFonts w:ascii="Calibri" w:hAnsi="Calibri" w:cs="Calibri"/>
          <w:noProof/>
          <w:szCs w:val="24"/>
          <w:lang w:val="en-US"/>
        </w:rPr>
        <w:t>. 2009;106(39):16889. doi:10.1073/pnas.0908847106</w:t>
      </w:r>
    </w:p>
    <w:p w14:paraId="499D0437" w14:textId="77777777" w:rsidR="00702287" w:rsidRPr="005A1835" w:rsidRDefault="00702287" w:rsidP="00702287">
      <w:pPr>
        <w:widowControl w:val="0"/>
        <w:autoSpaceDE w:val="0"/>
        <w:autoSpaceDN w:val="0"/>
        <w:adjustRightInd w:val="0"/>
        <w:spacing w:after="0" w:line="240" w:lineRule="auto"/>
        <w:ind w:left="640" w:hanging="640"/>
        <w:rPr>
          <w:rFonts w:ascii="Calibri" w:hAnsi="Calibri" w:cs="Calibri"/>
          <w:noProof/>
          <w:szCs w:val="24"/>
          <w:lang w:val="en-US"/>
        </w:rPr>
      </w:pPr>
      <w:r w:rsidRPr="005A1835">
        <w:rPr>
          <w:rFonts w:ascii="Calibri" w:hAnsi="Calibri" w:cs="Calibri"/>
          <w:noProof/>
          <w:szCs w:val="24"/>
          <w:lang w:val="en-US"/>
        </w:rPr>
        <w:t>23.</w:t>
      </w:r>
      <w:r w:rsidRPr="005A1835">
        <w:rPr>
          <w:rFonts w:ascii="Calibri" w:hAnsi="Calibri" w:cs="Calibri"/>
          <w:noProof/>
          <w:szCs w:val="24"/>
          <w:lang w:val="en-US"/>
        </w:rPr>
        <w:tab/>
        <w:t>Jabot F, Faure T, Dumoulin N. EasyABC: Efficient Approximate Bayesian Computation Sampling Schemes. Published online 2015.</w:t>
      </w:r>
    </w:p>
    <w:p w14:paraId="27B77FE8" w14:textId="77777777" w:rsidR="00702287" w:rsidRPr="00702287" w:rsidRDefault="00702287" w:rsidP="00702287">
      <w:pPr>
        <w:widowControl w:val="0"/>
        <w:autoSpaceDE w:val="0"/>
        <w:autoSpaceDN w:val="0"/>
        <w:adjustRightInd w:val="0"/>
        <w:spacing w:after="0" w:line="240" w:lineRule="auto"/>
        <w:ind w:left="640" w:hanging="640"/>
        <w:rPr>
          <w:rFonts w:ascii="Calibri" w:hAnsi="Calibri" w:cs="Calibri"/>
          <w:noProof/>
          <w:szCs w:val="24"/>
        </w:rPr>
      </w:pPr>
      <w:r w:rsidRPr="005A1835">
        <w:rPr>
          <w:rFonts w:ascii="Calibri" w:hAnsi="Calibri" w:cs="Calibri"/>
          <w:noProof/>
          <w:szCs w:val="24"/>
          <w:lang w:val="en-US"/>
        </w:rPr>
        <w:t>24.</w:t>
      </w:r>
      <w:r w:rsidRPr="005A1835">
        <w:rPr>
          <w:rFonts w:ascii="Calibri" w:hAnsi="Calibri" w:cs="Calibri"/>
          <w:noProof/>
          <w:szCs w:val="24"/>
          <w:lang w:val="en-US"/>
        </w:rPr>
        <w:tab/>
        <w:t xml:space="preserve">Buyze J, Vanden Berghe W, Hens N, Kenyon C. Current levels of gonorrhoea screening in MSM in Belgium may have little effect on prevalence: A modelling study. </w:t>
      </w:r>
      <w:r w:rsidRPr="00702287">
        <w:rPr>
          <w:rFonts w:ascii="Calibri" w:hAnsi="Calibri" w:cs="Calibri"/>
          <w:i/>
          <w:iCs/>
          <w:noProof/>
          <w:szCs w:val="24"/>
        </w:rPr>
        <w:t>Epidemiol Infect</w:t>
      </w:r>
      <w:r w:rsidRPr="00702287">
        <w:rPr>
          <w:rFonts w:ascii="Calibri" w:hAnsi="Calibri" w:cs="Calibri"/>
          <w:noProof/>
          <w:szCs w:val="24"/>
        </w:rPr>
        <w:t>. 2018;146(3):333-338. doi:10.1017/S0950268818000092</w:t>
      </w:r>
    </w:p>
    <w:p w14:paraId="45B2BD86" w14:textId="77777777" w:rsidR="00702287" w:rsidRPr="005A1835" w:rsidRDefault="00702287" w:rsidP="00702287">
      <w:pPr>
        <w:widowControl w:val="0"/>
        <w:autoSpaceDE w:val="0"/>
        <w:autoSpaceDN w:val="0"/>
        <w:adjustRightInd w:val="0"/>
        <w:spacing w:after="0" w:line="240" w:lineRule="auto"/>
        <w:ind w:left="640" w:hanging="640"/>
        <w:rPr>
          <w:rFonts w:ascii="Calibri" w:hAnsi="Calibri" w:cs="Calibri"/>
          <w:noProof/>
          <w:szCs w:val="24"/>
          <w:lang w:val="en-US"/>
        </w:rPr>
      </w:pPr>
      <w:r w:rsidRPr="00702287">
        <w:rPr>
          <w:rFonts w:ascii="Calibri" w:hAnsi="Calibri" w:cs="Calibri"/>
          <w:noProof/>
          <w:szCs w:val="24"/>
        </w:rPr>
        <w:t>25.</w:t>
      </w:r>
      <w:r w:rsidRPr="00702287">
        <w:rPr>
          <w:rFonts w:ascii="Calibri" w:hAnsi="Calibri" w:cs="Calibri"/>
          <w:noProof/>
          <w:szCs w:val="24"/>
        </w:rPr>
        <w:tab/>
        <w:t xml:space="preserve">Reitsema M, Heijne J, Visser M, et al. </w:t>
      </w:r>
      <w:r w:rsidRPr="005A1835">
        <w:rPr>
          <w:rFonts w:ascii="Calibri" w:hAnsi="Calibri" w:cs="Calibri"/>
          <w:noProof/>
          <w:szCs w:val="24"/>
          <w:lang w:val="en-US"/>
        </w:rPr>
        <w:t xml:space="preserve">Impact of frequent testing on the transmission of HIV and N. gonorrhoeae among men who have sex with men: A mathematical modelling study. </w:t>
      </w:r>
      <w:r w:rsidRPr="005A1835">
        <w:rPr>
          <w:rFonts w:ascii="Calibri" w:hAnsi="Calibri" w:cs="Calibri"/>
          <w:i/>
          <w:iCs/>
          <w:noProof/>
          <w:szCs w:val="24"/>
          <w:lang w:val="en-US"/>
        </w:rPr>
        <w:t>Sex Transm Infect</w:t>
      </w:r>
      <w:r w:rsidRPr="005A1835">
        <w:rPr>
          <w:rFonts w:ascii="Calibri" w:hAnsi="Calibri" w:cs="Calibri"/>
          <w:noProof/>
          <w:szCs w:val="24"/>
          <w:lang w:val="en-US"/>
        </w:rPr>
        <w:t>. 2020;96(5):361-367. doi:10.1136/sextrans-2018-053943</w:t>
      </w:r>
    </w:p>
    <w:p w14:paraId="751D9A23" w14:textId="77777777" w:rsidR="00702287" w:rsidRPr="00702287" w:rsidRDefault="00702287" w:rsidP="00702287">
      <w:pPr>
        <w:widowControl w:val="0"/>
        <w:autoSpaceDE w:val="0"/>
        <w:autoSpaceDN w:val="0"/>
        <w:adjustRightInd w:val="0"/>
        <w:spacing w:after="0" w:line="240" w:lineRule="auto"/>
        <w:ind w:left="640" w:hanging="640"/>
        <w:rPr>
          <w:rFonts w:ascii="Calibri" w:hAnsi="Calibri" w:cs="Calibri"/>
          <w:noProof/>
        </w:rPr>
      </w:pPr>
      <w:r w:rsidRPr="005A1835">
        <w:rPr>
          <w:rFonts w:ascii="Calibri" w:hAnsi="Calibri" w:cs="Calibri"/>
          <w:noProof/>
          <w:szCs w:val="24"/>
          <w:lang w:val="en-US"/>
        </w:rPr>
        <w:t>26.</w:t>
      </w:r>
      <w:r w:rsidRPr="005A1835">
        <w:rPr>
          <w:rFonts w:ascii="Calibri" w:hAnsi="Calibri" w:cs="Calibri"/>
          <w:noProof/>
          <w:szCs w:val="24"/>
          <w:lang w:val="en-US"/>
        </w:rPr>
        <w:tab/>
        <w:t xml:space="preserve">Mendez-Lopez A, Hickson F, Jansen K, et al. What is the empirical basis for converting banded ordinal data on numbers of sex partners among MSM into a continuous scale level variable? A secondary analysis of 13 surveys across 17 countries. </w:t>
      </w:r>
      <w:r w:rsidRPr="005A1835">
        <w:rPr>
          <w:rFonts w:ascii="Calibri" w:hAnsi="Calibri" w:cs="Calibri"/>
          <w:i/>
          <w:iCs/>
          <w:noProof/>
          <w:szCs w:val="24"/>
          <w:lang w:val="en-US"/>
        </w:rPr>
        <w:t>BMC Med Res Methodol</w:t>
      </w:r>
      <w:r w:rsidRPr="005A1835">
        <w:rPr>
          <w:rFonts w:ascii="Calibri" w:hAnsi="Calibri" w:cs="Calibri"/>
          <w:noProof/>
          <w:szCs w:val="24"/>
          <w:lang w:val="en-US"/>
        </w:rPr>
        <w:t xml:space="preserve">. </w:t>
      </w:r>
      <w:r w:rsidRPr="00702287">
        <w:rPr>
          <w:rFonts w:ascii="Calibri" w:hAnsi="Calibri" w:cs="Calibri"/>
          <w:noProof/>
          <w:szCs w:val="24"/>
        </w:rPr>
        <w:t>2022;22(1):1-7. doi:10.1186/s12874-021-01483-8</w:t>
      </w:r>
    </w:p>
    <w:p w14:paraId="2371CBCF" w14:textId="59DBDB96" w:rsidR="006F792B" w:rsidRPr="005342A5" w:rsidRDefault="006F792B" w:rsidP="00BE176C">
      <w:pPr>
        <w:spacing w:after="0" w:line="240" w:lineRule="auto"/>
        <w:rPr>
          <w:rFonts w:eastAsia="Times New Roman"/>
          <w:lang w:val="en-US"/>
        </w:rPr>
      </w:pPr>
      <w:r>
        <w:rPr>
          <w:rFonts w:eastAsia="Times New Roman"/>
          <w:lang w:val="en-US"/>
        </w:rPr>
        <w:fldChar w:fldCharType="end"/>
      </w:r>
      <w:bookmarkEnd w:id="0"/>
    </w:p>
    <w:sectPr w:rsidR="006F792B" w:rsidRPr="005342A5" w:rsidSect="001F1261">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8DF11" w14:textId="77777777" w:rsidR="00B73D78" w:rsidRDefault="00B73D78" w:rsidP="00650B91">
      <w:pPr>
        <w:spacing w:after="0" w:line="240" w:lineRule="auto"/>
      </w:pPr>
      <w:r>
        <w:separator/>
      </w:r>
    </w:p>
  </w:endnote>
  <w:endnote w:type="continuationSeparator" w:id="0">
    <w:p w14:paraId="0B9EB457" w14:textId="77777777" w:rsidR="00B73D78" w:rsidRDefault="00B73D78" w:rsidP="00650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9134758"/>
      <w:docPartObj>
        <w:docPartGallery w:val="Page Numbers (Bottom of Page)"/>
        <w:docPartUnique/>
      </w:docPartObj>
    </w:sdtPr>
    <w:sdtContent>
      <w:p w14:paraId="19F58E32" w14:textId="3802B5F4" w:rsidR="00BE176C" w:rsidRDefault="00BE176C" w:rsidP="00EF25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E33AD">
          <w:rPr>
            <w:rStyle w:val="PageNumber"/>
            <w:noProof/>
          </w:rPr>
          <w:t>7</w:t>
        </w:r>
        <w:r>
          <w:rPr>
            <w:rStyle w:val="PageNumber"/>
          </w:rPr>
          <w:fldChar w:fldCharType="end"/>
        </w:r>
      </w:p>
    </w:sdtContent>
  </w:sdt>
  <w:p w14:paraId="7C5CDFD7" w14:textId="77777777" w:rsidR="00BE176C" w:rsidRDefault="00BE176C" w:rsidP="00C168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5132417"/>
      <w:docPartObj>
        <w:docPartGallery w:val="Page Numbers (Bottom of Page)"/>
        <w:docPartUnique/>
      </w:docPartObj>
    </w:sdtPr>
    <w:sdtContent>
      <w:p w14:paraId="4444FB66" w14:textId="77777777" w:rsidR="00BE176C" w:rsidRDefault="00BE176C" w:rsidP="00EF25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56D532B" w14:textId="77777777" w:rsidR="00BE176C" w:rsidRDefault="00BE176C" w:rsidP="00535F9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6C0C4" w14:textId="77777777" w:rsidR="00B73D78" w:rsidRDefault="00B73D78" w:rsidP="00650B91">
      <w:pPr>
        <w:spacing w:after="0" w:line="240" w:lineRule="auto"/>
      </w:pPr>
      <w:r>
        <w:separator/>
      </w:r>
    </w:p>
  </w:footnote>
  <w:footnote w:type="continuationSeparator" w:id="0">
    <w:p w14:paraId="20DA64F8" w14:textId="77777777" w:rsidR="00B73D78" w:rsidRDefault="00B73D78" w:rsidP="00650B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60C68"/>
    <w:multiLevelType w:val="hybridMultilevel"/>
    <w:tmpl w:val="2EDC321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91761E2"/>
    <w:multiLevelType w:val="multilevel"/>
    <w:tmpl w:val="CEF4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60EC2"/>
    <w:multiLevelType w:val="hybridMultilevel"/>
    <w:tmpl w:val="A0A0CBEE"/>
    <w:lvl w:ilvl="0" w:tplc="DB18D60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A6D3C02"/>
    <w:multiLevelType w:val="hybridMultilevel"/>
    <w:tmpl w:val="A320B058"/>
    <w:lvl w:ilvl="0" w:tplc="A55C63A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EB621EB"/>
    <w:multiLevelType w:val="multilevel"/>
    <w:tmpl w:val="234206C4"/>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5D32B6"/>
    <w:multiLevelType w:val="hybridMultilevel"/>
    <w:tmpl w:val="7586FCAE"/>
    <w:lvl w:ilvl="0" w:tplc="A55C63A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76C4C5C"/>
    <w:multiLevelType w:val="hybridMultilevel"/>
    <w:tmpl w:val="6F92AC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4743385"/>
    <w:multiLevelType w:val="hybridMultilevel"/>
    <w:tmpl w:val="54FE0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977A1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630512"/>
    <w:multiLevelType w:val="multilevel"/>
    <w:tmpl w:val="234206C4"/>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805E5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4F2B15"/>
    <w:multiLevelType w:val="hybridMultilevel"/>
    <w:tmpl w:val="E9BC5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0149B7"/>
    <w:multiLevelType w:val="multilevel"/>
    <w:tmpl w:val="14B6D7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8705CBB"/>
    <w:multiLevelType w:val="multilevel"/>
    <w:tmpl w:val="234206C4"/>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343201"/>
    <w:multiLevelType w:val="hybridMultilevel"/>
    <w:tmpl w:val="0B40E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CB62FF"/>
    <w:multiLevelType w:val="hybridMultilevel"/>
    <w:tmpl w:val="21808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3C37EE"/>
    <w:multiLevelType w:val="multilevel"/>
    <w:tmpl w:val="C6C893DE"/>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6C2D90"/>
    <w:multiLevelType w:val="multilevel"/>
    <w:tmpl w:val="7382AC42"/>
    <w:lvl w:ilvl="0">
      <w:start w:val="3"/>
      <w:numFmt w:val="decimal"/>
      <w:lvlText w:val="%1."/>
      <w:lvlJc w:val="left"/>
      <w:pPr>
        <w:ind w:left="360" w:hanging="360"/>
      </w:pPr>
      <w:rPr>
        <w:rFonts w:asciiTheme="minorHAnsi" w:hAnsiTheme="minorHAnsi" w:cstheme="minorHAnsi" w:hint="default"/>
      </w:rPr>
    </w:lvl>
    <w:lvl w:ilvl="1">
      <w:start w:val="2"/>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800" w:hanging="1800"/>
      </w:pPr>
      <w:rPr>
        <w:rFonts w:asciiTheme="minorHAnsi" w:hAnsiTheme="minorHAnsi" w:cstheme="minorHAnsi" w:hint="default"/>
      </w:rPr>
    </w:lvl>
  </w:abstractNum>
  <w:abstractNum w:abstractNumId="18" w15:restartNumberingAfterBreak="0">
    <w:nsid w:val="407915ED"/>
    <w:multiLevelType w:val="hybridMultilevel"/>
    <w:tmpl w:val="D85E07F4"/>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43584D59"/>
    <w:multiLevelType w:val="multilevel"/>
    <w:tmpl w:val="14B6D7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4437B40"/>
    <w:multiLevelType w:val="hybridMultilevel"/>
    <w:tmpl w:val="727C60B4"/>
    <w:lvl w:ilvl="0" w:tplc="76EA4F80">
      <w:start w:val="2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4467BB9"/>
    <w:multiLevelType w:val="hybridMultilevel"/>
    <w:tmpl w:val="8E18DBE8"/>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450E5E85"/>
    <w:multiLevelType w:val="multilevel"/>
    <w:tmpl w:val="D328301E"/>
    <w:lvl w:ilvl="0">
      <w:start w:val="3"/>
      <w:numFmt w:val="decimal"/>
      <w:lvlText w:val="%1."/>
      <w:lvlJc w:val="left"/>
      <w:pPr>
        <w:ind w:left="360" w:hanging="360"/>
      </w:pPr>
      <w:rPr>
        <w:rFonts w:asciiTheme="minorHAnsi" w:hAnsiTheme="minorHAnsi" w:cstheme="minorHAnsi" w:hint="default"/>
      </w:rPr>
    </w:lvl>
    <w:lvl w:ilvl="1">
      <w:start w:val="2"/>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800" w:hanging="1800"/>
      </w:pPr>
      <w:rPr>
        <w:rFonts w:asciiTheme="minorHAnsi" w:hAnsiTheme="minorHAnsi" w:cstheme="minorHAnsi" w:hint="default"/>
      </w:rPr>
    </w:lvl>
  </w:abstractNum>
  <w:abstractNum w:abstractNumId="23" w15:restartNumberingAfterBreak="0">
    <w:nsid w:val="4C0101E5"/>
    <w:multiLevelType w:val="multilevel"/>
    <w:tmpl w:val="A7BEB55C"/>
    <w:lvl w:ilvl="0">
      <w:numFmt w:val="decimal"/>
      <w:lvlText w:val="%1"/>
      <w:lvlJc w:val="left"/>
      <w:pPr>
        <w:ind w:left="384" w:hanging="384"/>
      </w:pPr>
      <w:rPr>
        <w:rFonts w:hint="default"/>
      </w:rPr>
    </w:lvl>
    <w:lvl w:ilvl="1">
      <w:start w:val="5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3558D3"/>
    <w:multiLevelType w:val="multilevel"/>
    <w:tmpl w:val="234206C4"/>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D53DB5"/>
    <w:multiLevelType w:val="multilevel"/>
    <w:tmpl w:val="379E1468"/>
    <w:lvl w:ilvl="0">
      <w:start w:val="3"/>
      <w:numFmt w:val="decimal"/>
      <w:lvlText w:val="%1"/>
      <w:lvlJc w:val="left"/>
      <w:pPr>
        <w:ind w:left="360" w:hanging="360"/>
      </w:pPr>
      <w:rPr>
        <w:rFonts w:asciiTheme="minorHAnsi" w:hAnsiTheme="minorHAnsi" w:cstheme="minorHAnsi" w:hint="default"/>
      </w:rPr>
    </w:lvl>
    <w:lvl w:ilvl="1">
      <w:start w:val="2"/>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800" w:hanging="1800"/>
      </w:pPr>
      <w:rPr>
        <w:rFonts w:asciiTheme="minorHAnsi" w:hAnsiTheme="minorHAnsi" w:cstheme="minorHAnsi" w:hint="default"/>
      </w:rPr>
    </w:lvl>
  </w:abstractNum>
  <w:abstractNum w:abstractNumId="26" w15:restartNumberingAfterBreak="0">
    <w:nsid w:val="55210D45"/>
    <w:multiLevelType w:val="hybridMultilevel"/>
    <w:tmpl w:val="0E0C25E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5A9B47CC"/>
    <w:multiLevelType w:val="hybridMultilevel"/>
    <w:tmpl w:val="A484E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760579"/>
    <w:multiLevelType w:val="hybridMultilevel"/>
    <w:tmpl w:val="2B3874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FEC2525"/>
    <w:multiLevelType w:val="hybridMultilevel"/>
    <w:tmpl w:val="785E1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0E64AD"/>
    <w:multiLevelType w:val="hybridMultilevel"/>
    <w:tmpl w:val="8E18DBE8"/>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693567F9"/>
    <w:multiLevelType w:val="hybridMultilevel"/>
    <w:tmpl w:val="0014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D965FF"/>
    <w:multiLevelType w:val="hybridMultilevel"/>
    <w:tmpl w:val="0688073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6BAA1B70"/>
    <w:multiLevelType w:val="hybridMultilevel"/>
    <w:tmpl w:val="C0E83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7B344B"/>
    <w:multiLevelType w:val="hybridMultilevel"/>
    <w:tmpl w:val="AF2C9D68"/>
    <w:lvl w:ilvl="0" w:tplc="8C46ECF2">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73C80411"/>
    <w:multiLevelType w:val="hybridMultilevel"/>
    <w:tmpl w:val="62C20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1622B9"/>
    <w:multiLevelType w:val="hybridMultilevel"/>
    <w:tmpl w:val="0C50D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467B36"/>
    <w:multiLevelType w:val="multilevel"/>
    <w:tmpl w:val="337E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5551CD"/>
    <w:multiLevelType w:val="hybridMultilevel"/>
    <w:tmpl w:val="98348206"/>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7F013007"/>
    <w:multiLevelType w:val="hybridMultilevel"/>
    <w:tmpl w:val="5D7CB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18" w:hanging="360"/>
      </w:pPr>
      <w:rPr>
        <w:rFonts w:ascii="Courier New" w:hAnsi="Courier New" w:cs="Courier New" w:hint="default"/>
      </w:rPr>
    </w:lvl>
    <w:lvl w:ilvl="2" w:tplc="04090005">
      <w:start w:val="1"/>
      <w:numFmt w:val="bullet"/>
      <w:lvlText w:val=""/>
      <w:lvlJc w:val="left"/>
      <w:pPr>
        <w:ind w:left="1838" w:hanging="360"/>
      </w:pPr>
      <w:rPr>
        <w:rFonts w:ascii="Wingdings" w:hAnsi="Wingdings" w:hint="default"/>
      </w:rPr>
    </w:lvl>
    <w:lvl w:ilvl="3" w:tplc="04090001">
      <w:start w:val="1"/>
      <w:numFmt w:val="bullet"/>
      <w:lvlText w:val=""/>
      <w:lvlJc w:val="left"/>
      <w:pPr>
        <w:ind w:left="2558" w:hanging="360"/>
      </w:pPr>
      <w:rPr>
        <w:rFonts w:ascii="Symbol" w:hAnsi="Symbol" w:hint="default"/>
      </w:rPr>
    </w:lvl>
    <w:lvl w:ilvl="4" w:tplc="04090003">
      <w:start w:val="1"/>
      <w:numFmt w:val="bullet"/>
      <w:lvlText w:val="o"/>
      <w:lvlJc w:val="left"/>
      <w:pPr>
        <w:ind w:left="3278" w:hanging="360"/>
      </w:pPr>
      <w:rPr>
        <w:rFonts w:ascii="Courier New" w:hAnsi="Courier New" w:cs="Courier New" w:hint="default"/>
      </w:rPr>
    </w:lvl>
    <w:lvl w:ilvl="5" w:tplc="04090005">
      <w:start w:val="1"/>
      <w:numFmt w:val="bullet"/>
      <w:lvlText w:val=""/>
      <w:lvlJc w:val="left"/>
      <w:pPr>
        <w:ind w:left="3998" w:hanging="360"/>
      </w:pPr>
      <w:rPr>
        <w:rFonts w:ascii="Wingdings" w:hAnsi="Wingdings" w:hint="default"/>
      </w:rPr>
    </w:lvl>
    <w:lvl w:ilvl="6" w:tplc="04090001">
      <w:start w:val="1"/>
      <w:numFmt w:val="bullet"/>
      <w:lvlText w:val=""/>
      <w:lvlJc w:val="left"/>
      <w:pPr>
        <w:ind w:left="4718" w:hanging="360"/>
      </w:pPr>
      <w:rPr>
        <w:rFonts w:ascii="Symbol" w:hAnsi="Symbol" w:hint="default"/>
      </w:rPr>
    </w:lvl>
    <w:lvl w:ilvl="7" w:tplc="04090003">
      <w:start w:val="1"/>
      <w:numFmt w:val="bullet"/>
      <w:lvlText w:val="o"/>
      <w:lvlJc w:val="left"/>
      <w:pPr>
        <w:ind w:left="5438" w:hanging="360"/>
      </w:pPr>
      <w:rPr>
        <w:rFonts w:ascii="Courier New" w:hAnsi="Courier New" w:cs="Courier New" w:hint="default"/>
      </w:rPr>
    </w:lvl>
    <w:lvl w:ilvl="8" w:tplc="04090005">
      <w:start w:val="1"/>
      <w:numFmt w:val="bullet"/>
      <w:lvlText w:val=""/>
      <w:lvlJc w:val="left"/>
      <w:pPr>
        <w:ind w:left="6158" w:hanging="360"/>
      </w:pPr>
      <w:rPr>
        <w:rFonts w:ascii="Wingdings" w:hAnsi="Wingdings" w:hint="default"/>
      </w:rPr>
    </w:lvl>
  </w:abstractNum>
  <w:num w:numId="1" w16cid:durableId="1594587140">
    <w:abstractNumId w:val="32"/>
  </w:num>
  <w:num w:numId="2" w16cid:durableId="247545245">
    <w:abstractNumId w:val="29"/>
  </w:num>
  <w:num w:numId="3" w16cid:durableId="1399784113">
    <w:abstractNumId w:val="2"/>
  </w:num>
  <w:num w:numId="4" w16cid:durableId="776605920">
    <w:abstractNumId w:val="26"/>
  </w:num>
  <w:num w:numId="5" w16cid:durableId="2110616641">
    <w:abstractNumId w:val="6"/>
  </w:num>
  <w:num w:numId="6" w16cid:durableId="2010986170">
    <w:abstractNumId w:val="5"/>
  </w:num>
  <w:num w:numId="7" w16cid:durableId="1898515666">
    <w:abstractNumId w:val="3"/>
  </w:num>
  <w:num w:numId="8" w16cid:durableId="2100829453">
    <w:abstractNumId w:val="18"/>
  </w:num>
  <w:num w:numId="9" w16cid:durableId="1962416402">
    <w:abstractNumId w:val="38"/>
  </w:num>
  <w:num w:numId="10" w16cid:durableId="393432571">
    <w:abstractNumId w:val="31"/>
  </w:num>
  <w:num w:numId="11" w16cid:durableId="991563863">
    <w:abstractNumId w:val="21"/>
  </w:num>
  <w:num w:numId="12" w16cid:durableId="811214148">
    <w:abstractNumId w:val="30"/>
  </w:num>
  <w:num w:numId="13" w16cid:durableId="1279725656">
    <w:abstractNumId w:val="15"/>
  </w:num>
  <w:num w:numId="14" w16cid:durableId="705251981">
    <w:abstractNumId w:val="39"/>
  </w:num>
  <w:num w:numId="15" w16cid:durableId="19916402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2986093">
    <w:abstractNumId w:val="12"/>
  </w:num>
  <w:num w:numId="17" w16cid:durableId="710036287">
    <w:abstractNumId w:val="14"/>
  </w:num>
  <w:num w:numId="18" w16cid:durableId="1299413603">
    <w:abstractNumId w:val="36"/>
  </w:num>
  <w:num w:numId="19" w16cid:durableId="1802072982">
    <w:abstractNumId w:val="19"/>
  </w:num>
  <w:num w:numId="20" w16cid:durableId="2069330087">
    <w:abstractNumId w:val="7"/>
  </w:num>
  <w:num w:numId="21" w16cid:durableId="1318655857">
    <w:abstractNumId w:val="9"/>
  </w:num>
  <w:num w:numId="22" w16cid:durableId="2091537618">
    <w:abstractNumId w:val="16"/>
  </w:num>
  <w:num w:numId="23" w16cid:durableId="374814449">
    <w:abstractNumId w:val="25"/>
  </w:num>
  <w:num w:numId="24" w16cid:durableId="1990284906">
    <w:abstractNumId w:val="22"/>
  </w:num>
  <w:num w:numId="25" w16cid:durableId="1124032851">
    <w:abstractNumId w:val="17"/>
  </w:num>
  <w:num w:numId="26" w16cid:durableId="1745490138">
    <w:abstractNumId w:val="8"/>
  </w:num>
  <w:num w:numId="27" w16cid:durableId="706294684">
    <w:abstractNumId w:val="10"/>
  </w:num>
  <w:num w:numId="28" w16cid:durableId="688406854">
    <w:abstractNumId w:val="35"/>
  </w:num>
  <w:num w:numId="29" w16cid:durableId="488136267">
    <w:abstractNumId w:val="27"/>
  </w:num>
  <w:num w:numId="30" w16cid:durableId="1405251909">
    <w:abstractNumId w:val="33"/>
  </w:num>
  <w:num w:numId="31" w16cid:durableId="56637826">
    <w:abstractNumId w:val="11"/>
  </w:num>
  <w:num w:numId="32" w16cid:durableId="2109348724">
    <w:abstractNumId w:val="1"/>
  </w:num>
  <w:num w:numId="33" w16cid:durableId="2084328407">
    <w:abstractNumId w:val="37"/>
  </w:num>
  <w:num w:numId="34" w16cid:durableId="1278096632">
    <w:abstractNumId w:val="20"/>
  </w:num>
  <w:num w:numId="35" w16cid:durableId="881788998">
    <w:abstractNumId w:val="24"/>
  </w:num>
  <w:num w:numId="36" w16cid:durableId="930311300">
    <w:abstractNumId w:val="13"/>
  </w:num>
  <w:num w:numId="37" w16cid:durableId="331954469">
    <w:abstractNumId w:val="0"/>
  </w:num>
  <w:num w:numId="38" w16cid:durableId="2135365682">
    <w:abstractNumId w:val="4"/>
  </w:num>
  <w:num w:numId="39" w16cid:durableId="1019089535">
    <w:abstractNumId w:val="34"/>
  </w:num>
  <w:num w:numId="40" w16cid:durableId="3537754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30C"/>
    <w:rsid w:val="00001534"/>
    <w:rsid w:val="000022A3"/>
    <w:rsid w:val="00002C18"/>
    <w:rsid w:val="00004190"/>
    <w:rsid w:val="00004B66"/>
    <w:rsid w:val="00004E26"/>
    <w:rsid w:val="000056F5"/>
    <w:rsid w:val="0000593D"/>
    <w:rsid w:val="000067F0"/>
    <w:rsid w:val="00012633"/>
    <w:rsid w:val="00014C27"/>
    <w:rsid w:val="000228BE"/>
    <w:rsid w:val="00023E8D"/>
    <w:rsid w:val="00025918"/>
    <w:rsid w:val="00027BFE"/>
    <w:rsid w:val="0003156E"/>
    <w:rsid w:val="00033484"/>
    <w:rsid w:val="00033D8A"/>
    <w:rsid w:val="00033F10"/>
    <w:rsid w:val="00035D8D"/>
    <w:rsid w:val="00036319"/>
    <w:rsid w:val="00040D18"/>
    <w:rsid w:val="00041AAC"/>
    <w:rsid w:val="00041D27"/>
    <w:rsid w:val="000421A6"/>
    <w:rsid w:val="00043084"/>
    <w:rsid w:val="00043190"/>
    <w:rsid w:val="00043AE4"/>
    <w:rsid w:val="00044682"/>
    <w:rsid w:val="00050C25"/>
    <w:rsid w:val="0005231D"/>
    <w:rsid w:val="00054335"/>
    <w:rsid w:val="00055B7F"/>
    <w:rsid w:val="0005782E"/>
    <w:rsid w:val="00057BB8"/>
    <w:rsid w:val="00063E24"/>
    <w:rsid w:val="00065616"/>
    <w:rsid w:val="00073D82"/>
    <w:rsid w:val="00081B2A"/>
    <w:rsid w:val="000822F4"/>
    <w:rsid w:val="00084267"/>
    <w:rsid w:val="00087B53"/>
    <w:rsid w:val="00092771"/>
    <w:rsid w:val="00096A85"/>
    <w:rsid w:val="000A03E3"/>
    <w:rsid w:val="000A04F8"/>
    <w:rsid w:val="000A13C2"/>
    <w:rsid w:val="000A6749"/>
    <w:rsid w:val="000A69F7"/>
    <w:rsid w:val="000B016B"/>
    <w:rsid w:val="000B0273"/>
    <w:rsid w:val="000B094A"/>
    <w:rsid w:val="000B3AE7"/>
    <w:rsid w:val="000B4B17"/>
    <w:rsid w:val="000B592B"/>
    <w:rsid w:val="000B7440"/>
    <w:rsid w:val="000C2625"/>
    <w:rsid w:val="000C27C3"/>
    <w:rsid w:val="000C2E9C"/>
    <w:rsid w:val="000C5793"/>
    <w:rsid w:val="000C630C"/>
    <w:rsid w:val="000C67E9"/>
    <w:rsid w:val="000C6DB4"/>
    <w:rsid w:val="000D0032"/>
    <w:rsid w:val="000D26AB"/>
    <w:rsid w:val="000D2FCC"/>
    <w:rsid w:val="000D308F"/>
    <w:rsid w:val="000D5D18"/>
    <w:rsid w:val="000D738E"/>
    <w:rsid w:val="000D750E"/>
    <w:rsid w:val="000D7D00"/>
    <w:rsid w:val="000E1575"/>
    <w:rsid w:val="000E2834"/>
    <w:rsid w:val="000E2A3F"/>
    <w:rsid w:val="000E3440"/>
    <w:rsid w:val="000E35B5"/>
    <w:rsid w:val="000E593B"/>
    <w:rsid w:val="000F176A"/>
    <w:rsid w:val="000F1DB5"/>
    <w:rsid w:val="000F2D5F"/>
    <w:rsid w:val="000F39C0"/>
    <w:rsid w:val="000F4B17"/>
    <w:rsid w:val="000F5E01"/>
    <w:rsid w:val="00100D80"/>
    <w:rsid w:val="00101626"/>
    <w:rsid w:val="00102F79"/>
    <w:rsid w:val="001048C2"/>
    <w:rsid w:val="00110750"/>
    <w:rsid w:val="001148DE"/>
    <w:rsid w:val="00115661"/>
    <w:rsid w:val="001204C9"/>
    <w:rsid w:val="0012382F"/>
    <w:rsid w:val="00124587"/>
    <w:rsid w:val="00125997"/>
    <w:rsid w:val="00126061"/>
    <w:rsid w:val="00131245"/>
    <w:rsid w:val="00133F89"/>
    <w:rsid w:val="001341EB"/>
    <w:rsid w:val="00134A4C"/>
    <w:rsid w:val="0013672F"/>
    <w:rsid w:val="0014027A"/>
    <w:rsid w:val="001418A7"/>
    <w:rsid w:val="00141CAC"/>
    <w:rsid w:val="0015088E"/>
    <w:rsid w:val="0015523A"/>
    <w:rsid w:val="00155DEB"/>
    <w:rsid w:val="00156179"/>
    <w:rsid w:val="00160830"/>
    <w:rsid w:val="00162616"/>
    <w:rsid w:val="00164C24"/>
    <w:rsid w:val="001658D8"/>
    <w:rsid w:val="001676A5"/>
    <w:rsid w:val="001679CD"/>
    <w:rsid w:val="00170094"/>
    <w:rsid w:val="00171927"/>
    <w:rsid w:val="001722F2"/>
    <w:rsid w:val="00175F42"/>
    <w:rsid w:val="00177DF4"/>
    <w:rsid w:val="00180732"/>
    <w:rsid w:val="00181491"/>
    <w:rsid w:val="00184353"/>
    <w:rsid w:val="00184399"/>
    <w:rsid w:val="0018491F"/>
    <w:rsid w:val="0018627B"/>
    <w:rsid w:val="0019055C"/>
    <w:rsid w:val="00192981"/>
    <w:rsid w:val="00193207"/>
    <w:rsid w:val="00193ABA"/>
    <w:rsid w:val="00193C34"/>
    <w:rsid w:val="00197682"/>
    <w:rsid w:val="001A032E"/>
    <w:rsid w:val="001A1A4C"/>
    <w:rsid w:val="001A1EBA"/>
    <w:rsid w:val="001A23B2"/>
    <w:rsid w:val="001A3C04"/>
    <w:rsid w:val="001B130C"/>
    <w:rsid w:val="001B2CB1"/>
    <w:rsid w:val="001B3078"/>
    <w:rsid w:val="001B37C8"/>
    <w:rsid w:val="001B401A"/>
    <w:rsid w:val="001B4735"/>
    <w:rsid w:val="001B696F"/>
    <w:rsid w:val="001C3CA8"/>
    <w:rsid w:val="001C5A38"/>
    <w:rsid w:val="001C70A5"/>
    <w:rsid w:val="001D13A3"/>
    <w:rsid w:val="001D1F2C"/>
    <w:rsid w:val="001D25D6"/>
    <w:rsid w:val="001D2A64"/>
    <w:rsid w:val="001D382E"/>
    <w:rsid w:val="001D5D61"/>
    <w:rsid w:val="001D6EE3"/>
    <w:rsid w:val="001D765F"/>
    <w:rsid w:val="001E12A3"/>
    <w:rsid w:val="001E2C08"/>
    <w:rsid w:val="001E3010"/>
    <w:rsid w:val="001E3B84"/>
    <w:rsid w:val="001F1261"/>
    <w:rsid w:val="001F24D9"/>
    <w:rsid w:val="001F5E4F"/>
    <w:rsid w:val="001F7BD6"/>
    <w:rsid w:val="00200323"/>
    <w:rsid w:val="00211555"/>
    <w:rsid w:val="00214B72"/>
    <w:rsid w:val="002152D8"/>
    <w:rsid w:val="00216A07"/>
    <w:rsid w:val="002174E2"/>
    <w:rsid w:val="002213F1"/>
    <w:rsid w:val="00221E1A"/>
    <w:rsid w:val="00224496"/>
    <w:rsid w:val="00224B42"/>
    <w:rsid w:val="00226F8D"/>
    <w:rsid w:val="00227F80"/>
    <w:rsid w:val="00230B3E"/>
    <w:rsid w:val="002313B7"/>
    <w:rsid w:val="00231B5B"/>
    <w:rsid w:val="002336EE"/>
    <w:rsid w:val="0023445A"/>
    <w:rsid w:val="00237BB1"/>
    <w:rsid w:val="00241375"/>
    <w:rsid w:val="0024413F"/>
    <w:rsid w:val="002443D9"/>
    <w:rsid w:val="002454D6"/>
    <w:rsid w:val="00245AE8"/>
    <w:rsid w:val="00247D15"/>
    <w:rsid w:val="00261272"/>
    <w:rsid w:val="002632F9"/>
    <w:rsid w:val="00273013"/>
    <w:rsid w:val="002757BB"/>
    <w:rsid w:val="00275B45"/>
    <w:rsid w:val="002760EC"/>
    <w:rsid w:val="0028439B"/>
    <w:rsid w:val="00290C73"/>
    <w:rsid w:val="00293E14"/>
    <w:rsid w:val="00294E5B"/>
    <w:rsid w:val="00296A59"/>
    <w:rsid w:val="002A0FB1"/>
    <w:rsid w:val="002A2B11"/>
    <w:rsid w:val="002A703E"/>
    <w:rsid w:val="002B0BB4"/>
    <w:rsid w:val="002B27E8"/>
    <w:rsid w:val="002B41FB"/>
    <w:rsid w:val="002B5A3F"/>
    <w:rsid w:val="002B6085"/>
    <w:rsid w:val="002B65A3"/>
    <w:rsid w:val="002B71E9"/>
    <w:rsid w:val="002C04FF"/>
    <w:rsid w:val="002C11A0"/>
    <w:rsid w:val="002C29A8"/>
    <w:rsid w:val="002C4ED2"/>
    <w:rsid w:val="002C70E1"/>
    <w:rsid w:val="002D289A"/>
    <w:rsid w:val="002D2FDE"/>
    <w:rsid w:val="002D4C7F"/>
    <w:rsid w:val="002D6A05"/>
    <w:rsid w:val="002D7667"/>
    <w:rsid w:val="002E0541"/>
    <w:rsid w:val="002E099A"/>
    <w:rsid w:val="002E33B2"/>
    <w:rsid w:val="002E439C"/>
    <w:rsid w:val="002E6251"/>
    <w:rsid w:val="002E6572"/>
    <w:rsid w:val="002F3F22"/>
    <w:rsid w:val="002F6C06"/>
    <w:rsid w:val="00300E7D"/>
    <w:rsid w:val="00301878"/>
    <w:rsid w:val="003043BD"/>
    <w:rsid w:val="00305001"/>
    <w:rsid w:val="003053C5"/>
    <w:rsid w:val="00306648"/>
    <w:rsid w:val="00312460"/>
    <w:rsid w:val="0031398D"/>
    <w:rsid w:val="003157B7"/>
    <w:rsid w:val="00317E70"/>
    <w:rsid w:val="00322150"/>
    <w:rsid w:val="00322B47"/>
    <w:rsid w:val="00322C9B"/>
    <w:rsid w:val="00325DA7"/>
    <w:rsid w:val="003300F2"/>
    <w:rsid w:val="00331A5E"/>
    <w:rsid w:val="00331D70"/>
    <w:rsid w:val="00332B6F"/>
    <w:rsid w:val="00336A26"/>
    <w:rsid w:val="0033727B"/>
    <w:rsid w:val="0034307B"/>
    <w:rsid w:val="00344948"/>
    <w:rsid w:val="00347AD3"/>
    <w:rsid w:val="00350F66"/>
    <w:rsid w:val="00353BAB"/>
    <w:rsid w:val="00360C8C"/>
    <w:rsid w:val="00363125"/>
    <w:rsid w:val="00363AFD"/>
    <w:rsid w:val="0036490A"/>
    <w:rsid w:val="00364B53"/>
    <w:rsid w:val="003657CC"/>
    <w:rsid w:val="00365B39"/>
    <w:rsid w:val="00366120"/>
    <w:rsid w:val="00367768"/>
    <w:rsid w:val="00367A70"/>
    <w:rsid w:val="00367BC3"/>
    <w:rsid w:val="003703C6"/>
    <w:rsid w:val="00371DF1"/>
    <w:rsid w:val="003741FF"/>
    <w:rsid w:val="00374E21"/>
    <w:rsid w:val="00376865"/>
    <w:rsid w:val="00380A2B"/>
    <w:rsid w:val="0038227A"/>
    <w:rsid w:val="00382F2C"/>
    <w:rsid w:val="00383F84"/>
    <w:rsid w:val="0038477E"/>
    <w:rsid w:val="00384DF8"/>
    <w:rsid w:val="00386632"/>
    <w:rsid w:val="00390850"/>
    <w:rsid w:val="00390E1D"/>
    <w:rsid w:val="003925F8"/>
    <w:rsid w:val="00392A3E"/>
    <w:rsid w:val="00393EBE"/>
    <w:rsid w:val="00395E2F"/>
    <w:rsid w:val="00396FB4"/>
    <w:rsid w:val="00397CFD"/>
    <w:rsid w:val="003A0DA3"/>
    <w:rsid w:val="003A2657"/>
    <w:rsid w:val="003A27F5"/>
    <w:rsid w:val="003A2C63"/>
    <w:rsid w:val="003A361B"/>
    <w:rsid w:val="003A38FA"/>
    <w:rsid w:val="003A65DC"/>
    <w:rsid w:val="003B04D8"/>
    <w:rsid w:val="003B4B5F"/>
    <w:rsid w:val="003C0121"/>
    <w:rsid w:val="003C228A"/>
    <w:rsid w:val="003C402F"/>
    <w:rsid w:val="003C4F9C"/>
    <w:rsid w:val="003C7BB2"/>
    <w:rsid w:val="003D00DF"/>
    <w:rsid w:val="003D0263"/>
    <w:rsid w:val="003D2F66"/>
    <w:rsid w:val="003D34BF"/>
    <w:rsid w:val="003D4B5A"/>
    <w:rsid w:val="003D5326"/>
    <w:rsid w:val="003D536C"/>
    <w:rsid w:val="003D6C67"/>
    <w:rsid w:val="003E22C7"/>
    <w:rsid w:val="003E4975"/>
    <w:rsid w:val="003E4ABD"/>
    <w:rsid w:val="003E5718"/>
    <w:rsid w:val="003E763E"/>
    <w:rsid w:val="003E7EA7"/>
    <w:rsid w:val="003F1F24"/>
    <w:rsid w:val="003F201C"/>
    <w:rsid w:val="003F238E"/>
    <w:rsid w:val="003F3621"/>
    <w:rsid w:val="003F5218"/>
    <w:rsid w:val="003F6399"/>
    <w:rsid w:val="003F6982"/>
    <w:rsid w:val="004008A7"/>
    <w:rsid w:val="00404408"/>
    <w:rsid w:val="00406A3B"/>
    <w:rsid w:val="004071BF"/>
    <w:rsid w:val="004105B8"/>
    <w:rsid w:val="00412960"/>
    <w:rsid w:val="00413985"/>
    <w:rsid w:val="004154CE"/>
    <w:rsid w:val="00416C4F"/>
    <w:rsid w:val="00416D18"/>
    <w:rsid w:val="00417613"/>
    <w:rsid w:val="00420487"/>
    <w:rsid w:val="00421C6E"/>
    <w:rsid w:val="00422AA7"/>
    <w:rsid w:val="00423D9A"/>
    <w:rsid w:val="00424F1A"/>
    <w:rsid w:val="00425C68"/>
    <w:rsid w:val="0042682F"/>
    <w:rsid w:val="00433E5C"/>
    <w:rsid w:val="004347F4"/>
    <w:rsid w:val="00434F27"/>
    <w:rsid w:val="00440434"/>
    <w:rsid w:val="00441852"/>
    <w:rsid w:val="00441F2A"/>
    <w:rsid w:val="004431C4"/>
    <w:rsid w:val="00443A9C"/>
    <w:rsid w:val="00444C52"/>
    <w:rsid w:val="004521D0"/>
    <w:rsid w:val="0045226C"/>
    <w:rsid w:val="004528FC"/>
    <w:rsid w:val="00454DAE"/>
    <w:rsid w:val="00456963"/>
    <w:rsid w:val="00457F51"/>
    <w:rsid w:val="004613AF"/>
    <w:rsid w:val="00461E08"/>
    <w:rsid w:val="00462BC3"/>
    <w:rsid w:val="00463966"/>
    <w:rsid w:val="00464336"/>
    <w:rsid w:val="00465CA5"/>
    <w:rsid w:val="00467657"/>
    <w:rsid w:val="00470B44"/>
    <w:rsid w:val="0047374D"/>
    <w:rsid w:val="004739F8"/>
    <w:rsid w:val="004741F8"/>
    <w:rsid w:val="00474754"/>
    <w:rsid w:val="00474825"/>
    <w:rsid w:val="00475F80"/>
    <w:rsid w:val="00477EE7"/>
    <w:rsid w:val="00480E56"/>
    <w:rsid w:val="00480EEB"/>
    <w:rsid w:val="00481999"/>
    <w:rsid w:val="00484419"/>
    <w:rsid w:val="00484786"/>
    <w:rsid w:val="0048506D"/>
    <w:rsid w:val="0048593A"/>
    <w:rsid w:val="00490EA6"/>
    <w:rsid w:val="00493184"/>
    <w:rsid w:val="00494E70"/>
    <w:rsid w:val="0049740C"/>
    <w:rsid w:val="004A0000"/>
    <w:rsid w:val="004A125C"/>
    <w:rsid w:val="004A15D0"/>
    <w:rsid w:val="004A6036"/>
    <w:rsid w:val="004B2357"/>
    <w:rsid w:val="004B5CC1"/>
    <w:rsid w:val="004B6CB7"/>
    <w:rsid w:val="004C02D4"/>
    <w:rsid w:val="004C540A"/>
    <w:rsid w:val="004D02BE"/>
    <w:rsid w:val="004D204F"/>
    <w:rsid w:val="004D22BF"/>
    <w:rsid w:val="004D2913"/>
    <w:rsid w:val="004D4054"/>
    <w:rsid w:val="004D56D2"/>
    <w:rsid w:val="004D6808"/>
    <w:rsid w:val="004D6C60"/>
    <w:rsid w:val="004D7054"/>
    <w:rsid w:val="004E0075"/>
    <w:rsid w:val="004E2156"/>
    <w:rsid w:val="004E4C6F"/>
    <w:rsid w:val="004E4F1E"/>
    <w:rsid w:val="004E5769"/>
    <w:rsid w:val="004F1F3D"/>
    <w:rsid w:val="004F23C3"/>
    <w:rsid w:val="004F2D63"/>
    <w:rsid w:val="004F4F8C"/>
    <w:rsid w:val="004F76C9"/>
    <w:rsid w:val="00502F06"/>
    <w:rsid w:val="005060A7"/>
    <w:rsid w:val="0050756C"/>
    <w:rsid w:val="00512D50"/>
    <w:rsid w:val="00513D5E"/>
    <w:rsid w:val="00513F5C"/>
    <w:rsid w:val="00516CDF"/>
    <w:rsid w:val="00522231"/>
    <w:rsid w:val="005247EC"/>
    <w:rsid w:val="0052667D"/>
    <w:rsid w:val="0052776D"/>
    <w:rsid w:val="0053178B"/>
    <w:rsid w:val="00531BC7"/>
    <w:rsid w:val="005321DC"/>
    <w:rsid w:val="0053264A"/>
    <w:rsid w:val="0053266D"/>
    <w:rsid w:val="005342A5"/>
    <w:rsid w:val="00535139"/>
    <w:rsid w:val="0053549B"/>
    <w:rsid w:val="00535F9A"/>
    <w:rsid w:val="005362F6"/>
    <w:rsid w:val="005372E1"/>
    <w:rsid w:val="00537DEF"/>
    <w:rsid w:val="00541818"/>
    <w:rsid w:val="005439A4"/>
    <w:rsid w:val="00543B7A"/>
    <w:rsid w:val="0054522E"/>
    <w:rsid w:val="00545CFF"/>
    <w:rsid w:val="005510D1"/>
    <w:rsid w:val="0055391D"/>
    <w:rsid w:val="00556AE3"/>
    <w:rsid w:val="00556FC8"/>
    <w:rsid w:val="005577CE"/>
    <w:rsid w:val="00562EEF"/>
    <w:rsid w:val="005635AD"/>
    <w:rsid w:val="00563A5C"/>
    <w:rsid w:val="00567838"/>
    <w:rsid w:val="00575468"/>
    <w:rsid w:val="00575619"/>
    <w:rsid w:val="00575C8F"/>
    <w:rsid w:val="005768B3"/>
    <w:rsid w:val="00576A61"/>
    <w:rsid w:val="0058068F"/>
    <w:rsid w:val="00581D57"/>
    <w:rsid w:val="005843E6"/>
    <w:rsid w:val="00584A1A"/>
    <w:rsid w:val="00586700"/>
    <w:rsid w:val="00586737"/>
    <w:rsid w:val="00593DF7"/>
    <w:rsid w:val="005946A3"/>
    <w:rsid w:val="00594FC7"/>
    <w:rsid w:val="00596E2B"/>
    <w:rsid w:val="005973B4"/>
    <w:rsid w:val="005A1835"/>
    <w:rsid w:val="005A7F1E"/>
    <w:rsid w:val="005B0F84"/>
    <w:rsid w:val="005B1477"/>
    <w:rsid w:val="005B3252"/>
    <w:rsid w:val="005B35AA"/>
    <w:rsid w:val="005B51A1"/>
    <w:rsid w:val="005B64A5"/>
    <w:rsid w:val="005B65CA"/>
    <w:rsid w:val="005B69D1"/>
    <w:rsid w:val="005B6B6D"/>
    <w:rsid w:val="005B7D5A"/>
    <w:rsid w:val="005C5631"/>
    <w:rsid w:val="005C683E"/>
    <w:rsid w:val="005C6C01"/>
    <w:rsid w:val="005D3558"/>
    <w:rsid w:val="005D790F"/>
    <w:rsid w:val="005E04D7"/>
    <w:rsid w:val="005E0C90"/>
    <w:rsid w:val="005E1C8E"/>
    <w:rsid w:val="005E24AF"/>
    <w:rsid w:val="005E2F36"/>
    <w:rsid w:val="005E6580"/>
    <w:rsid w:val="005E7645"/>
    <w:rsid w:val="005F0C32"/>
    <w:rsid w:val="005F0E25"/>
    <w:rsid w:val="005F44B3"/>
    <w:rsid w:val="005F58D6"/>
    <w:rsid w:val="005F5C91"/>
    <w:rsid w:val="005F5DB8"/>
    <w:rsid w:val="005F6850"/>
    <w:rsid w:val="005F6CF8"/>
    <w:rsid w:val="005F750F"/>
    <w:rsid w:val="00600740"/>
    <w:rsid w:val="00602CAF"/>
    <w:rsid w:val="00603A54"/>
    <w:rsid w:val="00603B73"/>
    <w:rsid w:val="006040E6"/>
    <w:rsid w:val="0060491A"/>
    <w:rsid w:val="00604FC4"/>
    <w:rsid w:val="0060567C"/>
    <w:rsid w:val="0060583E"/>
    <w:rsid w:val="00606354"/>
    <w:rsid w:val="00610196"/>
    <w:rsid w:val="0061440D"/>
    <w:rsid w:val="006147FB"/>
    <w:rsid w:val="00620129"/>
    <w:rsid w:val="00620C2A"/>
    <w:rsid w:val="00622331"/>
    <w:rsid w:val="00622AA2"/>
    <w:rsid w:val="00623D65"/>
    <w:rsid w:val="00625EDC"/>
    <w:rsid w:val="006269B1"/>
    <w:rsid w:val="00633843"/>
    <w:rsid w:val="00633B35"/>
    <w:rsid w:val="00640A53"/>
    <w:rsid w:val="006411E3"/>
    <w:rsid w:val="00641E4A"/>
    <w:rsid w:val="0064388B"/>
    <w:rsid w:val="00650B91"/>
    <w:rsid w:val="00653011"/>
    <w:rsid w:val="006552F3"/>
    <w:rsid w:val="00655F92"/>
    <w:rsid w:val="00657005"/>
    <w:rsid w:val="00661A16"/>
    <w:rsid w:val="00663D8D"/>
    <w:rsid w:val="006645C1"/>
    <w:rsid w:val="00665821"/>
    <w:rsid w:val="00666F1F"/>
    <w:rsid w:val="0066717B"/>
    <w:rsid w:val="00667C91"/>
    <w:rsid w:val="00670C47"/>
    <w:rsid w:val="006721FE"/>
    <w:rsid w:val="0067255D"/>
    <w:rsid w:val="006728C3"/>
    <w:rsid w:val="00673006"/>
    <w:rsid w:val="00673D63"/>
    <w:rsid w:val="006745D6"/>
    <w:rsid w:val="00677DD3"/>
    <w:rsid w:val="006801E3"/>
    <w:rsid w:val="00680BD9"/>
    <w:rsid w:val="00681109"/>
    <w:rsid w:val="006816D8"/>
    <w:rsid w:val="006822F6"/>
    <w:rsid w:val="006840BC"/>
    <w:rsid w:val="00684380"/>
    <w:rsid w:val="006855BB"/>
    <w:rsid w:val="00686074"/>
    <w:rsid w:val="00686A55"/>
    <w:rsid w:val="006871FF"/>
    <w:rsid w:val="006878B0"/>
    <w:rsid w:val="00687A24"/>
    <w:rsid w:val="00692D8E"/>
    <w:rsid w:val="0069355C"/>
    <w:rsid w:val="006A1B81"/>
    <w:rsid w:val="006A2B69"/>
    <w:rsid w:val="006A3ED0"/>
    <w:rsid w:val="006A4A41"/>
    <w:rsid w:val="006A53F7"/>
    <w:rsid w:val="006B1904"/>
    <w:rsid w:val="006B3D6B"/>
    <w:rsid w:val="006B4390"/>
    <w:rsid w:val="006B4451"/>
    <w:rsid w:val="006B5249"/>
    <w:rsid w:val="006B5C71"/>
    <w:rsid w:val="006C0EC2"/>
    <w:rsid w:val="006C20FA"/>
    <w:rsid w:val="006C3193"/>
    <w:rsid w:val="006C371A"/>
    <w:rsid w:val="006C423A"/>
    <w:rsid w:val="006C5F59"/>
    <w:rsid w:val="006C65D1"/>
    <w:rsid w:val="006C736B"/>
    <w:rsid w:val="006D0FB7"/>
    <w:rsid w:val="006D28EF"/>
    <w:rsid w:val="006D2ED8"/>
    <w:rsid w:val="006D3694"/>
    <w:rsid w:val="006D3809"/>
    <w:rsid w:val="006D382F"/>
    <w:rsid w:val="006D5943"/>
    <w:rsid w:val="006D5A63"/>
    <w:rsid w:val="006D6579"/>
    <w:rsid w:val="006E0EF9"/>
    <w:rsid w:val="006E1EFF"/>
    <w:rsid w:val="006E38C9"/>
    <w:rsid w:val="006E3DD4"/>
    <w:rsid w:val="006E77B5"/>
    <w:rsid w:val="006F17CD"/>
    <w:rsid w:val="006F2023"/>
    <w:rsid w:val="006F45BF"/>
    <w:rsid w:val="006F5A5E"/>
    <w:rsid w:val="006F5AD3"/>
    <w:rsid w:val="006F7034"/>
    <w:rsid w:val="006F7215"/>
    <w:rsid w:val="006F792B"/>
    <w:rsid w:val="00700DA1"/>
    <w:rsid w:val="00701E50"/>
    <w:rsid w:val="00702287"/>
    <w:rsid w:val="00705195"/>
    <w:rsid w:val="007064F2"/>
    <w:rsid w:val="007065B1"/>
    <w:rsid w:val="00706638"/>
    <w:rsid w:val="0070735A"/>
    <w:rsid w:val="00710530"/>
    <w:rsid w:val="007110F1"/>
    <w:rsid w:val="007141F5"/>
    <w:rsid w:val="00714BE5"/>
    <w:rsid w:val="00715A4B"/>
    <w:rsid w:val="007169EA"/>
    <w:rsid w:val="00722E06"/>
    <w:rsid w:val="00724A25"/>
    <w:rsid w:val="007250FF"/>
    <w:rsid w:val="0072533E"/>
    <w:rsid w:val="00726627"/>
    <w:rsid w:val="007276F2"/>
    <w:rsid w:val="00727D90"/>
    <w:rsid w:val="00731909"/>
    <w:rsid w:val="007322DA"/>
    <w:rsid w:val="00733C5E"/>
    <w:rsid w:val="007341D4"/>
    <w:rsid w:val="00734306"/>
    <w:rsid w:val="00734AD0"/>
    <w:rsid w:val="0074578F"/>
    <w:rsid w:val="0074584E"/>
    <w:rsid w:val="00745BBE"/>
    <w:rsid w:val="0075000C"/>
    <w:rsid w:val="00751DAD"/>
    <w:rsid w:val="00751DF0"/>
    <w:rsid w:val="007552CA"/>
    <w:rsid w:val="007553E3"/>
    <w:rsid w:val="0075581D"/>
    <w:rsid w:val="00756ED6"/>
    <w:rsid w:val="00757F1D"/>
    <w:rsid w:val="007614F2"/>
    <w:rsid w:val="00762347"/>
    <w:rsid w:val="007623E7"/>
    <w:rsid w:val="0076537D"/>
    <w:rsid w:val="00770535"/>
    <w:rsid w:val="00771A4B"/>
    <w:rsid w:val="0077243C"/>
    <w:rsid w:val="0077260A"/>
    <w:rsid w:val="00777BD2"/>
    <w:rsid w:val="007808F6"/>
    <w:rsid w:val="00781D87"/>
    <w:rsid w:val="0078284C"/>
    <w:rsid w:val="007856A1"/>
    <w:rsid w:val="00786296"/>
    <w:rsid w:val="00786877"/>
    <w:rsid w:val="00786A1D"/>
    <w:rsid w:val="00787526"/>
    <w:rsid w:val="00791D24"/>
    <w:rsid w:val="00792823"/>
    <w:rsid w:val="007972DA"/>
    <w:rsid w:val="007A073A"/>
    <w:rsid w:val="007A0F66"/>
    <w:rsid w:val="007A2D13"/>
    <w:rsid w:val="007B1336"/>
    <w:rsid w:val="007B267C"/>
    <w:rsid w:val="007B38B4"/>
    <w:rsid w:val="007B4D5E"/>
    <w:rsid w:val="007B7448"/>
    <w:rsid w:val="007B7935"/>
    <w:rsid w:val="007B7A04"/>
    <w:rsid w:val="007C0B8A"/>
    <w:rsid w:val="007C57E9"/>
    <w:rsid w:val="007D03A5"/>
    <w:rsid w:val="007D35F2"/>
    <w:rsid w:val="007D43AA"/>
    <w:rsid w:val="007D5510"/>
    <w:rsid w:val="007D5ACF"/>
    <w:rsid w:val="007D5BA5"/>
    <w:rsid w:val="007E0743"/>
    <w:rsid w:val="007E0F5D"/>
    <w:rsid w:val="007E22CB"/>
    <w:rsid w:val="007E2789"/>
    <w:rsid w:val="007E3B4D"/>
    <w:rsid w:val="007E3EC4"/>
    <w:rsid w:val="007E4B53"/>
    <w:rsid w:val="007E7867"/>
    <w:rsid w:val="007F41F8"/>
    <w:rsid w:val="008006EB"/>
    <w:rsid w:val="00801EB9"/>
    <w:rsid w:val="0080377A"/>
    <w:rsid w:val="00803BFA"/>
    <w:rsid w:val="008040C6"/>
    <w:rsid w:val="00806289"/>
    <w:rsid w:val="00806B05"/>
    <w:rsid w:val="00813EFD"/>
    <w:rsid w:val="008152E3"/>
    <w:rsid w:val="00815B2D"/>
    <w:rsid w:val="00815F45"/>
    <w:rsid w:val="00815F5B"/>
    <w:rsid w:val="00817736"/>
    <w:rsid w:val="008205AA"/>
    <w:rsid w:val="00820E4F"/>
    <w:rsid w:val="008251C7"/>
    <w:rsid w:val="00825FD4"/>
    <w:rsid w:val="00826455"/>
    <w:rsid w:val="00827768"/>
    <w:rsid w:val="00830071"/>
    <w:rsid w:val="00831405"/>
    <w:rsid w:val="0083340B"/>
    <w:rsid w:val="008351C5"/>
    <w:rsid w:val="00837744"/>
    <w:rsid w:val="00837ADB"/>
    <w:rsid w:val="00842A49"/>
    <w:rsid w:val="00843D28"/>
    <w:rsid w:val="0084629A"/>
    <w:rsid w:val="00847595"/>
    <w:rsid w:val="008479EE"/>
    <w:rsid w:val="008515E7"/>
    <w:rsid w:val="008531E9"/>
    <w:rsid w:val="008545A3"/>
    <w:rsid w:val="00854D11"/>
    <w:rsid w:val="00860109"/>
    <w:rsid w:val="00860AF6"/>
    <w:rsid w:val="00861F83"/>
    <w:rsid w:val="0086256B"/>
    <w:rsid w:val="00863952"/>
    <w:rsid w:val="008666FC"/>
    <w:rsid w:val="00876CB5"/>
    <w:rsid w:val="008773BF"/>
    <w:rsid w:val="00884020"/>
    <w:rsid w:val="00886321"/>
    <w:rsid w:val="0088720A"/>
    <w:rsid w:val="00890F9D"/>
    <w:rsid w:val="00895F61"/>
    <w:rsid w:val="00896D6F"/>
    <w:rsid w:val="00897CC1"/>
    <w:rsid w:val="008A2A82"/>
    <w:rsid w:val="008A7471"/>
    <w:rsid w:val="008B0F58"/>
    <w:rsid w:val="008B1F97"/>
    <w:rsid w:val="008B2C37"/>
    <w:rsid w:val="008B48FA"/>
    <w:rsid w:val="008C26DF"/>
    <w:rsid w:val="008C3852"/>
    <w:rsid w:val="008C54EB"/>
    <w:rsid w:val="008D0105"/>
    <w:rsid w:val="008D1D62"/>
    <w:rsid w:val="008D2AD5"/>
    <w:rsid w:val="008D3250"/>
    <w:rsid w:val="008D328D"/>
    <w:rsid w:val="008D3817"/>
    <w:rsid w:val="008D69F0"/>
    <w:rsid w:val="008D72D2"/>
    <w:rsid w:val="008D73A2"/>
    <w:rsid w:val="008E33AD"/>
    <w:rsid w:val="008E48F2"/>
    <w:rsid w:val="008E6B06"/>
    <w:rsid w:val="008E71CC"/>
    <w:rsid w:val="008E7A86"/>
    <w:rsid w:val="008F1A23"/>
    <w:rsid w:val="008F2740"/>
    <w:rsid w:val="008F4664"/>
    <w:rsid w:val="008F4A7B"/>
    <w:rsid w:val="008F5192"/>
    <w:rsid w:val="008F7A19"/>
    <w:rsid w:val="00903B14"/>
    <w:rsid w:val="00904EEC"/>
    <w:rsid w:val="009059E4"/>
    <w:rsid w:val="00906280"/>
    <w:rsid w:val="009073B8"/>
    <w:rsid w:val="009074DA"/>
    <w:rsid w:val="009126A4"/>
    <w:rsid w:val="00912AB8"/>
    <w:rsid w:val="009153E2"/>
    <w:rsid w:val="00920FFE"/>
    <w:rsid w:val="0092236C"/>
    <w:rsid w:val="00922B16"/>
    <w:rsid w:val="00924B88"/>
    <w:rsid w:val="00932939"/>
    <w:rsid w:val="00933667"/>
    <w:rsid w:val="00933FFF"/>
    <w:rsid w:val="00936AA4"/>
    <w:rsid w:val="00937B25"/>
    <w:rsid w:val="00943537"/>
    <w:rsid w:val="009518D1"/>
    <w:rsid w:val="009523B6"/>
    <w:rsid w:val="0095312F"/>
    <w:rsid w:val="00953D1E"/>
    <w:rsid w:val="00956D6E"/>
    <w:rsid w:val="0095701D"/>
    <w:rsid w:val="00960284"/>
    <w:rsid w:val="0096125D"/>
    <w:rsid w:val="0096136F"/>
    <w:rsid w:val="00962B9A"/>
    <w:rsid w:val="00964FC1"/>
    <w:rsid w:val="00965383"/>
    <w:rsid w:val="00966685"/>
    <w:rsid w:val="009671BF"/>
    <w:rsid w:val="00967ABD"/>
    <w:rsid w:val="00967F91"/>
    <w:rsid w:val="00974C4F"/>
    <w:rsid w:val="00974F32"/>
    <w:rsid w:val="0097576F"/>
    <w:rsid w:val="00975B8A"/>
    <w:rsid w:val="009771A6"/>
    <w:rsid w:val="009801AD"/>
    <w:rsid w:val="00980577"/>
    <w:rsid w:val="00980E13"/>
    <w:rsid w:val="00980F21"/>
    <w:rsid w:val="00983165"/>
    <w:rsid w:val="00986BDB"/>
    <w:rsid w:val="00990762"/>
    <w:rsid w:val="00991B24"/>
    <w:rsid w:val="0099541A"/>
    <w:rsid w:val="00996386"/>
    <w:rsid w:val="00996823"/>
    <w:rsid w:val="009A36E1"/>
    <w:rsid w:val="009A4167"/>
    <w:rsid w:val="009A5056"/>
    <w:rsid w:val="009A56E6"/>
    <w:rsid w:val="009A7DD2"/>
    <w:rsid w:val="009B308F"/>
    <w:rsid w:val="009B4986"/>
    <w:rsid w:val="009B7EF3"/>
    <w:rsid w:val="009C0A73"/>
    <w:rsid w:val="009C32EC"/>
    <w:rsid w:val="009C3BC9"/>
    <w:rsid w:val="009C5A52"/>
    <w:rsid w:val="009C7130"/>
    <w:rsid w:val="009C7EB6"/>
    <w:rsid w:val="009D09EB"/>
    <w:rsid w:val="009D0D5D"/>
    <w:rsid w:val="009E1234"/>
    <w:rsid w:val="009E3A84"/>
    <w:rsid w:val="009E432B"/>
    <w:rsid w:val="009E4B66"/>
    <w:rsid w:val="009F1D2F"/>
    <w:rsid w:val="009F1EFB"/>
    <w:rsid w:val="009F330A"/>
    <w:rsid w:val="009F3795"/>
    <w:rsid w:val="009F3B2F"/>
    <w:rsid w:val="009F4309"/>
    <w:rsid w:val="009F78DD"/>
    <w:rsid w:val="009F795E"/>
    <w:rsid w:val="00A00C86"/>
    <w:rsid w:val="00A02DD1"/>
    <w:rsid w:val="00A04CC4"/>
    <w:rsid w:val="00A10AD1"/>
    <w:rsid w:val="00A118AD"/>
    <w:rsid w:val="00A1207D"/>
    <w:rsid w:val="00A12E83"/>
    <w:rsid w:val="00A15B4E"/>
    <w:rsid w:val="00A15D90"/>
    <w:rsid w:val="00A16109"/>
    <w:rsid w:val="00A1770B"/>
    <w:rsid w:val="00A21087"/>
    <w:rsid w:val="00A21E6C"/>
    <w:rsid w:val="00A229D4"/>
    <w:rsid w:val="00A22B5C"/>
    <w:rsid w:val="00A23A80"/>
    <w:rsid w:val="00A254B0"/>
    <w:rsid w:val="00A2567C"/>
    <w:rsid w:val="00A2746A"/>
    <w:rsid w:val="00A2746F"/>
    <w:rsid w:val="00A32D15"/>
    <w:rsid w:val="00A34F8C"/>
    <w:rsid w:val="00A36236"/>
    <w:rsid w:val="00A36977"/>
    <w:rsid w:val="00A37552"/>
    <w:rsid w:val="00A41A21"/>
    <w:rsid w:val="00A42237"/>
    <w:rsid w:val="00A431E9"/>
    <w:rsid w:val="00A45B38"/>
    <w:rsid w:val="00A4647D"/>
    <w:rsid w:val="00A51A32"/>
    <w:rsid w:val="00A54354"/>
    <w:rsid w:val="00A54F2F"/>
    <w:rsid w:val="00A565D8"/>
    <w:rsid w:val="00A56C9B"/>
    <w:rsid w:val="00A5756E"/>
    <w:rsid w:val="00A61FC1"/>
    <w:rsid w:val="00A672C8"/>
    <w:rsid w:val="00A6735D"/>
    <w:rsid w:val="00A7173B"/>
    <w:rsid w:val="00A720CB"/>
    <w:rsid w:val="00A7353A"/>
    <w:rsid w:val="00A74481"/>
    <w:rsid w:val="00A75013"/>
    <w:rsid w:val="00A82B8F"/>
    <w:rsid w:val="00A85751"/>
    <w:rsid w:val="00A87EE1"/>
    <w:rsid w:val="00A90BF1"/>
    <w:rsid w:val="00A91631"/>
    <w:rsid w:val="00A917C4"/>
    <w:rsid w:val="00A933AF"/>
    <w:rsid w:val="00A95E17"/>
    <w:rsid w:val="00A97920"/>
    <w:rsid w:val="00A97FD1"/>
    <w:rsid w:val="00AA126F"/>
    <w:rsid w:val="00AA270D"/>
    <w:rsid w:val="00AA31FD"/>
    <w:rsid w:val="00AB2266"/>
    <w:rsid w:val="00AB4641"/>
    <w:rsid w:val="00AB50EC"/>
    <w:rsid w:val="00AB52C5"/>
    <w:rsid w:val="00AB6A0C"/>
    <w:rsid w:val="00AC429E"/>
    <w:rsid w:val="00AC7261"/>
    <w:rsid w:val="00AD093A"/>
    <w:rsid w:val="00AD0F2F"/>
    <w:rsid w:val="00AD29F7"/>
    <w:rsid w:val="00AD6067"/>
    <w:rsid w:val="00AD66E4"/>
    <w:rsid w:val="00AD775C"/>
    <w:rsid w:val="00AD7C57"/>
    <w:rsid w:val="00AE0A92"/>
    <w:rsid w:val="00AE3188"/>
    <w:rsid w:val="00AE3E88"/>
    <w:rsid w:val="00AE45F4"/>
    <w:rsid w:val="00AE6BEF"/>
    <w:rsid w:val="00AF02B2"/>
    <w:rsid w:val="00AF1B3C"/>
    <w:rsid w:val="00AF396F"/>
    <w:rsid w:val="00AF3A0D"/>
    <w:rsid w:val="00AF4AAE"/>
    <w:rsid w:val="00AF5FA8"/>
    <w:rsid w:val="00AF73BC"/>
    <w:rsid w:val="00B0043A"/>
    <w:rsid w:val="00B00E50"/>
    <w:rsid w:val="00B00F76"/>
    <w:rsid w:val="00B01888"/>
    <w:rsid w:val="00B02B0B"/>
    <w:rsid w:val="00B0311C"/>
    <w:rsid w:val="00B046C6"/>
    <w:rsid w:val="00B053C2"/>
    <w:rsid w:val="00B05C4C"/>
    <w:rsid w:val="00B06419"/>
    <w:rsid w:val="00B06A71"/>
    <w:rsid w:val="00B06ED0"/>
    <w:rsid w:val="00B07431"/>
    <w:rsid w:val="00B11EAF"/>
    <w:rsid w:val="00B1595F"/>
    <w:rsid w:val="00B1684B"/>
    <w:rsid w:val="00B20F5C"/>
    <w:rsid w:val="00B214A4"/>
    <w:rsid w:val="00B22931"/>
    <w:rsid w:val="00B23324"/>
    <w:rsid w:val="00B2399F"/>
    <w:rsid w:val="00B249CD"/>
    <w:rsid w:val="00B264A7"/>
    <w:rsid w:val="00B27C8E"/>
    <w:rsid w:val="00B342B7"/>
    <w:rsid w:val="00B34B96"/>
    <w:rsid w:val="00B35106"/>
    <w:rsid w:val="00B35110"/>
    <w:rsid w:val="00B36FE1"/>
    <w:rsid w:val="00B440B0"/>
    <w:rsid w:val="00B443DB"/>
    <w:rsid w:val="00B470A3"/>
    <w:rsid w:val="00B50FD7"/>
    <w:rsid w:val="00B51C33"/>
    <w:rsid w:val="00B52DED"/>
    <w:rsid w:val="00B57297"/>
    <w:rsid w:val="00B62F8A"/>
    <w:rsid w:val="00B665AF"/>
    <w:rsid w:val="00B709ED"/>
    <w:rsid w:val="00B70B30"/>
    <w:rsid w:val="00B70C8D"/>
    <w:rsid w:val="00B71324"/>
    <w:rsid w:val="00B718EE"/>
    <w:rsid w:val="00B73D78"/>
    <w:rsid w:val="00B75CE6"/>
    <w:rsid w:val="00B7649E"/>
    <w:rsid w:val="00B81EEB"/>
    <w:rsid w:val="00B858AF"/>
    <w:rsid w:val="00B90EEC"/>
    <w:rsid w:val="00B91160"/>
    <w:rsid w:val="00B930A3"/>
    <w:rsid w:val="00B95E27"/>
    <w:rsid w:val="00B966E5"/>
    <w:rsid w:val="00B97A62"/>
    <w:rsid w:val="00B97CA0"/>
    <w:rsid w:val="00BA0373"/>
    <w:rsid w:val="00BA1AE0"/>
    <w:rsid w:val="00BA3301"/>
    <w:rsid w:val="00BA4617"/>
    <w:rsid w:val="00BA4ABA"/>
    <w:rsid w:val="00BB126C"/>
    <w:rsid w:val="00BB1577"/>
    <w:rsid w:val="00BB233A"/>
    <w:rsid w:val="00BB2812"/>
    <w:rsid w:val="00BB2D86"/>
    <w:rsid w:val="00BB3BBB"/>
    <w:rsid w:val="00BB4CFD"/>
    <w:rsid w:val="00BB6B97"/>
    <w:rsid w:val="00BC0301"/>
    <w:rsid w:val="00BC218B"/>
    <w:rsid w:val="00BD0DF3"/>
    <w:rsid w:val="00BD5545"/>
    <w:rsid w:val="00BD687C"/>
    <w:rsid w:val="00BD6C33"/>
    <w:rsid w:val="00BD754F"/>
    <w:rsid w:val="00BD7A71"/>
    <w:rsid w:val="00BE176C"/>
    <w:rsid w:val="00BE34CE"/>
    <w:rsid w:val="00BE3927"/>
    <w:rsid w:val="00BE40A8"/>
    <w:rsid w:val="00BE40DE"/>
    <w:rsid w:val="00BF05CC"/>
    <w:rsid w:val="00BF0AD9"/>
    <w:rsid w:val="00BF1965"/>
    <w:rsid w:val="00C01E54"/>
    <w:rsid w:val="00C0255F"/>
    <w:rsid w:val="00C04FE5"/>
    <w:rsid w:val="00C06100"/>
    <w:rsid w:val="00C10110"/>
    <w:rsid w:val="00C10F96"/>
    <w:rsid w:val="00C13748"/>
    <w:rsid w:val="00C13D19"/>
    <w:rsid w:val="00C14A9F"/>
    <w:rsid w:val="00C168EA"/>
    <w:rsid w:val="00C17F46"/>
    <w:rsid w:val="00C17F5C"/>
    <w:rsid w:val="00C20830"/>
    <w:rsid w:val="00C24023"/>
    <w:rsid w:val="00C246B0"/>
    <w:rsid w:val="00C2735F"/>
    <w:rsid w:val="00C3203D"/>
    <w:rsid w:val="00C339F0"/>
    <w:rsid w:val="00C35E74"/>
    <w:rsid w:val="00C361DC"/>
    <w:rsid w:val="00C42C45"/>
    <w:rsid w:val="00C444C1"/>
    <w:rsid w:val="00C454FC"/>
    <w:rsid w:val="00C52E54"/>
    <w:rsid w:val="00C543CE"/>
    <w:rsid w:val="00C605DE"/>
    <w:rsid w:val="00C63FDB"/>
    <w:rsid w:val="00C659E2"/>
    <w:rsid w:val="00C65CA6"/>
    <w:rsid w:val="00C66B7A"/>
    <w:rsid w:val="00C7046F"/>
    <w:rsid w:val="00C7199D"/>
    <w:rsid w:val="00C72942"/>
    <w:rsid w:val="00C75A5D"/>
    <w:rsid w:val="00C8352F"/>
    <w:rsid w:val="00C835D1"/>
    <w:rsid w:val="00C83A53"/>
    <w:rsid w:val="00C83B16"/>
    <w:rsid w:val="00C84F03"/>
    <w:rsid w:val="00C852FC"/>
    <w:rsid w:val="00C944E8"/>
    <w:rsid w:val="00CA11CB"/>
    <w:rsid w:val="00CA43B3"/>
    <w:rsid w:val="00CB0703"/>
    <w:rsid w:val="00CB0FD8"/>
    <w:rsid w:val="00CB2178"/>
    <w:rsid w:val="00CB44C7"/>
    <w:rsid w:val="00CB71C3"/>
    <w:rsid w:val="00CC015E"/>
    <w:rsid w:val="00CC0668"/>
    <w:rsid w:val="00CC5AD7"/>
    <w:rsid w:val="00CD0192"/>
    <w:rsid w:val="00CD17C6"/>
    <w:rsid w:val="00CD24AC"/>
    <w:rsid w:val="00CD2B10"/>
    <w:rsid w:val="00CD4438"/>
    <w:rsid w:val="00CD5206"/>
    <w:rsid w:val="00CE075F"/>
    <w:rsid w:val="00CE11E5"/>
    <w:rsid w:val="00CE212A"/>
    <w:rsid w:val="00CE3FC0"/>
    <w:rsid w:val="00CE45AD"/>
    <w:rsid w:val="00CE602B"/>
    <w:rsid w:val="00CE6392"/>
    <w:rsid w:val="00CE6545"/>
    <w:rsid w:val="00CF22E1"/>
    <w:rsid w:val="00CF2FED"/>
    <w:rsid w:val="00CF33C1"/>
    <w:rsid w:val="00CF44C9"/>
    <w:rsid w:val="00CF6570"/>
    <w:rsid w:val="00CF7A4D"/>
    <w:rsid w:val="00D004E8"/>
    <w:rsid w:val="00D0140F"/>
    <w:rsid w:val="00D02199"/>
    <w:rsid w:val="00D032C6"/>
    <w:rsid w:val="00D044C7"/>
    <w:rsid w:val="00D04777"/>
    <w:rsid w:val="00D11D06"/>
    <w:rsid w:val="00D120BA"/>
    <w:rsid w:val="00D14D7A"/>
    <w:rsid w:val="00D14E5C"/>
    <w:rsid w:val="00D15ABB"/>
    <w:rsid w:val="00D17CE2"/>
    <w:rsid w:val="00D218A5"/>
    <w:rsid w:val="00D225C6"/>
    <w:rsid w:val="00D22F3C"/>
    <w:rsid w:val="00D2775E"/>
    <w:rsid w:val="00D27957"/>
    <w:rsid w:val="00D27D1D"/>
    <w:rsid w:val="00D30043"/>
    <w:rsid w:val="00D30057"/>
    <w:rsid w:val="00D30407"/>
    <w:rsid w:val="00D32C11"/>
    <w:rsid w:val="00D33D0B"/>
    <w:rsid w:val="00D3534E"/>
    <w:rsid w:val="00D4158A"/>
    <w:rsid w:val="00D43E2B"/>
    <w:rsid w:val="00D51457"/>
    <w:rsid w:val="00D5234F"/>
    <w:rsid w:val="00D538E8"/>
    <w:rsid w:val="00D5600B"/>
    <w:rsid w:val="00D574B5"/>
    <w:rsid w:val="00D57A2B"/>
    <w:rsid w:val="00D60B8A"/>
    <w:rsid w:val="00D64448"/>
    <w:rsid w:val="00D65B2A"/>
    <w:rsid w:val="00D70A19"/>
    <w:rsid w:val="00D70D23"/>
    <w:rsid w:val="00D71AAF"/>
    <w:rsid w:val="00D7313A"/>
    <w:rsid w:val="00D731AD"/>
    <w:rsid w:val="00D74512"/>
    <w:rsid w:val="00D76922"/>
    <w:rsid w:val="00D777C6"/>
    <w:rsid w:val="00D778E6"/>
    <w:rsid w:val="00D80FEC"/>
    <w:rsid w:val="00D81688"/>
    <w:rsid w:val="00D861CF"/>
    <w:rsid w:val="00D86EF5"/>
    <w:rsid w:val="00D87420"/>
    <w:rsid w:val="00D9246A"/>
    <w:rsid w:val="00D92E15"/>
    <w:rsid w:val="00D9319B"/>
    <w:rsid w:val="00D9714D"/>
    <w:rsid w:val="00D971B0"/>
    <w:rsid w:val="00DA0F8D"/>
    <w:rsid w:val="00DA29E0"/>
    <w:rsid w:val="00DA3440"/>
    <w:rsid w:val="00DA61FC"/>
    <w:rsid w:val="00DA6C5D"/>
    <w:rsid w:val="00DB11EC"/>
    <w:rsid w:val="00DB1E09"/>
    <w:rsid w:val="00DB2AED"/>
    <w:rsid w:val="00DB348A"/>
    <w:rsid w:val="00DB5AB3"/>
    <w:rsid w:val="00DB69E1"/>
    <w:rsid w:val="00DC1AF7"/>
    <w:rsid w:val="00DC2522"/>
    <w:rsid w:val="00DC45F1"/>
    <w:rsid w:val="00DC5F92"/>
    <w:rsid w:val="00DC73C0"/>
    <w:rsid w:val="00DD17D7"/>
    <w:rsid w:val="00DD421D"/>
    <w:rsid w:val="00DD5037"/>
    <w:rsid w:val="00DD506D"/>
    <w:rsid w:val="00DD71B4"/>
    <w:rsid w:val="00DD7B71"/>
    <w:rsid w:val="00DD7CFB"/>
    <w:rsid w:val="00DE1531"/>
    <w:rsid w:val="00DE1E7F"/>
    <w:rsid w:val="00DE3404"/>
    <w:rsid w:val="00DE4BCF"/>
    <w:rsid w:val="00DE6AB1"/>
    <w:rsid w:val="00DE7122"/>
    <w:rsid w:val="00DF214C"/>
    <w:rsid w:val="00DF3F1E"/>
    <w:rsid w:val="00DF4039"/>
    <w:rsid w:val="00DF7A69"/>
    <w:rsid w:val="00E0016B"/>
    <w:rsid w:val="00E01C76"/>
    <w:rsid w:val="00E02FDF"/>
    <w:rsid w:val="00E056D6"/>
    <w:rsid w:val="00E12656"/>
    <w:rsid w:val="00E155CB"/>
    <w:rsid w:val="00E15E31"/>
    <w:rsid w:val="00E202C4"/>
    <w:rsid w:val="00E21754"/>
    <w:rsid w:val="00E2244B"/>
    <w:rsid w:val="00E2245C"/>
    <w:rsid w:val="00E226C4"/>
    <w:rsid w:val="00E248A4"/>
    <w:rsid w:val="00E25961"/>
    <w:rsid w:val="00E26A58"/>
    <w:rsid w:val="00E26C68"/>
    <w:rsid w:val="00E2709A"/>
    <w:rsid w:val="00E30FD6"/>
    <w:rsid w:val="00E312EC"/>
    <w:rsid w:val="00E3185D"/>
    <w:rsid w:val="00E32679"/>
    <w:rsid w:val="00E328AF"/>
    <w:rsid w:val="00E347A2"/>
    <w:rsid w:val="00E36D45"/>
    <w:rsid w:val="00E4165E"/>
    <w:rsid w:val="00E42677"/>
    <w:rsid w:val="00E427FE"/>
    <w:rsid w:val="00E44041"/>
    <w:rsid w:val="00E44B3D"/>
    <w:rsid w:val="00E456AA"/>
    <w:rsid w:val="00E52F4A"/>
    <w:rsid w:val="00E549DD"/>
    <w:rsid w:val="00E60196"/>
    <w:rsid w:val="00E62E33"/>
    <w:rsid w:val="00E66ED6"/>
    <w:rsid w:val="00E67E49"/>
    <w:rsid w:val="00E77239"/>
    <w:rsid w:val="00E808F9"/>
    <w:rsid w:val="00E8112D"/>
    <w:rsid w:val="00E8183E"/>
    <w:rsid w:val="00E81AEF"/>
    <w:rsid w:val="00E81BEB"/>
    <w:rsid w:val="00E837F2"/>
    <w:rsid w:val="00E8389F"/>
    <w:rsid w:val="00E844C9"/>
    <w:rsid w:val="00E870C1"/>
    <w:rsid w:val="00E870C4"/>
    <w:rsid w:val="00E9080B"/>
    <w:rsid w:val="00E916E6"/>
    <w:rsid w:val="00E91E91"/>
    <w:rsid w:val="00E94097"/>
    <w:rsid w:val="00E94582"/>
    <w:rsid w:val="00E96D46"/>
    <w:rsid w:val="00EA0A5F"/>
    <w:rsid w:val="00EA20E6"/>
    <w:rsid w:val="00EA3AAF"/>
    <w:rsid w:val="00EA44AF"/>
    <w:rsid w:val="00EA603D"/>
    <w:rsid w:val="00EA613B"/>
    <w:rsid w:val="00EA6F0D"/>
    <w:rsid w:val="00EB35E3"/>
    <w:rsid w:val="00EB5D13"/>
    <w:rsid w:val="00EB7295"/>
    <w:rsid w:val="00EB7A8D"/>
    <w:rsid w:val="00EC1B8B"/>
    <w:rsid w:val="00EC34F0"/>
    <w:rsid w:val="00EC36E3"/>
    <w:rsid w:val="00EC564B"/>
    <w:rsid w:val="00EC7101"/>
    <w:rsid w:val="00EC735F"/>
    <w:rsid w:val="00ED105C"/>
    <w:rsid w:val="00ED1A62"/>
    <w:rsid w:val="00ED248C"/>
    <w:rsid w:val="00ED3EBC"/>
    <w:rsid w:val="00ED608E"/>
    <w:rsid w:val="00ED6B7F"/>
    <w:rsid w:val="00EE036A"/>
    <w:rsid w:val="00EE0B9E"/>
    <w:rsid w:val="00EE2533"/>
    <w:rsid w:val="00EE291F"/>
    <w:rsid w:val="00EE308B"/>
    <w:rsid w:val="00EE60C5"/>
    <w:rsid w:val="00EE79B5"/>
    <w:rsid w:val="00EF071E"/>
    <w:rsid w:val="00EF258E"/>
    <w:rsid w:val="00F006C3"/>
    <w:rsid w:val="00F0620E"/>
    <w:rsid w:val="00F07282"/>
    <w:rsid w:val="00F07E61"/>
    <w:rsid w:val="00F1222A"/>
    <w:rsid w:val="00F12324"/>
    <w:rsid w:val="00F14495"/>
    <w:rsid w:val="00F16ADC"/>
    <w:rsid w:val="00F16BC8"/>
    <w:rsid w:val="00F1778D"/>
    <w:rsid w:val="00F17BFC"/>
    <w:rsid w:val="00F25C4F"/>
    <w:rsid w:val="00F276DF"/>
    <w:rsid w:val="00F31397"/>
    <w:rsid w:val="00F32E41"/>
    <w:rsid w:val="00F32FFE"/>
    <w:rsid w:val="00F33F8C"/>
    <w:rsid w:val="00F35581"/>
    <w:rsid w:val="00F40B1D"/>
    <w:rsid w:val="00F41BB7"/>
    <w:rsid w:val="00F4441F"/>
    <w:rsid w:val="00F45867"/>
    <w:rsid w:val="00F45D50"/>
    <w:rsid w:val="00F46878"/>
    <w:rsid w:val="00F5015B"/>
    <w:rsid w:val="00F50FF5"/>
    <w:rsid w:val="00F518FD"/>
    <w:rsid w:val="00F53E65"/>
    <w:rsid w:val="00F562DA"/>
    <w:rsid w:val="00F565C3"/>
    <w:rsid w:val="00F56C35"/>
    <w:rsid w:val="00F56DF8"/>
    <w:rsid w:val="00F57C95"/>
    <w:rsid w:val="00F652C2"/>
    <w:rsid w:val="00F65F58"/>
    <w:rsid w:val="00F6766B"/>
    <w:rsid w:val="00F70362"/>
    <w:rsid w:val="00F71AD3"/>
    <w:rsid w:val="00F739BF"/>
    <w:rsid w:val="00F747E9"/>
    <w:rsid w:val="00F74C37"/>
    <w:rsid w:val="00F75293"/>
    <w:rsid w:val="00F7604C"/>
    <w:rsid w:val="00F76E1B"/>
    <w:rsid w:val="00F775FC"/>
    <w:rsid w:val="00F81014"/>
    <w:rsid w:val="00F81D07"/>
    <w:rsid w:val="00F85215"/>
    <w:rsid w:val="00F86A2A"/>
    <w:rsid w:val="00F8722D"/>
    <w:rsid w:val="00F90D26"/>
    <w:rsid w:val="00F9145D"/>
    <w:rsid w:val="00F9345C"/>
    <w:rsid w:val="00F9354B"/>
    <w:rsid w:val="00F939B3"/>
    <w:rsid w:val="00F93D20"/>
    <w:rsid w:val="00F94CCD"/>
    <w:rsid w:val="00F96448"/>
    <w:rsid w:val="00FA03BC"/>
    <w:rsid w:val="00FA1D97"/>
    <w:rsid w:val="00FA2B49"/>
    <w:rsid w:val="00FA50F3"/>
    <w:rsid w:val="00FA57BC"/>
    <w:rsid w:val="00FA6CA7"/>
    <w:rsid w:val="00FA6FE7"/>
    <w:rsid w:val="00FB1CA6"/>
    <w:rsid w:val="00FB3B34"/>
    <w:rsid w:val="00FB47A7"/>
    <w:rsid w:val="00FB4F97"/>
    <w:rsid w:val="00FB71C7"/>
    <w:rsid w:val="00FC0DD9"/>
    <w:rsid w:val="00FC3C80"/>
    <w:rsid w:val="00FC585B"/>
    <w:rsid w:val="00FC5F9C"/>
    <w:rsid w:val="00FC6CEA"/>
    <w:rsid w:val="00FD25D0"/>
    <w:rsid w:val="00FD437B"/>
    <w:rsid w:val="00FD7C80"/>
    <w:rsid w:val="00FE0E96"/>
    <w:rsid w:val="00FE14C8"/>
    <w:rsid w:val="00FE44DA"/>
    <w:rsid w:val="00FE6394"/>
    <w:rsid w:val="00FE64AB"/>
    <w:rsid w:val="00FE696D"/>
    <w:rsid w:val="00FE6CC9"/>
    <w:rsid w:val="00FF061B"/>
    <w:rsid w:val="00FF1341"/>
    <w:rsid w:val="00FF1750"/>
    <w:rsid w:val="00FF1C45"/>
    <w:rsid w:val="00FF396D"/>
    <w:rsid w:val="00FF3B5F"/>
    <w:rsid w:val="00FF3BAE"/>
    <w:rsid w:val="00FF5261"/>
    <w:rsid w:val="00FF596A"/>
    <w:rsid w:val="00FF646D"/>
    <w:rsid w:val="00FF6877"/>
    <w:rsid w:val="00FF6969"/>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FA127"/>
  <w15:chartTrackingRefBased/>
  <w15:docId w15:val="{16072114-55B3-4E53-91D9-DDF3CEA09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7F2"/>
  </w:style>
  <w:style w:type="paragraph" w:styleId="Heading1">
    <w:name w:val="heading 1"/>
    <w:basedOn w:val="Normal"/>
    <w:next w:val="Normal"/>
    <w:link w:val="Heading1Char"/>
    <w:uiPriority w:val="9"/>
    <w:qFormat/>
    <w:rsid w:val="00175F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5F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16C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16CD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23D9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F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75F4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16CD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16CD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423D9A"/>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4B6CB7"/>
    <w:pPr>
      <w:ind w:left="720"/>
      <w:contextualSpacing/>
    </w:pPr>
  </w:style>
  <w:style w:type="paragraph" w:styleId="BalloonText">
    <w:name w:val="Balloon Text"/>
    <w:basedOn w:val="Normal"/>
    <w:link w:val="BalloonTextChar"/>
    <w:uiPriority w:val="99"/>
    <w:semiHidden/>
    <w:unhideWhenUsed/>
    <w:rsid w:val="004B6C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CB7"/>
    <w:rPr>
      <w:rFonts w:ascii="Segoe UI" w:hAnsi="Segoe UI" w:cs="Segoe UI"/>
      <w:sz w:val="18"/>
      <w:szCs w:val="18"/>
    </w:rPr>
  </w:style>
  <w:style w:type="paragraph" w:styleId="NormalWeb">
    <w:name w:val="Normal (Web)"/>
    <w:basedOn w:val="Normal"/>
    <w:uiPriority w:val="99"/>
    <w:semiHidden/>
    <w:unhideWhenUsed/>
    <w:rsid w:val="00175F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75F42"/>
    <w:rPr>
      <w:b/>
      <w:bCs/>
    </w:rPr>
  </w:style>
  <w:style w:type="character" w:styleId="Hyperlink">
    <w:name w:val="Hyperlink"/>
    <w:basedOn w:val="DefaultParagraphFont"/>
    <w:uiPriority w:val="99"/>
    <w:unhideWhenUsed/>
    <w:rsid w:val="00175F42"/>
    <w:rPr>
      <w:color w:val="0000FF"/>
      <w:u w:val="single"/>
    </w:rPr>
  </w:style>
  <w:style w:type="character" w:styleId="HTMLCode">
    <w:name w:val="HTML Code"/>
    <w:basedOn w:val="DefaultParagraphFont"/>
    <w:uiPriority w:val="99"/>
    <w:semiHidden/>
    <w:unhideWhenUsed/>
    <w:rsid w:val="00175F42"/>
    <w:rPr>
      <w:rFonts w:ascii="Courier New" w:eastAsia="Times New Roman" w:hAnsi="Courier New" w:cs="Courier New"/>
      <w:sz w:val="20"/>
      <w:szCs w:val="20"/>
    </w:rPr>
  </w:style>
  <w:style w:type="paragraph" w:styleId="Title">
    <w:name w:val="Title"/>
    <w:basedOn w:val="Normal"/>
    <w:next w:val="Normal"/>
    <w:link w:val="TitleChar"/>
    <w:uiPriority w:val="10"/>
    <w:qFormat/>
    <w:rsid w:val="00175F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F42"/>
    <w:rPr>
      <w:rFonts w:asciiTheme="majorHAnsi" w:eastAsiaTheme="majorEastAsia" w:hAnsiTheme="majorHAnsi" w:cstheme="majorBidi"/>
      <w:spacing w:val="-10"/>
      <w:kern w:val="28"/>
      <w:sz w:val="56"/>
      <w:szCs w:val="56"/>
    </w:rPr>
  </w:style>
  <w:style w:type="paragraph" w:styleId="NoSpacing">
    <w:name w:val="No Spacing"/>
    <w:uiPriority w:val="1"/>
    <w:qFormat/>
    <w:rsid w:val="00581D57"/>
    <w:pPr>
      <w:spacing w:after="0" w:line="240" w:lineRule="auto"/>
    </w:pPr>
  </w:style>
  <w:style w:type="paragraph" w:styleId="HTMLPreformatted">
    <w:name w:val="HTML Preformatted"/>
    <w:basedOn w:val="Normal"/>
    <w:link w:val="HTMLPreformattedChar"/>
    <w:uiPriority w:val="99"/>
    <w:semiHidden/>
    <w:unhideWhenUsed/>
    <w:rsid w:val="00576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BE"/>
    </w:rPr>
  </w:style>
  <w:style w:type="character" w:customStyle="1" w:styleId="HTMLPreformattedChar">
    <w:name w:val="HTML Preformatted Char"/>
    <w:basedOn w:val="DefaultParagraphFont"/>
    <w:link w:val="HTMLPreformatted"/>
    <w:uiPriority w:val="99"/>
    <w:semiHidden/>
    <w:rsid w:val="005768B3"/>
    <w:rPr>
      <w:rFonts w:ascii="Courier New" w:eastAsia="Times New Roman" w:hAnsi="Courier New" w:cs="Courier New"/>
      <w:sz w:val="20"/>
      <w:szCs w:val="20"/>
      <w:lang w:eastAsia="nl-BE"/>
    </w:rPr>
  </w:style>
  <w:style w:type="character" w:customStyle="1" w:styleId="gnkrckgcgsb">
    <w:name w:val="gnkrckgcgsb"/>
    <w:basedOn w:val="DefaultParagraphFont"/>
    <w:rsid w:val="005768B3"/>
  </w:style>
  <w:style w:type="table" w:styleId="TableGrid">
    <w:name w:val="Table Grid"/>
    <w:basedOn w:val="TableNormal"/>
    <w:uiPriority w:val="39"/>
    <w:rsid w:val="00D86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90BF1"/>
    <w:rPr>
      <w:color w:val="954F72" w:themeColor="followedHyperlink"/>
      <w:u w:val="single"/>
    </w:rPr>
  </w:style>
  <w:style w:type="character" w:styleId="CommentReference">
    <w:name w:val="annotation reference"/>
    <w:basedOn w:val="DefaultParagraphFont"/>
    <w:uiPriority w:val="99"/>
    <w:semiHidden/>
    <w:unhideWhenUsed/>
    <w:rsid w:val="006F2023"/>
    <w:rPr>
      <w:sz w:val="16"/>
      <w:szCs w:val="16"/>
    </w:rPr>
  </w:style>
  <w:style w:type="paragraph" w:styleId="CommentText">
    <w:name w:val="annotation text"/>
    <w:basedOn w:val="Normal"/>
    <w:link w:val="CommentTextChar"/>
    <w:uiPriority w:val="99"/>
    <w:unhideWhenUsed/>
    <w:rsid w:val="006F2023"/>
    <w:pPr>
      <w:spacing w:line="240" w:lineRule="auto"/>
    </w:pPr>
    <w:rPr>
      <w:sz w:val="20"/>
      <w:szCs w:val="20"/>
    </w:rPr>
  </w:style>
  <w:style w:type="character" w:customStyle="1" w:styleId="CommentTextChar">
    <w:name w:val="Comment Text Char"/>
    <w:basedOn w:val="DefaultParagraphFont"/>
    <w:link w:val="CommentText"/>
    <w:uiPriority w:val="99"/>
    <w:rsid w:val="006F2023"/>
    <w:rPr>
      <w:sz w:val="20"/>
      <w:szCs w:val="20"/>
    </w:rPr>
  </w:style>
  <w:style w:type="paragraph" w:styleId="CommentSubject">
    <w:name w:val="annotation subject"/>
    <w:basedOn w:val="CommentText"/>
    <w:next w:val="CommentText"/>
    <w:link w:val="CommentSubjectChar"/>
    <w:uiPriority w:val="99"/>
    <w:semiHidden/>
    <w:unhideWhenUsed/>
    <w:rsid w:val="006F2023"/>
    <w:rPr>
      <w:b/>
      <w:bCs/>
    </w:rPr>
  </w:style>
  <w:style w:type="character" w:customStyle="1" w:styleId="CommentSubjectChar">
    <w:name w:val="Comment Subject Char"/>
    <w:basedOn w:val="CommentTextChar"/>
    <w:link w:val="CommentSubject"/>
    <w:uiPriority w:val="99"/>
    <w:semiHidden/>
    <w:rsid w:val="006F2023"/>
    <w:rPr>
      <w:b/>
      <w:bCs/>
      <w:sz w:val="20"/>
      <w:szCs w:val="20"/>
    </w:rPr>
  </w:style>
  <w:style w:type="character" w:customStyle="1" w:styleId="ref-journal">
    <w:name w:val="ref-journal"/>
    <w:basedOn w:val="DefaultParagraphFont"/>
    <w:rsid w:val="00457F51"/>
  </w:style>
  <w:style w:type="character" w:customStyle="1" w:styleId="ref-vol">
    <w:name w:val="ref-vol"/>
    <w:basedOn w:val="DefaultParagraphFont"/>
    <w:rsid w:val="00457F51"/>
  </w:style>
  <w:style w:type="character" w:customStyle="1" w:styleId="nowrap">
    <w:name w:val="nowrap"/>
    <w:basedOn w:val="DefaultParagraphFont"/>
    <w:rsid w:val="00457F51"/>
  </w:style>
  <w:style w:type="paragraph" w:customStyle="1" w:styleId="p1">
    <w:name w:val="p1"/>
    <w:basedOn w:val="Normal"/>
    <w:rsid w:val="002D289A"/>
    <w:pPr>
      <w:spacing w:after="0" w:line="240" w:lineRule="auto"/>
    </w:pPr>
    <w:rPr>
      <w:rFonts w:ascii="Times" w:eastAsiaTheme="minorEastAsia" w:hAnsi="Times" w:cs="Calibri"/>
      <w:sz w:val="15"/>
      <w:szCs w:val="15"/>
      <w:lang w:val="en-US"/>
    </w:rPr>
  </w:style>
  <w:style w:type="paragraph" w:customStyle="1" w:styleId="EndNoteBibliography">
    <w:name w:val="EndNote Bibliography"/>
    <w:basedOn w:val="Normal"/>
    <w:link w:val="EndNoteBibliographyChar"/>
    <w:rsid w:val="00BE40A8"/>
    <w:pPr>
      <w:spacing w:after="0" w:line="240" w:lineRule="auto"/>
    </w:pPr>
    <w:rPr>
      <w:rFonts w:ascii="Times New Roman" w:hAnsi="Times New Roman" w:cs="Times New Roman"/>
      <w:sz w:val="24"/>
      <w:szCs w:val="24"/>
      <w:lang w:val="en-US"/>
    </w:rPr>
  </w:style>
  <w:style w:type="character" w:customStyle="1" w:styleId="EndNoteBibliographyChar">
    <w:name w:val="EndNote Bibliography Char"/>
    <w:basedOn w:val="DefaultParagraphFont"/>
    <w:link w:val="EndNoteBibliography"/>
    <w:rsid w:val="00192981"/>
    <w:rPr>
      <w:rFonts w:ascii="Times New Roman" w:hAnsi="Times New Roman" w:cs="Times New Roman"/>
      <w:sz w:val="24"/>
      <w:szCs w:val="24"/>
      <w:lang w:val="en-US"/>
    </w:rPr>
  </w:style>
  <w:style w:type="paragraph" w:styleId="Caption">
    <w:name w:val="caption"/>
    <w:basedOn w:val="Normal"/>
    <w:next w:val="Normal"/>
    <w:uiPriority w:val="35"/>
    <w:unhideWhenUsed/>
    <w:qFormat/>
    <w:rsid w:val="008D2AD5"/>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7972DA"/>
    <w:rPr>
      <w:color w:val="605E5C"/>
      <w:shd w:val="clear" w:color="auto" w:fill="E1DFDD"/>
    </w:rPr>
  </w:style>
  <w:style w:type="paragraph" w:styleId="Footer">
    <w:name w:val="footer"/>
    <w:basedOn w:val="Normal"/>
    <w:link w:val="FooterChar"/>
    <w:uiPriority w:val="99"/>
    <w:unhideWhenUsed/>
    <w:rsid w:val="00650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B91"/>
  </w:style>
  <w:style w:type="character" w:styleId="PageNumber">
    <w:name w:val="page number"/>
    <w:basedOn w:val="DefaultParagraphFont"/>
    <w:uiPriority w:val="99"/>
    <w:semiHidden/>
    <w:unhideWhenUsed/>
    <w:rsid w:val="00650B91"/>
  </w:style>
  <w:style w:type="character" w:customStyle="1" w:styleId="identifier">
    <w:name w:val="identifier"/>
    <w:basedOn w:val="DefaultParagraphFont"/>
    <w:rsid w:val="00A254B0"/>
  </w:style>
  <w:style w:type="character" w:customStyle="1" w:styleId="id-label">
    <w:name w:val="id-label"/>
    <w:basedOn w:val="DefaultParagraphFont"/>
    <w:rsid w:val="00A254B0"/>
  </w:style>
  <w:style w:type="paragraph" w:styleId="Revision">
    <w:name w:val="Revision"/>
    <w:hidden/>
    <w:uiPriority w:val="99"/>
    <w:semiHidden/>
    <w:rsid w:val="00535F9A"/>
    <w:pPr>
      <w:spacing w:after="0" w:line="240" w:lineRule="auto"/>
    </w:pPr>
  </w:style>
  <w:style w:type="paragraph" w:styleId="Header">
    <w:name w:val="header"/>
    <w:basedOn w:val="Normal"/>
    <w:link w:val="HeaderChar"/>
    <w:uiPriority w:val="99"/>
    <w:unhideWhenUsed/>
    <w:rsid w:val="00535F9A"/>
    <w:pPr>
      <w:tabs>
        <w:tab w:val="center" w:pos="4536"/>
        <w:tab w:val="right" w:pos="9072"/>
      </w:tabs>
      <w:spacing w:after="0" w:line="240" w:lineRule="auto"/>
    </w:pPr>
  </w:style>
  <w:style w:type="character" w:customStyle="1" w:styleId="HeaderChar">
    <w:name w:val="Header Char"/>
    <w:basedOn w:val="DefaultParagraphFont"/>
    <w:link w:val="Header"/>
    <w:uiPriority w:val="99"/>
    <w:rsid w:val="00535F9A"/>
  </w:style>
  <w:style w:type="character" w:styleId="PlaceholderText">
    <w:name w:val="Placeholder Text"/>
    <w:basedOn w:val="DefaultParagraphFont"/>
    <w:uiPriority w:val="99"/>
    <w:semiHidden/>
    <w:rsid w:val="002760EC"/>
    <w:rPr>
      <w:color w:val="808080"/>
    </w:rPr>
  </w:style>
  <w:style w:type="character" w:styleId="Emphasis">
    <w:name w:val="Emphasis"/>
    <w:basedOn w:val="DefaultParagraphFont"/>
    <w:uiPriority w:val="20"/>
    <w:qFormat/>
    <w:rsid w:val="00B01888"/>
    <w:rPr>
      <w:i/>
      <w:iCs/>
    </w:rPr>
  </w:style>
  <w:style w:type="paragraph" w:customStyle="1" w:styleId="msonormal0">
    <w:name w:val="msonormal"/>
    <w:basedOn w:val="Normal"/>
    <w:rsid w:val="005D3558"/>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xl63">
    <w:name w:val="xl63"/>
    <w:basedOn w:val="Normal"/>
    <w:rsid w:val="005D3558"/>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xl64">
    <w:name w:val="xl64"/>
    <w:basedOn w:val="Normal"/>
    <w:rsid w:val="005D3558"/>
    <w:pPr>
      <w:pBdr>
        <w:top w:val="single" w:sz="4" w:space="0" w:color="A9D08E"/>
        <w:bottom w:val="single" w:sz="4" w:space="0" w:color="A9D08E"/>
      </w:pBd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xl65">
    <w:name w:val="xl65"/>
    <w:basedOn w:val="Normal"/>
    <w:rsid w:val="005D3558"/>
    <w:pPr>
      <w:pBdr>
        <w:top w:val="single" w:sz="4" w:space="0" w:color="A9D08E"/>
        <w:bottom w:val="single" w:sz="4" w:space="0" w:color="A9D08E"/>
        <w:right w:val="single" w:sz="4" w:space="0" w:color="A9D08E"/>
      </w:pBd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xl66">
    <w:name w:val="xl66"/>
    <w:basedOn w:val="Normal"/>
    <w:rsid w:val="005D3558"/>
    <w:pPr>
      <w:pBdr>
        <w:top w:val="single" w:sz="4" w:space="0" w:color="A9D08E"/>
        <w:bottom w:val="single" w:sz="4" w:space="0" w:color="A9D08E"/>
      </w:pBd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xl67">
    <w:name w:val="xl67"/>
    <w:basedOn w:val="Normal"/>
    <w:rsid w:val="005D3558"/>
    <w:pPr>
      <w:pBdr>
        <w:top w:val="single" w:sz="4" w:space="0" w:color="A9D08E"/>
        <w:bottom w:val="single" w:sz="4" w:space="0" w:color="A9D08E"/>
      </w:pBd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xl68">
    <w:name w:val="xl68"/>
    <w:basedOn w:val="Normal"/>
    <w:rsid w:val="005D3558"/>
    <w:pPr>
      <w:pBdr>
        <w:top w:val="single" w:sz="4" w:space="0" w:color="A9D08E"/>
        <w:bottom w:val="single" w:sz="4" w:space="0" w:color="A9D08E"/>
      </w:pBd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DefaultParagraphFont"/>
    <w:rsid w:val="00390E1D"/>
  </w:style>
  <w:style w:type="character" w:customStyle="1" w:styleId="eop">
    <w:name w:val="eop"/>
    <w:basedOn w:val="DefaultParagraphFont"/>
    <w:rsid w:val="00390E1D"/>
  </w:style>
  <w:style w:type="table" w:styleId="PlainTable4">
    <w:name w:val="Plain Table 4"/>
    <w:basedOn w:val="TableNormal"/>
    <w:uiPriority w:val="44"/>
    <w:rsid w:val="00EC564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2">
    <w:name w:val="List Table 2"/>
    <w:basedOn w:val="TableNormal"/>
    <w:uiPriority w:val="47"/>
    <w:rsid w:val="00B3510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B3510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3">
    <w:name w:val="List Table 1 Light Accent 3"/>
    <w:basedOn w:val="TableNormal"/>
    <w:uiPriority w:val="46"/>
    <w:rsid w:val="006F703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1">
    <w:name w:val="Plain Table 1"/>
    <w:basedOn w:val="TableNormal"/>
    <w:uiPriority w:val="41"/>
    <w:rsid w:val="00DD503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gnd-iwgdh3b">
    <w:name w:val="gnd-iwgdh3b"/>
    <w:basedOn w:val="DefaultParagraphFont"/>
    <w:rsid w:val="00D9246A"/>
  </w:style>
  <w:style w:type="table" w:styleId="GridTable2">
    <w:name w:val="Grid Table 2"/>
    <w:basedOn w:val="TableNormal"/>
    <w:uiPriority w:val="47"/>
    <w:rsid w:val="00724A2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57654">
      <w:bodyDiv w:val="1"/>
      <w:marLeft w:val="0"/>
      <w:marRight w:val="0"/>
      <w:marTop w:val="0"/>
      <w:marBottom w:val="0"/>
      <w:divBdr>
        <w:top w:val="none" w:sz="0" w:space="0" w:color="auto"/>
        <w:left w:val="none" w:sz="0" w:space="0" w:color="auto"/>
        <w:bottom w:val="none" w:sz="0" w:space="0" w:color="auto"/>
        <w:right w:val="none" w:sz="0" w:space="0" w:color="auto"/>
      </w:divBdr>
    </w:div>
    <w:div w:id="148986441">
      <w:bodyDiv w:val="1"/>
      <w:marLeft w:val="0"/>
      <w:marRight w:val="0"/>
      <w:marTop w:val="0"/>
      <w:marBottom w:val="0"/>
      <w:divBdr>
        <w:top w:val="none" w:sz="0" w:space="0" w:color="auto"/>
        <w:left w:val="none" w:sz="0" w:space="0" w:color="auto"/>
        <w:bottom w:val="none" w:sz="0" w:space="0" w:color="auto"/>
        <w:right w:val="none" w:sz="0" w:space="0" w:color="auto"/>
      </w:divBdr>
    </w:div>
    <w:div w:id="176047815">
      <w:bodyDiv w:val="1"/>
      <w:marLeft w:val="0"/>
      <w:marRight w:val="0"/>
      <w:marTop w:val="0"/>
      <w:marBottom w:val="0"/>
      <w:divBdr>
        <w:top w:val="none" w:sz="0" w:space="0" w:color="auto"/>
        <w:left w:val="none" w:sz="0" w:space="0" w:color="auto"/>
        <w:bottom w:val="none" w:sz="0" w:space="0" w:color="auto"/>
        <w:right w:val="none" w:sz="0" w:space="0" w:color="auto"/>
      </w:divBdr>
    </w:div>
    <w:div w:id="204176223">
      <w:bodyDiv w:val="1"/>
      <w:marLeft w:val="0"/>
      <w:marRight w:val="0"/>
      <w:marTop w:val="0"/>
      <w:marBottom w:val="0"/>
      <w:divBdr>
        <w:top w:val="none" w:sz="0" w:space="0" w:color="auto"/>
        <w:left w:val="none" w:sz="0" w:space="0" w:color="auto"/>
        <w:bottom w:val="none" w:sz="0" w:space="0" w:color="auto"/>
        <w:right w:val="none" w:sz="0" w:space="0" w:color="auto"/>
      </w:divBdr>
    </w:div>
    <w:div w:id="208997027">
      <w:bodyDiv w:val="1"/>
      <w:marLeft w:val="0"/>
      <w:marRight w:val="0"/>
      <w:marTop w:val="0"/>
      <w:marBottom w:val="0"/>
      <w:divBdr>
        <w:top w:val="none" w:sz="0" w:space="0" w:color="auto"/>
        <w:left w:val="none" w:sz="0" w:space="0" w:color="auto"/>
        <w:bottom w:val="none" w:sz="0" w:space="0" w:color="auto"/>
        <w:right w:val="none" w:sz="0" w:space="0" w:color="auto"/>
      </w:divBdr>
    </w:div>
    <w:div w:id="231551344">
      <w:bodyDiv w:val="1"/>
      <w:marLeft w:val="0"/>
      <w:marRight w:val="0"/>
      <w:marTop w:val="0"/>
      <w:marBottom w:val="0"/>
      <w:divBdr>
        <w:top w:val="none" w:sz="0" w:space="0" w:color="auto"/>
        <w:left w:val="none" w:sz="0" w:space="0" w:color="auto"/>
        <w:bottom w:val="none" w:sz="0" w:space="0" w:color="auto"/>
        <w:right w:val="none" w:sz="0" w:space="0" w:color="auto"/>
      </w:divBdr>
    </w:div>
    <w:div w:id="312872640">
      <w:bodyDiv w:val="1"/>
      <w:marLeft w:val="0"/>
      <w:marRight w:val="0"/>
      <w:marTop w:val="0"/>
      <w:marBottom w:val="0"/>
      <w:divBdr>
        <w:top w:val="none" w:sz="0" w:space="0" w:color="auto"/>
        <w:left w:val="none" w:sz="0" w:space="0" w:color="auto"/>
        <w:bottom w:val="none" w:sz="0" w:space="0" w:color="auto"/>
        <w:right w:val="none" w:sz="0" w:space="0" w:color="auto"/>
      </w:divBdr>
    </w:div>
    <w:div w:id="332994381">
      <w:bodyDiv w:val="1"/>
      <w:marLeft w:val="0"/>
      <w:marRight w:val="0"/>
      <w:marTop w:val="0"/>
      <w:marBottom w:val="0"/>
      <w:divBdr>
        <w:top w:val="none" w:sz="0" w:space="0" w:color="auto"/>
        <w:left w:val="none" w:sz="0" w:space="0" w:color="auto"/>
        <w:bottom w:val="none" w:sz="0" w:space="0" w:color="auto"/>
        <w:right w:val="none" w:sz="0" w:space="0" w:color="auto"/>
      </w:divBdr>
    </w:div>
    <w:div w:id="398409019">
      <w:bodyDiv w:val="1"/>
      <w:marLeft w:val="0"/>
      <w:marRight w:val="0"/>
      <w:marTop w:val="0"/>
      <w:marBottom w:val="0"/>
      <w:divBdr>
        <w:top w:val="none" w:sz="0" w:space="0" w:color="auto"/>
        <w:left w:val="none" w:sz="0" w:space="0" w:color="auto"/>
        <w:bottom w:val="none" w:sz="0" w:space="0" w:color="auto"/>
        <w:right w:val="none" w:sz="0" w:space="0" w:color="auto"/>
      </w:divBdr>
    </w:div>
    <w:div w:id="607658342">
      <w:bodyDiv w:val="1"/>
      <w:marLeft w:val="0"/>
      <w:marRight w:val="0"/>
      <w:marTop w:val="0"/>
      <w:marBottom w:val="0"/>
      <w:divBdr>
        <w:top w:val="none" w:sz="0" w:space="0" w:color="auto"/>
        <w:left w:val="none" w:sz="0" w:space="0" w:color="auto"/>
        <w:bottom w:val="none" w:sz="0" w:space="0" w:color="auto"/>
        <w:right w:val="none" w:sz="0" w:space="0" w:color="auto"/>
      </w:divBdr>
    </w:div>
    <w:div w:id="622150281">
      <w:bodyDiv w:val="1"/>
      <w:marLeft w:val="0"/>
      <w:marRight w:val="0"/>
      <w:marTop w:val="0"/>
      <w:marBottom w:val="0"/>
      <w:divBdr>
        <w:top w:val="none" w:sz="0" w:space="0" w:color="auto"/>
        <w:left w:val="none" w:sz="0" w:space="0" w:color="auto"/>
        <w:bottom w:val="none" w:sz="0" w:space="0" w:color="auto"/>
        <w:right w:val="none" w:sz="0" w:space="0" w:color="auto"/>
      </w:divBdr>
    </w:div>
    <w:div w:id="625544302">
      <w:bodyDiv w:val="1"/>
      <w:marLeft w:val="0"/>
      <w:marRight w:val="0"/>
      <w:marTop w:val="0"/>
      <w:marBottom w:val="0"/>
      <w:divBdr>
        <w:top w:val="none" w:sz="0" w:space="0" w:color="auto"/>
        <w:left w:val="none" w:sz="0" w:space="0" w:color="auto"/>
        <w:bottom w:val="none" w:sz="0" w:space="0" w:color="auto"/>
        <w:right w:val="none" w:sz="0" w:space="0" w:color="auto"/>
      </w:divBdr>
    </w:div>
    <w:div w:id="714042842">
      <w:bodyDiv w:val="1"/>
      <w:marLeft w:val="0"/>
      <w:marRight w:val="0"/>
      <w:marTop w:val="0"/>
      <w:marBottom w:val="0"/>
      <w:divBdr>
        <w:top w:val="none" w:sz="0" w:space="0" w:color="auto"/>
        <w:left w:val="none" w:sz="0" w:space="0" w:color="auto"/>
        <w:bottom w:val="none" w:sz="0" w:space="0" w:color="auto"/>
        <w:right w:val="none" w:sz="0" w:space="0" w:color="auto"/>
      </w:divBdr>
    </w:div>
    <w:div w:id="730739908">
      <w:bodyDiv w:val="1"/>
      <w:marLeft w:val="0"/>
      <w:marRight w:val="0"/>
      <w:marTop w:val="0"/>
      <w:marBottom w:val="0"/>
      <w:divBdr>
        <w:top w:val="none" w:sz="0" w:space="0" w:color="auto"/>
        <w:left w:val="none" w:sz="0" w:space="0" w:color="auto"/>
        <w:bottom w:val="none" w:sz="0" w:space="0" w:color="auto"/>
        <w:right w:val="none" w:sz="0" w:space="0" w:color="auto"/>
      </w:divBdr>
    </w:div>
    <w:div w:id="743528130">
      <w:bodyDiv w:val="1"/>
      <w:marLeft w:val="0"/>
      <w:marRight w:val="0"/>
      <w:marTop w:val="0"/>
      <w:marBottom w:val="0"/>
      <w:divBdr>
        <w:top w:val="none" w:sz="0" w:space="0" w:color="auto"/>
        <w:left w:val="none" w:sz="0" w:space="0" w:color="auto"/>
        <w:bottom w:val="none" w:sz="0" w:space="0" w:color="auto"/>
        <w:right w:val="none" w:sz="0" w:space="0" w:color="auto"/>
      </w:divBdr>
    </w:div>
    <w:div w:id="743722813">
      <w:bodyDiv w:val="1"/>
      <w:marLeft w:val="0"/>
      <w:marRight w:val="0"/>
      <w:marTop w:val="0"/>
      <w:marBottom w:val="0"/>
      <w:divBdr>
        <w:top w:val="none" w:sz="0" w:space="0" w:color="auto"/>
        <w:left w:val="none" w:sz="0" w:space="0" w:color="auto"/>
        <w:bottom w:val="none" w:sz="0" w:space="0" w:color="auto"/>
        <w:right w:val="none" w:sz="0" w:space="0" w:color="auto"/>
      </w:divBdr>
    </w:div>
    <w:div w:id="812144050">
      <w:bodyDiv w:val="1"/>
      <w:marLeft w:val="0"/>
      <w:marRight w:val="0"/>
      <w:marTop w:val="0"/>
      <w:marBottom w:val="0"/>
      <w:divBdr>
        <w:top w:val="none" w:sz="0" w:space="0" w:color="auto"/>
        <w:left w:val="none" w:sz="0" w:space="0" w:color="auto"/>
        <w:bottom w:val="none" w:sz="0" w:space="0" w:color="auto"/>
        <w:right w:val="none" w:sz="0" w:space="0" w:color="auto"/>
      </w:divBdr>
    </w:div>
    <w:div w:id="868683038">
      <w:bodyDiv w:val="1"/>
      <w:marLeft w:val="0"/>
      <w:marRight w:val="0"/>
      <w:marTop w:val="0"/>
      <w:marBottom w:val="0"/>
      <w:divBdr>
        <w:top w:val="none" w:sz="0" w:space="0" w:color="auto"/>
        <w:left w:val="none" w:sz="0" w:space="0" w:color="auto"/>
        <w:bottom w:val="none" w:sz="0" w:space="0" w:color="auto"/>
        <w:right w:val="none" w:sz="0" w:space="0" w:color="auto"/>
      </w:divBdr>
    </w:div>
    <w:div w:id="1000159380">
      <w:bodyDiv w:val="1"/>
      <w:marLeft w:val="0"/>
      <w:marRight w:val="0"/>
      <w:marTop w:val="0"/>
      <w:marBottom w:val="0"/>
      <w:divBdr>
        <w:top w:val="none" w:sz="0" w:space="0" w:color="auto"/>
        <w:left w:val="none" w:sz="0" w:space="0" w:color="auto"/>
        <w:bottom w:val="none" w:sz="0" w:space="0" w:color="auto"/>
        <w:right w:val="none" w:sz="0" w:space="0" w:color="auto"/>
      </w:divBdr>
    </w:div>
    <w:div w:id="1015577477">
      <w:bodyDiv w:val="1"/>
      <w:marLeft w:val="0"/>
      <w:marRight w:val="0"/>
      <w:marTop w:val="0"/>
      <w:marBottom w:val="0"/>
      <w:divBdr>
        <w:top w:val="none" w:sz="0" w:space="0" w:color="auto"/>
        <w:left w:val="none" w:sz="0" w:space="0" w:color="auto"/>
        <w:bottom w:val="none" w:sz="0" w:space="0" w:color="auto"/>
        <w:right w:val="none" w:sz="0" w:space="0" w:color="auto"/>
      </w:divBdr>
    </w:div>
    <w:div w:id="1079016887">
      <w:bodyDiv w:val="1"/>
      <w:marLeft w:val="0"/>
      <w:marRight w:val="0"/>
      <w:marTop w:val="0"/>
      <w:marBottom w:val="0"/>
      <w:divBdr>
        <w:top w:val="none" w:sz="0" w:space="0" w:color="auto"/>
        <w:left w:val="none" w:sz="0" w:space="0" w:color="auto"/>
        <w:bottom w:val="none" w:sz="0" w:space="0" w:color="auto"/>
        <w:right w:val="none" w:sz="0" w:space="0" w:color="auto"/>
      </w:divBdr>
    </w:div>
    <w:div w:id="1165241520">
      <w:bodyDiv w:val="1"/>
      <w:marLeft w:val="0"/>
      <w:marRight w:val="0"/>
      <w:marTop w:val="0"/>
      <w:marBottom w:val="0"/>
      <w:divBdr>
        <w:top w:val="none" w:sz="0" w:space="0" w:color="auto"/>
        <w:left w:val="none" w:sz="0" w:space="0" w:color="auto"/>
        <w:bottom w:val="none" w:sz="0" w:space="0" w:color="auto"/>
        <w:right w:val="none" w:sz="0" w:space="0" w:color="auto"/>
      </w:divBdr>
    </w:div>
    <w:div w:id="1190535538">
      <w:bodyDiv w:val="1"/>
      <w:marLeft w:val="0"/>
      <w:marRight w:val="0"/>
      <w:marTop w:val="0"/>
      <w:marBottom w:val="0"/>
      <w:divBdr>
        <w:top w:val="none" w:sz="0" w:space="0" w:color="auto"/>
        <w:left w:val="none" w:sz="0" w:space="0" w:color="auto"/>
        <w:bottom w:val="none" w:sz="0" w:space="0" w:color="auto"/>
        <w:right w:val="none" w:sz="0" w:space="0" w:color="auto"/>
      </w:divBdr>
    </w:div>
    <w:div w:id="1246499563">
      <w:bodyDiv w:val="1"/>
      <w:marLeft w:val="0"/>
      <w:marRight w:val="0"/>
      <w:marTop w:val="0"/>
      <w:marBottom w:val="0"/>
      <w:divBdr>
        <w:top w:val="none" w:sz="0" w:space="0" w:color="auto"/>
        <w:left w:val="none" w:sz="0" w:space="0" w:color="auto"/>
        <w:bottom w:val="none" w:sz="0" w:space="0" w:color="auto"/>
        <w:right w:val="none" w:sz="0" w:space="0" w:color="auto"/>
      </w:divBdr>
    </w:div>
    <w:div w:id="1253927044">
      <w:bodyDiv w:val="1"/>
      <w:marLeft w:val="0"/>
      <w:marRight w:val="0"/>
      <w:marTop w:val="0"/>
      <w:marBottom w:val="0"/>
      <w:divBdr>
        <w:top w:val="none" w:sz="0" w:space="0" w:color="auto"/>
        <w:left w:val="none" w:sz="0" w:space="0" w:color="auto"/>
        <w:bottom w:val="none" w:sz="0" w:space="0" w:color="auto"/>
        <w:right w:val="none" w:sz="0" w:space="0" w:color="auto"/>
      </w:divBdr>
    </w:div>
    <w:div w:id="1262377140">
      <w:bodyDiv w:val="1"/>
      <w:marLeft w:val="0"/>
      <w:marRight w:val="0"/>
      <w:marTop w:val="0"/>
      <w:marBottom w:val="0"/>
      <w:divBdr>
        <w:top w:val="none" w:sz="0" w:space="0" w:color="auto"/>
        <w:left w:val="none" w:sz="0" w:space="0" w:color="auto"/>
        <w:bottom w:val="none" w:sz="0" w:space="0" w:color="auto"/>
        <w:right w:val="none" w:sz="0" w:space="0" w:color="auto"/>
      </w:divBdr>
    </w:div>
    <w:div w:id="1565027946">
      <w:bodyDiv w:val="1"/>
      <w:marLeft w:val="0"/>
      <w:marRight w:val="0"/>
      <w:marTop w:val="0"/>
      <w:marBottom w:val="0"/>
      <w:divBdr>
        <w:top w:val="none" w:sz="0" w:space="0" w:color="auto"/>
        <w:left w:val="none" w:sz="0" w:space="0" w:color="auto"/>
        <w:bottom w:val="none" w:sz="0" w:space="0" w:color="auto"/>
        <w:right w:val="none" w:sz="0" w:space="0" w:color="auto"/>
      </w:divBdr>
    </w:div>
    <w:div w:id="1565411127">
      <w:bodyDiv w:val="1"/>
      <w:marLeft w:val="0"/>
      <w:marRight w:val="0"/>
      <w:marTop w:val="0"/>
      <w:marBottom w:val="0"/>
      <w:divBdr>
        <w:top w:val="none" w:sz="0" w:space="0" w:color="auto"/>
        <w:left w:val="none" w:sz="0" w:space="0" w:color="auto"/>
        <w:bottom w:val="none" w:sz="0" w:space="0" w:color="auto"/>
        <w:right w:val="none" w:sz="0" w:space="0" w:color="auto"/>
      </w:divBdr>
    </w:div>
    <w:div w:id="1651591170">
      <w:bodyDiv w:val="1"/>
      <w:marLeft w:val="0"/>
      <w:marRight w:val="0"/>
      <w:marTop w:val="0"/>
      <w:marBottom w:val="0"/>
      <w:divBdr>
        <w:top w:val="none" w:sz="0" w:space="0" w:color="auto"/>
        <w:left w:val="none" w:sz="0" w:space="0" w:color="auto"/>
        <w:bottom w:val="none" w:sz="0" w:space="0" w:color="auto"/>
        <w:right w:val="none" w:sz="0" w:space="0" w:color="auto"/>
      </w:divBdr>
    </w:div>
    <w:div w:id="1731923739">
      <w:bodyDiv w:val="1"/>
      <w:marLeft w:val="0"/>
      <w:marRight w:val="0"/>
      <w:marTop w:val="0"/>
      <w:marBottom w:val="0"/>
      <w:divBdr>
        <w:top w:val="none" w:sz="0" w:space="0" w:color="auto"/>
        <w:left w:val="none" w:sz="0" w:space="0" w:color="auto"/>
        <w:bottom w:val="none" w:sz="0" w:space="0" w:color="auto"/>
        <w:right w:val="none" w:sz="0" w:space="0" w:color="auto"/>
      </w:divBdr>
    </w:div>
    <w:div w:id="1755777602">
      <w:bodyDiv w:val="1"/>
      <w:marLeft w:val="0"/>
      <w:marRight w:val="0"/>
      <w:marTop w:val="0"/>
      <w:marBottom w:val="0"/>
      <w:divBdr>
        <w:top w:val="none" w:sz="0" w:space="0" w:color="auto"/>
        <w:left w:val="none" w:sz="0" w:space="0" w:color="auto"/>
        <w:bottom w:val="none" w:sz="0" w:space="0" w:color="auto"/>
        <w:right w:val="none" w:sz="0" w:space="0" w:color="auto"/>
      </w:divBdr>
    </w:div>
    <w:div w:id="1940602947">
      <w:bodyDiv w:val="1"/>
      <w:marLeft w:val="0"/>
      <w:marRight w:val="0"/>
      <w:marTop w:val="0"/>
      <w:marBottom w:val="0"/>
      <w:divBdr>
        <w:top w:val="none" w:sz="0" w:space="0" w:color="auto"/>
        <w:left w:val="none" w:sz="0" w:space="0" w:color="auto"/>
        <w:bottom w:val="none" w:sz="0" w:space="0" w:color="auto"/>
        <w:right w:val="none" w:sz="0" w:space="0" w:color="auto"/>
      </w:divBdr>
    </w:div>
    <w:div w:id="1977637788">
      <w:bodyDiv w:val="1"/>
      <w:marLeft w:val="0"/>
      <w:marRight w:val="0"/>
      <w:marTop w:val="0"/>
      <w:marBottom w:val="0"/>
      <w:divBdr>
        <w:top w:val="none" w:sz="0" w:space="0" w:color="auto"/>
        <w:left w:val="none" w:sz="0" w:space="0" w:color="auto"/>
        <w:bottom w:val="none" w:sz="0" w:space="0" w:color="auto"/>
        <w:right w:val="none" w:sz="0" w:space="0" w:color="auto"/>
      </w:divBdr>
    </w:div>
    <w:div w:id="2016565076">
      <w:bodyDiv w:val="1"/>
      <w:marLeft w:val="0"/>
      <w:marRight w:val="0"/>
      <w:marTop w:val="0"/>
      <w:marBottom w:val="0"/>
      <w:divBdr>
        <w:top w:val="none" w:sz="0" w:space="0" w:color="auto"/>
        <w:left w:val="none" w:sz="0" w:space="0" w:color="auto"/>
        <w:bottom w:val="none" w:sz="0" w:space="0" w:color="auto"/>
        <w:right w:val="none" w:sz="0" w:space="0" w:color="auto"/>
      </w:divBdr>
    </w:div>
    <w:div w:id="2050763728">
      <w:bodyDiv w:val="1"/>
      <w:marLeft w:val="0"/>
      <w:marRight w:val="0"/>
      <w:marTop w:val="0"/>
      <w:marBottom w:val="0"/>
      <w:divBdr>
        <w:top w:val="none" w:sz="0" w:space="0" w:color="auto"/>
        <w:left w:val="none" w:sz="0" w:space="0" w:color="auto"/>
        <w:bottom w:val="none" w:sz="0" w:space="0" w:color="auto"/>
        <w:right w:val="none" w:sz="0" w:space="0" w:color="auto"/>
      </w:divBdr>
    </w:div>
    <w:div w:id="2076973970">
      <w:bodyDiv w:val="1"/>
      <w:marLeft w:val="0"/>
      <w:marRight w:val="0"/>
      <w:marTop w:val="0"/>
      <w:marBottom w:val="0"/>
      <w:divBdr>
        <w:top w:val="none" w:sz="0" w:space="0" w:color="auto"/>
        <w:left w:val="none" w:sz="0" w:space="0" w:color="auto"/>
        <w:bottom w:val="none" w:sz="0" w:space="0" w:color="auto"/>
        <w:right w:val="none" w:sz="0" w:space="0" w:color="auto"/>
      </w:divBdr>
    </w:div>
    <w:div w:id="207704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model.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4C3C9-179F-431C-BDA2-8E4E46A68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13</Pages>
  <Words>15191</Words>
  <Characters>83553</Characters>
  <Application>Microsoft Office Word</Application>
  <DocSecurity>0</DocSecurity>
  <Lines>696</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 Tsoumanis</dc:creator>
  <cp:keywords/>
  <dc:description/>
  <cp:lastModifiedBy>Achilleas Tsoumanis</cp:lastModifiedBy>
  <cp:revision>52</cp:revision>
  <cp:lastPrinted>2023-02-06T08:35:00Z</cp:lastPrinted>
  <dcterms:created xsi:type="dcterms:W3CDTF">2024-01-14T15:15:00Z</dcterms:created>
  <dcterms:modified xsi:type="dcterms:W3CDTF">2024-01-26T14:23:00Z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0c518402-6321-397d-9f5d-9a8cd43211ca</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