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E5E1" w14:textId="77777777" w:rsidR="007A2797" w:rsidRPr="002660EC" w:rsidRDefault="007A2797" w:rsidP="00247DDB">
      <w:pPr>
        <w:pStyle w:val="MDPI12title"/>
        <w:rPr>
          <w:b w:val="0"/>
          <w:i/>
          <w:sz w:val="20"/>
          <w:szCs w:val="22"/>
        </w:rPr>
      </w:pPr>
      <w:bookmarkStart w:id="0" w:name="_GoBack"/>
      <w:bookmarkEnd w:id="0"/>
      <w:r w:rsidRPr="002660EC">
        <w:rPr>
          <w:b w:val="0"/>
          <w:i/>
          <w:sz w:val="20"/>
          <w:szCs w:val="22"/>
        </w:rPr>
        <w:t>Supplementary Material of:</w:t>
      </w:r>
    </w:p>
    <w:p w14:paraId="6B029E32" w14:textId="77777777" w:rsidR="002660EC" w:rsidRPr="002660EC" w:rsidRDefault="002660EC" w:rsidP="00247DDB">
      <w:pPr>
        <w:pStyle w:val="MDPI13authornames"/>
        <w:rPr>
          <w:sz w:val="24"/>
        </w:rPr>
      </w:pPr>
      <w:r w:rsidRPr="002660EC">
        <w:rPr>
          <w:sz w:val="24"/>
        </w:rPr>
        <w:t>Brimonidine eye drops at the children reach: a possible foe</w:t>
      </w:r>
    </w:p>
    <w:p w14:paraId="419A416A" w14:textId="77777777" w:rsidR="002660EC" w:rsidRDefault="002660EC" w:rsidP="00247DDB">
      <w:pPr>
        <w:pStyle w:val="MDPI13authornames"/>
      </w:pPr>
    </w:p>
    <w:p w14:paraId="7550B9AC" w14:textId="667F6D8A" w:rsidR="00346238" w:rsidRPr="00287430" w:rsidRDefault="00287430" w:rsidP="00247DDB">
      <w:pPr>
        <w:pStyle w:val="MDPI13authornames"/>
        <w:rPr>
          <w:lang w:val="it-IT"/>
        </w:rPr>
      </w:pPr>
      <w:r w:rsidRPr="00287430">
        <w:rPr>
          <w:lang w:val="it-IT"/>
        </w:rPr>
        <w:t>Daniela</w:t>
      </w:r>
      <w:r w:rsidR="00247DDB" w:rsidRPr="00287430">
        <w:rPr>
          <w:lang w:val="it-IT"/>
        </w:rPr>
        <w:t xml:space="preserve"> </w:t>
      </w:r>
      <w:r w:rsidRPr="00287430">
        <w:rPr>
          <w:lang w:val="it-IT"/>
        </w:rPr>
        <w:t>Trotta</w:t>
      </w:r>
      <w:r w:rsidR="00247DDB" w:rsidRPr="00287430">
        <w:rPr>
          <w:lang w:val="it-IT"/>
        </w:rPr>
        <w:t xml:space="preserve"> </w:t>
      </w:r>
      <w:r w:rsidR="001055F7" w:rsidRPr="001055F7">
        <w:rPr>
          <w:vertAlign w:val="superscript"/>
          <w:lang w:val="it-IT"/>
        </w:rPr>
        <w:t>1</w:t>
      </w:r>
      <w:r w:rsidR="001055F7">
        <w:rPr>
          <w:vertAlign w:val="superscript"/>
          <w:lang w:val="it-IT"/>
        </w:rPr>
        <w:t xml:space="preserve">, </w:t>
      </w:r>
      <w:proofErr w:type="gramStart"/>
      <w:r w:rsidR="001055F7" w:rsidRPr="001055F7">
        <w:rPr>
          <w:vertAlign w:val="superscript"/>
          <w:lang w:val="it-IT"/>
        </w:rPr>
        <w:t>†</w:t>
      </w:r>
      <w:r w:rsidR="00D86219">
        <w:rPr>
          <w:vertAlign w:val="superscript"/>
          <w:lang w:val="it-IT"/>
        </w:rPr>
        <w:t xml:space="preserve"> </w:t>
      </w:r>
      <w:r w:rsidR="00247DDB" w:rsidRPr="00287430">
        <w:rPr>
          <w:lang w:val="it-IT"/>
        </w:rPr>
        <w:t>,</w:t>
      </w:r>
      <w:proofErr w:type="gramEnd"/>
      <w:r w:rsidR="00247DDB" w:rsidRPr="00287430">
        <w:rPr>
          <w:lang w:val="it-IT"/>
        </w:rPr>
        <w:t xml:space="preserve"> </w:t>
      </w:r>
      <w:r w:rsidRPr="00287430">
        <w:rPr>
          <w:lang w:val="it-IT"/>
        </w:rPr>
        <w:t>Mirco</w:t>
      </w:r>
      <w:r w:rsidR="00247DDB" w:rsidRPr="00287430">
        <w:rPr>
          <w:lang w:val="it-IT"/>
        </w:rPr>
        <w:t xml:space="preserve"> </w:t>
      </w:r>
      <w:r w:rsidRPr="00287430">
        <w:rPr>
          <w:lang w:val="it-IT"/>
        </w:rPr>
        <w:t>Zucchelli</w:t>
      </w:r>
      <w:r w:rsidR="00247DDB" w:rsidRPr="00287430">
        <w:rPr>
          <w:lang w:val="it-IT"/>
        </w:rPr>
        <w:t xml:space="preserve"> </w:t>
      </w:r>
      <w:r w:rsidR="00247DDB" w:rsidRPr="00287430">
        <w:rPr>
          <w:vertAlign w:val="superscript"/>
          <w:lang w:val="it-IT"/>
        </w:rPr>
        <w:t>2</w:t>
      </w:r>
      <w:r w:rsidR="00F37747">
        <w:rPr>
          <w:vertAlign w:val="superscript"/>
          <w:lang w:val="it-IT"/>
        </w:rPr>
        <w:t>,3</w:t>
      </w:r>
      <w:r w:rsidR="00DC5C13">
        <w:rPr>
          <w:vertAlign w:val="superscript"/>
          <w:lang w:val="it-IT"/>
        </w:rPr>
        <w:t xml:space="preserve">, </w:t>
      </w:r>
      <w:r w:rsidR="00DC5C13" w:rsidRPr="001055F7">
        <w:rPr>
          <w:vertAlign w:val="superscript"/>
          <w:lang w:val="it-IT"/>
        </w:rPr>
        <w:t>†</w:t>
      </w:r>
      <w:r w:rsidR="00CE190F">
        <w:rPr>
          <w:lang w:val="it-IT"/>
        </w:rPr>
        <w:t xml:space="preserve">, </w:t>
      </w:r>
      <w:r w:rsidR="003D7C2C" w:rsidRPr="003D7C2C">
        <w:rPr>
          <w:lang w:val="it-IT"/>
        </w:rPr>
        <w:t xml:space="preserve">Carmela Salladini </w:t>
      </w:r>
      <w:r w:rsidR="003D7C2C" w:rsidRPr="003D7C2C">
        <w:rPr>
          <w:vertAlign w:val="superscript"/>
          <w:lang w:val="it-IT"/>
        </w:rPr>
        <w:t>1</w:t>
      </w:r>
      <w:r w:rsidR="00CE190F">
        <w:rPr>
          <w:lang w:val="it-IT"/>
        </w:rPr>
        <w:t xml:space="preserve">, Patrizia Ballerini </w:t>
      </w:r>
      <w:r w:rsidR="00CE190F" w:rsidRPr="00287430">
        <w:rPr>
          <w:vertAlign w:val="superscript"/>
          <w:lang w:val="it-IT"/>
        </w:rPr>
        <w:t>2</w:t>
      </w:r>
      <w:r w:rsidR="00CE190F">
        <w:rPr>
          <w:vertAlign w:val="superscript"/>
          <w:lang w:val="it-IT"/>
        </w:rPr>
        <w:t>,3</w:t>
      </w:r>
      <w:r w:rsidR="00CE190F">
        <w:rPr>
          <w:lang w:val="it-IT"/>
        </w:rPr>
        <w:t xml:space="preserve">, Claudia Rossi </w:t>
      </w:r>
      <w:r w:rsidR="00CE190F" w:rsidRPr="00287430">
        <w:rPr>
          <w:vertAlign w:val="superscript"/>
          <w:lang w:val="it-IT"/>
        </w:rPr>
        <w:t>2</w:t>
      </w:r>
      <w:r w:rsidR="00CE190F">
        <w:rPr>
          <w:vertAlign w:val="superscript"/>
          <w:lang w:val="it-IT"/>
        </w:rPr>
        <w:t>,3</w:t>
      </w:r>
      <w:r w:rsidR="00CE190F">
        <w:rPr>
          <w:lang w:val="it-IT"/>
        </w:rPr>
        <w:t xml:space="preserve"> and </w:t>
      </w:r>
      <w:r>
        <w:rPr>
          <w:lang w:val="it-IT"/>
        </w:rPr>
        <w:t>Maurizio</w:t>
      </w:r>
      <w:r w:rsidR="00247DDB" w:rsidRPr="00287430">
        <w:rPr>
          <w:lang w:val="it-IT"/>
        </w:rPr>
        <w:t xml:space="preserve"> </w:t>
      </w:r>
      <w:r>
        <w:rPr>
          <w:lang w:val="it-IT"/>
        </w:rPr>
        <w:t>Aricò</w:t>
      </w:r>
      <w:r w:rsidR="00247DDB" w:rsidRPr="00287430">
        <w:rPr>
          <w:lang w:val="it-IT"/>
        </w:rPr>
        <w:t xml:space="preserve"> </w:t>
      </w:r>
      <w:r w:rsidR="00F37747">
        <w:rPr>
          <w:vertAlign w:val="superscript"/>
          <w:lang w:val="it-IT"/>
        </w:rPr>
        <w:t>1</w:t>
      </w:r>
      <w:r w:rsidR="00247DDB" w:rsidRPr="00287430">
        <w:rPr>
          <w:vertAlign w:val="superscript"/>
          <w:lang w:val="it-IT"/>
        </w:rPr>
        <w:t>,</w:t>
      </w:r>
      <w:r w:rsidR="00247DDB" w:rsidRPr="00287430">
        <w:rPr>
          <w:lang w:val="it-IT"/>
        </w:rPr>
        <w:t>*</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346238" w:rsidRPr="00954999" w14:paraId="12FD242B" w14:textId="77777777" w:rsidTr="0011332D">
        <w:tc>
          <w:tcPr>
            <w:tcW w:w="2410" w:type="dxa"/>
            <w:shd w:val="clear" w:color="auto" w:fill="auto"/>
          </w:tcPr>
          <w:p w14:paraId="34EFE50F" w14:textId="77777777" w:rsidR="00346238" w:rsidRPr="00774401" w:rsidRDefault="00346238" w:rsidP="0011332D">
            <w:pPr>
              <w:pStyle w:val="MDPI61Citation"/>
              <w:spacing w:after="120" w:line="240" w:lineRule="exact"/>
            </w:pPr>
            <w:r w:rsidRPr="00796C97">
              <w:rPr>
                <w:b/>
              </w:rPr>
              <w:t>Citation:</w:t>
            </w:r>
            <w:r>
              <w:rPr>
                <w:b/>
              </w:rPr>
              <w:t xml:space="preserve"> </w:t>
            </w:r>
            <w:r>
              <w:t>To be added by editorial staff during production.</w:t>
            </w:r>
          </w:p>
          <w:p w14:paraId="723347BD" w14:textId="77777777" w:rsidR="00346238" w:rsidRDefault="00346238" w:rsidP="0011332D">
            <w:pPr>
              <w:pStyle w:val="MDPI15academiceditor"/>
              <w:spacing w:after="120"/>
            </w:pPr>
            <w:r>
              <w:t xml:space="preserve">Academic Editor: </w:t>
            </w:r>
            <w:proofErr w:type="spellStart"/>
            <w:r>
              <w:t>Firstname</w:t>
            </w:r>
            <w:proofErr w:type="spellEnd"/>
            <w:r>
              <w:t xml:space="preserve"> </w:t>
            </w:r>
            <w:proofErr w:type="spellStart"/>
            <w:r>
              <w:t>Lastname</w:t>
            </w:r>
            <w:proofErr w:type="spellEnd"/>
          </w:p>
          <w:p w14:paraId="34540EF4" w14:textId="77777777" w:rsidR="00346238" w:rsidRPr="00923841" w:rsidRDefault="00346238" w:rsidP="0011332D">
            <w:pPr>
              <w:pStyle w:val="MDPI14history"/>
              <w:spacing w:before="120"/>
            </w:pPr>
            <w:r w:rsidRPr="00923841">
              <w:t>Received: date</w:t>
            </w:r>
          </w:p>
          <w:p w14:paraId="17CE72B2" w14:textId="77777777" w:rsidR="00346238" w:rsidRDefault="00346238" w:rsidP="0011332D">
            <w:pPr>
              <w:pStyle w:val="MDPI14history"/>
            </w:pPr>
            <w:r>
              <w:t>Revised: date</w:t>
            </w:r>
          </w:p>
          <w:p w14:paraId="6612D826" w14:textId="77777777" w:rsidR="00346238" w:rsidRPr="00923841" w:rsidRDefault="00346238" w:rsidP="0011332D">
            <w:pPr>
              <w:pStyle w:val="MDPI14history"/>
            </w:pPr>
            <w:r>
              <w:t>Accepted: date</w:t>
            </w:r>
          </w:p>
          <w:p w14:paraId="7BFB2090" w14:textId="77777777" w:rsidR="00346238" w:rsidRPr="00923841" w:rsidRDefault="00346238" w:rsidP="0011332D">
            <w:pPr>
              <w:pStyle w:val="MDPI14history"/>
              <w:spacing w:after="120"/>
            </w:pPr>
            <w:r w:rsidRPr="00923841">
              <w:t>Published: date</w:t>
            </w:r>
          </w:p>
          <w:p w14:paraId="6C1D30B1" w14:textId="77777777" w:rsidR="00346238" w:rsidRPr="00954999" w:rsidRDefault="00346238" w:rsidP="0011332D">
            <w:pPr>
              <w:adjustRightInd w:val="0"/>
              <w:snapToGrid w:val="0"/>
              <w:spacing w:before="120" w:line="240" w:lineRule="atLeast"/>
              <w:ind w:right="113"/>
              <w:jc w:val="left"/>
              <w:rPr>
                <w:rFonts w:eastAsia="DengXian"/>
                <w:bCs/>
                <w:sz w:val="14"/>
                <w:szCs w:val="14"/>
                <w:lang w:bidi="en-US"/>
              </w:rPr>
            </w:pPr>
            <w:r w:rsidRPr="00954999">
              <w:rPr>
                <w:rFonts w:eastAsia="DengXian"/>
                <w:lang w:val="it-IT" w:eastAsia="it-IT"/>
              </w:rPr>
              <w:drawing>
                <wp:inline distT="0" distB="0" distL="0" distR="0" wp14:anchorId="5215F7C3" wp14:editId="2FCED147">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6E1E439" w14:textId="77777777" w:rsidR="00346238" w:rsidRPr="00954999" w:rsidRDefault="00346238" w:rsidP="001618D3">
            <w:pPr>
              <w:pStyle w:val="MDPI72Copyright"/>
              <w:rPr>
                <w:rFonts w:eastAsia="DengXian"/>
                <w:lang w:bidi="en-US"/>
              </w:rPr>
            </w:pPr>
            <w:r w:rsidRPr="00954999">
              <w:rPr>
                <w:rFonts w:eastAsia="DengXian"/>
                <w:b/>
                <w:lang w:bidi="en-US"/>
              </w:rPr>
              <w:t>Copyright:</w:t>
            </w:r>
            <w:r w:rsidRPr="00954999">
              <w:rPr>
                <w:rFonts w:eastAsia="DengXian"/>
                <w:lang w:bidi="en-US"/>
              </w:rPr>
              <w:t xml:space="preserve"> </w:t>
            </w:r>
            <w:r w:rsidR="005F4E42">
              <w:rPr>
                <w:rFonts w:eastAsia="DengXian"/>
                <w:lang w:bidi="en-US"/>
              </w:rPr>
              <w:t>© 2024 by the</w:t>
            </w:r>
            <w:r>
              <w:rPr>
                <w:rFonts w:eastAsia="DengXian"/>
                <w:lang w:bidi="en-US"/>
              </w:rPr>
              <w:t xml:space="preserve"> authors. Submitted for possible open access publication under the terms and conditions of the Creative Commons </w:t>
            </w:r>
            <w:r w:rsidRPr="00954999">
              <w:rPr>
                <w:rFonts w:eastAsia="DengXian"/>
                <w:lang w:bidi="en-US"/>
              </w:rPr>
              <w:t>Attribution (CC BY) license (</w:t>
            </w:r>
            <w:r>
              <w:rPr>
                <w:rFonts w:eastAsia="DengXian"/>
                <w:lang w:bidi="en-US"/>
              </w:rPr>
              <w:t>https://</w:t>
            </w:r>
            <w:r w:rsidRPr="00954999">
              <w:rPr>
                <w:rFonts w:eastAsia="DengXian"/>
                <w:lang w:bidi="en-US"/>
              </w:rPr>
              <w:t>creativecommons.org/licenses/by/4.0/).</w:t>
            </w:r>
          </w:p>
        </w:tc>
      </w:tr>
    </w:tbl>
    <w:p w14:paraId="146147B6" w14:textId="427233AA" w:rsidR="00247DDB" w:rsidRPr="00F143CE" w:rsidRDefault="00661C0A" w:rsidP="00247DDB">
      <w:pPr>
        <w:pStyle w:val="MDPI16affiliation"/>
        <w:rPr>
          <w:lang w:val="it-IT"/>
        </w:rPr>
      </w:pPr>
      <w:r w:rsidRPr="00F143CE">
        <w:rPr>
          <w:vertAlign w:val="superscript"/>
          <w:lang w:val="it-IT"/>
        </w:rPr>
        <w:t>1</w:t>
      </w:r>
      <w:r w:rsidR="00247DDB" w:rsidRPr="00F143CE">
        <w:rPr>
          <w:lang w:val="it-IT"/>
        </w:rPr>
        <w:tab/>
      </w:r>
      <w:r w:rsidR="00F143CE" w:rsidRPr="00F143CE">
        <w:rPr>
          <w:lang w:val="it-IT"/>
        </w:rPr>
        <w:t xml:space="preserve">Department of Pediatrics, S. Spirito Hospital, Azienda Sanitaria Pescara, 65121 Pescara, Italy; </w:t>
      </w:r>
      <w:hyperlink r:id="rId8" w:history="1">
        <w:r w:rsidR="00DC5CE8" w:rsidRPr="00AE104D">
          <w:rPr>
            <w:rStyle w:val="Collegamentoipertestuale"/>
            <w:lang w:val="it-IT"/>
          </w:rPr>
          <w:t>daniela.trotta@asl.pe.it</w:t>
        </w:r>
      </w:hyperlink>
      <w:r w:rsidR="00DC5CE8">
        <w:rPr>
          <w:lang w:val="it-IT"/>
        </w:rPr>
        <w:t>;</w:t>
      </w:r>
      <w:r w:rsidR="00A4245F">
        <w:rPr>
          <w:lang w:val="it-IT"/>
        </w:rPr>
        <w:t xml:space="preserve"> </w:t>
      </w:r>
      <w:hyperlink r:id="rId9" w:history="1">
        <w:r w:rsidR="00A4245F" w:rsidRPr="00E80441">
          <w:rPr>
            <w:rStyle w:val="Collegamentoipertestuale"/>
            <w:lang w:val="it-IT"/>
          </w:rPr>
          <w:t>carmela.salladini@asl.pe.it</w:t>
        </w:r>
      </w:hyperlink>
      <w:r w:rsidR="00A4245F">
        <w:rPr>
          <w:lang w:val="it-IT"/>
        </w:rPr>
        <w:t xml:space="preserve"> </w:t>
      </w:r>
      <w:r w:rsidR="00DC5CE8">
        <w:rPr>
          <w:lang w:val="it-IT"/>
        </w:rPr>
        <w:t xml:space="preserve"> </w:t>
      </w:r>
    </w:p>
    <w:p w14:paraId="7308CC88" w14:textId="2F0BE898" w:rsidR="00247DDB" w:rsidRDefault="00247DDB" w:rsidP="00247DDB">
      <w:pPr>
        <w:pStyle w:val="MDPI16affiliation"/>
      </w:pPr>
      <w:r w:rsidRPr="00D945EC">
        <w:rPr>
          <w:vertAlign w:val="superscript"/>
        </w:rPr>
        <w:t>2</w:t>
      </w:r>
      <w:r w:rsidRPr="00D945EC">
        <w:tab/>
      </w:r>
      <w:r w:rsidR="00DC5CE8" w:rsidRPr="00DC5CE8">
        <w:t xml:space="preserve">Center for Advanced Studies and Technology (CAST), “G. </w:t>
      </w:r>
      <w:proofErr w:type="spellStart"/>
      <w:r w:rsidR="00DC5CE8" w:rsidRPr="00DC5CE8">
        <w:t>d’Annunzio</w:t>
      </w:r>
      <w:proofErr w:type="spellEnd"/>
      <w:r w:rsidR="00DC5CE8" w:rsidRPr="00DC5CE8">
        <w:t>” University of Chieti-Pescara, 66100 Chieti, Italy;</w:t>
      </w:r>
      <w:r w:rsidR="00DC5CE8">
        <w:t xml:space="preserve"> </w:t>
      </w:r>
      <w:hyperlink r:id="rId10" w:history="1">
        <w:r w:rsidR="006736BC" w:rsidRPr="00AE104D">
          <w:rPr>
            <w:rStyle w:val="Collegamentoipertestuale"/>
          </w:rPr>
          <w:t>m.zucchelli@unich.it</w:t>
        </w:r>
      </w:hyperlink>
      <w:r w:rsidR="006736BC">
        <w:t xml:space="preserve">; </w:t>
      </w:r>
      <w:hyperlink r:id="rId11" w:history="1">
        <w:r w:rsidR="006736BC" w:rsidRPr="00AE104D">
          <w:rPr>
            <w:rStyle w:val="Collegamentoipertestuale"/>
          </w:rPr>
          <w:t>patrizia.ballerini@unich.it</w:t>
        </w:r>
      </w:hyperlink>
      <w:r w:rsidR="006736BC">
        <w:t xml:space="preserve">; </w:t>
      </w:r>
      <w:hyperlink r:id="rId12" w:history="1">
        <w:r w:rsidR="006736BC" w:rsidRPr="00AE104D">
          <w:rPr>
            <w:rStyle w:val="Collegamentoipertestuale"/>
          </w:rPr>
          <w:t>claudia.rossi@unich.it</w:t>
        </w:r>
      </w:hyperlink>
      <w:r w:rsidR="006736BC">
        <w:t xml:space="preserve">;  </w:t>
      </w:r>
    </w:p>
    <w:p w14:paraId="1AB6BC9B" w14:textId="0DBC1EBB" w:rsidR="00C56911" w:rsidRPr="00D945EC" w:rsidRDefault="00C56911" w:rsidP="00247DDB">
      <w:pPr>
        <w:pStyle w:val="MDPI16affiliation"/>
      </w:pPr>
      <w:r>
        <w:rPr>
          <w:vertAlign w:val="superscript"/>
        </w:rPr>
        <w:t>3</w:t>
      </w:r>
      <w:r w:rsidRPr="00D945EC">
        <w:tab/>
      </w:r>
      <w:r w:rsidR="00F37747" w:rsidRPr="00F37747">
        <w:t xml:space="preserve">Department of Innovative Technologies in Medicine and Dentistry, “G. </w:t>
      </w:r>
      <w:proofErr w:type="spellStart"/>
      <w:r w:rsidR="00F37747" w:rsidRPr="00F37747">
        <w:t>d’Annunzio</w:t>
      </w:r>
      <w:proofErr w:type="spellEnd"/>
      <w:r w:rsidR="00F37747" w:rsidRPr="00F37747">
        <w:t>” University of Chieti-Pescara, 66100 Chieti, Italy</w:t>
      </w:r>
      <w:r w:rsidR="00F37747">
        <w:t>;</w:t>
      </w:r>
    </w:p>
    <w:p w14:paraId="339B7F2F" w14:textId="2D2BF900" w:rsidR="00247DDB" w:rsidRPr="00550626" w:rsidRDefault="00247DDB" w:rsidP="00247DDB">
      <w:pPr>
        <w:pStyle w:val="MDPI16affiliation"/>
      </w:pPr>
      <w:r w:rsidRPr="00DA79FE">
        <w:rPr>
          <w:b/>
        </w:rPr>
        <w:t>*</w:t>
      </w:r>
      <w:r w:rsidRPr="00D945EC">
        <w:tab/>
        <w:t xml:space="preserve">Correspondence: </w:t>
      </w:r>
      <w:r w:rsidR="00037C5F" w:rsidRPr="00037C5F">
        <w:t>maurizio.arico@asl.pe.it</w:t>
      </w:r>
    </w:p>
    <w:p w14:paraId="579C327A" w14:textId="7B58F339" w:rsidR="007A2797" w:rsidRPr="002A32CB" w:rsidRDefault="002A32CB" w:rsidP="002A32CB">
      <w:pPr>
        <w:pStyle w:val="MDPI19line"/>
        <w:rPr>
          <w:sz w:val="16"/>
          <w:szCs w:val="16"/>
          <w:vertAlign w:val="superscript"/>
        </w:rPr>
      </w:pPr>
      <w:r w:rsidRPr="006172F2">
        <w:rPr>
          <w:b/>
          <w:sz w:val="16"/>
          <w:szCs w:val="16"/>
          <w:vertAlign w:val="superscript"/>
        </w:rPr>
        <w:t xml:space="preserve">† </w:t>
      </w:r>
      <w:r w:rsidRPr="002A32CB">
        <w:rPr>
          <w:sz w:val="16"/>
          <w:szCs w:val="16"/>
          <w:vertAlign w:val="superscript"/>
        </w:rPr>
        <w:t xml:space="preserve"> </w:t>
      </w:r>
      <w:r w:rsidR="006172F2">
        <w:rPr>
          <w:sz w:val="16"/>
          <w:szCs w:val="16"/>
          <w:vertAlign w:val="superscript"/>
        </w:rPr>
        <w:t xml:space="preserve"> </w:t>
      </w:r>
      <w:r w:rsidR="006172F2" w:rsidRPr="006172F2">
        <w:rPr>
          <w:sz w:val="16"/>
          <w:szCs w:val="16"/>
        </w:rPr>
        <w:t>These authors contributed equally to the work.</w:t>
      </w:r>
    </w:p>
    <w:p w14:paraId="4779273D" w14:textId="77777777" w:rsidR="007A2797" w:rsidRDefault="007A2797" w:rsidP="00247DDB">
      <w:pPr>
        <w:pStyle w:val="MDPI21heading1"/>
        <w:rPr>
          <w:lang w:eastAsia="zh-CN"/>
        </w:rPr>
      </w:pPr>
    </w:p>
    <w:p w14:paraId="6368D2AE" w14:textId="77777777" w:rsidR="007A2797" w:rsidRDefault="007A2797" w:rsidP="00247DDB">
      <w:pPr>
        <w:pStyle w:val="MDPI21heading1"/>
        <w:rPr>
          <w:lang w:eastAsia="zh-CN"/>
        </w:rPr>
      </w:pPr>
    </w:p>
    <w:p w14:paraId="43F0B827" w14:textId="77777777" w:rsidR="007A2797" w:rsidRDefault="007A2797" w:rsidP="00247DDB">
      <w:pPr>
        <w:pStyle w:val="MDPI21heading1"/>
        <w:rPr>
          <w:lang w:eastAsia="zh-CN"/>
        </w:rPr>
      </w:pPr>
    </w:p>
    <w:p w14:paraId="0E62857E" w14:textId="77777777" w:rsidR="007A2797" w:rsidRDefault="007A2797" w:rsidP="00247DDB">
      <w:pPr>
        <w:pStyle w:val="MDPI21heading1"/>
        <w:rPr>
          <w:lang w:eastAsia="zh-CN"/>
        </w:rPr>
      </w:pPr>
    </w:p>
    <w:p w14:paraId="4C269002" w14:textId="77777777" w:rsidR="007A2797" w:rsidRDefault="007A2797" w:rsidP="00247DDB">
      <w:pPr>
        <w:pStyle w:val="MDPI21heading1"/>
        <w:rPr>
          <w:lang w:eastAsia="zh-CN"/>
        </w:rPr>
      </w:pPr>
    </w:p>
    <w:p w14:paraId="627C1B07" w14:textId="77777777" w:rsidR="007A2797" w:rsidRDefault="007A2797" w:rsidP="00247DDB">
      <w:pPr>
        <w:pStyle w:val="MDPI21heading1"/>
        <w:rPr>
          <w:lang w:eastAsia="zh-CN"/>
        </w:rPr>
      </w:pPr>
    </w:p>
    <w:p w14:paraId="5F910205" w14:textId="77777777" w:rsidR="007A2797" w:rsidRDefault="007A2797" w:rsidP="00247DDB">
      <w:pPr>
        <w:pStyle w:val="MDPI21heading1"/>
        <w:rPr>
          <w:lang w:eastAsia="zh-CN"/>
        </w:rPr>
      </w:pPr>
    </w:p>
    <w:p w14:paraId="19547504" w14:textId="77777777" w:rsidR="007A2797" w:rsidRDefault="007A2797" w:rsidP="00247DDB">
      <w:pPr>
        <w:pStyle w:val="MDPI21heading1"/>
        <w:rPr>
          <w:lang w:eastAsia="zh-CN"/>
        </w:rPr>
      </w:pPr>
    </w:p>
    <w:p w14:paraId="1005A296" w14:textId="77777777" w:rsidR="007A2797" w:rsidRDefault="007A2797" w:rsidP="00247DDB">
      <w:pPr>
        <w:pStyle w:val="MDPI21heading1"/>
        <w:rPr>
          <w:lang w:eastAsia="zh-CN"/>
        </w:rPr>
      </w:pPr>
    </w:p>
    <w:p w14:paraId="16A95074" w14:textId="77777777" w:rsidR="007A2797" w:rsidRDefault="007A2797" w:rsidP="00247DDB">
      <w:pPr>
        <w:pStyle w:val="MDPI21heading1"/>
        <w:rPr>
          <w:lang w:eastAsia="zh-CN"/>
        </w:rPr>
      </w:pPr>
    </w:p>
    <w:p w14:paraId="1F7BCAFA" w14:textId="77777777" w:rsidR="007A2797" w:rsidRDefault="007A2797" w:rsidP="00247DDB">
      <w:pPr>
        <w:pStyle w:val="MDPI21heading1"/>
        <w:rPr>
          <w:lang w:eastAsia="zh-CN"/>
        </w:rPr>
      </w:pPr>
    </w:p>
    <w:p w14:paraId="31E22E57" w14:textId="77777777" w:rsidR="007A2797" w:rsidRDefault="007A2797" w:rsidP="00247DDB">
      <w:pPr>
        <w:pStyle w:val="MDPI21heading1"/>
        <w:rPr>
          <w:lang w:eastAsia="zh-CN"/>
        </w:rPr>
      </w:pPr>
    </w:p>
    <w:p w14:paraId="79972306" w14:textId="77777777" w:rsidR="007A2797" w:rsidRDefault="007A2797" w:rsidP="00247DDB">
      <w:pPr>
        <w:pStyle w:val="MDPI21heading1"/>
        <w:rPr>
          <w:lang w:eastAsia="zh-CN"/>
        </w:rPr>
      </w:pPr>
    </w:p>
    <w:p w14:paraId="7366A066" w14:textId="77777777" w:rsidR="007A2797" w:rsidRDefault="007A2797" w:rsidP="00247DDB">
      <w:pPr>
        <w:pStyle w:val="MDPI21heading1"/>
        <w:rPr>
          <w:lang w:eastAsia="zh-CN"/>
        </w:rPr>
      </w:pPr>
    </w:p>
    <w:p w14:paraId="4D86DD15" w14:textId="77777777" w:rsidR="007A2797" w:rsidRDefault="007A2797" w:rsidP="00247DDB">
      <w:pPr>
        <w:pStyle w:val="MDPI21heading1"/>
        <w:rPr>
          <w:lang w:eastAsia="zh-CN"/>
        </w:rPr>
      </w:pPr>
    </w:p>
    <w:p w14:paraId="7EBBE17E" w14:textId="77777777" w:rsidR="007A2797" w:rsidRDefault="007A2797" w:rsidP="00247DDB">
      <w:pPr>
        <w:pStyle w:val="MDPI21heading1"/>
        <w:rPr>
          <w:lang w:eastAsia="zh-CN"/>
        </w:rPr>
      </w:pPr>
    </w:p>
    <w:p w14:paraId="71B8A5DE" w14:textId="77777777" w:rsidR="007A2797" w:rsidRDefault="007A2797" w:rsidP="00247DDB">
      <w:pPr>
        <w:pStyle w:val="MDPI21heading1"/>
        <w:rPr>
          <w:lang w:eastAsia="zh-CN"/>
        </w:rPr>
      </w:pPr>
    </w:p>
    <w:p w14:paraId="09BBAEA4" w14:textId="77777777" w:rsidR="007A2797" w:rsidRDefault="007A2797" w:rsidP="00247DDB">
      <w:pPr>
        <w:pStyle w:val="MDPI21heading1"/>
        <w:rPr>
          <w:lang w:eastAsia="zh-CN"/>
        </w:rPr>
      </w:pPr>
    </w:p>
    <w:p w14:paraId="7553688D" w14:textId="266ADFD6" w:rsidR="00247DDB" w:rsidRDefault="00570E48" w:rsidP="00247DDB">
      <w:pPr>
        <w:pStyle w:val="MDPI21heading1"/>
        <w:rPr>
          <w:lang w:eastAsia="zh-CN"/>
        </w:rPr>
      </w:pPr>
      <w:r w:rsidRPr="00570E48">
        <w:rPr>
          <w:lang w:eastAsia="zh-CN"/>
        </w:rPr>
        <w:lastRenderedPageBreak/>
        <w:t>Brimonidine quantification in urine and plasma sample by UPLC-MS/MS analysis</w:t>
      </w:r>
    </w:p>
    <w:p w14:paraId="1FB04F81" w14:textId="6614F813" w:rsidR="00495B17" w:rsidRDefault="00495B17" w:rsidP="00247DDB">
      <w:pPr>
        <w:pStyle w:val="MDPI21heading1"/>
        <w:rPr>
          <w:lang w:eastAsia="zh-CN"/>
        </w:rPr>
      </w:pPr>
      <w:r w:rsidRPr="00495B17">
        <w:rPr>
          <w:lang w:eastAsia="zh-CN"/>
        </w:rPr>
        <w:t>Materials and sample preparation</w:t>
      </w:r>
    </w:p>
    <w:p w14:paraId="05AD4F33" w14:textId="5E0B046A" w:rsidR="00660C1B" w:rsidRDefault="00660C1B" w:rsidP="00660C1B">
      <w:pPr>
        <w:pStyle w:val="MDPI31text"/>
      </w:pPr>
      <w:r>
        <w:t>Brimonidine and internal standard Brimonidine-d4 L-Tartrate (Toronto Research Chemicals) were purchased from Spectra2000 Srl. Brimonidine powder was dissolved in methanol and internal standard Brimonidine-d4 L-Tartrate in water. Internal standard working solutions (100 ng/mL and 2 ng/mL for urine and plasma analysis, respectively) were freshly prepared by diluting the IS stock solution with acetonitrile. Calibrators and Quality Controls (QCs) were prepared in pooled human plasma (anticoagulant K3EDTA) and pooled human urine by standard addition of Brimonidine.</w:t>
      </w:r>
    </w:p>
    <w:p w14:paraId="64C413B1" w14:textId="77777777" w:rsidR="00660C1B" w:rsidRDefault="00660C1B" w:rsidP="00660C1B">
      <w:pPr>
        <w:pStyle w:val="MDPI31text"/>
      </w:pPr>
      <w:r>
        <w:t>Plasma calibrators were prepared over the range 0-10 ng/mL, with QCs at 0.75, 3 and 7.5 ng/mL for low, mid, and high levels, respectively.</w:t>
      </w:r>
    </w:p>
    <w:p w14:paraId="51346808" w14:textId="77777777" w:rsidR="00660C1B" w:rsidRDefault="00660C1B" w:rsidP="00660C1B">
      <w:pPr>
        <w:pStyle w:val="MDPI31text"/>
      </w:pPr>
      <w:r>
        <w:t xml:space="preserve">Urine calibrators were prepared over the range 0-500 ng/mL, with QCs at 3, 75 and 375 ng/mL for low, mid, and high levels, respectively. </w:t>
      </w:r>
    </w:p>
    <w:p w14:paraId="1BDECEC1" w14:textId="6287E8F9" w:rsidR="00247DDB" w:rsidRDefault="00660C1B" w:rsidP="00660C1B">
      <w:pPr>
        <w:pStyle w:val="MDPI31text"/>
      </w:pPr>
      <w:r>
        <w:t xml:space="preserve">100 </w:t>
      </w:r>
      <w:proofErr w:type="spellStart"/>
      <w:r>
        <w:t>μL</w:t>
      </w:r>
      <w:proofErr w:type="spellEnd"/>
      <w:r>
        <w:t xml:space="preserve"> of plasma/urine study samples, calibrators, and QCs were added of 300 </w:t>
      </w:r>
      <w:proofErr w:type="spellStart"/>
      <w:r>
        <w:t>μL</w:t>
      </w:r>
      <w:proofErr w:type="spellEnd"/>
      <w:r>
        <w:t xml:space="preserve"> of IS working solution (acetonitrile containing IS 2 ng/mL for plasma samples processing and 100 ng/mL for urine samples processing). After centrifugation, supernatants were tr</w:t>
      </w:r>
      <w:r>
        <w:rPr>
          <w:rFonts w:hint="eastAsia"/>
        </w:rPr>
        <w:t xml:space="preserve">ansferred in other tubes and then evaporated till dryness. The residues were reconstituted with 100 </w:t>
      </w:r>
      <w:proofErr w:type="spellStart"/>
      <w:r>
        <w:rPr>
          <w:rFonts w:hint="eastAsia"/>
        </w:rPr>
        <w:t>μL</w:t>
      </w:r>
      <w:proofErr w:type="spellEnd"/>
      <w:r>
        <w:rPr>
          <w:rFonts w:hint="eastAsia"/>
        </w:rPr>
        <w:t xml:space="preserve"> of mobile phase and finally transferred into vials for LC‐MS/MS analysis. 10 </w:t>
      </w:r>
      <w:proofErr w:type="spellStart"/>
      <w:r>
        <w:rPr>
          <w:rFonts w:hint="eastAsia"/>
        </w:rPr>
        <w:t>μL</w:t>
      </w:r>
      <w:proofErr w:type="spellEnd"/>
      <w:r>
        <w:rPr>
          <w:rFonts w:hint="eastAsia"/>
        </w:rPr>
        <w:t xml:space="preserve"> of sample were injected into the ion source.</w:t>
      </w:r>
    </w:p>
    <w:p w14:paraId="4DAE7A62" w14:textId="2DC0300F" w:rsidR="00247DDB" w:rsidRPr="00FA04F1" w:rsidRDefault="00E013A2" w:rsidP="00247DDB">
      <w:pPr>
        <w:pStyle w:val="MDPI21heading1"/>
      </w:pPr>
      <w:r w:rsidRPr="00E013A2">
        <w:rPr>
          <w:rFonts w:hint="eastAsia"/>
        </w:rPr>
        <w:t>UPLC‐ MS/MS analysis for brimonidine quantification in urine and plasma</w:t>
      </w:r>
    </w:p>
    <w:p w14:paraId="3999EB40" w14:textId="6D026E0E" w:rsidR="00247DDB" w:rsidRDefault="001D252A" w:rsidP="00BD0FC8">
      <w:pPr>
        <w:pStyle w:val="MDPI31text"/>
      </w:pPr>
      <w:r w:rsidRPr="001D252A">
        <w:rPr>
          <w:rFonts w:hint="eastAsia"/>
        </w:rPr>
        <w:t xml:space="preserve">The LC‐MS/MS system consisted of an ACQUITY™ UPLC™ I‐Class system (comprised of a Binary Solvent Manager (BSM) and a Sample Manager with Flow‐Through Needle (SM‐FTN)) coupled to a </w:t>
      </w:r>
      <w:proofErr w:type="spellStart"/>
      <w:r w:rsidRPr="001D252A">
        <w:rPr>
          <w:rFonts w:hint="eastAsia"/>
        </w:rPr>
        <w:t>Xevo</w:t>
      </w:r>
      <w:proofErr w:type="spellEnd"/>
      <w:r w:rsidRPr="001D252A">
        <w:rPr>
          <w:rFonts w:hint="eastAsia"/>
        </w:rPr>
        <w:t xml:space="preserve">® TQ‐S micro mass spectrometer (Waters Corporation, Milford, MA, USA). The system operated in positive electrospray ionization (ESI+). The run time was 6 min, injection‐to‐injection, using an ACQUITY UPLC® BEH C18 Vanguard pre‐column and an ACQUITY UPLC® BEH C18 2.1 mm x 150 mm, 1.7 </w:t>
      </w:r>
      <w:proofErr w:type="spellStart"/>
      <w:r w:rsidRPr="001D252A">
        <w:rPr>
          <w:rFonts w:hint="eastAsia"/>
        </w:rPr>
        <w:t>μm</w:t>
      </w:r>
      <w:proofErr w:type="spellEnd"/>
      <w:r w:rsidRPr="001D252A">
        <w:rPr>
          <w:rFonts w:hint="eastAsia"/>
        </w:rPr>
        <w:t xml:space="preserve"> column (T = 40 °C). Mobile phase was comp</w:t>
      </w:r>
      <w:r w:rsidRPr="001D252A">
        <w:t>osed of water (A) with 0.1% formic acid and acetonitrile (B) with 0.1% formic acid (B). Flow rate was 0.5 mL/min. LC gradient is elucidated in Supplementary Table S1 (ST1).</w:t>
      </w:r>
    </w:p>
    <w:p w14:paraId="13BE61C3" w14:textId="77777777" w:rsidR="00380F6E" w:rsidRDefault="00380F6E" w:rsidP="00BD0FC8">
      <w:pPr>
        <w:pStyle w:val="MDPI31text"/>
        <w:rPr>
          <w:b/>
          <w:bCs/>
          <w:szCs w:val="20"/>
        </w:rPr>
      </w:pPr>
    </w:p>
    <w:p w14:paraId="010894B0" w14:textId="36749507" w:rsidR="001D252A" w:rsidRPr="00380F6E" w:rsidRDefault="00380F6E" w:rsidP="00380F6E">
      <w:pPr>
        <w:pStyle w:val="MDPI31text"/>
        <w:ind w:left="0" w:firstLine="0"/>
        <w:rPr>
          <w:sz w:val="18"/>
          <w:szCs w:val="18"/>
        </w:rPr>
      </w:pPr>
      <w:r>
        <w:rPr>
          <w:b/>
          <w:bCs/>
          <w:sz w:val="18"/>
          <w:szCs w:val="18"/>
        </w:rPr>
        <w:t xml:space="preserve">                         </w:t>
      </w:r>
      <w:r w:rsidRPr="00380F6E">
        <w:rPr>
          <w:b/>
          <w:bCs/>
          <w:sz w:val="18"/>
          <w:szCs w:val="18"/>
        </w:rPr>
        <w:t xml:space="preserve">Table S1. </w:t>
      </w:r>
      <w:r w:rsidRPr="00AA1FC2">
        <w:rPr>
          <w:sz w:val="18"/>
          <w:szCs w:val="18"/>
        </w:rPr>
        <w:t>LC gradient</w:t>
      </w:r>
      <w:r w:rsidR="00AA1FC2">
        <w:rPr>
          <w:sz w:val="18"/>
          <w:szCs w:val="18"/>
        </w:rPr>
        <w:t>.</w:t>
      </w:r>
    </w:p>
    <w:p w14:paraId="5F003A8F" w14:textId="77777777" w:rsidR="008B3986" w:rsidRDefault="008B3986" w:rsidP="00BD0FC8">
      <w:pPr>
        <w:pStyle w:val="MDPI31text"/>
      </w:pPr>
    </w:p>
    <w:tbl>
      <w:tblPr>
        <w:tblStyle w:val="Tabellasemplice-2"/>
        <w:tblW w:w="0" w:type="auto"/>
        <w:jc w:val="center"/>
        <w:tblLook w:val="04A0" w:firstRow="1" w:lastRow="0" w:firstColumn="1" w:lastColumn="0" w:noHBand="0" w:noVBand="1"/>
      </w:tblPr>
      <w:tblGrid>
        <w:gridCol w:w="1419"/>
        <w:gridCol w:w="1802"/>
        <w:gridCol w:w="908"/>
        <w:gridCol w:w="644"/>
        <w:gridCol w:w="1090"/>
      </w:tblGrid>
      <w:tr w:rsidR="00F765E7" w:rsidRPr="00CA5F37" w14:paraId="37DB126D" w14:textId="77777777" w:rsidTr="00CA5F37">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419" w:type="dxa"/>
          </w:tcPr>
          <w:p w14:paraId="6415F2C1" w14:textId="77777777" w:rsidR="00F765E7" w:rsidRPr="00CA5F37" w:rsidRDefault="00F765E7" w:rsidP="006B66BE">
            <w:pPr>
              <w:jc w:val="center"/>
              <w:rPr>
                <w:b w:val="0"/>
                <w:bCs w:val="0"/>
                <w:sz w:val="18"/>
                <w:szCs w:val="18"/>
                <w:lang w:val="en-US"/>
              </w:rPr>
            </w:pPr>
            <w:r w:rsidRPr="00CA5F37">
              <w:rPr>
                <w:sz w:val="18"/>
                <w:szCs w:val="18"/>
                <w:lang w:val="en-US"/>
              </w:rPr>
              <w:t>Time (min)</w:t>
            </w:r>
          </w:p>
        </w:tc>
        <w:tc>
          <w:tcPr>
            <w:tcW w:w="1802" w:type="dxa"/>
          </w:tcPr>
          <w:p w14:paraId="390ED1F8" w14:textId="77777777" w:rsidR="00F765E7" w:rsidRPr="00CA5F37" w:rsidRDefault="00F765E7" w:rsidP="006B66BE">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5F37">
              <w:rPr>
                <w:sz w:val="18"/>
                <w:szCs w:val="18"/>
                <w:lang w:val="en-US"/>
              </w:rPr>
              <w:t>Flow rate (mL/min)</w:t>
            </w:r>
          </w:p>
        </w:tc>
        <w:tc>
          <w:tcPr>
            <w:tcW w:w="908" w:type="dxa"/>
          </w:tcPr>
          <w:p w14:paraId="0899FA9A" w14:textId="77777777" w:rsidR="00F765E7" w:rsidRPr="00CA5F37" w:rsidRDefault="00F765E7" w:rsidP="006B66BE">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5F37">
              <w:rPr>
                <w:sz w:val="18"/>
                <w:szCs w:val="18"/>
                <w:lang w:val="en-US"/>
              </w:rPr>
              <w:t>%A</w:t>
            </w:r>
          </w:p>
        </w:tc>
        <w:tc>
          <w:tcPr>
            <w:tcW w:w="644" w:type="dxa"/>
          </w:tcPr>
          <w:p w14:paraId="162FA1D1" w14:textId="77777777" w:rsidR="00F765E7" w:rsidRPr="00CA5F37" w:rsidRDefault="00F765E7" w:rsidP="006B66BE">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5F37">
              <w:rPr>
                <w:sz w:val="18"/>
                <w:szCs w:val="18"/>
                <w:lang w:val="en-US"/>
              </w:rPr>
              <w:t>%B</w:t>
            </w:r>
          </w:p>
        </w:tc>
        <w:tc>
          <w:tcPr>
            <w:tcW w:w="1090" w:type="dxa"/>
          </w:tcPr>
          <w:p w14:paraId="3C5F876C" w14:textId="77777777" w:rsidR="00F765E7" w:rsidRPr="00CA5F37" w:rsidRDefault="00F765E7" w:rsidP="006B66BE">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5F37">
              <w:rPr>
                <w:sz w:val="18"/>
                <w:szCs w:val="18"/>
                <w:lang w:val="en-US"/>
              </w:rPr>
              <w:t>Curve</w:t>
            </w:r>
          </w:p>
        </w:tc>
      </w:tr>
      <w:tr w:rsidR="00F765E7" w:rsidRPr="00CA5F37" w14:paraId="1E9DEAB5" w14:textId="77777777" w:rsidTr="00CA5F37">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1419" w:type="dxa"/>
          </w:tcPr>
          <w:p w14:paraId="6A5EB16B" w14:textId="77777777" w:rsidR="00F765E7" w:rsidRPr="00CA5F37" w:rsidRDefault="00F765E7" w:rsidP="006B66BE">
            <w:pPr>
              <w:jc w:val="center"/>
              <w:rPr>
                <w:sz w:val="18"/>
                <w:szCs w:val="18"/>
                <w:lang w:val="en-US"/>
              </w:rPr>
            </w:pPr>
            <w:r w:rsidRPr="00CA5F37">
              <w:rPr>
                <w:sz w:val="18"/>
                <w:szCs w:val="18"/>
                <w:lang w:val="en-US"/>
              </w:rPr>
              <w:t>0</w:t>
            </w:r>
          </w:p>
        </w:tc>
        <w:tc>
          <w:tcPr>
            <w:tcW w:w="1802" w:type="dxa"/>
          </w:tcPr>
          <w:p w14:paraId="4DC93D32"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0.5</w:t>
            </w:r>
          </w:p>
        </w:tc>
        <w:tc>
          <w:tcPr>
            <w:tcW w:w="908" w:type="dxa"/>
          </w:tcPr>
          <w:p w14:paraId="3C3D9383"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95</w:t>
            </w:r>
          </w:p>
        </w:tc>
        <w:tc>
          <w:tcPr>
            <w:tcW w:w="644" w:type="dxa"/>
          </w:tcPr>
          <w:p w14:paraId="2150D518"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5</w:t>
            </w:r>
          </w:p>
        </w:tc>
        <w:tc>
          <w:tcPr>
            <w:tcW w:w="1090" w:type="dxa"/>
          </w:tcPr>
          <w:p w14:paraId="350BBEA7"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initial</w:t>
            </w:r>
          </w:p>
        </w:tc>
      </w:tr>
      <w:tr w:rsidR="00F765E7" w:rsidRPr="00CA5F37" w14:paraId="3A9C3397" w14:textId="77777777" w:rsidTr="00CA5F37">
        <w:trPr>
          <w:trHeight w:val="296"/>
          <w:jc w:val="center"/>
        </w:trPr>
        <w:tc>
          <w:tcPr>
            <w:cnfStyle w:val="001000000000" w:firstRow="0" w:lastRow="0" w:firstColumn="1" w:lastColumn="0" w:oddVBand="0" w:evenVBand="0" w:oddHBand="0" w:evenHBand="0" w:firstRowFirstColumn="0" w:firstRowLastColumn="0" w:lastRowFirstColumn="0" w:lastRowLastColumn="0"/>
            <w:tcW w:w="1419" w:type="dxa"/>
          </w:tcPr>
          <w:p w14:paraId="2B41D3A8" w14:textId="77777777" w:rsidR="00F765E7" w:rsidRPr="00CA5F37" w:rsidRDefault="00F765E7" w:rsidP="006B66BE">
            <w:pPr>
              <w:jc w:val="center"/>
              <w:rPr>
                <w:sz w:val="18"/>
                <w:szCs w:val="18"/>
                <w:lang w:val="en-US"/>
              </w:rPr>
            </w:pPr>
            <w:r w:rsidRPr="00CA5F37">
              <w:rPr>
                <w:sz w:val="18"/>
                <w:szCs w:val="18"/>
                <w:lang w:val="en-US"/>
              </w:rPr>
              <w:t>1.00</w:t>
            </w:r>
          </w:p>
        </w:tc>
        <w:tc>
          <w:tcPr>
            <w:tcW w:w="1802" w:type="dxa"/>
          </w:tcPr>
          <w:p w14:paraId="1761ACD3"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0.5</w:t>
            </w:r>
          </w:p>
        </w:tc>
        <w:tc>
          <w:tcPr>
            <w:tcW w:w="908" w:type="dxa"/>
          </w:tcPr>
          <w:p w14:paraId="192FD77F"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95</w:t>
            </w:r>
          </w:p>
        </w:tc>
        <w:tc>
          <w:tcPr>
            <w:tcW w:w="644" w:type="dxa"/>
          </w:tcPr>
          <w:p w14:paraId="5B6AE97E"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5</w:t>
            </w:r>
          </w:p>
        </w:tc>
        <w:tc>
          <w:tcPr>
            <w:tcW w:w="1090" w:type="dxa"/>
          </w:tcPr>
          <w:p w14:paraId="2F8C761E"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6</w:t>
            </w:r>
          </w:p>
        </w:tc>
      </w:tr>
      <w:tr w:rsidR="00F765E7" w:rsidRPr="00CA5F37" w14:paraId="2C5A4A16" w14:textId="77777777" w:rsidTr="00CA5F37">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419" w:type="dxa"/>
          </w:tcPr>
          <w:p w14:paraId="157407C4" w14:textId="77777777" w:rsidR="00F765E7" w:rsidRPr="00CA5F37" w:rsidRDefault="00F765E7" w:rsidP="006B66BE">
            <w:pPr>
              <w:jc w:val="center"/>
              <w:rPr>
                <w:sz w:val="18"/>
                <w:szCs w:val="18"/>
                <w:lang w:val="en-US"/>
              </w:rPr>
            </w:pPr>
            <w:r w:rsidRPr="00CA5F37">
              <w:rPr>
                <w:sz w:val="18"/>
                <w:szCs w:val="18"/>
                <w:lang w:val="en-US"/>
              </w:rPr>
              <w:t>2.00</w:t>
            </w:r>
          </w:p>
        </w:tc>
        <w:tc>
          <w:tcPr>
            <w:tcW w:w="1802" w:type="dxa"/>
          </w:tcPr>
          <w:p w14:paraId="1F5AB0DD"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0.5</w:t>
            </w:r>
          </w:p>
        </w:tc>
        <w:tc>
          <w:tcPr>
            <w:tcW w:w="908" w:type="dxa"/>
          </w:tcPr>
          <w:p w14:paraId="753FCCC6"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5</w:t>
            </w:r>
          </w:p>
        </w:tc>
        <w:tc>
          <w:tcPr>
            <w:tcW w:w="644" w:type="dxa"/>
          </w:tcPr>
          <w:p w14:paraId="2B9FB481"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95</w:t>
            </w:r>
          </w:p>
        </w:tc>
        <w:tc>
          <w:tcPr>
            <w:tcW w:w="1090" w:type="dxa"/>
          </w:tcPr>
          <w:p w14:paraId="28DC73FC"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6</w:t>
            </w:r>
          </w:p>
        </w:tc>
      </w:tr>
      <w:tr w:rsidR="00F765E7" w:rsidRPr="00CA5F37" w14:paraId="3C32CFB3" w14:textId="77777777" w:rsidTr="00CA5F37">
        <w:trPr>
          <w:trHeight w:val="306"/>
          <w:jc w:val="center"/>
        </w:trPr>
        <w:tc>
          <w:tcPr>
            <w:cnfStyle w:val="001000000000" w:firstRow="0" w:lastRow="0" w:firstColumn="1" w:lastColumn="0" w:oddVBand="0" w:evenVBand="0" w:oddHBand="0" w:evenHBand="0" w:firstRowFirstColumn="0" w:firstRowLastColumn="0" w:lastRowFirstColumn="0" w:lastRowLastColumn="0"/>
            <w:tcW w:w="1419" w:type="dxa"/>
          </w:tcPr>
          <w:p w14:paraId="1ED90908" w14:textId="77777777" w:rsidR="00F765E7" w:rsidRPr="00CA5F37" w:rsidRDefault="00F765E7" w:rsidP="006B66BE">
            <w:pPr>
              <w:jc w:val="center"/>
              <w:rPr>
                <w:sz w:val="18"/>
                <w:szCs w:val="18"/>
                <w:lang w:val="en-US"/>
              </w:rPr>
            </w:pPr>
            <w:r w:rsidRPr="00CA5F37">
              <w:rPr>
                <w:sz w:val="18"/>
                <w:szCs w:val="18"/>
                <w:lang w:val="en-US"/>
              </w:rPr>
              <w:t>3.00</w:t>
            </w:r>
          </w:p>
        </w:tc>
        <w:tc>
          <w:tcPr>
            <w:tcW w:w="1802" w:type="dxa"/>
          </w:tcPr>
          <w:p w14:paraId="073C45FC"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0.5</w:t>
            </w:r>
          </w:p>
        </w:tc>
        <w:tc>
          <w:tcPr>
            <w:tcW w:w="908" w:type="dxa"/>
          </w:tcPr>
          <w:p w14:paraId="2E55925D"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5</w:t>
            </w:r>
          </w:p>
        </w:tc>
        <w:tc>
          <w:tcPr>
            <w:tcW w:w="644" w:type="dxa"/>
          </w:tcPr>
          <w:p w14:paraId="23DCCE02"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95</w:t>
            </w:r>
          </w:p>
        </w:tc>
        <w:tc>
          <w:tcPr>
            <w:tcW w:w="1090" w:type="dxa"/>
          </w:tcPr>
          <w:p w14:paraId="68D7DC7E"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6</w:t>
            </w:r>
          </w:p>
        </w:tc>
      </w:tr>
      <w:tr w:rsidR="00F765E7" w:rsidRPr="00CA5F37" w14:paraId="1DE3894A" w14:textId="77777777" w:rsidTr="00CA5F37">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419" w:type="dxa"/>
          </w:tcPr>
          <w:p w14:paraId="0456DE86" w14:textId="77777777" w:rsidR="00F765E7" w:rsidRPr="00CA5F37" w:rsidRDefault="00F765E7" w:rsidP="006B66BE">
            <w:pPr>
              <w:jc w:val="center"/>
              <w:rPr>
                <w:sz w:val="18"/>
                <w:szCs w:val="18"/>
                <w:lang w:val="en-US"/>
              </w:rPr>
            </w:pPr>
            <w:r w:rsidRPr="00CA5F37">
              <w:rPr>
                <w:sz w:val="18"/>
                <w:szCs w:val="18"/>
                <w:lang w:val="en-US"/>
              </w:rPr>
              <w:t>3.01</w:t>
            </w:r>
          </w:p>
        </w:tc>
        <w:tc>
          <w:tcPr>
            <w:tcW w:w="1802" w:type="dxa"/>
          </w:tcPr>
          <w:p w14:paraId="13A35BA7"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0.5</w:t>
            </w:r>
          </w:p>
        </w:tc>
        <w:tc>
          <w:tcPr>
            <w:tcW w:w="908" w:type="dxa"/>
          </w:tcPr>
          <w:p w14:paraId="7CFFC625"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95</w:t>
            </w:r>
          </w:p>
        </w:tc>
        <w:tc>
          <w:tcPr>
            <w:tcW w:w="644" w:type="dxa"/>
          </w:tcPr>
          <w:p w14:paraId="7B616748"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5</w:t>
            </w:r>
          </w:p>
        </w:tc>
        <w:tc>
          <w:tcPr>
            <w:tcW w:w="1090" w:type="dxa"/>
          </w:tcPr>
          <w:p w14:paraId="62C4404C" w14:textId="77777777" w:rsidR="00F765E7" w:rsidRPr="00CA5F37" w:rsidRDefault="00F765E7"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6</w:t>
            </w:r>
          </w:p>
        </w:tc>
      </w:tr>
      <w:tr w:rsidR="00F765E7" w:rsidRPr="00CA5F37" w14:paraId="348830C0" w14:textId="77777777" w:rsidTr="00CA5F37">
        <w:trPr>
          <w:trHeight w:val="306"/>
          <w:jc w:val="center"/>
        </w:trPr>
        <w:tc>
          <w:tcPr>
            <w:cnfStyle w:val="001000000000" w:firstRow="0" w:lastRow="0" w:firstColumn="1" w:lastColumn="0" w:oddVBand="0" w:evenVBand="0" w:oddHBand="0" w:evenHBand="0" w:firstRowFirstColumn="0" w:firstRowLastColumn="0" w:lastRowFirstColumn="0" w:lastRowLastColumn="0"/>
            <w:tcW w:w="1419" w:type="dxa"/>
          </w:tcPr>
          <w:p w14:paraId="3D16A204" w14:textId="77777777" w:rsidR="00F765E7" w:rsidRPr="00CA5F37" w:rsidRDefault="00F765E7" w:rsidP="006B66BE">
            <w:pPr>
              <w:jc w:val="center"/>
              <w:rPr>
                <w:sz w:val="18"/>
                <w:szCs w:val="18"/>
                <w:lang w:val="en-US"/>
              </w:rPr>
            </w:pPr>
            <w:r w:rsidRPr="00CA5F37">
              <w:rPr>
                <w:sz w:val="18"/>
                <w:szCs w:val="18"/>
                <w:lang w:val="en-US"/>
              </w:rPr>
              <w:t>6.00</w:t>
            </w:r>
          </w:p>
        </w:tc>
        <w:tc>
          <w:tcPr>
            <w:tcW w:w="1802" w:type="dxa"/>
          </w:tcPr>
          <w:p w14:paraId="28524DE5"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0.5</w:t>
            </w:r>
          </w:p>
        </w:tc>
        <w:tc>
          <w:tcPr>
            <w:tcW w:w="908" w:type="dxa"/>
          </w:tcPr>
          <w:p w14:paraId="788306E1"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95</w:t>
            </w:r>
          </w:p>
        </w:tc>
        <w:tc>
          <w:tcPr>
            <w:tcW w:w="644" w:type="dxa"/>
          </w:tcPr>
          <w:p w14:paraId="55ABEAE3"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5</w:t>
            </w:r>
          </w:p>
        </w:tc>
        <w:tc>
          <w:tcPr>
            <w:tcW w:w="1090" w:type="dxa"/>
          </w:tcPr>
          <w:p w14:paraId="3F5ED7C3" w14:textId="77777777" w:rsidR="00F765E7" w:rsidRPr="00CA5F37" w:rsidRDefault="00F765E7"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6</w:t>
            </w:r>
          </w:p>
        </w:tc>
      </w:tr>
    </w:tbl>
    <w:p w14:paraId="7968D726" w14:textId="77777777" w:rsidR="00C71C44" w:rsidRDefault="00C71C44" w:rsidP="00CA5F37">
      <w:pPr>
        <w:pStyle w:val="MDPI31text"/>
        <w:ind w:left="0" w:firstLine="0"/>
      </w:pPr>
    </w:p>
    <w:p w14:paraId="60E2D46F" w14:textId="64ECEA45" w:rsidR="00247DDB" w:rsidRDefault="00785DC5" w:rsidP="00BD0FC8">
      <w:pPr>
        <w:pStyle w:val="MDPI31text"/>
      </w:pPr>
      <w:bookmarkStart w:id="1" w:name="page2"/>
      <w:bookmarkEnd w:id="1"/>
      <w:r w:rsidRPr="00785DC5">
        <w:t>Parameters referring to MRM functions for the detection of brimonidine are reported in Supplementary Table S2 (ST2).</w:t>
      </w:r>
    </w:p>
    <w:p w14:paraId="4283E580" w14:textId="77777777" w:rsidR="00420964" w:rsidRDefault="00420964" w:rsidP="00BD0FC8">
      <w:pPr>
        <w:pStyle w:val="MDPI31text"/>
      </w:pPr>
    </w:p>
    <w:p w14:paraId="3CFC72FC" w14:textId="77777777" w:rsidR="00426C0F" w:rsidRDefault="00F647BF" w:rsidP="00F647BF">
      <w:pPr>
        <w:rPr>
          <w:b/>
          <w:bCs/>
          <w:sz w:val="18"/>
          <w:szCs w:val="18"/>
        </w:rPr>
      </w:pPr>
      <w:r>
        <w:rPr>
          <w:b/>
          <w:bCs/>
          <w:sz w:val="18"/>
          <w:szCs w:val="18"/>
        </w:rPr>
        <w:t xml:space="preserve">                     </w:t>
      </w:r>
    </w:p>
    <w:p w14:paraId="2CC9FFC6" w14:textId="77777777" w:rsidR="00426C0F" w:rsidRDefault="00426C0F" w:rsidP="00F647BF">
      <w:pPr>
        <w:rPr>
          <w:b/>
          <w:bCs/>
          <w:sz w:val="18"/>
          <w:szCs w:val="18"/>
        </w:rPr>
      </w:pPr>
    </w:p>
    <w:p w14:paraId="04BB9645" w14:textId="77777777" w:rsidR="00426C0F" w:rsidRDefault="00426C0F" w:rsidP="00F647BF">
      <w:pPr>
        <w:rPr>
          <w:b/>
          <w:bCs/>
          <w:sz w:val="18"/>
          <w:szCs w:val="18"/>
        </w:rPr>
      </w:pPr>
    </w:p>
    <w:p w14:paraId="7EEA6E3A" w14:textId="77777777" w:rsidR="00426C0F" w:rsidRDefault="00426C0F" w:rsidP="00F647BF">
      <w:pPr>
        <w:rPr>
          <w:b/>
          <w:bCs/>
          <w:sz w:val="18"/>
          <w:szCs w:val="18"/>
        </w:rPr>
      </w:pPr>
    </w:p>
    <w:p w14:paraId="0040EB7A" w14:textId="77777777" w:rsidR="00CA5F37" w:rsidRDefault="00CA5F37" w:rsidP="00F647BF">
      <w:pPr>
        <w:rPr>
          <w:b/>
          <w:bCs/>
          <w:sz w:val="18"/>
          <w:szCs w:val="18"/>
        </w:rPr>
      </w:pPr>
    </w:p>
    <w:p w14:paraId="72F2EA6F" w14:textId="40D43F14" w:rsidR="00F647BF" w:rsidRDefault="00426C0F" w:rsidP="00F647BF">
      <w:pPr>
        <w:rPr>
          <w:sz w:val="18"/>
          <w:szCs w:val="18"/>
        </w:rPr>
      </w:pPr>
      <w:r>
        <w:rPr>
          <w:b/>
          <w:bCs/>
          <w:sz w:val="18"/>
          <w:szCs w:val="18"/>
        </w:rPr>
        <w:t xml:space="preserve">                  </w:t>
      </w:r>
      <w:r w:rsidR="00F647BF" w:rsidRPr="009F3F84">
        <w:rPr>
          <w:b/>
          <w:bCs/>
          <w:sz w:val="18"/>
          <w:szCs w:val="18"/>
        </w:rPr>
        <w:t xml:space="preserve">Table S2. </w:t>
      </w:r>
      <w:r w:rsidR="00F647BF" w:rsidRPr="00AA1FC2">
        <w:rPr>
          <w:sz w:val="18"/>
          <w:szCs w:val="18"/>
        </w:rPr>
        <w:t>MRM parameters for Brimonidine and internal standard Brimonidine-d4</w:t>
      </w:r>
      <w:r w:rsidR="00AA1FC2" w:rsidRPr="00AA1FC2">
        <w:rPr>
          <w:sz w:val="18"/>
          <w:szCs w:val="18"/>
        </w:rPr>
        <w:t>.</w:t>
      </w:r>
    </w:p>
    <w:p w14:paraId="60F98D52" w14:textId="77777777" w:rsidR="00CA5F37" w:rsidRDefault="00CA5F37" w:rsidP="00F647BF">
      <w:pPr>
        <w:rPr>
          <w:i/>
          <w:iCs/>
          <w:sz w:val="18"/>
          <w:szCs w:val="18"/>
        </w:rPr>
      </w:pPr>
    </w:p>
    <w:tbl>
      <w:tblPr>
        <w:tblStyle w:val="Tabellasemplice-2"/>
        <w:tblW w:w="7678" w:type="dxa"/>
        <w:jc w:val="center"/>
        <w:tblLook w:val="04A0" w:firstRow="1" w:lastRow="0" w:firstColumn="1" w:lastColumn="0" w:noHBand="0" w:noVBand="1"/>
      </w:tblPr>
      <w:tblGrid>
        <w:gridCol w:w="1330"/>
        <w:gridCol w:w="1300"/>
        <w:gridCol w:w="1297"/>
        <w:gridCol w:w="1728"/>
        <w:gridCol w:w="2023"/>
      </w:tblGrid>
      <w:tr w:rsidR="00426C0F" w:rsidRPr="00CA5F37" w14:paraId="739CEA97" w14:textId="77777777" w:rsidTr="00CA5F37">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1330" w:type="dxa"/>
          </w:tcPr>
          <w:p w14:paraId="4A72E86E" w14:textId="77777777" w:rsidR="00426C0F" w:rsidRPr="00CA5F37" w:rsidRDefault="00426C0F" w:rsidP="006B66BE">
            <w:pPr>
              <w:jc w:val="center"/>
              <w:rPr>
                <w:b w:val="0"/>
                <w:bCs w:val="0"/>
                <w:sz w:val="18"/>
                <w:szCs w:val="18"/>
                <w:lang w:val="en-US"/>
              </w:rPr>
            </w:pPr>
            <w:r w:rsidRPr="00CA5F37">
              <w:rPr>
                <w:sz w:val="18"/>
                <w:szCs w:val="18"/>
                <w:lang w:val="en-US"/>
              </w:rPr>
              <w:t>Compounds</w:t>
            </w:r>
          </w:p>
        </w:tc>
        <w:tc>
          <w:tcPr>
            <w:tcW w:w="1300" w:type="dxa"/>
          </w:tcPr>
          <w:p w14:paraId="354B90EA" w14:textId="77777777" w:rsidR="00426C0F" w:rsidRPr="00CA5F37" w:rsidRDefault="00426C0F" w:rsidP="006B66BE">
            <w:pPr>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Transitions (</w:t>
            </w:r>
            <w:r w:rsidRPr="00CA5F37">
              <w:rPr>
                <w:i/>
                <w:iCs/>
                <w:sz w:val="18"/>
                <w:szCs w:val="18"/>
                <w:lang w:val="en-US"/>
              </w:rPr>
              <w:t>m/z</w:t>
            </w:r>
            <w:r w:rsidRPr="00CA5F37">
              <w:rPr>
                <w:sz w:val="18"/>
                <w:szCs w:val="18"/>
                <w:lang w:val="en-US"/>
              </w:rPr>
              <w:t>)</w:t>
            </w:r>
          </w:p>
        </w:tc>
        <w:tc>
          <w:tcPr>
            <w:tcW w:w="1297" w:type="dxa"/>
          </w:tcPr>
          <w:p w14:paraId="2F032964" w14:textId="77777777" w:rsidR="00426C0F" w:rsidRPr="00CA5F37" w:rsidRDefault="00426C0F" w:rsidP="006B66BE">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5F37">
              <w:rPr>
                <w:sz w:val="18"/>
                <w:szCs w:val="18"/>
                <w:lang w:val="en-US"/>
              </w:rPr>
              <w:t>Dwell (secs)</w:t>
            </w:r>
          </w:p>
        </w:tc>
        <w:tc>
          <w:tcPr>
            <w:tcW w:w="1728" w:type="dxa"/>
          </w:tcPr>
          <w:p w14:paraId="2757A6A3" w14:textId="77777777" w:rsidR="00426C0F" w:rsidRPr="00CA5F37" w:rsidRDefault="00426C0F" w:rsidP="006B66BE">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5F37">
              <w:rPr>
                <w:sz w:val="18"/>
                <w:szCs w:val="18"/>
                <w:lang w:val="en-US"/>
              </w:rPr>
              <w:t>Cone (V)</w:t>
            </w:r>
          </w:p>
        </w:tc>
        <w:tc>
          <w:tcPr>
            <w:tcW w:w="2023" w:type="dxa"/>
          </w:tcPr>
          <w:p w14:paraId="68A095BA" w14:textId="77777777" w:rsidR="00426C0F" w:rsidRPr="00CA5F37" w:rsidRDefault="00426C0F" w:rsidP="006B66BE">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US"/>
              </w:rPr>
            </w:pPr>
            <w:r w:rsidRPr="00CA5F37">
              <w:rPr>
                <w:sz w:val="18"/>
                <w:szCs w:val="18"/>
                <w:lang w:val="en-US"/>
              </w:rPr>
              <w:t>Collision energy (eV)</w:t>
            </w:r>
          </w:p>
        </w:tc>
      </w:tr>
      <w:tr w:rsidR="00426C0F" w:rsidRPr="00CA5F37" w14:paraId="65A8CDDC" w14:textId="77777777" w:rsidTr="00CA5F3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1330" w:type="dxa"/>
            <w:vAlign w:val="center"/>
          </w:tcPr>
          <w:p w14:paraId="65E0A3E1" w14:textId="77777777" w:rsidR="00426C0F" w:rsidRPr="00CA5F37" w:rsidRDefault="00426C0F" w:rsidP="006B66BE">
            <w:pPr>
              <w:jc w:val="center"/>
              <w:rPr>
                <w:sz w:val="18"/>
                <w:szCs w:val="18"/>
                <w:lang w:val="en-US"/>
              </w:rPr>
            </w:pPr>
            <w:r w:rsidRPr="00CA5F37">
              <w:rPr>
                <w:sz w:val="18"/>
                <w:szCs w:val="18"/>
                <w:lang w:val="en-US"/>
              </w:rPr>
              <w:t>Brimonidine (quantifier)</w:t>
            </w:r>
          </w:p>
        </w:tc>
        <w:tc>
          <w:tcPr>
            <w:tcW w:w="1300" w:type="dxa"/>
            <w:vAlign w:val="center"/>
          </w:tcPr>
          <w:p w14:paraId="75FBE6B2"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292.2&gt;212.2</w:t>
            </w:r>
          </w:p>
        </w:tc>
        <w:tc>
          <w:tcPr>
            <w:tcW w:w="1297" w:type="dxa"/>
            <w:vAlign w:val="center"/>
          </w:tcPr>
          <w:p w14:paraId="5BCE3372"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0.100</w:t>
            </w:r>
          </w:p>
        </w:tc>
        <w:tc>
          <w:tcPr>
            <w:tcW w:w="1728" w:type="dxa"/>
            <w:vAlign w:val="center"/>
          </w:tcPr>
          <w:p w14:paraId="10989520"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50</w:t>
            </w:r>
          </w:p>
        </w:tc>
        <w:tc>
          <w:tcPr>
            <w:tcW w:w="2023" w:type="dxa"/>
            <w:vAlign w:val="center"/>
          </w:tcPr>
          <w:p w14:paraId="489DB801"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27</w:t>
            </w:r>
          </w:p>
        </w:tc>
      </w:tr>
      <w:tr w:rsidR="00426C0F" w:rsidRPr="00CA5F37" w14:paraId="32CED002" w14:textId="77777777" w:rsidTr="00CA5F37">
        <w:trPr>
          <w:trHeight w:val="205"/>
          <w:jc w:val="center"/>
        </w:trPr>
        <w:tc>
          <w:tcPr>
            <w:cnfStyle w:val="001000000000" w:firstRow="0" w:lastRow="0" w:firstColumn="1" w:lastColumn="0" w:oddVBand="0" w:evenVBand="0" w:oddHBand="0" w:evenHBand="0" w:firstRowFirstColumn="0" w:firstRowLastColumn="0" w:lastRowFirstColumn="0" w:lastRowLastColumn="0"/>
            <w:tcW w:w="1330" w:type="dxa"/>
            <w:vAlign w:val="center"/>
          </w:tcPr>
          <w:p w14:paraId="17EE666A" w14:textId="77777777" w:rsidR="00426C0F" w:rsidRPr="00CA5F37" w:rsidRDefault="00426C0F" w:rsidP="006B66BE">
            <w:pPr>
              <w:jc w:val="center"/>
              <w:rPr>
                <w:sz w:val="18"/>
                <w:szCs w:val="18"/>
                <w:lang w:val="en-US"/>
              </w:rPr>
            </w:pPr>
            <w:r w:rsidRPr="00CA5F37">
              <w:rPr>
                <w:sz w:val="18"/>
                <w:szCs w:val="18"/>
                <w:lang w:val="en-US"/>
              </w:rPr>
              <w:t>Brimonidine (qualifier)</w:t>
            </w:r>
          </w:p>
        </w:tc>
        <w:tc>
          <w:tcPr>
            <w:tcW w:w="1300" w:type="dxa"/>
            <w:vAlign w:val="center"/>
          </w:tcPr>
          <w:p w14:paraId="2FDB9CCB" w14:textId="77777777" w:rsidR="00426C0F" w:rsidRPr="00CA5F37" w:rsidRDefault="00426C0F"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292.2&gt;249.2</w:t>
            </w:r>
          </w:p>
        </w:tc>
        <w:tc>
          <w:tcPr>
            <w:tcW w:w="1297" w:type="dxa"/>
            <w:vAlign w:val="center"/>
          </w:tcPr>
          <w:p w14:paraId="171AD8A3" w14:textId="77777777" w:rsidR="00426C0F" w:rsidRPr="00CA5F37" w:rsidRDefault="00426C0F"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0.100</w:t>
            </w:r>
          </w:p>
        </w:tc>
        <w:tc>
          <w:tcPr>
            <w:tcW w:w="1728" w:type="dxa"/>
            <w:vAlign w:val="center"/>
          </w:tcPr>
          <w:p w14:paraId="7BF5A43A" w14:textId="77777777" w:rsidR="00426C0F" w:rsidRPr="00CA5F37" w:rsidRDefault="00426C0F"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50</w:t>
            </w:r>
          </w:p>
        </w:tc>
        <w:tc>
          <w:tcPr>
            <w:tcW w:w="2023" w:type="dxa"/>
            <w:vAlign w:val="center"/>
          </w:tcPr>
          <w:p w14:paraId="19AA3C0F" w14:textId="77777777" w:rsidR="00426C0F" w:rsidRPr="00CA5F37" w:rsidRDefault="00426C0F" w:rsidP="006B66BE">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CA5F37">
              <w:rPr>
                <w:sz w:val="18"/>
                <w:szCs w:val="18"/>
                <w:lang w:val="en-US"/>
              </w:rPr>
              <w:t>27</w:t>
            </w:r>
          </w:p>
        </w:tc>
      </w:tr>
      <w:tr w:rsidR="00426C0F" w:rsidRPr="00CA5F37" w14:paraId="48C0609B" w14:textId="77777777" w:rsidTr="00CA5F37">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1330" w:type="dxa"/>
            <w:vAlign w:val="center"/>
          </w:tcPr>
          <w:p w14:paraId="430EBE49" w14:textId="77777777" w:rsidR="00426C0F" w:rsidRPr="00CA5F37" w:rsidRDefault="00426C0F" w:rsidP="006B66BE">
            <w:pPr>
              <w:jc w:val="center"/>
              <w:rPr>
                <w:sz w:val="18"/>
                <w:szCs w:val="18"/>
                <w:lang w:val="en-US"/>
              </w:rPr>
            </w:pPr>
            <w:r w:rsidRPr="00CA5F37">
              <w:rPr>
                <w:sz w:val="18"/>
                <w:szCs w:val="18"/>
                <w:lang w:val="en-US"/>
              </w:rPr>
              <w:t>Brimonidine-d4 (IS)</w:t>
            </w:r>
          </w:p>
        </w:tc>
        <w:tc>
          <w:tcPr>
            <w:tcW w:w="1300" w:type="dxa"/>
            <w:vAlign w:val="center"/>
          </w:tcPr>
          <w:p w14:paraId="27A6BD07"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296.2&gt;216.2</w:t>
            </w:r>
          </w:p>
        </w:tc>
        <w:tc>
          <w:tcPr>
            <w:tcW w:w="1297" w:type="dxa"/>
            <w:vAlign w:val="center"/>
          </w:tcPr>
          <w:p w14:paraId="42AE8C76"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0.100</w:t>
            </w:r>
          </w:p>
        </w:tc>
        <w:tc>
          <w:tcPr>
            <w:tcW w:w="1728" w:type="dxa"/>
            <w:vAlign w:val="center"/>
          </w:tcPr>
          <w:p w14:paraId="3D4F5951"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50</w:t>
            </w:r>
          </w:p>
        </w:tc>
        <w:tc>
          <w:tcPr>
            <w:tcW w:w="2023" w:type="dxa"/>
            <w:vAlign w:val="center"/>
          </w:tcPr>
          <w:p w14:paraId="28225916" w14:textId="77777777" w:rsidR="00426C0F" w:rsidRPr="00CA5F37" w:rsidRDefault="00426C0F" w:rsidP="006B66BE">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CA5F37">
              <w:rPr>
                <w:sz w:val="18"/>
                <w:szCs w:val="18"/>
                <w:lang w:val="en-US"/>
              </w:rPr>
              <w:t>27</w:t>
            </w:r>
          </w:p>
        </w:tc>
      </w:tr>
    </w:tbl>
    <w:p w14:paraId="0A5E770E" w14:textId="77777777" w:rsidR="00420964" w:rsidRDefault="00420964" w:rsidP="00CA5F37">
      <w:pPr>
        <w:pStyle w:val="MDPI31text"/>
        <w:ind w:left="0" w:firstLine="0"/>
      </w:pPr>
    </w:p>
    <w:p w14:paraId="7EA40708" w14:textId="77777777" w:rsidR="00CA5F37" w:rsidRDefault="00CA5F37" w:rsidP="00BD0FC8">
      <w:pPr>
        <w:pStyle w:val="MDPI31text"/>
      </w:pPr>
    </w:p>
    <w:p w14:paraId="78FC8C86" w14:textId="50483EF4" w:rsidR="00247DDB" w:rsidRDefault="006F5300" w:rsidP="00BD0FC8">
      <w:pPr>
        <w:pStyle w:val="MDPI31text"/>
      </w:pPr>
      <w:r w:rsidRPr="006F5300">
        <w:t xml:space="preserve">Data were processed using </w:t>
      </w:r>
      <w:proofErr w:type="spellStart"/>
      <w:r w:rsidRPr="006F5300">
        <w:t>TargetLynx</w:t>
      </w:r>
      <w:proofErr w:type="spellEnd"/>
      <w:r w:rsidRPr="006F5300">
        <w:t>™ XS software (Waters Corporation, Milford, MA, USA). Supplementary Figures (SF1, SF2, and SF3, SF4) show chromatograms related to blank and spiked samples, respectively for urine and plasma sample types.</w:t>
      </w:r>
    </w:p>
    <w:p w14:paraId="3794A3B6" w14:textId="77777777" w:rsidR="00CA5F37" w:rsidRDefault="00CA5F37" w:rsidP="00BD0FC8">
      <w:pPr>
        <w:pStyle w:val="MDPI31text"/>
      </w:pPr>
    </w:p>
    <w:p w14:paraId="268F25D5" w14:textId="77777777" w:rsidR="00CA5F37" w:rsidRDefault="00CA5F37" w:rsidP="00BD0FC8">
      <w:pPr>
        <w:pStyle w:val="MDPI31text"/>
      </w:pPr>
    </w:p>
    <w:p w14:paraId="7ABB8F7C" w14:textId="6706B223" w:rsidR="00E06939" w:rsidRDefault="00E06939" w:rsidP="00BD0FC8">
      <w:pPr>
        <w:pStyle w:val="MDPI21heading1"/>
      </w:pPr>
      <w:r w:rsidRPr="00540144">
        <w:rPr>
          <w:noProof/>
          <w:lang w:val="it-IT" w:eastAsia="it-IT" w:bidi="ar-SA"/>
        </w:rPr>
        <w:drawing>
          <wp:inline distT="0" distB="0" distL="0" distR="0" wp14:anchorId="06ECCDA6" wp14:editId="5D49F161">
            <wp:extent cx="4573815" cy="2014238"/>
            <wp:effectExtent l="0" t="0" r="0" b="5080"/>
            <wp:docPr id="1273226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472" cy="2033464"/>
                    </a:xfrm>
                    <a:prstGeom prst="rect">
                      <a:avLst/>
                    </a:prstGeom>
                    <a:noFill/>
                    <a:ln>
                      <a:noFill/>
                    </a:ln>
                  </pic:spPr>
                </pic:pic>
              </a:graphicData>
            </a:graphic>
          </wp:inline>
        </w:drawing>
      </w:r>
    </w:p>
    <w:p w14:paraId="6393116C" w14:textId="452BE564" w:rsidR="00CA5F37" w:rsidRDefault="00C67D47" w:rsidP="00CA5F37">
      <w:pPr>
        <w:pStyle w:val="MDPI21heading1"/>
        <w:rPr>
          <w:b w:val="0"/>
          <w:bCs/>
          <w:sz w:val="18"/>
          <w:szCs w:val="18"/>
        </w:rPr>
      </w:pPr>
      <w:r>
        <w:rPr>
          <w:bCs/>
          <w:sz w:val="18"/>
          <w:szCs w:val="18"/>
        </w:rPr>
        <w:t>Figure</w:t>
      </w:r>
      <w:r w:rsidR="00E06939" w:rsidRPr="009F3F84">
        <w:rPr>
          <w:bCs/>
          <w:sz w:val="18"/>
          <w:szCs w:val="18"/>
        </w:rPr>
        <w:t xml:space="preserve"> S</w:t>
      </w:r>
      <w:r>
        <w:rPr>
          <w:bCs/>
          <w:sz w:val="18"/>
          <w:szCs w:val="18"/>
        </w:rPr>
        <w:t>1</w:t>
      </w:r>
      <w:r w:rsidR="00E06939" w:rsidRPr="009F3F84">
        <w:rPr>
          <w:bCs/>
          <w:sz w:val="18"/>
          <w:szCs w:val="18"/>
        </w:rPr>
        <w:t xml:space="preserve">. </w:t>
      </w:r>
      <w:r w:rsidR="00E11DE2" w:rsidRPr="00632B25">
        <w:rPr>
          <w:b w:val="0"/>
          <w:bCs/>
          <w:sz w:val="18"/>
          <w:szCs w:val="18"/>
        </w:rPr>
        <w:t>Chromatographic separation of brimonidine in a urine sample used as a blank sample type.</w:t>
      </w:r>
      <w:r w:rsidR="00632B25" w:rsidRPr="00632B25">
        <w:rPr>
          <w:b w:val="0"/>
          <w:bCs/>
          <w:sz w:val="18"/>
          <w:szCs w:val="18"/>
        </w:rPr>
        <w:t xml:space="preserve"> </w:t>
      </w:r>
      <w:r w:rsidR="007C5230" w:rsidRPr="00632B25">
        <w:rPr>
          <w:b w:val="0"/>
          <w:bCs/>
          <w:sz w:val="18"/>
          <w:szCs w:val="18"/>
        </w:rPr>
        <w:t xml:space="preserve">Chromatographic separation of brimonidine (quantifier), </w:t>
      </w:r>
      <w:proofErr w:type="spellStart"/>
      <w:r w:rsidR="007C5230" w:rsidRPr="00632B25">
        <w:rPr>
          <w:b w:val="0"/>
          <w:bCs/>
          <w:sz w:val="18"/>
          <w:szCs w:val="18"/>
        </w:rPr>
        <w:t>brimodine</w:t>
      </w:r>
      <w:proofErr w:type="spellEnd"/>
      <w:r w:rsidR="007C5230" w:rsidRPr="00632B25">
        <w:rPr>
          <w:b w:val="0"/>
          <w:bCs/>
          <w:sz w:val="18"/>
          <w:szCs w:val="18"/>
        </w:rPr>
        <w:t xml:space="preserve"> (qualifier), and internal standard Brimonidine-d4 in a urine sample used as a blank urine in the optimization step.</w:t>
      </w:r>
    </w:p>
    <w:p w14:paraId="48E716C1" w14:textId="77777777" w:rsidR="00CA5F37" w:rsidRDefault="00CA5F37" w:rsidP="00CA5F37">
      <w:pPr>
        <w:pStyle w:val="MDPI21heading1"/>
        <w:rPr>
          <w:b w:val="0"/>
          <w:bCs/>
          <w:sz w:val="18"/>
          <w:szCs w:val="18"/>
        </w:rPr>
      </w:pPr>
    </w:p>
    <w:p w14:paraId="6194602E" w14:textId="77777777" w:rsidR="00CA5F37" w:rsidRDefault="00CA5F37" w:rsidP="00CA5F37">
      <w:pPr>
        <w:pStyle w:val="MDPI21heading1"/>
        <w:rPr>
          <w:b w:val="0"/>
          <w:bCs/>
          <w:sz w:val="18"/>
          <w:szCs w:val="18"/>
        </w:rPr>
      </w:pPr>
    </w:p>
    <w:p w14:paraId="341AC2AA" w14:textId="77777777" w:rsidR="00CA5F37" w:rsidRPr="00CA5F37" w:rsidRDefault="00CA5F37" w:rsidP="00CA5F37">
      <w:pPr>
        <w:pStyle w:val="MDPI21heading1"/>
        <w:rPr>
          <w:b w:val="0"/>
          <w:bCs/>
          <w:sz w:val="18"/>
          <w:szCs w:val="18"/>
        </w:rPr>
      </w:pPr>
    </w:p>
    <w:p w14:paraId="30C4DB6A" w14:textId="77777777" w:rsidR="00CA5F37" w:rsidRDefault="00512AC3" w:rsidP="00CA5F37">
      <w:pPr>
        <w:pStyle w:val="MDPI21heading1"/>
        <w:rPr>
          <w:bCs/>
          <w:sz w:val="18"/>
          <w:szCs w:val="18"/>
        </w:rPr>
      </w:pPr>
      <w:r w:rsidRPr="00A661BF">
        <w:rPr>
          <w:noProof/>
          <w:lang w:val="it-IT" w:eastAsia="it-IT" w:bidi="ar-SA"/>
        </w:rPr>
        <w:drawing>
          <wp:inline distT="0" distB="0" distL="0" distR="0" wp14:anchorId="6E65A7BC" wp14:editId="6ED8F642">
            <wp:extent cx="4573270" cy="201399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9396" cy="2029907"/>
                    </a:xfrm>
                    <a:prstGeom prst="rect">
                      <a:avLst/>
                    </a:prstGeom>
                    <a:noFill/>
                    <a:ln>
                      <a:noFill/>
                    </a:ln>
                  </pic:spPr>
                </pic:pic>
              </a:graphicData>
            </a:graphic>
          </wp:inline>
        </w:drawing>
      </w:r>
    </w:p>
    <w:p w14:paraId="478BA070" w14:textId="1A224BDB" w:rsidR="00512AC3" w:rsidRDefault="00512AC3" w:rsidP="00CA5F37">
      <w:pPr>
        <w:pStyle w:val="MDPI21heading1"/>
        <w:rPr>
          <w:b w:val="0"/>
          <w:bCs/>
          <w:sz w:val="18"/>
          <w:szCs w:val="18"/>
        </w:rPr>
      </w:pPr>
      <w:r>
        <w:rPr>
          <w:bCs/>
          <w:sz w:val="18"/>
          <w:szCs w:val="18"/>
        </w:rPr>
        <w:t>Figure</w:t>
      </w:r>
      <w:r w:rsidRPr="009F3F84">
        <w:rPr>
          <w:bCs/>
          <w:sz w:val="18"/>
          <w:szCs w:val="18"/>
        </w:rPr>
        <w:t xml:space="preserve"> S</w:t>
      </w:r>
      <w:r>
        <w:rPr>
          <w:bCs/>
          <w:sz w:val="18"/>
          <w:szCs w:val="18"/>
        </w:rPr>
        <w:t>2</w:t>
      </w:r>
      <w:r w:rsidRPr="009F3F84">
        <w:rPr>
          <w:bCs/>
          <w:sz w:val="18"/>
          <w:szCs w:val="18"/>
        </w:rPr>
        <w:t xml:space="preserve">. </w:t>
      </w:r>
      <w:r w:rsidR="006C62E0" w:rsidRPr="006C62E0">
        <w:rPr>
          <w:b w:val="0"/>
          <w:sz w:val="18"/>
          <w:szCs w:val="18"/>
        </w:rPr>
        <w:t xml:space="preserve">Chromatographic separation of brimonidine in a </w:t>
      </w:r>
      <w:r w:rsidR="004C7F40">
        <w:rPr>
          <w:b w:val="0"/>
          <w:sz w:val="18"/>
          <w:szCs w:val="18"/>
        </w:rPr>
        <w:t xml:space="preserve">blank </w:t>
      </w:r>
      <w:r w:rsidR="006C62E0" w:rsidRPr="006C62E0">
        <w:rPr>
          <w:b w:val="0"/>
          <w:sz w:val="18"/>
          <w:szCs w:val="18"/>
        </w:rPr>
        <w:t xml:space="preserve">urine </w:t>
      </w:r>
      <w:r w:rsidR="004C7F40">
        <w:rPr>
          <w:b w:val="0"/>
          <w:sz w:val="18"/>
          <w:szCs w:val="18"/>
        </w:rPr>
        <w:t xml:space="preserve">spiked </w:t>
      </w:r>
      <w:r w:rsidR="006C62E0" w:rsidRPr="006C62E0">
        <w:rPr>
          <w:b w:val="0"/>
          <w:sz w:val="18"/>
          <w:szCs w:val="18"/>
        </w:rPr>
        <w:t>sample.</w:t>
      </w:r>
      <w:r w:rsidR="004C7F40">
        <w:rPr>
          <w:b w:val="0"/>
          <w:sz w:val="18"/>
          <w:szCs w:val="18"/>
        </w:rPr>
        <w:t xml:space="preserve"> </w:t>
      </w:r>
      <w:r w:rsidR="003356B0" w:rsidRPr="004C7F40">
        <w:rPr>
          <w:b w:val="0"/>
          <w:bCs/>
          <w:sz w:val="18"/>
          <w:szCs w:val="18"/>
        </w:rPr>
        <w:t xml:space="preserve">Chromatographic separation of brimonidine (quantifier), </w:t>
      </w:r>
      <w:proofErr w:type="spellStart"/>
      <w:r w:rsidR="003356B0" w:rsidRPr="004C7F40">
        <w:rPr>
          <w:b w:val="0"/>
          <w:bCs/>
          <w:sz w:val="18"/>
          <w:szCs w:val="18"/>
        </w:rPr>
        <w:t>brimodine</w:t>
      </w:r>
      <w:proofErr w:type="spellEnd"/>
      <w:r w:rsidR="003356B0" w:rsidRPr="004C7F40">
        <w:rPr>
          <w:b w:val="0"/>
          <w:bCs/>
          <w:sz w:val="18"/>
          <w:szCs w:val="18"/>
        </w:rPr>
        <w:t xml:space="preserve"> (qualifier), and internal standard Brimonidine-d4 in a urine blank sample spiked with Brimonidine 1 ng/</w:t>
      </w:r>
      <w:proofErr w:type="spellStart"/>
      <w:r w:rsidR="003356B0" w:rsidRPr="004C7F40">
        <w:rPr>
          <w:b w:val="0"/>
          <w:bCs/>
          <w:sz w:val="18"/>
          <w:szCs w:val="18"/>
        </w:rPr>
        <w:t>mL.</w:t>
      </w:r>
      <w:proofErr w:type="spellEnd"/>
    </w:p>
    <w:p w14:paraId="4D5A662A" w14:textId="77777777" w:rsidR="00CA5F37" w:rsidRPr="00CA5F37" w:rsidRDefault="00CA5F37" w:rsidP="00CA5F37">
      <w:pPr>
        <w:pStyle w:val="MDPI21heading1"/>
      </w:pPr>
    </w:p>
    <w:p w14:paraId="661E280C" w14:textId="439F2FC1" w:rsidR="00512AC3" w:rsidRDefault="00786358" w:rsidP="00BD0FC8">
      <w:pPr>
        <w:pStyle w:val="MDPI21heading1"/>
      </w:pPr>
      <w:r w:rsidRPr="00B26DE2">
        <w:rPr>
          <w:noProof/>
          <w:lang w:val="it-IT" w:eastAsia="it-IT" w:bidi="ar-SA"/>
        </w:rPr>
        <w:drawing>
          <wp:inline distT="0" distB="0" distL="0" distR="0" wp14:anchorId="4CF7DFEC" wp14:editId="006F7C78">
            <wp:extent cx="4573813" cy="2014237"/>
            <wp:effectExtent l="0" t="0" r="0" b="5080"/>
            <wp:docPr id="581378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4464" cy="2049754"/>
                    </a:xfrm>
                    <a:prstGeom prst="rect">
                      <a:avLst/>
                    </a:prstGeom>
                    <a:noFill/>
                    <a:ln>
                      <a:noFill/>
                    </a:ln>
                  </pic:spPr>
                </pic:pic>
              </a:graphicData>
            </a:graphic>
          </wp:inline>
        </w:drawing>
      </w:r>
    </w:p>
    <w:p w14:paraId="6217AD6A" w14:textId="1808D2FE" w:rsidR="00786358" w:rsidRDefault="00786358" w:rsidP="00786358">
      <w:pPr>
        <w:pStyle w:val="MDPI21heading1"/>
        <w:rPr>
          <w:b w:val="0"/>
          <w:bCs/>
          <w:sz w:val="18"/>
          <w:szCs w:val="18"/>
        </w:rPr>
      </w:pPr>
      <w:r>
        <w:rPr>
          <w:bCs/>
          <w:sz w:val="18"/>
          <w:szCs w:val="18"/>
        </w:rPr>
        <w:t>Figure</w:t>
      </w:r>
      <w:r w:rsidRPr="009F3F84">
        <w:rPr>
          <w:bCs/>
          <w:sz w:val="18"/>
          <w:szCs w:val="18"/>
        </w:rPr>
        <w:t xml:space="preserve"> S</w:t>
      </w:r>
      <w:r>
        <w:rPr>
          <w:bCs/>
          <w:sz w:val="18"/>
          <w:szCs w:val="18"/>
        </w:rPr>
        <w:t>3</w:t>
      </w:r>
      <w:r w:rsidRPr="009F3F84">
        <w:rPr>
          <w:bCs/>
          <w:sz w:val="18"/>
          <w:szCs w:val="18"/>
        </w:rPr>
        <w:t xml:space="preserve">. </w:t>
      </w:r>
      <w:r w:rsidR="004C7F40" w:rsidRPr="002F3E8E">
        <w:rPr>
          <w:b w:val="0"/>
          <w:bCs/>
          <w:sz w:val="18"/>
          <w:szCs w:val="18"/>
        </w:rPr>
        <w:t xml:space="preserve">Chromatographic separation of brimonidine in a </w:t>
      </w:r>
      <w:r w:rsidR="002F3E8E" w:rsidRPr="002F3E8E">
        <w:rPr>
          <w:b w:val="0"/>
          <w:bCs/>
          <w:sz w:val="18"/>
          <w:szCs w:val="18"/>
        </w:rPr>
        <w:t>plasma</w:t>
      </w:r>
      <w:r w:rsidR="004C7F40" w:rsidRPr="002F3E8E">
        <w:rPr>
          <w:b w:val="0"/>
          <w:bCs/>
          <w:sz w:val="18"/>
          <w:szCs w:val="18"/>
        </w:rPr>
        <w:t xml:space="preserve"> sample used as a blank sample type.</w:t>
      </w:r>
      <w:r w:rsidR="002F3E8E" w:rsidRPr="002F3E8E">
        <w:rPr>
          <w:b w:val="0"/>
          <w:bCs/>
          <w:sz w:val="18"/>
          <w:szCs w:val="18"/>
        </w:rPr>
        <w:t xml:space="preserve"> </w:t>
      </w:r>
      <w:r w:rsidR="00FD646B" w:rsidRPr="002F3E8E">
        <w:rPr>
          <w:b w:val="0"/>
          <w:bCs/>
          <w:sz w:val="18"/>
          <w:szCs w:val="18"/>
        </w:rPr>
        <w:t xml:space="preserve">Chromatographic separation of brimonidine (quantifier), </w:t>
      </w:r>
      <w:proofErr w:type="spellStart"/>
      <w:r w:rsidR="00FD646B" w:rsidRPr="002F3E8E">
        <w:rPr>
          <w:b w:val="0"/>
          <w:bCs/>
          <w:sz w:val="18"/>
          <w:szCs w:val="18"/>
        </w:rPr>
        <w:t>brimodine</w:t>
      </w:r>
      <w:proofErr w:type="spellEnd"/>
      <w:r w:rsidR="00FD646B" w:rsidRPr="002F3E8E">
        <w:rPr>
          <w:b w:val="0"/>
          <w:bCs/>
          <w:sz w:val="18"/>
          <w:szCs w:val="18"/>
        </w:rPr>
        <w:t xml:space="preserve"> (qualifier), and internal standard Brimonidine-d4 in a plasma sample used as a blank plasma in the optimization step.</w:t>
      </w:r>
    </w:p>
    <w:p w14:paraId="69870EF9" w14:textId="77777777" w:rsidR="00CA5F37" w:rsidRDefault="00CA5F37" w:rsidP="00786358">
      <w:pPr>
        <w:pStyle w:val="MDPI21heading1"/>
        <w:rPr>
          <w:b w:val="0"/>
          <w:bCs/>
          <w:i/>
          <w:iCs/>
          <w:sz w:val="18"/>
          <w:szCs w:val="18"/>
        </w:rPr>
      </w:pPr>
    </w:p>
    <w:p w14:paraId="2CE8753D" w14:textId="199A693B" w:rsidR="00786358" w:rsidRDefault="00F60362" w:rsidP="00BD0FC8">
      <w:pPr>
        <w:pStyle w:val="MDPI21heading1"/>
      </w:pPr>
      <w:r w:rsidRPr="00717ACC">
        <w:rPr>
          <w:noProof/>
          <w:lang w:val="it-IT" w:eastAsia="it-IT" w:bidi="ar-SA"/>
        </w:rPr>
        <w:drawing>
          <wp:inline distT="0" distB="0" distL="0" distR="0" wp14:anchorId="53C3AAF7" wp14:editId="11F5B84D">
            <wp:extent cx="4588336" cy="2020633"/>
            <wp:effectExtent l="0" t="0" r="0" b="0"/>
            <wp:docPr id="13625604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0445" cy="2043581"/>
                    </a:xfrm>
                    <a:prstGeom prst="rect">
                      <a:avLst/>
                    </a:prstGeom>
                    <a:noFill/>
                    <a:ln>
                      <a:noFill/>
                    </a:ln>
                  </pic:spPr>
                </pic:pic>
              </a:graphicData>
            </a:graphic>
          </wp:inline>
        </w:drawing>
      </w:r>
    </w:p>
    <w:p w14:paraId="6BB3216B" w14:textId="2D91B2AF" w:rsidR="00247DDB" w:rsidRPr="00CA5F37" w:rsidRDefault="00F60362" w:rsidP="00CA5F37">
      <w:pPr>
        <w:pStyle w:val="MDPI21heading1"/>
        <w:rPr>
          <w:b w:val="0"/>
          <w:bCs/>
          <w:i/>
          <w:iCs/>
          <w:sz w:val="18"/>
          <w:szCs w:val="18"/>
        </w:rPr>
      </w:pPr>
      <w:r>
        <w:rPr>
          <w:bCs/>
          <w:sz w:val="18"/>
          <w:szCs w:val="18"/>
        </w:rPr>
        <w:t>Figure</w:t>
      </w:r>
      <w:r w:rsidRPr="009F3F84">
        <w:rPr>
          <w:bCs/>
          <w:sz w:val="18"/>
          <w:szCs w:val="18"/>
        </w:rPr>
        <w:t xml:space="preserve"> S</w:t>
      </w:r>
      <w:r>
        <w:rPr>
          <w:bCs/>
          <w:sz w:val="18"/>
          <w:szCs w:val="18"/>
        </w:rPr>
        <w:t>4</w:t>
      </w:r>
      <w:r w:rsidRPr="009F3F84">
        <w:rPr>
          <w:bCs/>
          <w:sz w:val="18"/>
          <w:szCs w:val="18"/>
        </w:rPr>
        <w:t xml:space="preserve">. </w:t>
      </w:r>
      <w:r w:rsidR="002F3E8E" w:rsidRPr="006C62E0">
        <w:rPr>
          <w:b w:val="0"/>
          <w:sz w:val="18"/>
          <w:szCs w:val="18"/>
        </w:rPr>
        <w:t xml:space="preserve">Chromatographic separation of brimonidine in a </w:t>
      </w:r>
      <w:r w:rsidR="002F3E8E">
        <w:rPr>
          <w:b w:val="0"/>
          <w:sz w:val="18"/>
          <w:szCs w:val="18"/>
        </w:rPr>
        <w:t>blank plasma</w:t>
      </w:r>
      <w:r w:rsidR="002F3E8E" w:rsidRPr="006C62E0">
        <w:rPr>
          <w:b w:val="0"/>
          <w:sz w:val="18"/>
          <w:szCs w:val="18"/>
        </w:rPr>
        <w:t xml:space="preserve"> </w:t>
      </w:r>
      <w:r w:rsidR="002F3E8E">
        <w:rPr>
          <w:b w:val="0"/>
          <w:sz w:val="18"/>
          <w:szCs w:val="18"/>
        </w:rPr>
        <w:t xml:space="preserve">spiked </w:t>
      </w:r>
      <w:r w:rsidR="002F3E8E" w:rsidRPr="006C62E0">
        <w:rPr>
          <w:b w:val="0"/>
          <w:sz w:val="18"/>
          <w:szCs w:val="18"/>
        </w:rPr>
        <w:t>sample.</w:t>
      </w:r>
      <w:r w:rsidR="002F3E8E">
        <w:rPr>
          <w:b w:val="0"/>
          <w:sz w:val="18"/>
          <w:szCs w:val="18"/>
        </w:rPr>
        <w:t xml:space="preserve"> </w:t>
      </w:r>
      <w:r w:rsidR="001B2719" w:rsidRPr="002F3E8E">
        <w:rPr>
          <w:b w:val="0"/>
          <w:bCs/>
          <w:sz w:val="18"/>
          <w:szCs w:val="18"/>
        </w:rPr>
        <w:t xml:space="preserve">Chromatographic separation of brimonidine (quantifier), </w:t>
      </w:r>
      <w:proofErr w:type="spellStart"/>
      <w:r w:rsidR="001B2719" w:rsidRPr="002F3E8E">
        <w:rPr>
          <w:b w:val="0"/>
          <w:bCs/>
          <w:sz w:val="18"/>
          <w:szCs w:val="18"/>
        </w:rPr>
        <w:t>brimodine</w:t>
      </w:r>
      <w:proofErr w:type="spellEnd"/>
      <w:r w:rsidR="001B2719" w:rsidRPr="002F3E8E">
        <w:rPr>
          <w:b w:val="0"/>
          <w:bCs/>
          <w:sz w:val="18"/>
          <w:szCs w:val="18"/>
        </w:rPr>
        <w:t xml:space="preserve"> (qualifier), and internal standard Brimonidine-d4 in a plasma blank sample spiked with Brimonidine 0.25 ng/</w:t>
      </w:r>
      <w:proofErr w:type="spellStart"/>
      <w:r w:rsidR="001B2719" w:rsidRPr="002F3E8E">
        <w:rPr>
          <w:b w:val="0"/>
          <w:bCs/>
          <w:sz w:val="18"/>
          <w:szCs w:val="18"/>
        </w:rPr>
        <w:t>mL.</w:t>
      </w:r>
      <w:proofErr w:type="spellEnd"/>
    </w:p>
    <w:sectPr w:rsidR="00247DDB" w:rsidRPr="00CA5F37" w:rsidSect="00DB69EB">
      <w:headerReference w:type="even" r:id="rId17"/>
      <w:headerReference w:type="default" r:id="rId18"/>
      <w:footerReference w:type="default" r:id="rId19"/>
      <w:headerReference w:type="first" r:id="rId20"/>
      <w:footerReference w:type="first" r:id="rId21"/>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75387" w14:textId="77777777" w:rsidR="00371F71" w:rsidRDefault="00371F71">
      <w:pPr>
        <w:spacing w:line="240" w:lineRule="auto"/>
      </w:pPr>
      <w:r>
        <w:separator/>
      </w:r>
    </w:p>
  </w:endnote>
  <w:endnote w:type="continuationSeparator" w:id="0">
    <w:p w14:paraId="4EF3B31E" w14:textId="77777777" w:rsidR="00371F71" w:rsidRDefault="00371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2452" w14:textId="77777777" w:rsidR="00296510" w:rsidRPr="000851C2" w:rsidRDefault="00296510" w:rsidP="00296510">
    <w:pPr>
      <w:pStyle w:val="Pidipa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5CC6" w14:textId="77777777" w:rsidR="006D1911" w:rsidRDefault="006D1911" w:rsidP="00574717">
    <w:pPr>
      <w:pBdr>
        <w:top w:val="single" w:sz="4" w:space="0" w:color="000000"/>
      </w:pBdr>
      <w:tabs>
        <w:tab w:val="right" w:pos="8844"/>
      </w:tabs>
      <w:adjustRightInd w:val="0"/>
      <w:snapToGrid w:val="0"/>
      <w:spacing w:before="480" w:line="100" w:lineRule="exact"/>
      <w:jc w:val="left"/>
      <w:rPr>
        <w:i/>
        <w:sz w:val="16"/>
        <w:szCs w:val="16"/>
      </w:rPr>
    </w:pPr>
  </w:p>
  <w:p w14:paraId="7878FFC7" w14:textId="77777777" w:rsidR="00296510" w:rsidRPr="002660EC" w:rsidRDefault="00296510" w:rsidP="00CA30BE">
    <w:pPr>
      <w:tabs>
        <w:tab w:val="right" w:pos="10466"/>
      </w:tabs>
      <w:adjustRightInd w:val="0"/>
      <w:snapToGrid w:val="0"/>
      <w:spacing w:line="240" w:lineRule="auto"/>
      <w:rPr>
        <w:sz w:val="16"/>
        <w:szCs w:val="16"/>
      </w:rPr>
    </w:pPr>
    <w:r w:rsidRPr="009A5EED">
      <w:rPr>
        <w:i/>
        <w:sz w:val="16"/>
        <w:szCs w:val="16"/>
      </w:rPr>
      <w:t>Children</w:t>
    </w:r>
    <w:r>
      <w:rPr>
        <w:i/>
        <w:sz w:val="16"/>
        <w:szCs w:val="16"/>
      </w:rPr>
      <w:t xml:space="preserve"> </w:t>
    </w:r>
    <w:r w:rsidR="00AC7CA2">
      <w:rPr>
        <w:b/>
        <w:bCs/>
        <w:iCs/>
        <w:sz w:val="16"/>
        <w:szCs w:val="16"/>
      </w:rPr>
      <w:t>2024</w:t>
    </w:r>
    <w:r w:rsidR="000E53D6" w:rsidRPr="000E53D6">
      <w:rPr>
        <w:bCs/>
        <w:iCs/>
        <w:sz w:val="16"/>
        <w:szCs w:val="16"/>
      </w:rPr>
      <w:t>,</w:t>
    </w:r>
    <w:r w:rsidR="00AC7CA2">
      <w:rPr>
        <w:bCs/>
        <w:i/>
        <w:iCs/>
        <w:sz w:val="16"/>
        <w:szCs w:val="16"/>
      </w:rPr>
      <w:t xml:space="preserve"> 11</w:t>
    </w:r>
    <w:r w:rsidR="000E53D6" w:rsidRPr="000E53D6">
      <w:rPr>
        <w:bCs/>
        <w:iCs/>
        <w:sz w:val="16"/>
        <w:szCs w:val="16"/>
      </w:rPr>
      <w:t xml:space="preserve">, </w:t>
    </w:r>
    <w:r w:rsidR="0019231D">
      <w:rPr>
        <w:bCs/>
        <w:iCs/>
        <w:sz w:val="16"/>
        <w:szCs w:val="16"/>
      </w:rPr>
      <w:t>x</w:t>
    </w:r>
    <w:r w:rsidR="006D1911">
      <w:rPr>
        <w:bCs/>
        <w:iCs/>
        <w:sz w:val="16"/>
        <w:szCs w:val="16"/>
      </w:rPr>
      <w:t>. https://doi.org/10.3390/xxxxx</w:t>
    </w:r>
    <w:r w:rsidR="00CA30BE" w:rsidRPr="002660EC">
      <w:rPr>
        <w:sz w:val="16"/>
        <w:szCs w:val="16"/>
      </w:rPr>
      <w:tab/>
    </w:r>
    <w:r w:rsidRPr="002660EC">
      <w:rPr>
        <w:sz w:val="16"/>
        <w:szCs w:val="16"/>
      </w:rPr>
      <w:t>www.mdpi.com/journal/</w:t>
    </w:r>
    <w:r w:rsidRPr="009A5EED">
      <w:rPr>
        <w:sz w:val="16"/>
        <w:szCs w:val="16"/>
      </w:rPr>
      <w:t>children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91BD0" w14:textId="77777777" w:rsidR="00371F71" w:rsidRDefault="00371F71">
      <w:pPr>
        <w:spacing w:line="240" w:lineRule="auto"/>
      </w:pPr>
      <w:r>
        <w:separator/>
      </w:r>
    </w:p>
  </w:footnote>
  <w:footnote w:type="continuationSeparator" w:id="0">
    <w:p w14:paraId="260CC2B6" w14:textId="77777777" w:rsidR="00371F71" w:rsidRDefault="00371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33CA" w14:textId="77777777" w:rsidR="00296510" w:rsidRDefault="00296510" w:rsidP="00296510">
    <w:pPr>
      <w:pStyle w:val="Intestazion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1E89" w14:textId="02CB6148" w:rsidR="006D1911" w:rsidRDefault="00296510" w:rsidP="00CA30BE">
    <w:pPr>
      <w:tabs>
        <w:tab w:val="right" w:pos="10466"/>
      </w:tabs>
      <w:adjustRightInd w:val="0"/>
      <w:snapToGrid w:val="0"/>
      <w:spacing w:line="240" w:lineRule="auto"/>
      <w:rPr>
        <w:sz w:val="16"/>
      </w:rPr>
    </w:pPr>
    <w:r>
      <w:rPr>
        <w:i/>
        <w:sz w:val="16"/>
      </w:rPr>
      <w:t xml:space="preserve">Children </w:t>
    </w:r>
    <w:r w:rsidR="00AC7CA2">
      <w:rPr>
        <w:b/>
        <w:sz w:val="16"/>
      </w:rPr>
      <w:t>2024</w:t>
    </w:r>
    <w:r w:rsidR="000E53D6" w:rsidRPr="000E53D6">
      <w:rPr>
        <w:sz w:val="16"/>
      </w:rPr>
      <w:t>,</w:t>
    </w:r>
    <w:r w:rsidR="00AC7CA2">
      <w:rPr>
        <w:i/>
        <w:sz w:val="16"/>
      </w:rPr>
      <w:t xml:space="preserve"> 11</w:t>
    </w:r>
    <w:r w:rsidR="0019231D">
      <w:rPr>
        <w:sz w:val="16"/>
      </w:rPr>
      <w:t>, x FOR PEER REVIEW</w:t>
    </w:r>
    <w:r w:rsidR="00CA30BE">
      <w:rPr>
        <w:sz w:val="16"/>
      </w:rPr>
      <w:tab/>
    </w:r>
    <w:r w:rsidR="0019231D">
      <w:rPr>
        <w:sz w:val="16"/>
      </w:rPr>
      <w:fldChar w:fldCharType="begin"/>
    </w:r>
    <w:r w:rsidR="0019231D">
      <w:rPr>
        <w:sz w:val="16"/>
      </w:rPr>
      <w:instrText xml:space="preserve"> PAGE   \* MERGEFORMAT </w:instrText>
    </w:r>
    <w:r w:rsidR="0019231D">
      <w:rPr>
        <w:sz w:val="16"/>
      </w:rPr>
      <w:fldChar w:fldCharType="separate"/>
    </w:r>
    <w:r w:rsidR="001F2723">
      <w:rPr>
        <w:sz w:val="16"/>
      </w:rPr>
      <w:t>4</w:t>
    </w:r>
    <w:r w:rsidR="0019231D">
      <w:rPr>
        <w:sz w:val="16"/>
      </w:rPr>
      <w:fldChar w:fldCharType="end"/>
    </w:r>
    <w:r w:rsidR="0019231D">
      <w:rPr>
        <w:sz w:val="16"/>
      </w:rPr>
      <w:t xml:space="preserve"> of </w:t>
    </w:r>
    <w:r w:rsidR="0019231D">
      <w:rPr>
        <w:sz w:val="16"/>
      </w:rPr>
      <w:fldChar w:fldCharType="begin"/>
    </w:r>
    <w:r w:rsidR="0019231D">
      <w:rPr>
        <w:sz w:val="16"/>
      </w:rPr>
      <w:instrText xml:space="preserve"> NUMPAGES   \* MERGEFORMAT </w:instrText>
    </w:r>
    <w:r w:rsidR="0019231D">
      <w:rPr>
        <w:sz w:val="16"/>
      </w:rPr>
      <w:fldChar w:fldCharType="separate"/>
    </w:r>
    <w:r w:rsidR="001F2723">
      <w:rPr>
        <w:sz w:val="16"/>
      </w:rPr>
      <w:t>4</w:t>
    </w:r>
    <w:r w:rsidR="0019231D">
      <w:rPr>
        <w:sz w:val="16"/>
      </w:rPr>
      <w:fldChar w:fldCharType="end"/>
    </w:r>
  </w:p>
  <w:p w14:paraId="1BA65D91" w14:textId="77777777" w:rsidR="00296510" w:rsidRPr="007E7692" w:rsidRDefault="00296510" w:rsidP="0057471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6D1911" w:rsidRPr="00CA30BE" w14:paraId="24EA6BE0" w14:textId="77777777" w:rsidTr="007E15A0">
      <w:trPr>
        <w:trHeight w:val="686"/>
      </w:trPr>
      <w:tc>
        <w:tcPr>
          <w:tcW w:w="3679" w:type="dxa"/>
          <w:shd w:val="clear" w:color="auto" w:fill="auto"/>
          <w:vAlign w:val="center"/>
        </w:tcPr>
        <w:p w14:paraId="117B0840" w14:textId="77777777" w:rsidR="006D1911" w:rsidRPr="00954999" w:rsidRDefault="002A2EF9" w:rsidP="00CA30BE">
          <w:pPr>
            <w:pStyle w:val="Intestazione"/>
            <w:pBdr>
              <w:bottom w:val="none" w:sz="0" w:space="0" w:color="auto"/>
            </w:pBdr>
            <w:jc w:val="left"/>
            <w:rPr>
              <w:rFonts w:eastAsia="DengXian"/>
              <w:b/>
              <w:bCs/>
            </w:rPr>
          </w:pPr>
          <w:r w:rsidRPr="00954999">
            <w:rPr>
              <w:rFonts w:eastAsia="DengXian"/>
              <w:b/>
              <w:bCs/>
              <w:lang w:val="it-IT" w:eastAsia="it-IT"/>
            </w:rPr>
            <w:drawing>
              <wp:inline distT="0" distB="0" distL="0" distR="0" wp14:anchorId="178C523D" wp14:editId="7D3BAF6B">
                <wp:extent cx="1537970" cy="436245"/>
                <wp:effectExtent l="0" t="0" r="0" b="0"/>
                <wp:docPr id="1" name="Picture 3" descr="C:\Users\home\AppData\Local\Temp\HZ$D.082.3284\childr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284\childre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436245"/>
                        </a:xfrm>
                        <a:prstGeom prst="rect">
                          <a:avLst/>
                        </a:prstGeom>
                        <a:noFill/>
                        <a:ln>
                          <a:noFill/>
                        </a:ln>
                      </pic:spPr>
                    </pic:pic>
                  </a:graphicData>
                </a:graphic>
              </wp:inline>
            </w:drawing>
          </w:r>
        </w:p>
      </w:tc>
      <w:tc>
        <w:tcPr>
          <w:tcW w:w="4535" w:type="dxa"/>
          <w:shd w:val="clear" w:color="auto" w:fill="auto"/>
          <w:vAlign w:val="center"/>
        </w:tcPr>
        <w:p w14:paraId="37F843E3" w14:textId="77777777" w:rsidR="006D1911" w:rsidRPr="00954999" w:rsidRDefault="006D1911" w:rsidP="00CA30BE">
          <w:pPr>
            <w:pStyle w:val="Intestazione"/>
            <w:pBdr>
              <w:bottom w:val="none" w:sz="0" w:space="0" w:color="auto"/>
            </w:pBdr>
            <w:rPr>
              <w:rFonts w:eastAsia="DengXian"/>
              <w:b/>
              <w:bCs/>
            </w:rPr>
          </w:pPr>
        </w:p>
      </w:tc>
      <w:tc>
        <w:tcPr>
          <w:tcW w:w="2273" w:type="dxa"/>
          <w:shd w:val="clear" w:color="auto" w:fill="auto"/>
          <w:vAlign w:val="center"/>
        </w:tcPr>
        <w:p w14:paraId="4A511DA0" w14:textId="77777777" w:rsidR="006D1911" w:rsidRPr="00954999" w:rsidRDefault="007E15A0" w:rsidP="007E15A0">
          <w:pPr>
            <w:pStyle w:val="Intestazione"/>
            <w:pBdr>
              <w:bottom w:val="none" w:sz="0" w:space="0" w:color="auto"/>
            </w:pBdr>
            <w:jc w:val="right"/>
            <w:rPr>
              <w:rFonts w:eastAsia="DengXian"/>
              <w:b/>
              <w:bCs/>
            </w:rPr>
          </w:pPr>
          <w:r>
            <w:rPr>
              <w:rFonts w:eastAsia="DengXian"/>
              <w:b/>
              <w:bCs/>
              <w:lang w:val="it-IT" w:eastAsia="it-IT"/>
            </w:rPr>
            <w:drawing>
              <wp:inline distT="0" distB="0" distL="0" distR="0" wp14:anchorId="75C5A416" wp14:editId="3A34E8BD">
                <wp:extent cx="540000" cy="360000"/>
                <wp:effectExtent l="0" t="0" r="0" b="2540"/>
                <wp:docPr id="1523310763" name="Picture 1"/>
                <wp:cNvGraphicFramePr/>
                <a:graphic xmlns:a="http://schemas.openxmlformats.org/drawingml/2006/main">
                  <a:graphicData uri="http://schemas.openxmlformats.org/drawingml/2006/picture">
                    <pic:pic xmlns:pic="http://schemas.openxmlformats.org/drawingml/2006/picture">
                      <pic:nvPicPr>
                        <pic:cNvPr id="1523310763" name=""/>
                        <pic:cNvPicPr/>
                      </pic:nvPicPr>
                      <pic:blipFill>
                        <a:blip r:embed="rId2"/>
                        <a:stretch>
                          <a:fillRect/>
                        </a:stretch>
                      </pic:blipFill>
                      <pic:spPr>
                        <a:xfrm>
                          <a:off x="0" y="0"/>
                          <a:ext cx="540000" cy="360000"/>
                        </a:xfrm>
                        <a:prstGeom prst="rect">
                          <a:avLst/>
                        </a:prstGeom>
                      </pic:spPr>
                    </pic:pic>
                  </a:graphicData>
                </a:graphic>
              </wp:inline>
            </w:drawing>
          </w:r>
        </w:p>
      </w:tc>
    </w:tr>
  </w:tbl>
  <w:p w14:paraId="503947AA" w14:textId="77777777" w:rsidR="00296510" w:rsidRPr="006D1911" w:rsidRDefault="00296510" w:rsidP="0057471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E632B102"/>
    <w:lvl w:ilvl="0" w:tplc="708E6DC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FB327A18"/>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6DB277C"/>
    <w:multiLevelType w:val="hybridMultilevel"/>
    <w:tmpl w:val="C2BC202A"/>
    <w:lvl w:ilvl="0" w:tplc="BDC0E6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26573"/>
    <w:multiLevelType w:val="hybridMultilevel"/>
    <w:tmpl w:val="4D5E8E60"/>
    <w:lvl w:ilvl="0" w:tplc="25C2CB3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886E47AC"/>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249DB"/>
    <w:multiLevelType w:val="hybridMultilevel"/>
    <w:tmpl w:val="79FA0AD2"/>
    <w:lvl w:ilvl="0" w:tplc="8A6CDCD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4"/>
  </w:num>
  <w:num w:numId="2">
    <w:abstractNumId w:val="6"/>
  </w:num>
  <w:num w:numId="3">
    <w:abstractNumId w:val="3"/>
  </w:num>
  <w:num w:numId="4">
    <w:abstractNumId w:val="5"/>
  </w:num>
  <w:num w:numId="5">
    <w:abstractNumId w:val="10"/>
  </w:num>
  <w:num w:numId="6">
    <w:abstractNumId w:val="2"/>
  </w:num>
  <w:num w:numId="7">
    <w:abstractNumId w:val="10"/>
  </w:num>
  <w:num w:numId="8">
    <w:abstractNumId w:val="2"/>
  </w:num>
  <w:num w:numId="9">
    <w:abstractNumId w:val="1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12"/>
  </w:num>
  <w:num w:numId="15">
    <w:abstractNumId w:val="10"/>
  </w:num>
  <w:num w:numId="16">
    <w:abstractNumId w:val="2"/>
  </w:num>
  <w:num w:numId="17">
    <w:abstractNumId w:val="1"/>
  </w:num>
  <w:num w:numId="18">
    <w:abstractNumId w:val="9"/>
  </w:num>
  <w:num w:numId="19">
    <w:abstractNumId w:val="0"/>
  </w:num>
  <w:num w:numId="20">
    <w:abstractNumId w:val="10"/>
  </w:num>
  <w:num w:numId="21">
    <w:abstractNumId w:val="2"/>
  </w:num>
  <w:num w:numId="22">
    <w:abstractNumId w:val="1"/>
  </w:num>
  <w:num w:numId="23">
    <w:abstractNumId w:val="8"/>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283"/>
  <w:drawingGridHorizontalSpacing w:val="10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EB"/>
    <w:rsid w:val="00037C5F"/>
    <w:rsid w:val="000637E0"/>
    <w:rsid w:val="000642D3"/>
    <w:rsid w:val="00071271"/>
    <w:rsid w:val="0009592D"/>
    <w:rsid w:val="000C0691"/>
    <w:rsid w:val="000E496C"/>
    <w:rsid w:val="000E53D6"/>
    <w:rsid w:val="000F66E5"/>
    <w:rsid w:val="001025B1"/>
    <w:rsid w:val="00104B40"/>
    <w:rsid w:val="001055F7"/>
    <w:rsid w:val="00112F1C"/>
    <w:rsid w:val="00120518"/>
    <w:rsid w:val="00120D74"/>
    <w:rsid w:val="00122FB0"/>
    <w:rsid w:val="00152DD7"/>
    <w:rsid w:val="001618D3"/>
    <w:rsid w:val="00184D02"/>
    <w:rsid w:val="0019231D"/>
    <w:rsid w:val="001A55D4"/>
    <w:rsid w:val="001B205E"/>
    <w:rsid w:val="001B2719"/>
    <w:rsid w:val="001B4A6A"/>
    <w:rsid w:val="001C7B45"/>
    <w:rsid w:val="001D00F6"/>
    <w:rsid w:val="001D252A"/>
    <w:rsid w:val="001D5BD7"/>
    <w:rsid w:val="001E2AEB"/>
    <w:rsid w:val="001F2723"/>
    <w:rsid w:val="00200015"/>
    <w:rsid w:val="002307AB"/>
    <w:rsid w:val="00240E06"/>
    <w:rsid w:val="00243DA9"/>
    <w:rsid w:val="00247DDB"/>
    <w:rsid w:val="00251B11"/>
    <w:rsid w:val="002660EC"/>
    <w:rsid w:val="00273F7C"/>
    <w:rsid w:val="00276EA6"/>
    <w:rsid w:val="00286491"/>
    <w:rsid w:val="00287430"/>
    <w:rsid w:val="002935DE"/>
    <w:rsid w:val="00296510"/>
    <w:rsid w:val="002A2ABF"/>
    <w:rsid w:val="002A2EF9"/>
    <w:rsid w:val="002A32CB"/>
    <w:rsid w:val="002A57D3"/>
    <w:rsid w:val="002A6DB9"/>
    <w:rsid w:val="002B7361"/>
    <w:rsid w:val="002C50F3"/>
    <w:rsid w:val="002E2DE1"/>
    <w:rsid w:val="002F3E8E"/>
    <w:rsid w:val="00326141"/>
    <w:rsid w:val="003356B0"/>
    <w:rsid w:val="00346238"/>
    <w:rsid w:val="00350610"/>
    <w:rsid w:val="00365337"/>
    <w:rsid w:val="00371F71"/>
    <w:rsid w:val="00373406"/>
    <w:rsid w:val="00380F6E"/>
    <w:rsid w:val="00387261"/>
    <w:rsid w:val="00395646"/>
    <w:rsid w:val="003C6D05"/>
    <w:rsid w:val="003D0C68"/>
    <w:rsid w:val="003D35E9"/>
    <w:rsid w:val="003D7C2C"/>
    <w:rsid w:val="003F143C"/>
    <w:rsid w:val="00401D30"/>
    <w:rsid w:val="00414540"/>
    <w:rsid w:val="00420964"/>
    <w:rsid w:val="00425D14"/>
    <w:rsid w:val="00426C0F"/>
    <w:rsid w:val="0043406E"/>
    <w:rsid w:val="00495B17"/>
    <w:rsid w:val="004A77F6"/>
    <w:rsid w:val="004B5CD6"/>
    <w:rsid w:val="004C1CA3"/>
    <w:rsid w:val="004C444D"/>
    <w:rsid w:val="004C4602"/>
    <w:rsid w:val="004C7F40"/>
    <w:rsid w:val="00505D34"/>
    <w:rsid w:val="005061CB"/>
    <w:rsid w:val="00512AC3"/>
    <w:rsid w:val="005218B8"/>
    <w:rsid w:val="00521EFE"/>
    <w:rsid w:val="0054764B"/>
    <w:rsid w:val="005621E7"/>
    <w:rsid w:val="00570E48"/>
    <w:rsid w:val="0057236C"/>
    <w:rsid w:val="00574717"/>
    <w:rsid w:val="005A0E80"/>
    <w:rsid w:val="005C4896"/>
    <w:rsid w:val="005C54EA"/>
    <w:rsid w:val="005D35E8"/>
    <w:rsid w:val="005E6840"/>
    <w:rsid w:val="005F4E42"/>
    <w:rsid w:val="006172F2"/>
    <w:rsid w:val="00632B25"/>
    <w:rsid w:val="00636BA4"/>
    <w:rsid w:val="00657B09"/>
    <w:rsid w:val="00660C1B"/>
    <w:rsid w:val="00661C0A"/>
    <w:rsid w:val="006632E0"/>
    <w:rsid w:val="0067024B"/>
    <w:rsid w:val="00670D09"/>
    <w:rsid w:val="006736BC"/>
    <w:rsid w:val="006802C8"/>
    <w:rsid w:val="00692393"/>
    <w:rsid w:val="006A5FFF"/>
    <w:rsid w:val="006C62E0"/>
    <w:rsid w:val="006D1911"/>
    <w:rsid w:val="006D7724"/>
    <w:rsid w:val="006E3291"/>
    <w:rsid w:val="006F5300"/>
    <w:rsid w:val="006F6CFC"/>
    <w:rsid w:val="007070B6"/>
    <w:rsid w:val="007345A6"/>
    <w:rsid w:val="00736B47"/>
    <w:rsid w:val="007531A9"/>
    <w:rsid w:val="00760C15"/>
    <w:rsid w:val="00773CD5"/>
    <w:rsid w:val="00774401"/>
    <w:rsid w:val="00785DC5"/>
    <w:rsid w:val="00786358"/>
    <w:rsid w:val="00787EE0"/>
    <w:rsid w:val="007964ED"/>
    <w:rsid w:val="00796C97"/>
    <w:rsid w:val="007A2797"/>
    <w:rsid w:val="007A5949"/>
    <w:rsid w:val="007C5230"/>
    <w:rsid w:val="007E15A0"/>
    <w:rsid w:val="007F7EDB"/>
    <w:rsid w:val="008070F8"/>
    <w:rsid w:val="00811CF9"/>
    <w:rsid w:val="0083148D"/>
    <w:rsid w:val="00831588"/>
    <w:rsid w:val="008319D9"/>
    <w:rsid w:val="00837687"/>
    <w:rsid w:val="0085247A"/>
    <w:rsid w:val="00862CA1"/>
    <w:rsid w:val="00865957"/>
    <w:rsid w:val="0086702B"/>
    <w:rsid w:val="00880DD1"/>
    <w:rsid w:val="00887EBA"/>
    <w:rsid w:val="008B3986"/>
    <w:rsid w:val="008E4422"/>
    <w:rsid w:val="00923841"/>
    <w:rsid w:val="009377F9"/>
    <w:rsid w:val="00950A03"/>
    <w:rsid w:val="00954999"/>
    <w:rsid w:val="009731EF"/>
    <w:rsid w:val="009843C1"/>
    <w:rsid w:val="009868C9"/>
    <w:rsid w:val="00987E2F"/>
    <w:rsid w:val="009B3D1C"/>
    <w:rsid w:val="009C6863"/>
    <w:rsid w:val="009F70E6"/>
    <w:rsid w:val="00A32C06"/>
    <w:rsid w:val="00A40EC3"/>
    <w:rsid w:val="00A4245F"/>
    <w:rsid w:val="00A42CE2"/>
    <w:rsid w:val="00A54FE2"/>
    <w:rsid w:val="00A77B78"/>
    <w:rsid w:val="00A90752"/>
    <w:rsid w:val="00AA1FC2"/>
    <w:rsid w:val="00AA77CF"/>
    <w:rsid w:val="00AB444C"/>
    <w:rsid w:val="00AB6DD9"/>
    <w:rsid w:val="00AB7C35"/>
    <w:rsid w:val="00AC7CA2"/>
    <w:rsid w:val="00AF528C"/>
    <w:rsid w:val="00B132F4"/>
    <w:rsid w:val="00B23EAC"/>
    <w:rsid w:val="00B349A9"/>
    <w:rsid w:val="00B776E4"/>
    <w:rsid w:val="00B83A31"/>
    <w:rsid w:val="00B86EA6"/>
    <w:rsid w:val="00BC25F0"/>
    <w:rsid w:val="00BD0FC8"/>
    <w:rsid w:val="00BD649C"/>
    <w:rsid w:val="00BE526C"/>
    <w:rsid w:val="00BE6D8C"/>
    <w:rsid w:val="00C06CB4"/>
    <w:rsid w:val="00C37E57"/>
    <w:rsid w:val="00C37F80"/>
    <w:rsid w:val="00C45E60"/>
    <w:rsid w:val="00C46D60"/>
    <w:rsid w:val="00C4723B"/>
    <w:rsid w:val="00C56911"/>
    <w:rsid w:val="00C67D47"/>
    <w:rsid w:val="00C71C44"/>
    <w:rsid w:val="00C84C4E"/>
    <w:rsid w:val="00C84D3D"/>
    <w:rsid w:val="00CA30BE"/>
    <w:rsid w:val="00CA5F37"/>
    <w:rsid w:val="00CC56AF"/>
    <w:rsid w:val="00CD591D"/>
    <w:rsid w:val="00CE190F"/>
    <w:rsid w:val="00CE7232"/>
    <w:rsid w:val="00CF35C6"/>
    <w:rsid w:val="00D02E18"/>
    <w:rsid w:val="00D16057"/>
    <w:rsid w:val="00D41A5B"/>
    <w:rsid w:val="00D67A18"/>
    <w:rsid w:val="00D86219"/>
    <w:rsid w:val="00D9077D"/>
    <w:rsid w:val="00D90860"/>
    <w:rsid w:val="00D9596D"/>
    <w:rsid w:val="00DA79FE"/>
    <w:rsid w:val="00DB69EB"/>
    <w:rsid w:val="00DC3E15"/>
    <w:rsid w:val="00DC5C13"/>
    <w:rsid w:val="00DC5CE8"/>
    <w:rsid w:val="00DE0E62"/>
    <w:rsid w:val="00DF0EBB"/>
    <w:rsid w:val="00E013A2"/>
    <w:rsid w:val="00E06939"/>
    <w:rsid w:val="00E11DE2"/>
    <w:rsid w:val="00E210F8"/>
    <w:rsid w:val="00E24B76"/>
    <w:rsid w:val="00E26475"/>
    <w:rsid w:val="00E319CE"/>
    <w:rsid w:val="00E71FC8"/>
    <w:rsid w:val="00E721B8"/>
    <w:rsid w:val="00E7277C"/>
    <w:rsid w:val="00E85A00"/>
    <w:rsid w:val="00E87E97"/>
    <w:rsid w:val="00E955D4"/>
    <w:rsid w:val="00EA339B"/>
    <w:rsid w:val="00EB71CD"/>
    <w:rsid w:val="00EF0DEE"/>
    <w:rsid w:val="00F01F2C"/>
    <w:rsid w:val="00F042A3"/>
    <w:rsid w:val="00F143CE"/>
    <w:rsid w:val="00F17817"/>
    <w:rsid w:val="00F27B35"/>
    <w:rsid w:val="00F37747"/>
    <w:rsid w:val="00F429DF"/>
    <w:rsid w:val="00F60362"/>
    <w:rsid w:val="00F647BF"/>
    <w:rsid w:val="00F765E7"/>
    <w:rsid w:val="00F83246"/>
    <w:rsid w:val="00F93874"/>
    <w:rsid w:val="00FA1604"/>
    <w:rsid w:val="00FD0294"/>
    <w:rsid w:val="00FD48AE"/>
    <w:rsid w:val="00FD646B"/>
    <w:rsid w:val="00FF3D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898589"/>
  <w15:chartTrackingRefBased/>
  <w15:docId w15:val="{A59B6AC8-F3E3-034D-947C-F606126A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7DDB"/>
    <w:pPr>
      <w:spacing w:line="260" w:lineRule="atLeast"/>
      <w:jc w:val="both"/>
    </w:pPr>
    <w:rPr>
      <w:rFonts w:ascii="Palatino Linotype" w:hAnsi="Palatino Linotype"/>
      <w:noProof/>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DPI11articletype">
    <w:name w:val="MDPI_1.1_article_type"/>
    <w:next w:val="Normale"/>
    <w:qFormat/>
    <w:rsid w:val="00247DD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e"/>
    <w:qFormat/>
    <w:rsid w:val="00247DD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e"/>
    <w:qFormat/>
    <w:rsid w:val="00247DD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e"/>
    <w:next w:val="Normale"/>
    <w:qFormat/>
    <w:rsid w:val="00247DD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47DD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e"/>
    <w:qFormat/>
    <w:rsid w:val="00247DDB"/>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e"/>
    <w:qFormat/>
    <w:rsid w:val="00247DDB"/>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47DD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lanormale"/>
    <w:uiPriority w:val="99"/>
    <w:rsid w:val="00240E0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gliatabella">
    <w:name w:val="Table Grid"/>
    <w:basedOn w:val="Tabellanormale"/>
    <w:uiPriority w:val="59"/>
    <w:rsid w:val="00247DD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247DDB"/>
    <w:pPr>
      <w:tabs>
        <w:tab w:val="center" w:pos="4153"/>
        <w:tab w:val="right" w:pos="8306"/>
      </w:tabs>
      <w:snapToGrid w:val="0"/>
      <w:spacing w:line="240" w:lineRule="atLeast"/>
    </w:pPr>
    <w:rPr>
      <w:szCs w:val="18"/>
    </w:rPr>
  </w:style>
  <w:style w:type="character" w:customStyle="1" w:styleId="PidipaginaCarattere">
    <w:name w:val="Piè di pagina Carattere"/>
    <w:link w:val="Pidipagina"/>
    <w:uiPriority w:val="99"/>
    <w:rsid w:val="00247DDB"/>
    <w:rPr>
      <w:rFonts w:ascii="Palatino Linotype" w:hAnsi="Palatino Linotype"/>
      <w:noProof/>
      <w:color w:val="000000"/>
      <w:szCs w:val="18"/>
    </w:rPr>
  </w:style>
  <w:style w:type="paragraph" w:styleId="Intestazione">
    <w:name w:val="header"/>
    <w:basedOn w:val="Normale"/>
    <w:link w:val="IntestazioneCarattere"/>
    <w:uiPriority w:val="99"/>
    <w:rsid w:val="00247DDB"/>
    <w:pPr>
      <w:pBdr>
        <w:bottom w:val="single" w:sz="6" w:space="1" w:color="auto"/>
      </w:pBdr>
      <w:tabs>
        <w:tab w:val="center" w:pos="4153"/>
        <w:tab w:val="right" w:pos="8306"/>
      </w:tabs>
      <w:snapToGrid w:val="0"/>
      <w:spacing w:line="240" w:lineRule="atLeast"/>
      <w:jc w:val="center"/>
    </w:pPr>
    <w:rPr>
      <w:szCs w:val="18"/>
    </w:rPr>
  </w:style>
  <w:style w:type="character" w:customStyle="1" w:styleId="IntestazioneCarattere">
    <w:name w:val="Intestazione Carattere"/>
    <w:link w:val="Intestazione"/>
    <w:uiPriority w:val="99"/>
    <w:rsid w:val="00247DDB"/>
    <w:rPr>
      <w:rFonts w:ascii="Palatino Linotype" w:hAnsi="Palatino Linotype"/>
      <w:noProof/>
      <w:color w:val="000000"/>
      <w:szCs w:val="18"/>
    </w:rPr>
  </w:style>
  <w:style w:type="paragraph" w:customStyle="1" w:styleId="MDPIheaderjournallogo">
    <w:name w:val="MDPI_header_journal_logo"/>
    <w:qFormat/>
    <w:rsid w:val="00247DDB"/>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47DDB"/>
    <w:pPr>
      <w:ind w:firstLine="0"/>
    </w:pPr>
  </w:style>
  <w:style w:type="paragraph" w:customStyle="1" w:styleId="MDPI31text">
    <w:name w:val="MDPI_3.1_text"/>
    <w:qFormat/>
    <w:rsid w:val="00C37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47DDB"/>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247DDB"/>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47DD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47DDB"/>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621E7"/>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621E7"/>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47DDB"/>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47DDB"/>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47DD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70D0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47DDB"/>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47DDB"/>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47DD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247DDB"/>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47DDB"/>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247DDB"/>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47DD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47DD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9377F9"/>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stofumetto">
    <w:name w:val="Balloon Text"/>
    <w:basedOn w:val="Normale"/>
    <w:link w:val="TestofumettoCarattere"/>
    <w:uiPriority w:val="99"/>
    <w:rsid w:val="00247DDB"/>
    <w:rPr>
      <w:rFonts w:cs="Tahoma"/>
      <w:szCs w:val="18"/>
    </w:rPr>
  </w:style>
  <w:style w:type="character" w:customStyle="1" w:styleId="TestofumettoCarattere">
    <w:name w:val="Testo fumetto Carattere"/>
    <w:link w:val="Testofumetto"/>
    <w:uiPriority w:val="99"/>
    <w:rsid w:val="00247DDB"/>
    <w:rPr>
      <w:rFonts w:ascii="Palatino Linotype" w:hAnsi="Palatino Linotype" w:cs="Tahoma"/>
      <w:noProof/>
      <w:color w:val="000000"/>
      <w:szCs w:val="18"/>
    </w:rPr>
  </w:style>
  <w:style w:type="character" w:styleId="Numeroriga">
    <w:name w:val="line number"/>
    <w:uiPriority w:val="99"/>
    <w:rsid w:val="00D41A5B"/>
    <w:rPr>
      <w:rFonts w:ascii="Palatino Linotype" w:hAnsi="Palatino Linotype"/>
      <w:sz w:val="16"/>
    </w:rPr>
  </w:style>
  <w:style w:type="table" w:customStyle="1" w:styleId="MDPI41threelinetable">
    <w:name w:val="MDPI_4.1_three_line_table"/>
    <w:basedOn w:val="Tabellanormale"/>
    <w:uiPriority w:val="99"/>
    <w:rsid w:val="00247DD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Collegamentoipertestuale">
    <w:name w:val="Hyperlink"/>
    <w:uiPriority w:val="99"/>
    <w:rsid w:val="00247DDB"/>
    <w:rPr>
      <w:color w:val="0000FF"/>
      <w:u w:val="single"/>
    </w:rPr>
  </w:style>
  <w:style w:type="character" w:customStyle="1" w:styleId="UnresolvedMention">
    <w:name w:val="Unresolved Mention"/>
    <w:uiPriority w:val="99"/>
    <w:semiHidden/>
    <w:unhideWhenUsed/>
    <w:rsid w:val="005D35E8"/>
    <w:rPr>
      <w:color w:val="605E5C"/>
      <w:shd w:val="clear" w:color="auto" w:fill="E1DFDD"/>
    </w:rPr>
  </w:style>
  <w:style w:type="table" w:styleId="Tabellasemplice4">
    <w:name w:val="Plain Table 4"/>
    <w:basedOn w:val="Tabellanormale"/>
    <w:uiPriority w:val="44"/>
    <w:rsid w:val="000E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47DDB"/>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47DD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47DDB"/>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4B5CD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47DDB"/>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47DDB"/>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47DDB"/>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1618D3"/>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247DDB"/>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47DDB"/>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47DDB"/>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47DDB"/>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47DDB"/>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47DDB"/>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47DDB"/>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lanormale"/>
    <w:uiPriority w:val="99"/>
    <w:rsid w:val="00247DD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47DDB"/>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47DDB"/>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47DDB"/>
  </w:style>
  <w:style w:type="paragraph" w:styleId="Bibliografia">
    <w:name w:val="Bibliography"/>
    <w:basedOn w:val="Normale"/>
    <w:next w:val="Normale"/>
    <w:uiPriority w:val="37"/>
    <w:semiHidden/>
    <w:unhideWhenUsed/>
    <w:rsid w:val="00247DDB"/>
  </w:style>
  <w:style w:type="paragraph" w:styleId="Corpotesto">
    <w:name w:val="Body Text"/>
    <w:link w:val="CorpotestoCarattere"/>
    <w:rsid w:val="00247DDB"/>
    <w:pPr>
      <w:spacing w:after="120" w:line="340" w:lineRule="atLeast"/>
      <w:jc w:val="both"/>
    </w:pPr>
    <w:rPr>
      <w:rFonts w:ascii="Palatino Linotype" w:hAnsi="Palatino Linotype"/>
      <w:color w:val="000000"/>
      <w:sz w:val="24"/>
      <w:lang w:eastAsia="de-DE"/>
    </w:rPr>
  </w:style>
  <w:style w:type="character" w:customStyle="1" w:styleId="CorpotestoCarattere">
    <w:name w:val="Corpo testo Carattere"/>
    <w:link w:val="Corpotesto"/>
    <w:rsid w:val="00247DDB"/>
    <w:rPr>
      <w:rFonts w:ascii="Palatino Linotype" w:hAnsi="Palatino Linotype"/>
      <w:color w:val="000000"/>
      <w:sz w:val="24"/>
      <w:lang w:eastAsia="de-DE"/>
    </w:rPr>
  </w:style>
  <w:style w:type="character" w:styleId="Rimandocommento">
    <w:name w:val="annotation reference"/>
    <w:rsid w:val="00247DDB"/>
    <w:rPr>
      <w:sz w:val="21"/>
      <w:szCs w:val="21"/>
    </w:rPr>
  </w:style>
  <w:style w:type="paragraph" w:styleId="Testocommento">
    <w:name w:val="annotation text"/>
    <w:basedOn w:val="Normale"/>
    <w:link w:val="TestocommentoCarattere"/>
    <w:rsid w:val="00247DDB"/>
  </w:style>
  <w:style w:type="character" w:customStyle="1" w:styleId="TestocommentoCarattere">
    <w:name w:val="Testo commento Carattere"/>
    <w:link w:val="Testocommento"/>
    <w:rsid w:val="00247DDB"/>
    <w:rPr>
      <w:rFonts w:ascii="Palatino Linotype" w:hAnsi="Palatino Linotype"/>
      <w:noProof/>
      <w:color w:val="000000"/>
    </w:rPr>
  </w:style>
  <w:style w:type="paragraph" w:styleId="Soggettocommento">
    <w:name w:val="annotation subject"/>
    <w:basedOn w:val="Testocommento"/>
    <w:next w:val="Testocommento"/>
    <w:link w:val="SoggettocommentoCarattere"/>
    <w:rsid w:val="00247DDB"/>
    <w:rPr>
      <w:b/>
      <w:bCs/>
    </w:rPr>
  </w:style>
  <w:style w:type="character" w:customStyle="1" w:styleId="SoggettocommentoCarattere">
    <w:name w:val="Soggetto commento Carattere"/>
    <w:link w:val="Soggettocommento"/>
    <w:rsid w:val="00247DDB"/>
    <w:rPr>
      <w:rFonts w:ascii="Palatino Linotype" w:hAnsi="Palatino Linotype"/>
      <w:b/>
      <w:bCs/>
      <w:noProof/>
      <w:color w:val="000000"/>
    </w:rPr>
  </w:style>
  <w:style w:type="character" w:styleId="Rimandonotadichiusura">
    <w:name w:val="endnote reference"/>
    <w:rsid w:val="00247DDB"/>
    <w:rPr>
      <w:vertAlign w:val="superscript"/>
    </w:rPr>
  </w:style>
  <w:style w:type="paragraph" w:styleId="Testonotadichiusura">
    <w:name w:val="endnote text"/>
    <w:basedOn w:val="Normale"/>
    <w:link w:val="TestonotadichiusuraCarattere"/>
    <w:semiHidden/>
    <w:unhideWhenUsed/>
    <w:rsid w:val="00247DDB"/>
    <w:pPr>
      <w:spacing w:line="240" w:lineRule="auto"/>
    </w:pPr>
  </w:style>
  <w:style w:type="character" w:customStyle="1" w:styleId="TestonotadichiusuraCarattere">
    <w:name w:val="Testo nota di chiusura Carattere"/>
    <w:link w:val="Testonotadichiusura"/>
    <w:semiHidden/>
    <w:rsid w:val="00247DDB"/>
    <w:rPr>
      <w:rFonts w:ascii="Palatino Linotype" w:hAnsi="Palatino Linotype"/>
      <w:noProof/>
      <w:color w:val="000000"/>
    </w:rPr>
  </w:style>
  <w:style w:type="character" w:styleId="Collegamentovisitato">
    <w:name w:val="FollowedHyperlink"/>
    <w:rsid w:val="00247DDB"/>
    <w:rPr>
      <w:color w:val="954F72"/>
      <w:u w:val="single"/>
    </w:rPr>
  </w:style>
  <w:style w:type="paragraph" w:styleId="Testonotaapidipagina">
    <w:name w:val="footnote text"/>
    <w:basedOn w:val="Normale"/>
    <w:link w:val="TestonotaapidipaginaCarattere"/>
    <w:semiHidden/>
    <w:unhideWhenUsed/>
    <w:rsid w:val="00247DDB"/>
    <w:pPr>
      <w:spacing w:line="240" w:lineRule="auto"/>
    </w:pPr>
  </w:style>
  <w:style w:type="character" w:customStyle="1" w:styleId="TestonotaapidipaginaCarattere">
    <w:name w:val="Testo nota a piè di pagina Carattere"/>
    <w:link w:val="Testonotaapidipagina"/>
    <w:semiHidden/>
    <w:rsid w:val="00247DDB"/>
    <w:rPr>
      <w:rFonts w:ascii="Palatino Linotype" w:hAnsi="Palatino Linotype"/>
      <w:noProof/>
      <w:color w:val="000000"/>
    </w:rPr>
  </w:style>
  <w:style w:type="paragraph" w:styleId="NormaleWeb">
    <w:name w:val="Normal (Web)"/>
    <w:basedOn w:val="Normale"/>
    <w:uiPriority w:val="99"/>
    <w:rsid w:val="00247DDB"/>
    <w:rPr>
      <w:szCs w:val="24"/>
    </w:rPr>
  </w:style>
  <w:style w:type="paragraph" w:customStyle="1" w:styleId="MsoFootnoteText0">
    <w:name w:val="MsoFootnoteText"/>
    <w:basedOn w:val="NormaleWeb"/>
    <w:qFormat/>
    <w:rsid w:val="00247DDB"/>
    <w:rPr>
      <w:rFonts w:ascii="Times New Roman" w:hAnsi="Times New Roman"/>
    </w:rPr>
  </w:style>
  <w:style w:type="character" w:styleId="Numeropagina">
    <w:name w:val="page number"/>
    <w:rsid w:val="00247DDB"/>
  </w:style>
  <w:style w:type="character" w:styleId="Testosegnaposto">
    <w:name w:val="Placeholder Text"/>
    <w:uiPriority w:val="99"/>
    <w:semiHidden/>
    <w:rsid w:val="00247DDB"/>
    <w:rPr>
      <w:color w:val="808080"/>
    </w:rPr>
  </w:style>
  <w:style w:type="paragraph" w:customStyle="1" w:styleId="MDPI71FootNotes">
    <w:name w:val="MDPI_7.1_FootNotes"/>
    <w:qFormat/>
    <w:rsid w:val="002A6DB9"/>
    <w:pPr>
      <w:numPr>
        <w:numId w:val="22"/>
      </w:numPr>
      <w:adjustRightInd w:val="0"/>
      <w:snapToGrid w:val="0"/>
      <w:spacing w:line="228" w:lineRule="auto"/>
    </w:pPr>
    <w:rPr>
      <w:rFonts w:ascii="Palatino Linotype" w:eastAsiaTheme="minorEastAsia" w:hAnsi="Palatino Linotype"/>
      <w:noProof/>
      <w:color w:val="000000"/>
      <w:sz w:val="18"/>
    </w:rPr>
  </w:style>
  <w:style w:type="table" w:styleId="Tabellasemplice-2">
    <w:name w:val="Plain Table 2"/>
    <w:basedOn w:val="Tabellanormale"/>
    <w:uiPriority w:val="42"/>
    <w:rsid w:val="00F765E7"/>
    <w:rPr>
      <w:rFonts w:asciiTheme="minorHAnsi" w:eastAsiaTheme="minorHAnsi" w:hAnsiTheme="minorHAnsi" w:cstheme="minorBidi"/>
      <w:sz w:val="22"/>
      <w:szCs w:val="22"/>
      <w:lang w:val="it-IT"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8580">
      <w:bodyDiv w:val="1"/>
      <w:marLeft w:val="0"/>
      <w:marRight w:val="0"/>
      <w:marTop w:val="0"/>
      <w:marBottom w:val="0"/>
      <w:divBdr>
        <w:top w:val="none" w:sz="0" w:space="0" w:color="auto"/>
        <w:left w:val="none" w:sz="0" w:space="0" w:color="auto"/>
        <w:bottom w:val="none" w:sz="0" w:space="0" w:color="auto"/>
        <w:right w:val="none" w:sz="0" w:space="0" w:color="auto"/>
      </w:divBdr>
      <w:divsChild>
        <w:div w:id="1292856024">
          <w:marLeft w:val="0"/>
          <w:marRight w:val="0"/>
          <w:marTop w:val="0"/>
          <w:marBottom w:val="0"/>
          <w:divBdr>
            <w:top w:val="none" w:sz="0" w:space="0" w:color="auto"/>
            <w:left w:val="none" w:sz="0" w:space="0" w:color="auto"/>
            <w:bottom w:val="none" w:sz="0" w:space="0" w:color="auto"/>
            <w:right w:val="none" w:sz="0" w:space="0" w:color="auto"/>
          </w:divBdr>
          <w:divsChild>
            <w:div w:id="889724995">
              <w:marLeft w:val="0"/>
              <w:marRight w:val="0"/>
              <w:marTop w:val="0"/>
              <w:marBottom w:val="0"/>
              <w:divBdr>
                <w:top w:val="none" w:sz="0" w:space="0" w:color="auto"/>
                <w:left w:val="none" w:sz="0" w:space="0" w:color="auto"/>
                <w:bottom w:val="none" w:sz="0" w:space="0" w:color="auto"/>
                <w:right w:val="none" w:sz="0" w:space="0" w:color="auto"/>
              </w:divBdr>
              <w:divsChild>
                <w:div w:id="15810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501">
      <w:bodyDiv w:val="1"/>
      <w:marLeft w:val="0"/>
      <w:marRight w:val="0"/>
      <w:marTop w:val="0"/>
      <w:marBottom w:val="0"/>
      <w:divBdr>
        <w:top w:val="none" w:sz="0" w:space="0" w:color="auto"/>
        <w:left w:val="none" w:sz="0" w:space="0" w:color="auto"/>
        <w:bottom w:val="none" w:sz="0" w:space="0" w:color="auto"/>
        <w:right w:val="none" w:sz="0" w:space="0" w:color="auto"/>
      </w:divBdr>
      <w:divsChild>
        <w:div w:id="277953368">
          <w:marLeft w:val="0"/>
          <w:marRight w:val="0"/>
          <w:marTop w:val="0"/>
          <w:marBottom w:val="0"/>
          <w:divBdr>
            <w:top w:val="none" w:sz="0" w:space="0" w:color="auto"/>
            <w:left w:val="none" w:sz="0" w:space="0" w:color="auto"/>
            <w:bottom w:val="none" w:sz="0" w:space="0" w:color="auto"/>
            <w:right w:val="none" w:sz="0" w:space="0" w:color="auto"/>
          </w:divBdr>
          <w:divsChild>
            <w:div w:id="1059285347">
              <w:marLeft w:val="0"/>
              <w:marRight w:val="0"/>
              <w:marTop w:val="0"/>
              <w:marBottom w:val="0"/>
              <w:divBdr>
                <w:top w:val="none" w:sz="0" w:space="0" w:color="auto"/>
                <w:left w:val="none" w:sz="0" w:space="0" w:color="auto"/>
                <w:bottom w:val="none" w:sz="0" w:space="0" w:color="auto"/>
                <w:right w:val="none" w:sz="0" w:space="0" w:color="auto"/>
              </w:divBdr>
              <w:divsChild>
                <w:div w:id="8413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trotta@asl.pe.it"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claudia.rossi@unich.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rizia.ballerini@unich.it"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mailto:m.zucchelli@unich.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mela.salladini@asl.pe.it" TargetMode="External"/><Relationship Id="rId14" Type="http://schemas.openxmlformats.org/officeDocument/2006/relationships/image" Target="media/image3.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839</Words>
  <Characters>4788</Characters>
  <Application>Microsoft Office Word</Application>
  <DocSecurity>0</DocSecurity>
  <Lines>39</Lines>
  <Paragraphs>11</Paragraphs>
  <ScaleCrop>false</ScaleCrop>
  <HeadingPairs>
    <vt:vector size="6" baseType="variant">
      <vt:variant>
        <vt:lpstr>Titolo</vt:lpstr>
      </vt:variant>
      <vt:variant>
        <vt:i4>1</vt:i4>
      </vt:variant>
      <vt:variant>
        <vt:lpstr>Intestazioni</vt:lpstr>
      </vt:variant>
      <vt:variant>
        <vt:i4>34</vt:i4>
      </vt:variant>
      <vt:variant>
        <vt:lpstr>Title</vt:lpstr>
      </vt:variant>
      <vt:variant>
        <vt:i4>1</vt:i4>
      </vt:variant>
    </vt:vector>
  </HeadingPairs>
  <TitlesOfParts>
    <vt:vector size="36" baseType="lpstr">
      <vt:lpstr>Type of the Paper (Article</vt:lpstr>
      <vt:lpstr/>
      <vt:lpstr/>
      <vt:lpstr/>
      <vt:lpstr/>
      <vt:lpstr/>
      <vt:lpstr/>
      <vt:lpstr/>
      <vt:lpstr/>
      <vt:lpstr/>
      <vt:lpstr/>
      <vt:lpstr/>
      <vt:lpstr/>
      <vt:lpstr/>
      <vt:lpstr/>
      <vt:lpstr/>
      <vt:lpstr/>
      <vt:lpstr/>
      <vt:lpstr/>
      <vt:lpstr>Brimonidine quantification in urine and plasma sample by UPLC-MS/MS analysis</vt:lpstr>
      <vt:lpstr>Materials and sample preparation</vt:lpstr>
      <vt:lpstr>UPLC‐ MS/MS analysis for brimonidine quantification in urine and plasma</vt:lpstr>
      <vt:lpstr>/</vt:lpstr>
      <vt:lpstr>Figure S1. Chromatographic separation of brimonidine in a urine sample used as a</vt:lpstr>
      <vt:lpstr/>
      <vt:lpstr/>
      <vt:lpstr/>
      <vt:lpstr>/</vt:lpstr>
      <vt:lpstr>Figure S2. Chromatographic separation of brimonidine in a blank urine spiked sam</vt:lpstr>
      <vt:lpstr/>
      <vt:lpstr>/</vt:lpstr>
      <vt:lpstr>Figure S3. Chromatographic separation of brimonidine in a plasma sample used as </vt:lpstr>
      <vt:lpstr/>
      <vt:lpstr>/</vt:lpstr>
      <vt:lpstr>Figure S4. Chromatographic separation of brimonidine in a blank plasma spiked sa</vt:lpstr>
      <vt:lpstr>Type of the Paper (Article</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Claudia Rossi</dc:creator>
  <cp:keywords/>
  <dc:description/>
  <cp:lastModifiedBy>Maurizio Aricò</cp:lastModifiedBy>
  <cp:revision>56</cp:revision>
  <cp:lastPrinted>2024-01-29T12:41:00Z</cp:lastPrinted>
  <dcterms:created xsi:type="dcterms:W3CDTF">2024-01-26T10:30:00Z</dcterms:created>
  <dcterms:modified xsi:type="dcterms:W3CDTF">2024-01-29T12:41:00Z</dcterms:modified>
</cp:coreProperties>
</file>