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4C0A" w14:textId="421929E6" w:rsidR="00424D28" w:rsidRPr="00F13383" w:rsidRDefault="002B6112" w:rsidP="00025D9C">
      <w:pPr>
        <w:rPr>
          <w:rFonts w:ascii="Palatino" w:hAnsi="Palatino" w:cs="Times New Roman"/>
          <w:sz w:val="20"/>
          <w:szCs w:val="20"/>
        </w:rPr>
      </w:pPr>
      <w:r w:rsidRPr="00F13383">
        <w:rPr>
          <w:rFonts w:ascii="Palatino" w:hAnsi="Palatino" w:cs="Times New Roman"/>
          <w:b/>
          <w:bCs/>
          <w:sz w:val="20"/>
          <w:szCs w:val="20"/>
        </w:rPr>
        <w:t xml:space="preserve">TABLE </w:t>
      </w:r>
      <w:r w:rsidR="00475077">
        <w:rPr>
          <w:rFonts w:ascii="Palatino" w:hAnsi="Palatino" w:cs="Times New Roman"/>
          <w:b/>
          <w:bCs/>
          <w:sz w:val="20"/>
          <w:szCs w:val="20"/>
        </w:rPr>
        <w:t>S</w:t>
      </w:r>
      <w:r w:rsidR="00DC27DC">
        <w:rPr>
          <w:rFonts w:ascii="Palatino" w:hAnsi="Palatino" w:cs="Times New Roman"/>
          <w:b/>
          <w:bCs/>
          <w:sz w:val="20"/>
          <w:szCs w:val="20"/>
        </w:rPr>
        <w:t>1</w:t>
      </w:r>
      <w:r w:rsidR="00424D28" w:rsidRPr="00F13383">
        <w:rPr>
          <w:rFonts w:ascii="Palatino" w:hAnsi="Palatino" w:cs="Times New Roman"/>
          <w:b/>
          <w:bCs/>
          <w:sz w:val="20"/>
          <w:szCs w:val="20"/>
        </w:rPr>
        <w:t xml:space="preserve">  </w:t>
      </w:r>
      <w:r w:rsidR="00424D28" w:rsidRPr="00F13383">
        <w:rPr>
          <w:rFonts w:ascii="Palatino" w:eastAsia="Times New Roman" w:hAnsi="Palatino" w:cs="Times New Roman"/>
          <w:color w:val="000000"/>
          <w:kern w:val="0"/>
          <w:sz w:val="20"/>
          <w:szCs w:val="20"/>
          <w14:ligatures w14:val="none"/>
        </w:rPr>
        <w:t xml:space="preserve">Interventions, sorted by </w:t>
      </w:r>
      <w:r w:rsidR="00025D9C" w:rsidRPr="00F13383">
        <w:rPr>
          <w:rFonts w:ascii="Palatino" w:eastAsia="Times New Roman" w:hAnsi="Palatino" w:cs="Times New Roman"/>
          <w:color w:val="000000"/>
          <w:kern w:val="0"/>
          <w:sz w:val="20"/>
          <w:szCs w:val="20"/>
          <w14:ligatures w14:val="none"/>
        </w:rPr>
        <w:t>c</w:t>
      </w:r>
      <w:r w:rsidR="00424D28" w:rsidRPr="00F13383">
        <w:rPr>
          <w:rFonts w:ascii="Palatino" w:eastAsia="Times New Roman" w:hAnsi="Palatino" w:cs="Times New Roman"/>
          <w:color w:val="000000"/>
          <w:kern w:val="0"/>
          <w:sz w:val="20"/>
          <w:szCs w:val="20"/>
          <w14:ligatures w14:val="none"/>
        </w:rPr>
        <w:t>luster, all in response to the prompt: “</w:t>
      </w:r>
      <w:r w:rsidR="00424D28" w:rsidRPr="00F13383">
        <w:rPr>
          <w:rFonts w:ascii="Palatino" w:hAnsi="Palatino" w:cs="Times New Roman"/>
          <w:sz w:val="20"/>
          <w:szCs w:val="20"/>
        </w:rPr>
        <w:t xml:space="preserve">One way to reduce breast cancer risk, particularly in disproportionately impacted communities is...”  </w:t>
      </w:r>
      <w:r w:rsidR="00136886">
        <w:rPr>
          <w:rFonts w:ascii="Palatino" w:hAnsi="Palatino" w:cs="Times New Roman"/>
          <w:sz w:val="20"/>
          <w:szCs w:val="20"/>
        </w:rPr>
        <w:t>For n</w:t>
      </w:r>
      <w:r w:rsidR="00424D28" w:rsidRPr="00F13383">
        <w:rPr>
          <w:rFonts w:ascii="Palatino" w:hAnsi="Palatino" w:cs="Times New Roman"/>
          <w:sz w:val="20"/>
          <w:szCs w:val="20"/>
        </w:rPr>
        <w:t>umber of regions</w:t>
      </w:r>
      <w:r w:rsidR="00687340" w:rsidRPr="00F13383">
        <w:rPr>
          <w:rFonts w:ascii="Palatino" w:hAnsi="Palatino" w:cs="Times New Roman"/>
          <w:sz w:val="20"/>
          <w:szCs w:val="20"/>
        </w:rPr>
        <w:t xml:space="preserve"> across California for which average ratings for interventions appear in the four different quadrants of the Go-Zones</w:t>
      </w:r>
      <w:r w:rsidR="00136886">
        <w:rPr>
          <w:rFonts w:ascii="Palatino" w:hAnsi="Palatino" w:cs="Times New Roman"/>
          <w:sz w:val="20"/>
          <w:szCs w:val="20"/>
        </w:rPr>
        <w:t xml:space="preserve">: </w:t>
      </w:r>
      <w:r w:rsidR="00687340" w:rsidRPr="00F13383">
        <w:rPr>
          <w:rFonts w:ascii="Palatino" w:hAnsi="Palatino" w:cs="Times New Roman"/>
          <w:sz w:val="20"/>
          <w:szCs w:val="20"/>
        </w:rPr>
        <w:t xml:space="preserve"> </w:t>
      </w:r>
      <w:proofErr w:type="spellStart"/>
      <w:r w:rsidR="00687340" w:rsidRPr="00F13383">
        <w:rPr>
          <w:rFonts w:ascii="Palatino" w:hAnsi="Palatino" w:cs="Times New Roman"/>
          <w:sz w:val="20"/>
          <w:szCs w:val="20"/>
        </w:rPr>
        <w:t>HiI</w:t>
      </w:r>
      <w:proofErr w:type="spellEnd"/>
      <w:r w:rsidR="00687340" w:rsidRPr="00F13383">
        <w:rPr>
          <w:rFonts w:ascii="Palatino" w:hAnsi="Palatino" w:cs="Times New Roman"/>
          <w:sz w:val="20"/>
          <w:szCs w:val="20"/>
        </w:rPr>
        <w:t xml:space="preserve"> = High Importance, </w:t>
      </w:r>
      <w:proofErr w:type="spellStart"/>
      <w:r w:rsidR="00687340" w:rsidRPr="00F13383">
        <w:rPr>
          <w:rFonts w:ascii="Palatino" w:hAnsi="Palatino" w:cs="Times New Roman"/>
          <w:sz w:val="20"/>
          <w:szCs w:val="20"/>
        </w:rPr>
        <w:t>HiF</w:t>
      </w:r>
      <w:proofErr w:type="spellEnd"/>
      <w:r w:rsidR="00687340" w:rsidRPr="00F13383">
        <w:rPr>
          <w:rFonts w:ascii="Palatino" w:hAnsi="Palatino" w:cs="Times New Roman"/>
          <w:sz w:val="20"/>
          <w:szCs w:val="20"/>
        </w:rPr>
        <w:t xml:space="preserve"> = High Feasibility, </w:t>
      </w:r>
      <w:proofErr w:type="spellStart"/>
      <w:r w:rsidR="00687340" w:rsidRPr="00F13383">
        <w:rPr>
          <w:rFonts w:ascii="Palatino" w:hAnsi="Palatino" w:cs="Times New Roman"/>
          <w:sz w:val="20"/>
          <w:szCs w:val="20"/>
        </w:rPr>
        <w:t>LoI</w:t>
      </w:r>
      <w:proofErr w:type="spellEnd"/>
      <w:r w:rsidR="00687340" w:rsidRPr="00F13383">
        <w:rPr>
          <w:rFonts w:ascii="Palatino" w:hAnsi="Palatino" w:cs="Times New Roman"/>
          <w:sz w:val="20"/>
          <w:szCs w:val="20"/>
        </w:rPr>
        <w:t xml:space="preserve"> = Low Importance, </w:t>
      </w:r>
      <w:proofErr w:type="spellStart"/>
      <w:r w:rsidR="00687340" w:rsidRPr="00F13383">
        <w:rPr>
          <w:rFonts w:ascii="Palatino" w:hAnsi="Palatino" w:cs="Times New Roman"/>
          <w:sz w:val="20"/>
          <w:szCs w:val="20"/>
        </w:rPr>
        <w:t>LoF</w:t>
      </w:r>
      <w:proofErr w:type="spellEnd"/>
      <w:r w:rsidR="00687340" w:rsidRPr="00F13383">
        <w:rPr>
          <w:rFonts w:ascii="Palatino" w:hAnsi="Palatino" w:cs="Times New Roman"/>
          <w:sz w:val="20"/>
          <w:szCs w:val="20"/>
        </w:rPr>
        <w:t xml:space="preserve"> = Low Feasibility.</w:t>
      </w:r>
    </w:p>
    <w:p w14:paraId="4A17EC9F" w14:textId="392E2541" w:rsidR="002B6112" w:rsidRDefault="002B6112">
      <w:pPr>
        <w:rPr>
          <w:rFonts w:ascii="Palatino" w:hAnsi="Palatino" w:cs="Times New Roman"/>
          <w:b/>
          <w:bCs/>
          <w:sz w:val="20"/>
          <w:szCs w:val="20"/>
        </w:rPr>
      </w:pPr>
    </w:p>
    <w:p w14:paraId="244BDD9C" w14:textId="05F7A6D5" w:rsidR="00EC755C" w:rsidRPr="00F13383" w:rsidRDefault="00EC755C">
      <w:pPr>
        <w:rPr>
          <w:rFonts w:ascii="Palatino" w:hAnsi="Palatino" w:cs="Times New Roman"/>
          <w:b/>
          <w:bCs/>
          <w:sz w:val="20"/>
          <w:szCs w:val="20"/>
        </w:rPr>
      </w:pPr>
      <w:r>
        <w:rPr>
          <w:rFonts w:ascii="Palatino" w:hAnsi="Palatino" w:cs="Times New Roman"/>
          <w:b/>
          <w:bCs/>
          <w:sz w:val="20"/>
          <w:szCs w:val="20"/>
        </w:rPr>
        <w:t>__________________________________________________________________________________________________________________________________</w:t>
      </w:r>
    </w:p>
    <w:tbl>
      <w:tblPr>
        <w:tblW w:w="1306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6"/>
        <w:gridCol w:w="841"/>
        <w:gridCol w:w="108"/>
        <w:gridCol w:w="930"/>
        <w:gridCol w:w="108"/>
        <w:gridCol w:w="6025"/>
        <w:gridCol w:w="984"/>
        <w:gridCol w:w="994"/>
        <w:gridCol w:w="992"/>
        <w:gridCol w:w="58"/>
        <w:gridCol w:w="932"/>
        <w:gridCol w:w="29"/>
        <w:gridCol w:w="961"/>
      </w:tblGrid>
      <w:tr w:rsidR="00136886" w:rsidRPr="00F13383" w14:paraId="32BC2264" w14:textId="77777777" w:rsidTr="00CB0729">
        <w:trPr>
          <w:trHeight w:val="1640"/>
        </w:trPr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2BA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Cluster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FEBC" w14:textId="07085440" w:rsidR="002B6112" w:rsidRPr="00F13383" w:rsidRDefault="00EC755C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Inter-</w:t>
            </w:r>
            <w:proofErr w:type="spellStart"/>
            <w: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vention</w:t>
            </w:r>
            <w:proofErr w:type="spellEnd"/>
            <w:r w:rsidR="002B6112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#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544D" w14:textId="18A5DE0F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Intervention</w:t>
            </w:r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10FE4A" w14:textId="2F6EEE07" w:rsidR="002B6112" w:rsidRPr="00F13383" w:rsidRDefault="002B6112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# Regions in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HiI</w:t>
            </w:r>
            <w:proofErr w:type="spellEnd"/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HiF</w:t>
            </w:r>
            <w:proofErr w:type="spellEnd"/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zone</w:t>
            </w:r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D2545" w14:textId="77777777" w:rsidR="00136886" w:rsidRDefault="00136886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41C7F2" w14:textId="77777777" w:rsidR="00136886" w:rsidRDefault="00136886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22EDD87" w14:textId="75D34D1A" w:rsidR="002B6112" w:rsidRPr="00F13383" w:rsidRDefault="002B6112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# Regions in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HiI</w:t>
            </w:r>
            <w:proofErr w:type="spellEnd"/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LoF</w:t>
            </w:r>
            <w:proofErr w:type="spellEnd"/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zone</w:t>
            </w:r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  <w:p w14:paraId="059C9589" w14:textId="77777777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4D4399A" w14:textId="77777777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F8416F" w14:textId="54FEE5D4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A28175" w14:textId="488C181A" w:rsidR="00284755" w:rsidRPr="00F13383" w:rsidRDefault="002B6112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</w:t>
            </w:r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# </w:t>
            </w: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regions in </w:t>
            </w:r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 I</w:t>
            </w: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zones</w:t>
            </w:r>
            <w:proofErr w:type="gramEnd"/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2198ECD" w14:textId="77777777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6EB1D17" w14:textId="77777777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F33662" w14:textId="0703B88B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21BC0" w14:textId="05CB4F88" w:rsidR="002B6112" w:rsidRPr="00F13383" w:rsidRDefault="002B6112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# </w:t>
            </w:r>
            <w:proofErr w:type="gram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Regions </w:t>
            </w:r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in</w:t>
            </w:r>
            <w:proofErr w:type="gramEnd"/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LoI</w:t>
            </w:r>
            <w:proofErr w:type="spellEnd"/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LoF</w:t>
            </w:r>
            <w:proofErr w:type="spellEnd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zones</w:t>
            </w:r>
          </w:p>
          <w:p w14:paraId="03A4DAFA" w14:textId="77777777" w:rsidR="00284755" w:rsidRPr="00F13383" w:rsidRDefault="00284755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E851CE4" w14:textId="77777777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7A3F91" w14:textId="0E556A09" w:rsidR="00424D28" w:rsidRPr="00F13383" w:rsidRDefault="00424D28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58214" w14:textId="4092D99A" w:rsidR="002B6112" w:rsidRPr="00F13383" w:rsidRDefault="002B6112" w:rsidP="00136886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# Regions in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LoI</w:t>
            </w:r>
            <w:proofErr w:type="spellEnd"/>
            <w:r w:rsidR="00136886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&amp; </w:t>
            </w:r>
            <w:proofErr w:type="spellStart"/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HiF</w:t>
            </w:r>
            <w:proofErr w:type="spellEnd"/>
            <w:r w:rsidR="00424D28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zone</w:t>
            </w:r>
            <w:r w:rsidR="00284755"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EC755C" w:rsidRPr="00F13383" w14:paraId="44E4972C" w14:textId="77777777" w:rsidTr="00CB0729">
        <w:trPr>
          <w:gridBefore w:val="1"/>
          <w:wBefore w:w="106" w:type="dxa"/>
          <w:trHeight w:val="44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A460" w14:textId="77777777" w:rsidR="006D33BB" w:rsidRDefault="006D33BB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ECBBE86" w14:textId="77777777" w:rsidR="002B6112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1: Promote Community Self-Determination</w:t>
            </w:r>
          </w:p>
          <w:p w14:paraId="409D0F2D" w14:textId="77777777" w:rsidR="00AA2BA7" w:rsidRDefault="00AA2BA7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6802A18" w14:textId="51D8B2BC" w:rsidR="006D33BB" w:rsidRPr="00F13383" w:rsidRDefault="006D33BB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DDC5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79C9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E43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33C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345A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41D02A61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5B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B23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478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With community input and leadership, develop strategies to reduce points of sale in communities with high concentrations of retail alcohol outlets. </w:t>
            </w:r>
          </w:p>
          <w:p w14:paraId="103DC2F9" w14:textId="77777777" w:rsidR="00095940" w:rsidRDefault="00095940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58D3374" w14:textId="77777777" w:rsidR="00AA2BA7" w:rsidRPr="00F13383" w:rsidRDefault="00AA2BA7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CA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DC7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D38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780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53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1DF885D2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9F4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6BE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2C1CB0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community input on land use decisions for locations with potential radioactive contamination.</w:t>
            </w:r>
          </w:p>
          <w:p w14:paraId="7EF831D4" w14:textId="77777777" w:rsidR="00095940" w:rsidRDefault="00095940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1A1400" w14:textId="77777777" w:rsidR="00AA2BA7" w:rsidRPr="00F13383" w:rsidRDefault="00AA2BA7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F56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B589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36FB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139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DD6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532457F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951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8F72D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48A2965F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training opportunities for community members to collect high-quality data that monitors air, soil, and water quality that can be used to enforce pollution prevention measures.</w:t>
            </w:r>
          </w:p>
          <w:p w14:paraId="169AA046" w14:textId="77777777" w:rsidR="00465739" w:rsidRDefault="00465739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35A53B" w14:textId="77777777" w:rsidR="00AA2BA7" w:rsidRPr="00F13383" w:rsidRDefault="00AA2BA7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9D5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71A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570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699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6D7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43ACEBB" w14:textId="77777777" w:rsidTr="00CB072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36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823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EA3CB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full transparency to residents, developers, and other interested parties of potential radioactive contamination in their communities.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697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592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A28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F6D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D81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00B42BA6" w14:textId="77777777" w:rsidTr="00CB072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9AB8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5705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2C850" w14:textId="3019FCC7" w:rsidR="002B6112" w:rsidRPr="00FC7E74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1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B8CB0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11DCC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0D721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9D36C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0A62F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</w:tr>
      <w:tr w:rsidR="00EC755C" w:rsidRPr="00F13383" w14:paraId="33154305" w14:textId="77777777" w:rsidTr="00CB0729">
        <w:trPr>
          <w:gridBefore w:val="1"/>
          <w:wBefore w:w="106" w:type="dxa"/>
          <w:trHeight w:val="440"/>
        </w:trPr>
        <w:tc>
          <w:tcPr>
            <w:tcW w:w="80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397765" w14:textId="77777777" w:rsidR="00136886" w:rsidRDefault="00136886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9E20B0" w14:textId="72E6A73E" w:rsidR="002B6112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2: Reduce Air, Water &amp; Light Pollution</w:t>
            </w:r>
          </w:p>
          <w:p w14:paraId="15A1A496" w14:textId="77777777" w:rsidR="00156879" w:rsidRDefault="00156879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AFB393A" w14:textId="42E14C50" w:rsidR="00136886" w:rsidRPr="00F13383" w:rsidRDefault="00136886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2935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B20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A71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13F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D94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755C" w:rsidRPr="00F13383" w14:paraId="362B5649" w14:textId="77777777" w:rsidTr="00CB0729">
        <w:trPr>
          <w:gridBefore w:val="1"/>
          <w:wBefore w:w="106" w:type="dxa"/>
          <w:trHeight w:val="860"/>
        </w:trPr>
        <w:tc>
          <w:tcPr>
            <w:tcW w:w="9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D75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99A6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3D0AF9F3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Reduce outdoor night-time light as much as possible, without sacrificing neighborhood safety, using strategies such as lighting only necessary areas, minimizing glare, reducing brightness, and using motion sensors.</w:t>
            </w:r>
          </w:p>
          <w:p w14:paraId="297A133E" w14:textId="77777777" w:rsidR="00465739" w:rsidRDefault="00465739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15B9BC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4A5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05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CA2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547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734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EC755C" w:rsidRPr="00F13383" w14:paraId="56C6437F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07E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2E43D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1C56107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Adopt city- or county-wide lighting ordinances which set standards that reduce light pollution.</w:t>
            </w:r>
          </w:p>
          <w:p w14:paraId="414E76E6" w14:textId="77777777" w:rsidR="002706FA" w:rsidRDefault="002706F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8EE8DC4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1642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199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B0B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184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336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C755C" w:rsidRPr="00F13383" w14:paraId="4534A815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3EC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2BF68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61D05A3C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Implement state-of-the-art street-cleaning methods to protect local air quality and downstream water quality.  </w:t>
            </w:r>
          </w:p>
          <w:p w14:paraId="79A4187E" w14:textId="77777777" w:rsidR="002706FA" w:rsidRDefault="002706F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19DB4BF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C81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303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C4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848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02F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3056BE21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175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BCD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F78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Strengthen and expand existing idling regulations for commercial heavy-duty diesel vehicles and passenger cars.? </w:t>
            </w:r>
          </w:p>
          <w:p w14:paraId="2911674C" w14:textId="77777777" w:rsidR="002706FA" w:rsidRDefault="002706F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F1EB2EA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8BE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09E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675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43A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4FB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3A5BC22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B6A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12A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AA04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Facilitate, through requirements and incentives, faster transition to cleaner engine technologies in trucking, shipping, port operations, and trains.?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3B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85D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073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4DE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9CB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653E03EE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B89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618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94D3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Move commercial trucking routes away from residential areas.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2F7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55F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18D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56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015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6E0BB0E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B5A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7D1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F9B95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Expand public transportation systems to underserved neighborhoods that link to essential services, schools, and places of employment.</w:t>
            </w:r>
          </w:p>
          <w:p w14:paraId="0EA84D8D" w14:textId="77777777" w:rsidR="002706FA" w:rsidRDefault="002706F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D6BEED8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6B37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357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467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D90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DC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4A1CD8C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DFF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D6B99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0836B9D2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Expand resources and infrastructure for the purchase and use of electric vehicles across the economic spectrum.</w:t>
            </w:r>
          </w:p>
          <w:p w14:paraId="3C3987D3" w14:textId="77777777" w:rsidR="002706FA" w:rsidRDefault="002706F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999C2F" w14:textId="77777777" w:rsidR="000276B3" w:rsidRPr="00F1338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8CD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F9A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C08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F53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455D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6886" w:rsidRPr="00F13383" w14:paraId="19B8085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A6A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36A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60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542FE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cities and counties to increase useable sidewalks, safe intersections, adequate lighting, and well-connected walking routes, with leadership from communities.</w:t>
            </w:r>
          </w:p>
          <w:p w14:paraId="68BF7566" w14:textId="77777777" w:rsidR="000276B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F622EB5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BCA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556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9C3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ECE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13D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089E4C05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992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B14DCD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5BE9DCBA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Adequately fund groundwater testing in areas where people rely on wells for their water source and provide filters when contamination is identified.</w:t>
            </w:r>
          </w:p>
          <w:p w14:paraId="08744856" w14:textId="77777777" w:rsidR="000276B3" w:rsidRDefault="000276B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A69E6BE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0C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C44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873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48A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31CA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5793AED2" w14:textId="77777777" w:rsidTr="0015687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15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B7D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313C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Work with agriculture and state/local agencies to adopt aggressive measures to reduce agricultural water pollution from pesticides, fertilizer, and livestock operations.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8F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96B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942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029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439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7C06926A" w14:textId="77777777" w:rsidTr="0015687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A16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E01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30EF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2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094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  <w:tc>
          <w:tcPr>
            <w:tcW w:w="9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C12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AE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  <w:tc>
          <w:tcPr>
            <w:tcW w:w="96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16A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5.0</w:t>
            </w:r>
          </w:p>
        </w:tc>
        <w:tc>
          <w:tcPr>
            <w:tcW w:w="9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A7A6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</w:tr>
      <w:tr w:rsidR="00156879" w:rsidRPr="00F13383" w14:paraId="1870FCC9" w14:textId="77777777" w:rsidTr="00156879">
        <w:trPr>
          <w:gridBefore w:val="1"/>
          <w:wBefore w:w="106" w:type="dxa"/>
          <w:trHeight w:val="440"/>
        </w:trPr>
        <w:tc>
          <w:tcPr>
            <w:tcW w:w="801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C476" w14:textId="77777777" w:rsidR="00156879" w:rsidRDefault="00156879" w:rsidP="00156879">
            <w:pPr>
              <w:pBdr>
                <w:top w:val="single" w:sz="4" w:space="1" w:color="auto"/>
              </w:pBd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C174360" w14:textId="6945F9B7" w:rsidR="002B6112" w:rsidRDefault="002B6112" w:rsidP="00156879">
            <w:pPr>
              <w:pBdr>
                <w:top w:val="single" w:sz="4" w:space="1" w:color="auto"/>
              </w:pBd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3: Increase Access to Healthy Food and Exercise</w:t>
            </w:r>
          </w:p>
          <w:p w14:paraId="7B6BB366" w14:textId="77777777" w:rsidR="00EC266E" w:rsidRDefault="00EC266E" w:rsidP="00156879">
            <w:pPr>
              <w:pBdr>
                <w:top w:val="single" w:sz="4" w:space="1" w:color="auto"/>
              </w:pBd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2BD3E9" w14:textId="7BA82596" w:rsidR="00156879" w:rsidRPr="00F13383" w:rsidRDefault="00156879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6D5E98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D2DB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4D580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37523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1F5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3780FBC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7CF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EB2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67FF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buffer zones that limit the density of unhealthy fast-food outlets around schools.</w:t>
            </w:r>
          </w:p>
          <w:p w14:paraId="1EF26543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A3DB17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CE9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F48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137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F19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EA7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6886" w:rsidRPr="00F13383" w14:paraId="4360D07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B04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42F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4042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free blackout curtains, sleep masks, and information on other strategies to reduce exposure to night-time light to residents living near facilities with bright outside lighting.</w:t>
            </w:r>
          </w:p>
          <w:p w14:paraId="72362D5E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8111B1D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DF4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AC6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4CF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B63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45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7B36FD49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A45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924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A4D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With community input and leadership, encourage bike use by expanding the network of bike lanes and access for bikes on public transportation.</w:t>
            </w:r>
          </w:p>
          <w:p w14:paraId="33A7D31B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0233DD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74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13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98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F99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23F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2D717068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DBD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DC5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1059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Expand affordability and access to bike share networks in communities of color and low-income areas, while ensuring bikes do not hinder access to sidewalks.</w:t>
            </w:r>
          </w:p>
          <w:p w14:paraId="517CD463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D188EF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33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5C5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69E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4C7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1A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5B777437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0D7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47B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700B78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Implement local initiatives that support affordable fresh produce at corner stores, bodegas, and community markets.</w:t>
            </w:r>
          </w:p>
          <w:p w14:paraId="5F1C9E9E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58AA2D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40A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813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BFD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A96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5F2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0F659C9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5A8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4843F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18AA7379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safe routes for children in underserved communities to walk/bike to school through construction of new bicycle lanes and sidewalks, with community input and leadership.</w:t>
            </w:r>
          </w:p>
          <w:p w14:paraId="606325ED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E9D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906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B61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3F1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D61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72A49A45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53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965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52DD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funding for public spaces in underserved neighborhoods (for example, community centers and outdoor spaces).</w:t>
            </w:r>
          </w:p>
          <w:p w14:paraId="6D1614AC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EEB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A3D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97D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2C6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840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13383" w14:paraId="62AECADE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481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AF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95889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Develop community kitchens that bring seniors together to cook and eat healthy food that they can also bring home.</w:t>
            </w:r>
          </w:p>
          <w:p w14:paraId="2B3446AC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F89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BD5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1EB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807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C5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6FAE4DA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81C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3EA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5821D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Expand public transportation systems to underserved neighborhoods that link to essential services, schools, and places of employment.</w:t>
            </w:r>
          </w:p>
          <w:p w14:paraId="35B6C029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B97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CD0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26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E71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C65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1F49959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BDA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F81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755CC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healthier communities by planting more trees, installing benches, and funding public art projects in existing and new public spaces, with community input and leadership.</w:t>
            </w:r>
          </w:p>
          <w:p w14:paraId="396E01AD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68D304" w14:textId="77777777" w:rsidR="00FC7E74" w:rsidRPr="00F13383" w:rsidRDefault="00FC7E7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049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E66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9C7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7C4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F9E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13383" w14:paraId="2E9EF3DA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DCC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96D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60C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public support to share locally grown excess food (for example, food swaps) and ensure farmer's markets are affordable to local communities with limited access to fresh produce.</w:t>
            </w:r>
          </w:p>
          <w:p w14:paraId="2E154439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116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70D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E3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5E8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8D2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212684C1" w14:textId="77777777" w:rsidTr="0015687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AE2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5A8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B45A91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support for community gardens (for example, education and training, seeds, clean soil, natural pest management, and gardening tools).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3ED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D4D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42DA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C78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2CD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0A16B8C2" w14:textId="77777777" w:rsidTr="00156879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F9B6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8E31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C665C" w14:textId="4D3162F1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Cluster 3 </w:t>
            </w:r>
            <w:r w:rsidR="0037532B"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FA713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93A9A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F059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66E55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913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</w:tr>
      <w:tr w:rsidR="00EC755C" w:rsidRPr="00F13383" w14:paraId="0AAF6004" w14:textId="77777777" w:rsidTr="00156879">
        <w:trPr>
          <w:gridBefore w:val="1"/>
          <w:wBefore w:w="106" w:type="dxa"/>
          <w:trHeight w:val="40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C4B73" w14:textId="77777777" w:rsidR="00156879" w:rsidRDefault="00156879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A4963C" w14:textId="2524617A" w:rsidR="002B6112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4: Incorporate Healthy Lifestyle Activities in Schools &amp; Communities</w:t>
            </w:r>
          </w:p>
          <w:p w14:paraId="353CBFE6" w14:textId="77777777" w:rsidR="00156879" w:rsidRDefault="00156879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4BAB2C9" w14:textId="77777777" w:rsidR="00156879" w:rsidRPr="00F13383" w:rsidRDefault="00156879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875D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30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09B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4F7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07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1351BC0E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370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6386A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0F0B85C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Collaborate with and fund local organizations to provide physical activity opportunities in after school, camp, or recreation programs.</w:t>
            </w:r>
          </w:p>
          <w:p w14:paraId="67257B5E" w14:textId="77777777" w:rsidR="00620504" w:rsidRDefault="0062050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03260FA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579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51E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7D9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8A3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CFD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1DC7B678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15D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A2A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8CB24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Develop school gardens that provide gardening, nutrition, and cooking curricula at multiple schools, ranging from K-12, across a school district.</w:t>
            </w:r>
          </w:p>
          <w:p w14:paraId="63166609" w14:textId="77777777" w:rsidR="00620504" w:rsidRDefault="0062050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7B41E0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EF1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02F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09C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489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B9E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13383" w14:paraId="245570BB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E93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CC9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EB78D3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Work with school districts to ensure K-12 schools have the resources they need to offer universal physical education classes.</w:t>
            </w:r>
          </w:p>
          <w:p w14:paraId="7B4DB9BA" w14:textId="77777777" w:rsidR="00620504" w:rsidRDefault="0062050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51C60E5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193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4B2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4B7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E91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88F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13383" w14:paraId="6379AED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793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81378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6AE27339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Increase free physical activity options in underserved communities by creating culturally tailored programs across the lifespan (for example, walking programs and Zumba in the Park).</w:t>
            </w:r>
          </w:p>
          <w:p w14:paraId="7CCCE0BA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53C1C52" w14:textId="77777777" w:rsidR="0004029B" w:rsidRPr="00F13383" w:rsidRDefault="0004029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4D4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892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1CA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DB7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03C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564CF167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C41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C43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7243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incentives for schools to offer community programming (for example, physical activity and food swaps) after hours and on weekends.</w:t>
            </w:r>
          </w:p>
          <w:p w14:paraId="43317C3F" w14:textId="77777777" w:rsidR="00620504" w:rsidRDefault="0062050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73DB450" w14:textId="77777777" w:rsidR="00EC266E" w:rsidRPr="00F13383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4E7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BFD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4C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7EF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336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356B838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F29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02C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E878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Incorporate student input to provide healthy school lunch programs that students are likely to eat.</w:t>
            </w:r>
          </w:p>
          <w:p w14:paraId="041CF8C9" w14:textId="77777777" w:rsidR="00EC266E" w:rsidRDefault="00EC26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61EDB5E" w14:textId="77777777" w:rsidR="0004029B" w:rsidRPr="00F13383" w:rsidRDefault="0004029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678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CA1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92B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4F1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73C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0DB52413" w14:textId="77777777" w:rsidTr="00186B70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0E9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3E3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4F222E4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free healthy breakfast and lunch programs without income requirements to K-12 students when school is in session and during summer breaks.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6D4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1E9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C8D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C47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724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C7E74" w14:paraId="088B2669" w14:textId="77777777" w:rsidTr="00186B70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951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46E7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DA09F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4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B6BF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A611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18422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01C5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B9EE3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</w:tr>
      <w:tr w:rsidR="00EC755C" w:rsidRPr="00F13383" w14:paraId="324EA5C4" w14:textId="77777777" w:rsidTr="00186B70">
        <w:trPr>
          <w:gridBefore w:val="1"/>
          <w:wBefore w:w="106" w:type="dxa"/>
          <w:trHeight w:val="4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D7B8" w14:textId="77777777" w:rsidR="002E086E" w:rsidRDefault="002E086E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554F1FB" w14:textId="77777777" w:rsidR="002B6112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5: Provide Preventive Education &amp; Resources</w:t>
            </w:r>
          </w:p>
          <w:p w14:paraId="5D4D499B" w14:textId="7C3E5FD5" w:rsidR="002E086E" w:rsidRPr="00F13383" w:rsidRDefault="002E086E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B9BD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803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C83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116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001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364935DF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176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F9D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0E94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continuing education and trainings for K-12 teachers to incorporate body movement that amplifies learning.</w:t>
            </w:r>
          </w:p>
          <w:p w14:paraId="4541AFBC" w14:textId="77777777" w:rsidR="005E1891" w:rsidRPr="00F13383" w:rsidRDefault="005E1891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A35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993C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E17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2CD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DEF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136886" w:rsidRPr="00F13383" w14:paraId="6B8CF9F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6FD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B3E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AEC0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Subsidize childcare, starting from infant care, to expand the percentage of working families who receive benefits.</w:t>
            </w:r>
          </w:p>
          <w:p w14:paraId="419BFB2F" w14:textId="0C6B36B7" w:rsidR="005E1891" w:rsidRPr="00F13383" w:rsidRDefault="005E1891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0D3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F53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15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8D2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D6E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15AB6107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4C5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77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D8D1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free phone or in-home breastfeeding support to new parents from hospital/health department lactation staff.</w:t>
            </w:r>
          </w:p>
          <w:p w14:paraId="35F9859F" w14:textId="77777777" w:rsidR="005E1891" w:rsidRDefault="005E1891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0F2D694" w14:textId="5AD39A39" w:rsidR="002E086E" w:rsidRPr="00F13383" w:rsidRDefault="002E08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E79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A24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ECE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6BA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F0C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4B0C9020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0A8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E33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FBB82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Provide financial and educational resources to community groups to make available a resource directory of local lactation support services for new parents.</w:t>
            </w:r>
          </w:p>
          <w:p w14:paraId="51174F1E" w14:textId="77777777" w:rsidR="002E086E" w:rsidRDefault="002E08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3C25B1E" w14:textId="77777777" w:rsidR="0004029B" w:rsidRPr="00F13383" w:rsidRDefault="0004029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793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513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E9C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E98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100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45E5B012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E77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201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89FA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Develop workplace physical activity programs promoting movement (for example, taking stairs, active commutes, and on-site exercise classes).</w:t>
            </w:r>
          </w:p>
          <w:p w14:paraId="541DAF3B" w14:textId="77777777" w:rsidR="002E086E" w:rsidRDefault="002E086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F0C8C1" w14:textId="77777777" w:rsidR="0004029B" w:rsidRPr="00F13383" w:rsidRDefault="0004029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90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43D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B8A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3F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B8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37EFA0AA" w14:textId="77777777" w:rsidTr="00091574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7A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E98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888C38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Work with community groups to provide culturally tailored education and advocacy on how to reduce the disproportionate impact of breast cancer risk factors for under-resourced communities, including rural, tribal, and communities of color.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2D7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247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B52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6D0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15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69309132" w14:textId="77777777" w:rsidTr="00091574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35F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5C98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58ED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5 averages</w:t>
            </w: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5E1A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2.3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8FBC4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</w:p>
        </w:tc>
        <w:tc>
          <w:tcPr>
            <w:tcW w:w="10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F4C7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96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56F43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A24BF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4.7</w:t>
            </w:r>
          </w:p>
        </w:tc>
      </w:tr>
      <w:tr w:rsidR="00EC755C" w:rsidRPr="00F13383" w14:paraId="67BF7616" w14:textId="77777777" w:rsidTr="00091574">
        <w:trPr>
          <w:gridBefore w:val="1"/>
          <w:wBefore w:w="106" w:type="dxa"/>
          <w:trHeight w:val="50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14E4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6: Create Interventions Related to Reproductive and Women's Health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12D9F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E87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879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25B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BB1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25837F82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194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EF1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1E3FC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Encourage public health departments to promote breastfeeding through multilingual social media and Public Service Announcement (PSA) campaigns.</w:t>
            </w:r>
          </w:p>
          <w:p w14:paraId="41A791DB" w14:textId="77777777" w:rsidR="007F5BDF" w:rsidRDefault="007F5BD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3F31CD7" w14:textId="77777777" w:rsidR="003E4F85" w:rsidRPr="00F13383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50C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4BE2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AC6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243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68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4E511B75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656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360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AC665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Improve quality and access to in-person and virtual one-on-one and group peer support breastfeeding programs.</w:t>
            </w:r>
          </w:p>
          <w:p w14:paraId="338514CC" w14:textId="77777777" w:rsidR="007F5BDF" w:rsidRDefault="007F5BD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006073" w14:textId="77777777" w:rsidR="003E4F85" w:rsidRPr="00F13383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D97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B0B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850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AB7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13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7E1885F1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2A9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A4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33EF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Create, fund, and promote culturally tailored smoking cessation programs with online, phone, and text accessibility.</w:t>
            </w:r>
          </w:p>
          <w:p w14:paraId="096AA25A" w14:textId="77777777" w:rsidR="007F5BDF" w:rsidRDefault="007F5BD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7DF08D0" w14:textId="77777777" w:rsidR="003E4F85" w:rsidRPr="00F13383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C02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283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27C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1C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6DE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7BE97DA9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69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BC2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0CDB7" w14:textId="00F30FD0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breastfeeding-friendly workplaces with a special focus on work sectors that face unique challenges (for example,</w:t>
            </w:r>
            <w:r w:rsidR="007F5BDF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farmworkers).</w:t>
            </w:r>
          </w:p>
          <w:p w14:paraId="5D55CE93" w14:textId="77777777" w:rsidR="007F5BDF" w:rsidRDefault="007F5BD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6266648" w14:textId="77777777" w:rsidR="003E4F85" w:rsidRPr="00F13383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8A4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D9D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570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E21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575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56ED153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C84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772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D0E1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Provide education to the </w:t>
            </w:r>
            <w:proofErr w:type="gramStart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general public</w:t>
            </w:r>
            <w:proofErr w:type="gramEnd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about the natural process of menopause and ways to manage symptoms without hormone therapy.</w:t>
            </w:r>
          </w:p>
          <w:p w14:paraId="3F12F062" w14:textId="77777777" w:rsidR="003E4F85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DEDFCD1" w14:textId="77777777" w:rsidR="00EF28CA" w:rsidRPr="00F13383" w:rsidRDefault="00EF28C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BC1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646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876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1E3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0B8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3F709917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2E5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10F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C7967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Train community health educators, doulas, and </w:t>
            </w:r>
            <w:proofErr w:type="spellStart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promatoras</w:t>
            </w:r>
            <w:proofErr w:type="spellEnd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to offer culturally tailored and affordable lactation support to address the unique challenges of communities with lower rates of breastfeeding.</w:t>
            </w:r>
          </w:p>
          <w:p w14:paraId="794D33C4" w14:textId="77777777" w:rsidR="007F5BDF" w:rsidRDefault="007F5BD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D0923C" w14:textId="77777777" w:rsidR="003E4F85" w:rsidRDefault="003E4F8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9654DD0" w14:textId="77777777" w:rsidR="00EF28CA" w:rsidRPr="00F13383" w:rsidRDefault="00EF28CA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F11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DE1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B63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E78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B21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022FACA3" w14:textId="77777777" w:rsidTr="000E2CC2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D4A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026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FB3364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Make educational materials on the links between alcohol and breast cancer easily available at health clinics, community centers, and via social media. 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5FB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C7E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82E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4C5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465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65AF872D" w14:textId="77777777" w:rsidTr="000E2CC2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E96B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80E5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A4085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6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A1B44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4B739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5F66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8816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39673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3.6</w:t>
            </w:r>
          </w:p>
        </w:tc>
      </w:tr>
      <w:tr w:rsidR="00EC755C" w:rsidRPr="00F13383" w14:paraId="3F015406" w14:textId="77777777" w:rsidTr="000E2CC2">
        <w:trPr>
          <w:gridBefore w:val="1"/>
          <w:wBefore w:w="106" w:type="dxa"/>
          <w:trHeight w:val="5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B8B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7: Implement Preventive Health Measures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015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8C0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BD7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3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18E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02726C81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388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794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8345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Educate night shift workers who are exposed to night-time light about the benefits of exposure to daylight and encourage them to get regular exposure to daylight.</w:t>
            </w:r>
          </w:p>
          <w:p w14:paraId="68113E2A" w14:textId="77777777" w:rsidR="007A633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FB05C88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88A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225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9C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E51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F39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136886" w:rsidRPr="00F13383" w14:paraId="1C57979D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4E6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BDF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9F8C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Require all healthcare plans, including </w:t>
            </w:r>
            <w:proofErr w:type="spellStart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MediCal</w:t>
            </w:r>
            <w:proofErr w:type="spellEnd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, to fully cover lactation support and all breastfeeding equipment for new parents.</w:t>
            </w:r>
          </w:p>
          <w:p w14:paraId="7D621244" w14:textId="77777777" w:rsidR="007A633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183F475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1CE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68B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1010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685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359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55EF631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11C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5AB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C0FF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Work with professional medical organizations to develop guidance for health care professionals on risks and benefits of hormone replacement therapy use to control the symptoms of menopause.</w:t>
            </w:r>
          </w:p>
          <w:p w14:paraId="28208965" w14:textId="77777777" w:rsidR="007A633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2237933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551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631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82D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D2D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6BC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5C9E6669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B44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FD7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E813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ongoing anti-racism training for medical providers, medical students, and health care systems to reduce implicit bias and ensure fair and equitable medical care.</w:t>
            </w:r>
          </w:p>
          <w:p w14:paraId="58BAB7B5" w14:textId="77777777" w:rsidR="007A633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6AD6BA3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28E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F3D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7BB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D19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FA2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1284B6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57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551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DE4B" w14:textId="3EE3DC41" w:rsidR="007A633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culturally tailored educational programs, in collaboration with agricultural workers, on their workplace rights, safety regulations, and how to advocate for stronger protections to reduce hazardous exposures.</w:t>
            </w:r>
          </w:p>
          <w:p w14:paraId="479EDE4C" w14:textId="77777777" w:rsidR="00594335" w:rsidRDefault="0059433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056BC2" w14:textId="77777777" w:rsidR="007A6333" w:rsidRPr="00F1338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DCD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55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C6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CBA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D62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02E328D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53B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184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67E3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Add breast cancer risk to the existing risk and benefit information for oral contraceptives and other hormone-based birth control methods.</w:t>
            </w:r>
          </w:p>
          <w:p w14:paraId="3DEF4D6A" w14:textId="77777777" w:rsidR="00594335" w:rsidRPr="00F13383" w:rsidRDefault="0059433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B6B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A6A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16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F21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2F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1B59A67B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2AA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3EC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A4A9C5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Include the connection between tobacco use and breast cancer risk in the California K-12 public school tobacco-prevention curriculum.</w:t>
            </w:r>
          </w:p>
          <w:p w14:paraId="19C58E95" w14:textId="77777777" w:rsidR="00594335" w:rsidRDefault="0059433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7657C4F" w14:textId="77777777" w:rsidR="007A6333" w:rsidRPr="00F13383" w:rsidRDefault="007A6333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D3F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835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EF0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C9C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13D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0EC36FE5" w14:textId="77777777" w:rsidTr="00E01247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21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0EA7A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6025" w:type="dxa"/>
            <w:shd w:val="clear" w:color="auto" w:fill="auto"/>
            <w:noWrap/>
            <w:vAlign w:val="center"/>
            <w:hideMark/>
          </w:tcPr>
          <w:p w14:paraId="3F42BDEF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Create culturally tailored anti-smoking and anti-vaping messages with and for youth and communities of color.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54D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705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5D9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B12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786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14CFE67B" w14:textId="77777777" w:rsidTr="00E01247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8565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44F1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C2F1A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7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7E64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89A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FDF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5.8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0052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FAE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2.6</w:t>
            </w:r>
          </w:p>
        </w:tc>
      </w:tr>
      <w:tr w:rsidR="00EC755C" w:rsidRPr="00F13383" w14:paraId="071811A5" w14:textId="77777777" w:rsidTr="00E01247">
        <w:trPr>
          <w:gridBefore w:val="1"/>
          <w:wBefore w:w="106" w:type="dxa"/>
          <w:trHeight w:val="5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C9B482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8: Reduce Hazardous Workplace Exposures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9F12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C91FB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E02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19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C7D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60BBDB4D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A38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B47C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5E813CA7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Compare salons certified under the CA Healthy Nail Salon Recognition Program to those that are not part of the program on reduced exposure to breast cancer risk factors.</w:t>
            </w:r>
          </w:p>
          <w:p w14:paraId="7C892370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323408D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106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101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77A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17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423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074F8299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FB3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D8C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1AD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Avoid duplicate imaging procedures by establishing best practices for health care provider access to previous medical images across health care systems and community clinics.</w:t>
            </w:r>
          </w:p>
          <w:p w14:paraId="35A4E035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C6D15F2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905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73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C51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CFD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EFD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3BF2572E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D97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42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B26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Establish best practices and train all personnel potentially exposed in health care settings (including, for example, cleaning and other support staff) on how to minimize radiation exposure from medical devices.</w:t>
            </w:r>
          </w:p>
          <w:p w14:paraId="52CFA599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43DEEF3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A6A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843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48D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D97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974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724FA65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4C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7DC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6D3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the state cancer registry to collect information on social factors that impact health, including race, household income, and occupation.</w:t>
            </w:r>
          </w:p>
          <w:p w14:paraId="7D3ECB73" w14:textId="77777777" w:rsidR="00BA1961" w:rsidRDefault="00BA1961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06E0E10" w14:textId="778AD7A5" w:rsidR="00022478" w:rsidRPr="00F13383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311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F87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48D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B91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CF2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1DBDC1D0" w14:textId="77777777" w:rsidTr="00022478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156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A48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3B638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Ensure all medical radiological equipment complies with state standards to minimize radiation exposures from medical imaging.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60C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A0D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DC1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DC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B9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4B6D60A3" w14:textId="77777777" w:rsidTr="00022478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1025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527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E918B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8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248E7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A3BB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D004B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2266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18523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EC755C" w:rsidRPr="00F13383" w14:paraId="6E362613" w14:textId="77777777" w:rsidTr="00022478">
        <w:trPr>
          <w:gridBefore w:val="1"/>
          <w:wBefore w:w="106" w:type="dxa"/>
          <w:trHeight w:val="5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2DA6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9. Require Transparency &amp; Best Practices to Reduce Harmful Exposures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0A61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33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80B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B9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64C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6F57AF3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8EA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72B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0216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Identify and implement best practices to mitigate workplace night-time light exposures while maintaining a safe work environment.</w:t>
            </w:r>
          </w:p>
          <w:p w14:paraId="7E39851A" w14:textId="77777777" w:rsidR="002F5FA8" w:rsidRDefault="002F5FA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3CAB797" w14:textId="77777777" w:rsidR="00022478" w:rsidRPr="00F13383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DEE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A6A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20D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DA6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C2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26503AAF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77A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EA7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C51A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Implement policies at the state, county, and school board levels to limit screen time in childcare centers and after-school programs.</w:t>
            </w:r>
          </w:p>
          <w:p w14:paraId="4033E962" w14:textId="77777777" w:rsidR="002F5FA8" w:rsidRDefault="002F5FA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1876B4" w14:textId="6E37D210" w:rsidR="00022478" w:rsidRPr="00F13383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95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A5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B2F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BFF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828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6886" w:rsidRPr="00F13383" w14:paraId="27E1850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80E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0C3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0835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Declare racism a public health crisis at the city, county, and state levels to address the root causes of health disparities (for </w:t>
            </w: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example, cumulative chemical exposures, poverty, and social stressors).</w:t>
            </w:r>
          </w:p>
          <w:p w14:paraId="0FDC5645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BE441F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296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6EC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826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C20F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F66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419944EA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BBC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91A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0EE0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Pass state right-to-know laws requiring ingredient disclosure for consumer products, such as food packaging, electronics, or school and art supplies.</w:t>
            </w:r>
          </w:p>
          <w:p w14:paraId="26CA760F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86BE339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F20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B4C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40D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4C0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92E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4C74E72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AA2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C8F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E0CD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Develop best practices to monitor and reduce electromagnetic field exposures for occupations of high concern (for example, power grid/telecommunication workers).</w:t>
            </w:r>
          </w:p>
          <w:p w14:paraId="22BB21F3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063EFBF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2C7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559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D6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32C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B9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136886" w:rsidRPr="00F13383" w14:paraId="3DB40D87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384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56A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DF23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the state to develop and publish a list of endocrine disrupting chemicals to inform consumer choice and policies to reduce exposure.</w:t>
            </w:r>
          </w:p>
          <w:p w14:paraId="1A6CD70F" w14:textId="77777777" w:rsidR="002F5FA8" w:rsidRDefault="002F5FA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B65AD4" w14:textId="77777777" w:rsidR="00022478" w:rsidRPr="00F13383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2AC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74E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AE5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392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0B7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7C529922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57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47BB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5CBA2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Implement best practices to minimize cumulative exposure to radiation in non-medical workplaces.</w:t>
            </w:r>
          </w:p>
          <w:p w14:paraId="52EF4065" w14:textId="77777777" w:rsidR="00022478" w:rsidRDefault="0002247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54AD447" w14:textId="77777777" w:rsidR="0023534F" w:rsidRPr="00F13383" w:rsidRDefault="0023534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757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4A7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ECC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92E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082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248C135A" w14:textId="77777777" w:rsidTr="00AC249E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B80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603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C66FED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Develop, with worker input, industry-wide best </w:t>
            </w:r>
            <w:proofErr w:type="gramStart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practices</w:t>
            </w:r>
            <w:proofErr w:type="gramEnd"/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policies to reduce workplace exposures to chemicals and other breast cancer risk factors.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D5A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397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57B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B3A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8D7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0E73BBC7" w14:textId="77777777" w:rsidTr="00AC249E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F1B5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9BD6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4644D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9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89AD0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0A49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F5B80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61431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7BB5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2.1</w:t>
            </w:r>
          </w:p>
        </w:tc>
      </w:tr>
      <w:tr w:rsidR="00EC755C" w:rsidRPr="00F13383" w14:paraId="69359657" w14:textId="77777777" w:rsidTr="00AC249E">
        <w:trPr>
          <w:gridBefore w:val="1"/>
          <w:wBefore w:w="106" w:type="dxa"/>
          <w:trHeight w:val="5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7FDD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10. Promote Policies to Reduce Alcohol &amp; Tobacco Use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E81A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E45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97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692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698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392F6AAF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852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466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169E4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Expand the ban on advertising of alcoholic beverages to include beer and wine on all state-funded university and community college campuses in California.</w:t>
            </w:r>
          </w:p>
          <w:p w14:paraId="1D93AEA7" w14:textId="77777777" w:rsidR="000A5194" w:rsidRDefault="000A519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90873B" w14:textId="77777777" w:rsidR="00EC3D2F" w:rsidRPr="00F13383" w:rsidRDefault="00EC3D2F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A3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05C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8DE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360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8E1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136886" w:rsidRPr="00F13383" w14:paraId="1E007CD0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981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08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8278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Ban tobacco sales, including vaping products, in all California pharmacies.</w:t>
            </w:r>
          </w:p>
          <w:p w14:paraId="1792032B" w14:textId="77777777" w:rsidR="000A5194" w:rsidRPr="00F13383" w:rsidRDefault="000A5194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3DF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398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88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C52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765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46E7AD3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FA8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B58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9C6E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Require all public and private colleges in California to adopt 100% tobacco-free and vape-free campus policies.</w:t>
            </w:r>
          </w:p>
          <w:p w14:paraId="7F391917" w14:textId="77777777" w:rsidR="00984057" w:rsidRPr="00F13383" w:rsidRDefault="00984057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7C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5D5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DE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E61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AE8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36BE8CC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A1E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E85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8BB35B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Prohibit alcohol advertising within 500 feet of schools, playgrounds, recreation centers or facilities, childcare centers, or libraries.</w:t>
            </w:r>
          </w:p>
          <w:p w14:paraId="684A1764" w14:textId="3DF10288" w:rsidR="00984057" w:rsidRPr="00F13383" w:rsidRDefault="00984057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4ED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5D1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B35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D9B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E5E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4672761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29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80FF87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54E3628C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Work with local, county, and tribal governments to ban tobacco-product advertising that targets youth and communities of color.</w:t>
            </w:r>
          </w:p>
          <w:p w14:paraId="77BC7068" w14:textId="77777777" w:rsidR="000E1005" w:rsidRPr="00F13383" w:rsidRDefault="000E1005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2AF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F4E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393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605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213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53713A22" w14:textId="77777777" w:rsidTr="00AC249E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A61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D5D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60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B05AE5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Deny new permits for tobacco retail sales within 1000 feet of schools, including vaping products.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C91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AFF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F93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6E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5120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53F4F3B3" w14:textId="77777777" w:rsidTr="00AC249E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00EE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8AAF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42AB5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10 averages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7658E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FBF8A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411DC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0102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98CA2" w14:textId="77777777" w:rsidR="002B6112" w:rsidRPr="00FC7E74" w:rsidRDefault="002B6112" w:rsidP="002B6112">
            <w:pPr>
              <w:jc w:val="center"/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C7E74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3.5</w:t>
            </w:r>
          </w:p>
        </w:tc>
      </w:tr>
      <w:tr w:rsidR="00EC755C" w:rsidRPr="00F13383" w14:paraId="63179FB9" w14:textId="77777777" w:rsidTr="00AC249E">
        <w:trPr>
          <w:gridBefore w:val="1"/>
          <w:wBefore w:w="106" w:type="dxa"/>
          <w:trHeight w:val="580"/>
        </w:trPr>
        <w:tc>
          <w:tcPr>
            <w:tcW w:w="80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F37D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11. Regulate Hazardous Products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FDF7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DAC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BDD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CDD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2D1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886" w:rsidRPr="00F13383" w14:paraId="01B85F64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6A4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F91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20431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Reform and develop CalEPA program(s) to help businesses generate less solid and hazardous waste, use fewer toxic chemicals, conserve water and energy, and reduce pollution.</w:t>
            </w:r>
          </w:p>
          <w:p w14:paraId="41C2F5C0" w14:textId="77777777" w:rsidR="00AC249E" w:rsidRDefault="00AC249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25A6C6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E09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882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FED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D91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51A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6A4ABDEB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20E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96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6A0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Prohibit contaminated wastewater from fossil fuel drilling (for example, fracking) from being used to irrigate crops.</w:t>
            </w:r>
          </w:p>
          <w:p w14:paraId="55C44432" w14:textId="77777777" w:rsidR="00501158" w:rsidRDefault="00501158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C23C1C1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C17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961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FD6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1F9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1FD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2A19343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C46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69B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ABD27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Reduce the use of products containing harmful chemicals in low-income housing (for example, pesticides, cleaning products, carpeting, paint, furniture, and insulation).</w:t>
            </w:r>
          </w:p>
          <w:p w14:paraId="7FF5735F" w14:textId="77777777" w:rsidR="00AC249E" w:rsidRDefault="00AC249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416E067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AA3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78F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8C4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2C8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FB6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136886" w:rsidRPr="00F13383" w14:paraId="5AA2AB6C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4EE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3EF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1FD6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Implement state and local government purchasing ordinances that reduce or eliminate the governmental purchase of products containing toxic chemicals.</w:t>
            </w:r>
          </w:p>
          <w:p w14:paraId="7B25C31E" w14:textId="77777777" w:rsidR="00AC249E" w:rsidRDefault="00AC249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933039D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957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0AF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6E8F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531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9B5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4EFA55A6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3A2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36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85F6390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Develop municipal ordinances to ban pesticides in favor of less toxic pest-management in parks, recreation fields, golf courses, schools, and public spaces.</w:t>
            </w:r>
          </w:p>
          <w:p w14:paraId="18A38C74" w14:textId="77777777" w:rsidR="00AC249E" w:rsidRDefault="00AC249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F8FBA71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5CD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6B2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FF0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475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1E6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3907482A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AC86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4B8E1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7B841790" w14:textId="77777777" w:rsidR="00AC249E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Develop policies to prevent toxic products being sold or disposed of in communities of color or low-income communities, </w:t>
            </w:r>
          </w:p>
          <w:p w14:paraId="5C4ED28F" w14:textId="55501009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particularly after laws are passed to disclose, reduce, or eliminate chemicals in consumer products.</w:t>
            </w:r>
          </w:p>
          <w:p w14:paraId="25A73230" w14:textId="77777777" w:rsidR="00AC249E" w:rsidRDefault="00AC249E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797A48F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DA5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088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648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2B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1F9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6FDCB325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385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D9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602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733D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Analyze effectiveness of the California regulations requiring petroleum refineries to replace toxic chemicals with non-hazardous alternatives and engage workers and the local community in these efforts.</w:t>
            </w:r>
          </w:p>
          <w:p w14:paraId="7212681B" w14:textId="77777777" w:rsidR="00B12E36" w:rsidRDefault="00B12E36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81AF6CA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7CE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45E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4C1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F4E7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1BC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136886" w:rsidRPr="00F13383" w14:paraId="6E91C3DE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923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5678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0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049EE8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Ban the use of hazardous chemicals in food packaging sold in the state (for example, BPA and phthalates) and ensure replacement with safer alternatives. </w:t>
            </w:r>
          </w:p>
          <w:p w14:paraId="2786243D" w14:textId="77777777" w:rsidR="00EC665D" w:rsidRDefault="00EC665D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01BE5F4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950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D394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9F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7BF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EF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36886" w:rsidRPr="00F13383" w14:paraId="15DB3BBA" w14:textId="77777777" w:rsidTr="00136886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1F1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F8E64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025" w:type="dxa"/>
            <w:shd w:val="clear" w:color="auto" w:fill="auto"/>
            <w:vAlign w:val="center"/>
            <w:hideMark/>
          </w:tcPr>
          <w:p w14:paraId="2A5D3EDA" w14:textId="77777777" w:rsidR="002B6112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Enact policies at the state/local level that ban hazardous chemicals in consumer products (for example, cleaning products, textiles, and electronics) and ensure replacement with safer alternatives. </w:t>
            </w:r>
          </w:p>
          <w:p w14:paraId="20A79291" w14:textId="77777777" w:rsidR="00EC665D" w:rsidRDefault="00EC665D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EA82656" w14:textId="77777777" w:rsidR="00AE49DB" w:rsidRPr="00F13383" w:rsidRDefault="00AE49DB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8F9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EE8A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12C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2741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A7D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70BDBB4F" w14:textId="77777777" w:rsidTr="001C7230">
        <w:trPr>
          <w:gridBefore w:val="1"/>
          <w:wBefore w:w="106" w:type="dxa"/>
          <w:trHeight w:val="58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6C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6FE3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6025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6E81369" w14:textId="77777777" w:rsidR="002B6112" w:rsidRPr="00F13383" w:rsidRDefault="002B6112" w:rsidP="002B6112">
            <w:pPr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Eliminate use of cleaning products containing hazardous chemicals in schools, day care centers, and other buildings open to the public to reduce unsafe exposures, especially for children and workers.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629D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CEB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213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4525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9A8C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136886" w:rsidRPr="00F13383" w14:paraId="437450F1" w14:textId="77777777" w:rsidTr="001C7230">
        <w:trPr>
          <w:gridBefore w:val="1"/>
          <w:wBefore w:w="106" w:type="dxa"/>
          <w:trHeight w:val="440"/>
        </w:trPr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A65B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D709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75648" w14:textId="77777777" w:rsidR="002B6112" w:rsidRPr="00F13383" w:rsidRDefault="002B6112" w:rsidP="002B6112">
            <w:pPr>
              <w:jc w:val="right"/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Cluster 11 averages</w:t>
            </w:r>
          </w:p>
        </w:tc>
        <w:tc>
          <w:tcPr>
            <w:tcW w:w="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5ABC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3.7</w:t>
            </w:r>
          </w:p>
        </w:tc>
        <w:tc>
          <w:tcPr>
            <w:tcW w:w="9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A2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2.9</w:t>
            </w:r>
          </w:p>
        </w:tc>
        <w:tc>
          <w:tcPr>
            <w:tcW w:w="10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D3C0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6.6</w:t>
            </w:r>
          </w:p>
        </w:tc>
        <w:tc>
          <w:tcPr>
            <w:tcW w:w="96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D46EE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9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CFF2" w14:textId="77777777" w:rsidR="002B6112" w:rsidRPr="00F13383" w:rsidRDefault="002B6112" w:rsidP="002B6112">
            <w:pPr>
              <w:jc w:val="center"/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13383">
              <w:rPr>
                <w:rFonts w:ascii="Palatino" w:eastAsia="Times New Roman" w:hAnsi="Palatino" w:cs="Times New Roman"/>
                <w:color w:val="000000"/>
                <w:kern w:val="0"/>
                <w:sz w:val="20"/>
                <w:szCs w:val="20"/>
                <w14:ligatures w14:val="none"/>
              </w:rPr>
              <w:t>2.2</w:t>
            </w:r>
          </w:p>
        </w:tc>
      </w:tr>
    </w:tbl>
    <w:p w14:paraId="098CC3FB" w14:textId="77777777" w:rsidR="009D6CA7" w:rsidRPr="00F13383" w:rsidRDefault="009D6CA7">
      <w:pPr>
        <w:rPr>
          <w:rFonts w:ascii="Palatino" w:hAnsi="Palatino" w:cs="Times New Roman"/>
          <w:sz w:val="20"/>
          <w:szCs w:val="20"/>
        </w:rPr>
      </w:pPr>
    </w:p>
    <w:p w14:paraId="4188AA1F" w14:textId="77777777" w:rsidR="00284755" w:rsidRPr="00F13383" w:rsidRDefault="00284755">
      <w:pPr>
        <w:rPr>
          <w:rFonts w:ascii="Palatino" w:hAnsi="Palatino" w:cs="Times New Roman"/>
          <w:sz w:val="20"/>
          <w:szCs w:val="20"/>
        </w:rPr>
      </w:pPr>
    </w:p>
    <w:sectPr w:rsidR="00284755" w:rsidRPr="00F13383" w:rsidSect="00CF3A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12"/>
    <w:rsid w:val="00022478"/>
    <w:rsid w:val="00025D9C"/>
    <w:rsid w:val="000276B3"/>
    <w:rsid w:val="0004029B"/>
    <w:rsid w:val="00091574"/>
    <w:rsid w:val="00095940"/>
    <w:rsid w:val="000A5194"/>
    <w:rsid w:val="000E1005"/>
    <w:rsid w:val="000E2CC2"/>
    <w:rsid w:val="00116504"/>
    <w:rsid w:val="00136886"/>
    <w:rsid w:val="00156879"/>
    <w:rsid w:val="00186B70"/>
    <w:rsid w:val="001C7230"/>
    <w:rsid w:val="0023534F"/>
    <w:rsid w:val="0026369B"/>
    <w:rsid w:val="002706FA"/>
    <w:rsid w:val="00284755"/>
    <w:rsid w:val="002B6112"/>
    <w:rsid w:val="002E086E"/>
    <w:rsid w:val="002F46F9"/>
    <w:rsid w:val="002F5FA8"/>
    <w:rsid w:val="00367ED2"/>
    <w:rsid w:val="0037532B"/>
    <w:rsid w:val="00377098"/>
    <w:rsid w:val="003E4F85"/>
    <w:rsid w:val="00424D28"/>
    <w:rsid w:val="00465739"/>
    <w:rsid w:val="00475077"/>
    <w:rsid w:val="00501158"/>
    <w:rsid w:val="00594335"/>
    <w:rsid w:val="005E1891"/>
    <w:rsid w:val="005F64BF"/>
    <w:rsid w:val="00620504"/>
    <w:rsid w:val="0065040F"/>
    <w:rsid w:val="00686D1A"/>
    <w:rsid w:val="00687340"/>
    <w:rsid w:val="006D33BB"/>
    <w:rsid w:val="007A6333"/>
    <w:rsid w:val="007D3C62"/>
    <w:rsid w:val="007F5BDF"/>
    <w:rsid w:val="00984057"/>
    <w:rsid w:val="009B6E6F"/>
    <w:rsid w:val="009D6CA7"/>
    <w:rsid w:val="00A540EA"/>
    <w:rsid w:val="00AA2BA7"/>
    <w:rsid w:val="00AC249E"/>
    <w:rsid w:val="00AC3AD7"/>
    <w:rsid w:val="00AE49DB"/>
    <w:rsid w:val="00B12E36"/>
    <w:rsid w:val="00B17A8C"/>
    <w:rsid w:val="00BA1961"/>
    <w:rsid w:val="00CB0729"/>
    <w:rsid w:val="00CF3A78"/>
    <w:rsid w:val="00DC27DC"/>
    <w:rsid w:val="00E01247"/>
    <w:rsid w:val="00E42F1C"/>
    <w:rsid w:val="00EC266E"/>
    <w:rsid w:val="00EC3D2F"/>
    <w:rsid w:val="00EC665D"/>
    <w:rsid w:val="00EC755C"/>
    <w:rsid w:val="00EF28CA"/>
    <w:rsid w:val="00F13383"/>
    <w:rsid w:val="00F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D3219"/>
  <w15:chartTrackingRefBased/>
  <w15:docId w15:val="{A9D1C29A-47BC-E249-844D-3EFA0535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1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6112"/>
    <w:rPr>
      <w:color w:val="954F72"/>
      <w:u w:val="single"/>
    </w:rPr>
  </w:style>
  <w:style w:type="paragraph" w:customStyle="1" w:styleId="msonormal0">
    <w:name w:val="msonormal"/>
    <w:basedOn w:val="Normal"/>
    <w:rsid w:val="002B6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2B611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5">
    <w:name w:val="xl65"/>
    <w:basedOn w:val="Normal"/>
    <w:rsid w:val="002B611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2B611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9F00"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2B61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2B611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2B611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2B6112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/>
      <w:textAlignment w:val="center"/>
    </w:pPr>
    <w:rPr>
      <w:rFonts w:ascii="Candara" w:eastAsia="Times New Roman" w:hAnsi="Candara" w:cs="Times New Roman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2B6112"/>
    <w:pPr>
      <w:spacing w:before="100" w:beforeAutospacing="1" w:after="100" w:afterAutospacing="1"/>
      <w:textAlignment w:val="center"/>
    </w:pPr>
    <w:rPr>
      <w:rFonts w:ascii="Candara" w:eastAsia="Times New Roman" w:hAnsi="Candara" w:cs="Times New Roman"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2B611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2B6112"/>
    <w:pPr>
      <w:pBdr>
        <w:top w:val="single" w:sz="8" w:space="0" w:color="666666"/>
        <w:left w:val="single" w:sz="8" w:space="0" w:color="666666"/>
        <w:bottom w:val="single" w:sz="8" w:space="0" w:color="666666"/>
        <w:right w:val="single" w:sz="8" w:space="0" w:color="666666"/>
      </w:pBdr>
      <w:spacing w:before="100" w:beforeAutospacing="1" w:after="100" w:afterAutospacing="1"/>
      <w:textAlignment w:val="center"/>
    </w:pPr>
    <w:rPr>
      <w:rFonts w:ascii="Candara" w:eastAsia="Times New Roman" w:hAnsi="Candara" w:cs="Times New Roman"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2B611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2B6112"/>
    <w:pPr>
      <w:pBdr>
        <w:right w:val="single" w:sz="8" w:space="0" w:color="666666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2B611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2B611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2B611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2B611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2B611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2B6112"/>
    <w:pPr>
      <w:spacing w:before="100" w:beforeAutospacing="1" w:after="100" w:afterAutospacing="1"/>
      <w:jc w:val="right"/>
      <w:textAlignment w:val="center"/>
    </w:pPr>
    <w:rPr>
      <w:rFonts w:ascii="Candara" w:eastAsia="Times New Roman" w:hAnsi="Candara" w:cs="Times New Roman"/>
      <w:b/>
      <w:bCs/>
      <w:i/>
      <w:i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2B6112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2B6112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2322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Gray</dc:creator>
  <cp:keywords/>
  <dc:description/>
  <cp:lastModifiedBy>Janet Gray</cp:lastModifiedBy>
  <cp:revision>24</cp:revision>
  <cp:lastPrinted>2024-01-04T20:10:00Z</cp:lastPrinted>
  <dcterms:created xsi:type="dcterms:W3CDTF">2024-01-04T19:19:00Z</dcterms:created>
  <dcterms:modified xsi:type="dcterms:W3CDTF">2024-01-09T20:48:00Z</dcterms:modified>
</cp:coreProperties>
</file>