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DB8DD" w14:textId="61188F8F" w:rsidR="00EC2572" w:rsidRDefault="00CA5AA8" w:rsidP="00CA5AA8">
      <w:pPr>
        <w:jc w:val="center"/>
      </w:pPr>
      <w:r>
        <w:t>Supplementary Materials For:</w:t>
      </w:r>
    </w:p>
    <w:p w14:paraId="1E5A0E28" w14:textId="6038DEA3" w:rsidR="00CA5AA8" w:rsidRDefault="00CA5AA8" w:rsidP="00CA5AA8">
      <w:pPr>
        <w:jc w:val="center"/>
      </w:pPr>
      <w:r>
        <w:t>Shear Stress Quantification in Tissue Engineering Bioreactor Heart Valves</w:t>
      </w:r>
      <w:r w:rsidR="002A0A21">
        <w:t>: A Computational Approach</w:t>
      </w:r>
    </w:p>
    <w:p w14:paraId="5B3DFDB8" w14:textId="1376EE74" w:rsidR="00CA5AA8" w:rsidRPr="00BA6612" w:rsidRDefault="000E1AD1" w:rsidP="000E1AD1">
      <w:pPr>
        <w:rPr>
          <w:b/>
          <w:bCs/>
        </w:rPr>
      </w:pPr>
      <w:r w:rsidRPr="00BA6612">
        <w:rPr>
          <w:b/>
          <w:bCs/>
        </w:rPr>
        <w:t>Grid Independence</w:t>
      </w:r>
    </w:p>
    <w:p w14:paraId="285B10FB" w14:textId="18EFD8F9" w:rsidR="000E1AD1" w:rsidRDefault="000E1AD1" w:rsidP="000E1AD1">
      <w:r>
        <w:tab/>
        <w:t xml:space="preserve">The mesh independence study is carried out for the largest GOA </w:t>
      </w:r>
      <w:r w:rsidR="004403C6">
        <w:t>corresponding to each valve</w:t>
      </w:r>
      <w:r w:rsidR="006D7F62">
        <w:t xml:space="preserve"> for a flow of 30 LPM</w:t>
      </w:r>
      <w:r>
        <w:t xml:space="preserve">. The figures S1, S2 </w:t>
      </w:r>
      <w:r w:rsidR="004B00EB">
        <w:t xml:space="preserve">and </w:t>
      </w:r>
      <w:r>
        <w:t xml:space="preserve">S3 summarize the </w:t>
      </w:r>
      <w:r w:rsidR="006D7F62">
        <w:t>results</w:t>
      </w:r>
      <w:r w:rsidR="009C5D1B">
        <w:t xml:space="preserve"> </w:t>
      </w:r>
      <w:r>
        <w:t>of consecutive mesh refinement on the 50</w:t>
      </w:r>
      <w:r w:rsidRPr="000E1AD1">
        <w:rPr>
          <w:vertAlign w:val="superscript"/>
        </w:rPr>
        <w:t>th</w:t>
      </w:r>
      <w:r>
        <w:t xml:space="preserve"> (median) and 99</w:t>
      </w:r>
      <w:r w:rsidRPr="000E1AD1">
        <w:rPr>
          <w:vertAlign w:val="superscript"/>
        </w:rPr>
        <w:t>th</w:t>
      </w:r>
      <w:r>
        <w:t xml:space="preserve"> percentile WSS</w:t>
      </w:r>
      <w:r w:rsidR="006D7F62">
        <w:t xml:space="preserve"> for valves 24.6, 18.45 and 12.3 mm respectively</w:t>
      </w:r>
      <w:r>
        <w:t>.</w:t>
      </w:r>
      <w:r w:rsidR="00EE1D25">
        <w:t xml:space="preserve"> </w:t>
      </w:r>
      <w:r w:rsidR="00830597">
        <w:t xml:space="preserve">The meshing parameters from the circled data points are utilized for meshing other GOAs of </w:t>
      </w:r>
      <w:r w:rsidR="004403C6">
        <w:t>the corresponding</w:t>
      </w:r>
      <w:r w:rsidR="00830597">
        <w:t xml:space="preserve"> valve size.</w:t>
      </w:r>
    </w:p>
    <w:p w14:paraId="63D3E652" w14:textId="5A0708E3" w:rsidR="00D11EDE" w:rsidRDefault="000E1AD1" w:rsidP="000E1AD1">
      <w:r>
        <w:tab/>
        <w:t>We evaluated six meshes ranging from 5</w:t>
      </w:r>
      <w:r w:rsidR="00FA4AEA">
        <w:t>x10</w:t>
      </w:r>
      <w:r w:rsidR="00FA4AEA" w:rsidRPr="00FA4AEA">
        <w:rPr>
          <w:vertAlign w:val="superscript"/>
        </w:rPr>
        <w:t>3</w:t>
      </w:r>
      <w:r w:rsidR="00FA4AEA">
        <w:t xml:space="preserve"> to 5.7x10</w:t>
      </w:r>
      <w:r w:rsidR="00FA4AEA">
        <w:rPr>
          <w:vertAlign w:val="superscript"/>
        </w:rPr>
        <w:t>4</w:t>
      </w:r>
      <w:r w:rsidR="00FA4AEA">
        <w:t xml:space="preserve"> </w:t>
      </w:r>
      <w:r w:rsidR="006D7F62">
        <w:t xml:space="preserve">elements </w:t>
      </w:r>
      <w:r w:rsidR="00FA4AEA">
        <w:t xml:space="preserve">per leaflet (total number of elements ranging from 1.4 to 7.5 million) for the 24.6 mm diameter valve. The </w:t>
      </w:r>
      <w:r w:rsidR="004C7CB4">
        <w:t>results</w:t>
      </w:r>
      <w:r w:rsidR="00FA4AEA">
        <w:t xml:space="preserve"> are </w:t>
      </w:r>
      <w:r w:rsidR="009C5D1B">
        <w:t>considered</w:t>
      </w:r>
      <w:r w:rsidR="00FA4AEA">
        <w:t xml:space="preserve"> converged when there is less than 5% and 10% change in the 50</w:t>
      </w:r>
      <w:r w:rsidR="00FA4AEA" w:rsidRPr="00FA4AEA">
        <w:rPr>
          <w:vertAlign w:val="superscript"/>
        </w:rPr>
        <w:t>th</w:t>
      </w:r>
      <w:r w:rsidR="00FA4AEA">
        <w:t xml:space="preserve"> and 99</w:t>
      </w:r>
      <w:r w:rsidR="00FA4AEA" w:rsidRPr="00FA4AEA">
        <w:rPr>
          <w:vertAlign w:val="superscript"/>
        </w:rPr>
        <w:t>th</w:t>
      </w:r>
      <w:r w:rsidR="00FA4AEA">
        <w:t xml:space="preserve"> percentile WSS respectively. The </w:t>
      </w:r>
      <w:r w:rsidR="004C7CB4">
        <w:t xml:space="preserve">meshing </w:t>
      </w:r>
      <w:r w:rsidR="00FA4AEA">
        <w:t xml:space="preserve">parameters that </w:t>
      </w:r>
      <w:r w:rsidR="009C5D1B">
        <w:t>met</w:t>
      </w:r>
      <w:r w:rsidR="004C7CB4">
        <w:t xml:space="preserve"> the convergence criteria resulted in a mesh with 5.3 million total elements</w:t>
      </w:r>
      <w:r w:rsidR="00D11EDE">
        <w:t xml:space="preserve"> (fig. S1)</w:t>
      </w:r>
      <w:r w:rsidR="004C7CB4">
        <w:t xml:space="preserve">. </w:t>
      </w:r>
      <w:r w:rsidR="0099247F">
        <w:t>Three meshes were evaluated for the 18.45 mm valve and less than 3% change in the quantities of interest were observed (</w:t>
      </w:r>
      <w:r w:rsidR="00D11EDE">
        <w:t xml:space="preserve">fig. </w:t>
      </w:r>
      <w:r w:rsidR="0099247F">
        <w:t xml:space="preserve">S2). Therefore, the parameters from the third mesh resulting in a total of 5.79 million total elements were selected for all 18.45 mm valve </w:t>
      </w:r>
      <w:r w:rsidR="009C5D1B">
        <w:t>simulations</w:t>
      </w:r>
      <w:r w:rsidR="0099247F">
        <w:t xml:space="preserve">. </w:t>
      </w:r>
      <w:r w:rsidR="00D11EDE">
        <w:t>Seven meshes ranging from 1.1x10</w:t>
      </w:r>
      <w:r w:rsidR="00D11EDE">
        <w:rPr>
          <w:vertAlign w:val="superscript"/>
        </w:rPr>
        <w:t>4</w:t>
      </w:r>
      <w:r w:rsidR="00D11EDE">
        <w:t xml:space="preserve"> to 3.4x10</w:t>
      </w:r>
      <w:r w:rsidR="00D11EDE">
        <w:rPr>
          <w:vertAlign w:val="superscript"/>
        </w:rPr>
        <w:t>4</w:t>
      </w:r>
      <w:r w:rsidR="00D11EDE">
        <w:t xml:space="preserve"> elements per leaflet (total elements ranged from 3.6 to 12 million) are evaluated for the 12.3 mm diameter valve</w:t>
      </w:r>
      <w:r w:rsidR="00FC1DEB">
        <w:t>, where each</w:t>
      </w:r>
      <w:r w:rsidR="00D11EDE">
        <w:t xml:space="preserve"> successive mesh resulted in an average of a 20% increase in the number of cells per leaflet</w:t>
      </w:r>
      <w:r w:rsidR="00FC1DEB">
        <w:t xml:space="preserve"> (fig S3)</w:t>
      </w:r>
      <w:r w:rsidR="00D11EDE">
        <w:t xml:space="preserve">. </w:t>
      </w:r>
      <w:r w:rsidR="00FC1DEB">
        <w:t>Comparing the 6</w:t>
      </w:r>
      <w:r w:rsidR="00FC1DEB" w:rsidRPr="00FC1DEB">
        <w:rPr>
          <w:vertAlign w:val="superscript"/>
        </w:rPr>
        <w:t>th</w:t>
      </w:r>
      <w:r w:rsidR="00FC1DEB">
        <w:t xml:space="preserve"> and 7</w:t>
      </w:r>
      <w:r w:rsidR="00FC1DEB" w:rsidRPr="00FC1DEB">
        <w:rPr>
          <w:vertAlign w:val="superscript"/>
        </w:rPr>
        <w:t>th</w:t>
      </w:r>
      <w:r w:rsidR="00FC1DEB">
        <w:t xml:space="preserve"> data points in fig. S3 with the 5</w:t>
      </w:r>
      <w:r w:rsidR="00FC1DEB" w:rsidRPr="00FC1DEB">
        <w:rPr>
          <w:vertAlign w:val="superscript"/>
        </w:rPr>
        <w:t>th</w:t>
      </w:r>
      <w:r w:rsidR="00FC1DEB">
        <w:t xml:space="preserve"> (</w:t>
      </w:r>
      <w:r w:rsidR="00531A3F">
        <w:t>circled</w:t>
      </w:r>
      <w:r w:rsidR="00FC1DEB">
        <w:t>), the change observed in 50</w:t>
      </w:r>
      <w:r w:rsidR="00FC1DEB" w:rsidRPr="00FC1DEB">
        <w:rPr>
          <w:vertAlign w:val="superscript"/>
        </w:rPr>
        <w:t>th</w:t>
      </w:r>
      <w:r w:rsidR="00FC1DEB">
        <w:t xml:space="preserve"> percentile WSS is -4% and 8.7%, while the change in 99</w:t>
      </w:r>
      <w:r w:rsidR="00FC1DEB" w:rsidRPr="00FC1DEB">
        <w:rPr>
          <w:vertAlign w:val="superscript"/>
        </w:rPr>
        <w:t>th</w:t>
      </w:r>
      <w:r w:rsidR="00FC1DEB">
        <w:t xml:space="preserve"> percentile WSS is -6.5% and 2.4%. These do not meet the criteria for median WSS of less than 5% but the successive mesh resulted in doubling of the total number of elements as well as doubling of the simulation computing time from 22 to 44 hours. </w:t>
      </w:r>
      <w:r w:rsidR="00713010">
        <w:t>Thus,</w:t>
      </w:r>
      <w:r w:rsidR="00FC1DEB">
        <w:t xml:space="preserve"> practical considerations limited us to meshing parameters containing 2.3x10</w:t>
      </w:r>
      <w:r w:rsidR="00FC1DEB">
        <w:rPr>
          <w:vertAlign w:val="superscript"/>
        </w:rPr>
        <w:t>4</w:t>
      </w:r>
      <w:r w:rsidR="00FC1DEB">
        <w:t xml:space="preserve"> elements per </w:t>
      </w:r>
      <w:r w:rsidR="00BA6612">
        <w:t>leaflet</w:t>
      </w:r>
      <w:r w:rsidR="00FC1DEB">
        <w:t xml:space="preserve"> and a total of 5.9 million elements.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A67F94" w14:paraId="72049A47" w14:textId="77777777" w:rsidTr="00380479">
        <w:tc>
          <w:tcPr>
            <w:tcW w:w="5000" w:type="pct"/>
            <w:vAlign w:val="center"/>
          </w:tcPr>
          <w:p w14:paraId="0712A9B1" w14:textId="70594089" w:rsidR="00A67F94" w:rsidRDefault="00A67F94" w:rsidP="00AB381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B0DC640" wp14:editId="07643C8C">
                  <wp:extent cx="6856538" cy="2214880"/>
                  <wp:effectExtent l="0" t="0" r="1905" b="0"/>
                  <wp:docPr id="120319276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192762" name="Picture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6538" cy="221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3811" w14:paraId="1877C111" w14:textId="77777777" w:rsidTr="00380479">
        <w:tc>
          <w:tcPr>
            <w:tcW w:w="5000" w:type="pct"/>
            <w:vAlign w:val="center"/>
          </w:tcPr>
          <w:p w14:paraId="45A650D4" w14:textId="7BFB704B" w:rsidR="00AB3811" w:rsidRDefault="002B179D" w:rsidP="00AB3811">
            <w:pPr>
              <w:jc w:val="center"/>
            </w:pPr>
            <w:r>
              <w:t>Figure S1:</w:t>
            </w:r>
            <w:r w:rsidR="00713010">
              <w:t xml:space="preserve"> a) Median (50</w:t>
            </w:r>
            <w:r w:rsidR="00713010" w:rsidRPr="00713010">
              <w:rPr>
                <w:vertAlign w:val="superscript"/>
              </w:rPr>
              <w:t>th</w:t>
            </w:r>
            <w:r w:rsidR="00713010">
              <w:t xml:space="preserve"> percentile), b) 99</w:t>
            </w:r>
            <w:r w:rsidR="00713010" w:rsidRPr="00713010">
              <w:rPr>
                <w:vertAlign w:val="superscript"/>
              </w:rPr>
              <w:t>th</w:t>
            </w:r>
            <w:r w:rsidR="00713010">
              <w:t xml:space="preserve"> percentile WSS are plotted for successive mesh refinement, quantified in terms of average number of cells per leaflet, for the largest GOA of the 24.6 mm valve.</w:t>
            </w:r>
            <w:r w:rsidR="004A2527">
              <w:t xml:space="preserve"> The numbers displayed next to each data point represents the Y axis value.</w:t>
            </w:r>
          </w:p>
        </w:tc>
      </w:tr>
    </w:tbl>
    <w:p w14:paraId="2893A2FC" w14:textId="77777777" w:rsidR="00AB3811" w:rsidRDefault="00AB3811" w:rsidP="000E1AD1"/>
    <w:p w14:paraId="452B32E1" w14:textId="77777777" w:rsidR="00A67F94" w:rsidRDefault="00A67F94" w:rsidP="000E1AD1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A67F94" w14:paraId="5EC2E115" w14:textId="77777777" w:rsidTr="00380479">
        <w:tc>
          <w:tcPr>
            <w:tcW w:w="5000" w:type="pct"/>
            <w:vAlign w:val="center"/>
          </w:tcPr>
          <w:p w14:paraId="49C3272E" w14:textId="77777777" w:rsidR="00A67F94" w:rsidRDefault="00A67F94" w:rsidP="008C796F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1CF98C72" wp14:editId="298250D8">
                  <wp:extent cx="6856538" cy="2214879"/>
                  <wp:effectExtent l="0" t="0" r="1905" b="0"/>
                  <wp:docPr id="2032624346" name="Picture 2032624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624346" name="Picture 203262434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6538" cy="2214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3010" w14:paraId="776947EF" w14:textId="77777777" w:rsidTr="00380479">
        <w:tc>
          <w:tcPr>
            <w:tcW w:w="5000" w:type="pct"/>
            <w:vAlign w:val="center"/>
          </w:tcPr>
          <w:p w14:paraId="7541C681" w14:textId="013935D4" w:rsidR="00713010" w:rsidRDefault="00713010" w:rsidP="00713010">
            <w:pPr>
              <w:jc w:val="center"/>
            </w:pPr>
            <w:r>
              <w:t>Figure S2: a) Median (50</w:t>
            </w:r>
            <w:r w:rsidRPr="00713010">
              <w:rPr>
                <w:vertAlign w:val="superscript"/>
              </w:rPr>
              <w:t>th</w:t>
            </w:r>
            <w:r>
              <w:t xml:space="preserve"> percentile), b) 99</w:t>
            </w:r>
            <w:r w:rsidRPr="00713010">
              <w:rPr>
                <w:vertAlign w:val="superscript"/>
              </w:rPr>
              <w:t>th</w:t>
            </w:r>
            <w:r>
              <w:t xml:space="preserve"> percentile WSS are plotted for successive mesh refinement, quantified in terms of average number of cells per leaflet, for the largest GOA of the 18.45 mm valve.</w:t>
            </w:r>
            <w:r w:rsidR="004A2527">
              <w:t xml:space="preserve"> </w:t>
            </w:r>
            <w:r w:rsidR="004A2527">
              <w:t>The numbers displayed next to each data point represents the Y axis value.</w:t>
            </w:r>
          </w:p>
        </w:tc>
      </w:tr>
    </w:tbl>
    <w:p w14:paraId="370B5B87" w14:textId="77777777" w:rsidR="00A67F94" w:rsidRDefault="00A67F94" w:rsidP="000E1AD1"/>
    <w:p w14:paraId="16FCFF74" w14:textId="77777777" w:rsidR="00A67F94" w:rsidRDefault="00A67F94" w:rsidP="000E1AD1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A67F94" w14:paraId="62687A1F" w14:textId="77777777" w:rsidTr="00380479">
        <w:tc>
          <w:tcPr>
            <w:tcW w:w="5000" w:type="pct"/>
            <w:vAlign w:val="center"/>
          </w:tcPr>
          <w:p w14:paraId="3A2617B6" w14:textId="77777777" w:rsidR="00A67F94" w:rsidRDefault="00A67F94" w:rsidP="008C796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82AA66C" wp14:editId="112A9427">
                  <wp:extent cx="6856538" cy="2214879"/>
                  <wp:effectExtent l="0" t="0" r="1905" b="0"/>
                  <wp:docPr id="1895762512" name="Picture 1895762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762512" name="Picture 189576251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6538" cy="2214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3010" w14:paraId="779E8A40" w14:textId="77777777" w:rsidTr="00380479">
        <w:tc>
          <w:tcPr>
            <w:tcW w:w="5000" w:type="pct"/>
            <w:vAlign w:val="center"/>
          </w:tcPr>
          <w:p w14:paraId="5D21E016" w14:textId="529B7781" w:rsidR="00713010" w:rsidRDefault="00713010" w:rsidP="00713010">
            <w:pPr>
              <w:jc w:val="center"/>
            </w:pPr>
            <w:r>
              <w:t>Figure S3: a) Median (50</w:t>
            </w:r>
            <w:r w:rsidRPr="00713010">
              <w:rPr>
                <w:vertAlign w:val="superscript"/>
              </w:rPr>
              <w:t>th</w:t>
            </w:r>
            <w:r>
              <w:t xml:space="preserve"> percentile), b) 99</w:t>
            </w:r>
            <w:r w:rsidRPr="00713010">
              <w:rPr>
                <w:vertAlign w:val="superscript"/>
              </w:rPr>
              <w:t>th</w:t>
            </w:r>
            <w:r>
              <w:t xml:space="preserve"> percentile WSS are plotted for successive mesh refinement, quantified in terms of average number of cells per leaflet, for the largest GOA of the 12.3 mm valve.</w:t>
            </w:r>
            <w:r w:rsidR="004A2527">
              <w:t xml:space="preserve"> </w:t>
            </w:r>
            <w:r w:rsidR="004A2527">
              <w:t>The numbers displayed next to each data point represents the Y axis value.</w:t>
            </w:r>
          </w:p>
        </w:tc>
      </w:tr>
    </w:tbl>
    <w:p w14:paraId="06530651" w14:textId="77777777" w:rsidR="00A67F94" w:rsidRDefault="00A67F94" w:rsidP="000E1AD1"/>
    <w:p w14:paraId="0051EE31" w14:textId="77777777" w:rsidR="00BA6612" w:rsidRDefault="00BA6612" w:rsidP="000E1AD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1664"/>
        <w:gridCol w:w="1664"/>
        <w:gridCol w:w="1664"/>
        <w:gridCol w:w="1664"/>
        <w:gridCol w:w="1664"/>
        <w:gridCol w:w="1666"/>
      </w:tblGrid>
      <w:tr w:rsidR="003A3ED1" w:rsidRPr="007B773E" w14:paraId="519A4351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6E8E4B42" w14:textId="09C37E34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Index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2555089F" w14:textId="42F5E63B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Flow (LPM)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4A387349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GOA (mm</w:t>
            </w:r>
            <w:r w:rsidRPr="007B773E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2</w:t>
            </w: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72AB81D8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Valve Diameter (mm)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38A142DD" w14:textId="2254CA99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Data X Axis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1D8EFAD1" w14:textId="0E189BAD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Data Y Axis (median)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1138F84C" w14:textId="7F2B03AD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Data Y Axis (99</w:t>
            </w:r>
            <w:r w:rsidRPr="007B773E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percentile)</w:t>
            </w:r>
          </w:p>
        </w:tc>
      </w:tr>
      <w:tr w:rsidR="003A3ED1" w:rsidRPr="007B773E" w14:paraId="5BA63572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2777177E" w14:textId="5A80DD23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26154DBF" w14:textId="63EA1D68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1A5471A1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279.4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3497EDC7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24.60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4389BF4A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9.418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167C451D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-0.170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38742B19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0.659</w:t>
            </w:r>
          </w:p>
        </w:tc>
      </w:tr>
      <w:tr w:rsidR="003A3ED1" w:rsidRPr="007B773E" w14:paraId="3ECF4D4E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3ABE8FAB" w14:textId="58C59EDB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125D4EAD" w14:textId="1ECD082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20A00AC8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255.4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36CA5C85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24.60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0C4C2732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9.507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60886A93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-0.107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6C6D7931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0.965</w:t>
            </w:r>
          </w:p>
        </w:tc>
      </w:tr>
      <w:tr w:rsidR="003A3ED1" w:rsidRPr="007B773E" w14:paraId="4A88417C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2CB7DD89" w14:textId="306C13B9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31D57098" w14:textId="3B9A623F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644D4717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218.4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03AD2F53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24.60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25FD4132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9.664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7FBADDEC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0.022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3EE0A0DE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1.361</w:t>
            </w:r>
          </w:p>
        </w:tc>
      </w:tr>
      <w:tr w:rsidR="003A3ED1" w:rsidRPr="007B773E" w14:paraId="0058E5AA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2472BF69" w14:textId="3D3D63B8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68450DE8" w14:textId="24BA91A9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3C3371A5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171.9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1C9BA428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24.60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19F54483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9.903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71520EFB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0.184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7415B8A1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1.851</w:t>
            </w:r>
          </w:p>
        </w:tc>
      </w:tr>
      <w:tr w:rsidR="003A3ED1" w:rsidRPr="007B773E" w14:paraId="01A3E776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076C1D21" w14:textId="77275691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6D6F50E5" w14:textId="6125EFC4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627F4C7D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160.9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48A643D5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18.45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2D8515DA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9.969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65A40D02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0.362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6193E422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1.629</w:t>
            </w:r>
          </w:p>
        </w:tc>
      </w:tr>
      <w:tr w:rsidR="003A3ED1" w:rsidRPr="007B773E" w14:paraId="20A82B7E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58796F95" w14:textId="3B30F8E1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07F35E0E" w14:textId="59A6362E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1E6BFDCE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148.7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2FF48817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18.45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531597AF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10.05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7E68F50A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0.594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1B8D8EB3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1.845</w:t>
            </w:r>
          </w:p>
        </w:tc>
      </w:tr>
      <w:tr w:rsidR="003A3ED1" w:rsidRPr="007B773E" w14:paraId="7CE642F9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1E8260D0" w14:textId="60C8A17C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6E9938AB" w14:textId="45BA7E0C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071FE54C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129.5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6DAC3ABF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24.60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03569CB0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10.19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2CC5C39C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0.397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39EE0FF0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2.283</w:t>
            </w:r>
          </w:p>
        </w:tc>
      </w:tr>
      <w:tr w:rsidR="003A3ED1" w:rsidRPr="007B773E" w14:paraId="2F76760F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535B4889" w14:textId="0BE7F268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28A45407" w14:textId="0AC8C5DC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433856E7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279.4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636AA4E5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24.60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0D44E240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10.21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26A86ACC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0.989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2615DAC5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2.098</w:t>
            </w:r>
          </w:p>
        </w:tc>
      </w:tr>
      <w:tr w:rsidR="003A3ED1" w:rsidRPr="007B773E" w14:paraId="2F7BF635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7AB7493E" w14:textId="5C4B49E2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6E9BE3A8" w14:textId="6FFA91C6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6D798570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118.9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6A00F89F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18.45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424ECAFF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10.27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63CE6D4E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0.986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01442CEB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2.401</w:t>
            </w:r>
          </w:p>
        </w:tc>
      </w:tr>
      <w:tr w:rsidR="003A3ED1" w:rsidRPr="007B773E" w14:paraId="2A653FE6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64A8D1B1" w14:textId="710670AC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41A129FE" w14:textId="6481DA83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5ED4D957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255.4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26A2BB85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24.60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4C0099C8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10.30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4E187DE6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1.069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1CA2BE25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2.219</w:t>
            </w:r>
          </w:p>
        </w:tc>
      </w:tr>
      <w:tr w:rsidR="003A3ED1" w:rsidRPr="007B773E" w14:paraId="07E917D7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6E812152" w14:textId="4656C72B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095125B6" w14:textId="3B81680A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092071B7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218.4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3CB72E9B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24.60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5A83C1D4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10.45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0BAFD3D6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1.227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735E68D8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2.547</w:t>
            </w:r>
          </w:p>
        </w:tc>
      </w:tr>
      <w:tr w:rsidR="003A3ED1" w:rsidRPr="007B773E" w14:paraId="1E8142AE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68A85618" w14:textId="11222C1F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14443FD7" w14:textId="6AE830E3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1951DF71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97.42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74F5BEB3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18.45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12A1D244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10.47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650C2A48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1.231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1EBEF31C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2.778</w:t>
            </w:r>
          </w:p>
        </w:tc>
      </w:tr>
      <w:tr w:rsidR="003A3ED1" w:rsidRPr="007B773E" w14:paraId="5450A86A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0299829F" w14:textId="0760769E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5FE7C7F4" w14:textId="1CFBCAA3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59EEC510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171.9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380AE675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24.60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1537E2B5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10.69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1C01092E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1.423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6EC9F1DD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2.996</w:t>
            </w:r>
          </w:p>
        </w:tc>
      </w:tr>
      <w:tr w:rsidR="003A3ED1" w:rsidRPr="007B773E" w14:paraId="5DA0A045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3EA16CF5" w14:textId="6B0F7711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3559D189" w14:textId="5634B21A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51C8453E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279.4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0B153883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24.60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4825BD06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10.70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6AD17B4D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1.717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017416F0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2.778</w:t>
            </w:r>
          </w:p>
        </w:tc>
      </w:tr>
      <w:tr w:rsidR="003A3ED1" w:rsidRPr="007B773E" w14:paraId="26AE7D64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46AED921" w14:textId="01DC022A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763161EA" w14:textId="51DDD7DB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5F86340F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76.79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3A880C93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18.45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1057372D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10.71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7CEC6FAB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1.424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1584E76A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3.180</w:t>
            </w:r>
          </w:p>
        </w:tc>
      </w:tr>
      <w:tr w:rsidR="003A3ED1" w:rsidRPr="007B773E" w14:paraId="156483AA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126509A1" w14:textId="233FFE61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0F0D1B6E" w14:textId="3CCCA865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04E203FC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160.9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6DBF96C9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18.45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6A089EB8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10.76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67BDE2DD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1.415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7AB5394F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2.908</w:t>
            </w:r>
          </w:p>
        </w:tc>
      </w:tr>
      <w:tr w:rsidR="003A3ED1" w:rsidRPr="007B773E" w14:paraId="2BC136C0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2FA9A439" w14:textId="7000D263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4C1BBCE4" w14:textId="492F1E49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5F2A5024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71.58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755162B2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12.30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4E443CE6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10.78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2AE135AC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1.290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1CD4D377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3.084</w:t>
            </w:r>
          </w:p>
        </w:tc>
      </w:tr>
      <w:tr w:rsidR="003A3ED1" w:rsidRPr="007B773E" w14:paraId="7C5C116D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2158EED3" w14:textId="4D753C75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2E5E3845" w14:textId="1A0DE00C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6FA184B5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255.4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226D0533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24.60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4B6D294D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10.79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35D65C85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1.786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7BA82338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2.979</w:t>
            </w:r>
          </w:p>
        </w:tc>
      </w:tr>
      <w:tr w:rsidR="003A3ED1" w:rsidRPr="007B773E" w14:paraId="65C46D6A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778A0407" w14:textId="1A1616FF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73158CFD" w14:textId="6BCECC8C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1CCEB2A2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148.7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40A7B9E8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18.45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7D93D6F0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10.84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2BA9B757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1.661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28EB4BB7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3.091</w:t>
            </w:r>
          </w:p>
        </w:tc>
      </w:tr>
      <w:tr w:rsidR="003A3ED1" w:rsidRPr="007B773E" w14:paraId="0C3DAAC2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3F5D4827" w14:textId="41797455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3BA675B7" w14:textId="04C97369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7BFED122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64.21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79A9F584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12.30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083CC603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10.89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1E851AB6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1.603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735E85BD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3.104</w:t>
            </w:r>
          </w:p>
        </w:tc>
      </w:tr>
      <w:tr w:rsidR="003A3ED1" w:rsidRPr="007B773E" w14:paraId="28C99690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0F559D22" w14:textId="5FB7CB01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34CC9B23" w14:textId="78A5E52B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28684C35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218.4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44405376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24.60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72CEB745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10.95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7F59D75C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1.933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34A7EA05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3.224</w:t>
            </w:r>
          </w:p>
        </w:tc>
      </w:tr>
      <w:tr w:rsidR="003A3ED1" w:rsidRPr="007B773E" w14:paraId="239F454F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76CF9BB8" w14:textId="2C73631D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58A1D67F" w14:textId="6279D43A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53AEAB37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129.5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6EEB3817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24.60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50D3C5C3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10.98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6756A9F9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1.623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02C39106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3.406</w:t>
            </w:r>
          </w:p>
        </w:tc>
      </w:tr>
      <w:tr w:rsidR="003A3ED1" w:rsidRPr="007B773E" w14:paraId="3459C4B8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312D8232" w14:textId="6DC18439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3032AF09" w14:textId="1595DC34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2371B3C1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279.4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5C09B187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24.60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7AEC6DA4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10.99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5B373878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2.061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707E323A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3.207</w:t>
            </w:r>
          </w:p>
        </w:tc>
      </w:tr>
      <w:tr w:rsidR="003A3ED1" w:rsidRPr="007B773E" w14:paraId="7AF6A156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279DFFE9" w14:textId="28A7A7A4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72DCA52D" w14:textId="39E880B2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15B9A37D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54.34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0DC1BADF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12.30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5C2AA2ED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11.06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6AB9347D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1.781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5E1F89CF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3.342</w:t>
            </w:r>
          </w:p>
        </w:tc>
      </w:tr>
      <w:tr w:rsidR="003A3ED1" w:rsidRPr="007B773E" w14:paraId="2E62ECCF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12BF7EC9" w14:textId="4BAEEDA5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629869F5" w14:textId="736F5FEA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0C25D6D1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118.9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22AEB83D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18.45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23DECB5D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11.06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352C6209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2.163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02B9D667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3.546</w:t>
            </w:r>
          </w:p>
        </w:tc>
      </w:tr>
      <w:tr w:rsidR="003A3ED1" w:rsidRPr="007B773E" w14:paraId="7AC2EAAC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6E4E5C69" w14:textId="706A2106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24238E4E" w14:textId="576F925A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03170D4C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255.4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2665D09D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24.60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2B00CCC3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11.08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58BC2862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2.165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456625BF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3.460</w:t>
            </w:r>
          </w:p>
        </w:tc>
      </w:tr>
      <w:tr w:rsidR="003A3ED1" w:rsidRPr="007B773E" w14:paraId="3B9357B4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50B9BD87" w14:textId="3998B3F8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22B1C3F8" w14:textId="4F3C208E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18B7C1C2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171.9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5C90FFF3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24.60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41B7EA43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11.18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47A2F623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2.196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51C988D6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3.662</w:t>
            </w:r>
          </w:p>
        </w:tc>
      </w:tr>
      <w:tr w:rsidR="003A3ED1" w:rsidRPr="007B773E" w14:paraId="7BAF2A65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66806224" w14:textId="6C2F551B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1E9865B1" w14:textId="00A8CB00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5781EDD9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46.72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2E8E80AA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12.30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2BEAC3A3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11.21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686021CC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1.936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4AFD8A4B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3.423</w:t>
            </w:r>
          </w:p>
        </w:tc>
      </w:tr>
      <w:tr w:rsidR="003A3ED1" w:rsidRPr="007B773E" w14:paraId="3BB9C719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08425FF7" w14:textId="73C205DB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09FA6C04" w14:textId="6641E02F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670E8ABA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279.4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33ECE108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24.60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2181B31E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11.21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07C15D1E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2.383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201E0BDC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3.493</w:t>
            </w:r>
          </w:p>
        </w:tc>
      </w:tr>
      <w:tr w:rsidR="003A3ED1" w:rsidRPr="007B773E" w14:paraId="61345752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3C9EBD21" w14:textId="38CB2CB1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6117CB31" w14:textId="756847FD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68DB1115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218.4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372B3D41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24.60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10D9AC4D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11.23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09B3B69B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2.344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4E71075D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3.722</w:t>
            </w:r>
          </w:p>
        </w:tc>
      </w:tr>
      <w:tr w:rsidR="003A3ED1" w:rsidRPr="007B773E" w14:paraId="778CCFC2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633E2BAF" w14:textId="3BDE0009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3006CB24" w14:textId="30CA7D85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0FAC0291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160.9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54EB2A06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18.45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5CB80E9B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11.25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1C1535C4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2.001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74BC516E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3.558</w:t>
            </w:r>
          </w:p>
        </w:tc>
      </w:tr>
      <w:tr w:rsidR="003A3ED1" w:rsidRPr="007B773E" w14:paraId="6004B165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2EB77B43" w14:textId="708FBC8F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700B4DC5" w14:textId="631EC6A4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7CB367FD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97.42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09A944A2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18.45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3DBAA7BC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11.26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3CC1A992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2.377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6C930A72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3.895</w:t>
            </w:r>
          </w:p>
        </w:tc>
      </w:tr>
      <w:tr w:rsidR="003A3ED1" w:rsidRPr="007B773E" w14:paraId="75E7EEBF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41041E6B" w14:textId="2A0607BF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2F1664CE" w14:textId="50009294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09260902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255.4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133440DC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24.60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56A8F510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11.30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2ACE490C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2.514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46D509DB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3.721</w:t>
            </w:r>
          </w:p>
        </w:tc>
      </w:tr>
      <w:tr w:rsidR="003A3ED1" w:rsidRPr="007B773E" w14:paraId="1D16CD4E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35B389E1" w14:textId="491A783D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5DBF0D92" w14:textId="560FC2DD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0578815E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148.7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7B07B921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18.45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725619DA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11.33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6C2AAB91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2.299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3C04BEC1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3.795</w:t>
            </w:r>
          </w:p>
        </w:tc>
      </w:tr>
      <w:tr w:rsidR="003A3ED1" w:rsidRPr="007B773E" w14:paraId="091FC6EF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4E0BE757" w14:textId="2D077C38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0ECEDEFD" w14:textId="43BD3E4D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314D457C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39.73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7C6F7B03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12.30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5BCF218B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11.37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3446AA4A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2.559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15FF95BA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4.008</w:t>
            </w:r>
          </w:p>
        </w:tc>
      </w:tr>
      <w:tr w:rsidR="003A3ED1" w:rsidRPr="007B773E" w14:paraId="25CE5FE8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33EA0ACC" w14:textId="7B04C5EE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231F6171" w14:textId="39B6C681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05EA02BF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218.4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7D7812EE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24.60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027B217C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11.46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48C0509D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2.686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14E16437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3.993</w:t>
            </w:r>
          </w:p>
        </w:tc>
      </w:tr>
      <w:tr w:rsidR="003A3ED1" w:rsidRPr="007B773E" w14:paraId="25AF90FC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6A651E55" w14:textId="4996793B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79421D85" w14:textId="34ACF5F9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78737A23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129.5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0121969E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24.60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009BCF4B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11.47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746C23F2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2.342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73ABECFD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4.098</w:t>
            </w:r>
          </w:p>
        </w:tc>
      </w:tr>
      <w:tr w:rsidR="003A3ED1" w:rsidRPr="007B773E" w14:paraId="24EC04A0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54591876" w14:textId="4EA1D51C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5B59DCC0" w14:textId="44498AA8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21769D59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171.9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5E7F32E0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24.60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50CFA985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11.47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49A72D9B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2.563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2D8D686E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4.052</w:t>
            </w:r>
          </w:p>
        </w:tc>
      </w:tr>
      <w:tr w:rsidR="003A3ED1" w:rsidRPr="007B773E" w14:paraId="756DEC0E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6626B0E8" w14:textId="34923B92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0D7A3E9A" w14:textId="790C4101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25C05092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76.79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5DDFB479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18.45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6A1B7214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11.50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39F4473A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2.602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6B5D4D5D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4.294</w:t>
            </w:r>
          </w:p>
        </w:tc>
      </w:tr>
      <w:tr w:rsidR="003A3ED1" w:rsidRPr="007B773E" w14:paraId="2689BBCE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245DE7B1" w14:textId="5F03F734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1505DE48" w14:textId="755DA3B2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1D2D3A1D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160.9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6B1B28B9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18.45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0BF63846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11.54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7FD97AAA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2.338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5543D686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3.940</w:t>
            </w:r>
          </w:p>
        </w:tc>
      </w:tr>
      <w:tr w:rsidR="003A3ED1" w:rsidRPr="007B773E" w14:paraId="5F762BA1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05763459" w14:textId="54278735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0CF6A19C" w14:textId="418E26E0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6CA293FE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118.9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34146B90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18.45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0E6F498F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11.55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5E65A90C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2.853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7D1310BD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4.265</w:t>
            </w:r>
          </w:p>
        </w:tc>
      </w:tr>
      <w:tr w:rsidR="003A3ED1" w:rsidRPr="007B773E" w14:paraId="450D448A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2B0D312A" w14:textId="01BC30AC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53749AD3" w14:textId="22C2ED10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3B647A9A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71.58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18C039A5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12.30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21701E4C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11.57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65471BA7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2.333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73FCD1E5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4.182</w:t>
            </w:r>
          </w:p>
        </w:tc>
      </w:tr>
      <w:tr w:rsidR="003A3ED1" w:rsidRPr="007B773E" w14:paraId="7FE47A68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6267769D" w14:textId="498A1D18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290B2FD6" w14:textId="3423F47F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2D36E615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148.7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2E257617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18.45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6E302E9D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11.62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49792A35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2.715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4854FFC1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4.182</w:t>
            </w:r>
          </w:p>
        </w:tc>
      </w:tr>
      <w:tr w:rsidR="003A3ED1" w:rsidRPr="007B773E" w14:paraId="025B92C9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10298495" w14:textId="397F8782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7B38EC2D" w14:textId="363E5401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51C9790D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64.21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3935C78F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12.30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5F3578A3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11.68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2161EE31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2.589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44FB93A2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4.190</w:t>
            </w:r>
          </w:p>
        </w:tc>
      </w:tr>
      <w:tr w:rsidR="003A3ED1" w:rsidRPr="007B773E" w14:paraId="3051009C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7B33CF27" w14:textId="47AE188C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0E1ACFD6" w14:textId="23CFEFEB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35A3FBAB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97.42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6EFA9F11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18.45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1FB5481D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11.75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089C3A9C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3.160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6C811D61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4.602</w:t>
            </w:r>
          </w:p>
        </w:tc>
      </w:tr>
      <w:tr w:rsidR="003A3ED1" w:rsidRPr="007B773E" w14:paraId="35D65FEA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280E5E13" w14:textId="30F11C1E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2E912994" w14:textId="0D9F01A2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11F4E27E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160.9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7AA1B970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18.45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2953EA56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11.76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1351A768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2.685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3E90032B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4.241</w:t>
            </w:r>
          </w:p>
        </w:tc>
      </w:tr>
      <w:tr w:rsidR="003A3ED1" w:rsidRPr="007B773E" w14:paraId="3BAD0940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6FFD5BFC" w14:textId="552827DA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7C2A5EEF" w14:textId="4A3BB78C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0088E93E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148.7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1F68B117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18.45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0E5E705D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11.84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580956D2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2.913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79548CDE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4.476</w:t>
            </w:r>
          </w:p>
        </w:tc>
      </w:tr>
      <w:tr w:rsidR="003A3ED1" w:rsidRPr="007B773E" w14:paraId="10CBE109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62381DA2" w14:textId="55F4E2F5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7848A59A" w14:textId="65BEC27D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1605FE7B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118.9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7F008022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18.45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5140952E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11.84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35A7F73A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3.296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07C44D08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4.645</w:t>
            </w:r>
          </w:p>
        </w:tc>
      </w:tr>
      <w:tr w:rsidR="003A3ED1" w:rsidRPr="007B773E" w14:paraId="5E1F460D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2CAA3122" w14:textId="416852AB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7884C16D" w14:textId="1DD5C318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17FD646B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54.34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6F020D0C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12.30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3CBB7DB2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11.84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7FD1E4B6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2.806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32400C29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4.465</w:t>
            </w:r>
          </w:p>
        </w:tc>
      </w:tr>
      <w:tr w:rsidR="003A3ED1" w:rsidRPr="007B773E" w14:paraId="533D0B6B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5EDD08CB" w14:textId="3C3D9E69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70CF53A9" w14:textId="182BAEC9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5CC96CA9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76.79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365A6962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18.45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4589B436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11.99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4ED34CC4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3.285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1B34CA2E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4.978</w:t>
            </w:r>
          </w:p>
        </w:tc>
      </w:tr>
      <w:tr w:rsidR="003A3ED1" w:rsidRPr="007B773E" w14:paraId="373ADFBC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0B80A328" w14:textId="5CB73B5E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67EBF75D" w14:textId="60A7414A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627D8F69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46.72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05F3AD2E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12.30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70475EC0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11.99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7D0AEFEC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3.046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27A31A76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4.601</w:t>
            </w:r>
          </w:p>
        </w:tc>
      </w:tr>
      <w:tr w:rsidR="003A3ED1" w:rsidRPr="007B773E" w14:paraId="4CDFD6D4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5316B4DB" w14:textId="0C20F33B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68A5F1FB" w14:textId="60FFDEE4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41411D59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97.42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7A0FC023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18.45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494AF2A1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12.04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5B4AE453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3.589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63263C30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5.002</w:t>
            </w:r>
          </w:p>
        </w:tc>
      </w:tr>
      <w:tr w:rsidR="003A3ED1" w:rsidRPr="007B773E" w14:paraId="7BDDB1B0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109E0D45" w14:textId="14F8040C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4241513E" w14:textId="29252235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5ED68346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71.58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667706C5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12.30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7F4B9472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12.06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118AD44D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3.503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15FF3D41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4.949</w:t>
            </w:r>
          </w:p>
        </w:tc>
      </w:tr>
      <w:tr w:rsidR="003A3ED1" w:rsidRPr="007B773E" w14:paraId="3962022C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4CD2DB7C" w14:textId="26EB4888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02F6AD4B" w14:textId="1A6FC485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4C62CF91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118.9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05C1C5CC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18.45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75CDDE99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12.06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75E19C53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3.597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6B370905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5.040</w:t>
            </w:r>
          </w:p>
        </w:tc>
      </w:tr>
      <w:tr w:rsidR="003A3ED1" w:rsidRPr="007B773E" w14:paraId="74C836E4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0591B7F4" w14:textId="5EE843E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7FFA2779" w14:textId="503B149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3AC956D3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39.73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5914BEE2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12.30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0BEBC2F7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12.16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6EA32F8E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3.766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056452C6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5.171</w:t>
            </w:r>
          </w:p>
        </w:tc>
      </w:tr>
      <w:tr w:rsidR="003A3ED1" w:rsidRPr="007B773E" w14:paraId="66F4C6FB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4B197679" w14:textId="053E539D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3FEEB52D" w14:textId="424ACFFA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43A94C00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64.21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50D56EDF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12.30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270B36CE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12.17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744255D9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3.209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2FE45DF2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4.874</w:t>
            </w:r>
          </w:p>
        </w:tc>
      </w:tr>
      <w:tr w:rsidR="003A3ED1" w:rsidRPr="007B773E" w14:paraId="450CACE2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5ABEE4CF" w14:textId="65F931D0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57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5782829E" w14:textId="2AE2D2D4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44D9D5C5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54.34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73EAAF65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12.30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0D57A4D0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12.34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765A816C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3.551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0923FF7A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5.189</w:t>
            </w:r>
          </w:p>
        </w:tc>
      </w:tr>
      <w:tr w:rsidR="003A3ED1" w:rsidRPr="007B773E" w14:paraId="1A7D25C3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472DB9BA" w14:textId="1D44B8BA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12513179" w14:textId="685CB236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4FE39A7D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71.58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69AA9BB4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12.30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5124309D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12.35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7469EA46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3.869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1E4D6735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5.341</w:t>
            </w:r>
          </w:p>
        </w:tc>
      </w:tr>
      <w:tr w:rsidR="003A3ED1" w:rsidRPr="007B773E" w14:paraId="2926648C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30D31891" w14:textId="01A34C69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4E1E6495" w14:textId="403AF4EE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7F05918D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64.21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13ADBDDE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12.30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0B59BA01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12.46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0C416F5D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3.837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455A02B3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5.256</w:t>
            </w:r>
          </w:p>
        </w:tc>
      </w:tr>
      <w:tr w:rsidR="003A3ED1" w:rsidRPr="007B773E" w14:paraId="79F20EDE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2D102D4B" w14:textId="36FB3ED1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60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40EC0854" w14:textId="2D623ECE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3A086492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46.72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6F06F7A6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12.30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7957877F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12.49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2DF61E6E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4.031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55FA2F36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5.578</w:t>
            </w:r>
          </w:p>
        </w:tc>
      </w:tr>
      <w:tr w:rsidR="003A3ED1" w:rsidRPr="007B773E" w14:paraId="0B93CD3A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6A1E8512" w14:textId="73CC706C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56315C33" w14:textId="60A66285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3EAAEC9D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71.58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3E4425F1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12.30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57705F66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12.57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0D08A586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4.359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1FC2B483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5.685</w:t>
            </w:r>
          </w:p>
        </w:tc>
      </w:tr>
      <w:tr w:rsidR="003A3ED1" w:rsidRPr="007B773E" w14:paraId="04234F1E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562BE754" w14:textId="32D76998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4034D00F" w14:textId="2FE3EDF0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451EACCF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54.34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44D8677A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12.30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3D068AD6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12.62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3F091393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3.941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5A40D474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5.585</w:t>
            </w:r>
          </w:p>
        </w:tc>
      </w:tr>
      <w:tr w:rsidR="003A3ED1" w:rsidRPr="007B773E" w14:paraId="7C715489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2668934F" w14:textId="07570F9F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599EF7BB" w14:textId="6D5664DE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4292A5DD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39.73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0EF1DC77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12.30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6FA37826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12.65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6D454F79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4.507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1706D6F6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5.872</w:t>
            </w:r>
          </w:p>
        </w:tc>
      </w:tr>
      <w:tr w:rsidR="003A3ED1" w:rsidRPr="007B773E" w14:paraId="6A9CC97F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231BC600" w14:textId="1F6255DC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22C4FC50" w14:textId="14E7FE84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7A105C4E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64.21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60B214F8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12.30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2ADB5905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12.68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3BF2D003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4.117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6D22C998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5.546</w:t>
            </w:r>
          </w:p>
        </w:tc>
      </w:tr>
      <w:tr w:rsidR="003A3ED1" w:rsidRPr="007B773E" w14:paraId="0E7EEE44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2246DD93" w14:textId="6A5E52F9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1BEB01F4" w14:textId="7B87C2BE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21B6A7F0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46.72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775561CC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12.30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2195D77B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12.77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0C7853A4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4.456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7F2D78C4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5.930</w:t>
            </w:r>
          </w:p>
        </w:tc>
      </w:tr>
      <w:tr w:rsidR="003A3ED1" w:rsidRPr="007B773E" w14:paraId="26DCBC42" w14:textId="77777777" w:rsidTr="004A2527">
        <w:trPr>
          <w:trHeight w:val="288"/>
        </w:trPr>
        <w:tc>
          <w:tcPr>
            <w:tcW w:w="373" w:type="pct"/>
            <w:vAlign w:val="center"/>
          </w:tcPr>
          <w:p w14:paraId="3DE98CC1" w14:textId="482ABF79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66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3687724F" w14:textId="13AF0F45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0538FEBE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54.34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769181C8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12.30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472CCFCA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12.85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14:paraId="1D2C5539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4.379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48CE2135" w14:textId="77777777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7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5.904</w:t>
            </w:r>
          </w:p>
        </w:tc>
      </w:tr>
      <w:tr w:rsidR="003A3ED1" w:rsidRPr="007B773E" w14:paraId="7174B918" w14:textId="77777777" w:rsidTr="004A2527">
        <w:trPr>
          <w:trHeight w:val="288"/>
        </w:trPr>
        <w:tc>
          <w:tcPr>
            <w:tcW w:w="5000" w:type="pct"/>
            <w:gridSpan w:val="7"/>
            <w:vAlign w:val="center"/>
          </w:tcPr>
          <w:p w14:paraId="182C2ADA" w14:textId="1490BA9C" w:rsidR="003A3ED1" w:rsidRPr="007B773E" w:rsidRDefault="003A3ED1" w:rsidP="003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Table S1: </w:t>
            </w:r>
            <w:r w:rsidR="00A41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Values of d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ata points in figures 8 &amp; 9. </w:t>
            </w:r>
            <w:r w:rsidR="009C5D1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Note that both figures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have </w:t>
            </w:r>
            <w:r w:rsidR="009C5D1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 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common X axis</w:t>
            </w:r>
          </w:p>
        </w:tc>
      </w:tr>
    </w:tbl>
    <w:p w14:paraId="1CB92EF3" w14:textId="77777777" w:rsidR="007B773E" w:rsidRPr="00FC1DEB" w:rsidRDefault="007B773E" w:rsidP="000E1AD1"/>
    <w:sectPr w:rsidR="007B773E" w:rsidRPr="00FC1DEB" w:rsidSect="00AB3811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50D3C" w14:textId="77777777" w:rsidR="00172C54" w:rsidRDefault="00172C54" w:rsidP="00CA5AA8">
      <w:pPr>
        <w:spacing w:after="0" w:line="240" w:lineRule="auto"/>
      </w:pPr>
      <w:r>
        <w:separator/>
      </w:r>
    </w:p>
  </w:endnote>
  <w:endnote w:type="continuationSeparator" w:id="0">
    <w:p w14:paraId="322D6478" w14:textId="77777777" w:rsidR="00172C54" w:rsidRDefault="00172C54" w:rsidP="00CA5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CA412" w14:textId="77777777" w:rsidR="00172C54" w:rsidRDefault="00172C54" w:rsidP="00CA5AA8">
      <w:pPr>
        <w:spacing w:after="0" w:line="240" w:lineRule="auto"/>
      </w:pPr>
      <w:r>
        <w:separator/>
      </w:r>
    </w:p>
  </w:footnote>
  <w:footnote w:type="continuationSeparator" w:id="0">
    <w:p w14:paraId="225D6190" w14:textId="77777777" w:rsidR="00172C54" w:rsidRDefault="00172C54" w:rsidP="00CA5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9A58" w14:textId="3BA62C90" w:rsidR="00CA5AA8" w:rsidRDefault="00CA5AA8">
    <w:pPr>
      <w:pStyle w:val="Header"/>
    </w:pPr>
    <w:r>
      <w:t>Journal of Functional Biomaterials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5A0"/>
    <w:rsid w:val="000E1AD1"/>
    <w:rsid w:val="00172C54"/>
    <w:rsid w:val="001A0A11"/>
    <w:rsid w:val="002A0A21"/>
    <w:rsid w:val="002B179D"/>
    <w:rsid w:val="00380479"/>
    <w:rsid w:val="003A3ED1"/>
    <w:rsid w:val="004403C6"/>
    <w:rsid w:val="004A2527"/>
    <w:rsid w:val="004B00EB"/>
    <w:rsid w:val="004B2D46"/>
    <w:rsid w:val="004C7CB4"/>
    <w:rsid w:val="005050BC"/>
    <w:rsid w:val="00531A3F"/>
    <w:rsid w:val="005A77FD"/>
    <w:rsid w:val="00675FF6"/>
    <w:rsid w:val="006D7F62"/>
    <w:rsid w:val="006E3A91"/>
    <w:rsid w:val="00713010"/>
    <w:rsid w:val="00734075"/>
    <w:rsid w:val="007B773E"/>
    <w:rsid w:val="00830597"/>
    <w:rsid w:val="008914DD"/>
    <w:rsid w:val="0099247F"/>
    <w:rsid w:val="009945A0"/>
    <w:rsid w:val="009C5D1B"/>
    <w:rsid w:val="00A41C10"/>
    <w:rsid w:val="00A67F94"/>
    <w:rsid w:val="00AB3811"/>
    <w:rsid w:val="00AD5CC2"/>
    <w:rsid w:val="00AE2D5D"/>
    <w:rsid w:val="00B733AF"/>
    <w:rsid w:val="00BA6612"/>
    <w:rsid w:val="00BD3922"/>
    <w:rsid w:val="00C5376D"/>
    <w:rsid w:val="00CA5AA8"/>
    <w:rsid w:val="00CC0746"/>
    <w:rsid w:val="00CE3CE9"/>
    <w:rsid w:val="00CF2966"/>
    <w:rsid w:val="00D11EDE"/>
    <w:rsid w:val="00EC2572"/>
    <w:rsid w:val="00EE1D25"/>
    <w:rsid w:val="00FA4AEA"/>
    <w:rsid w:val="00FC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6DFDA"/>
  <w15:chartTrackingRefBased/>
  <w15:docId w15:val="{8C12F298-78F9-4869-AFEF-E3AA74EC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A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AA8"/>
  </w:style>
  <w:style w:type="paragraph" w:styleId="Footer">
    <w:name w:val="footer"/>
    <w:basedOn w:val="Normal"/>
    <w:link w:val="FooterChar"/>
    <w:uiPriority w:val="99"/>
    <w:unhideWhenUsed/>
    <w:rsid w:val="00CA5A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AA8"/>
  </w:style>
  <w:style w:type="table" w:styleId="TableGrid">
    <w:name w:val="Table Grid"/>
    <w:basedOn w:val="TableNormal"/>
    <w:uiPriority w:val="39"/>
    <w:rsid w:val="00AB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C5D1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C5D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5D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5D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D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D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0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 Dave</dc:creator>
  <cp:keywords/>
  <dc:description/>
  <cp:lastModifiedBy>Raj Dave</cp:lastModifiedBy>
  <cp:revision>6</cp:revision>
  <dcterms:created xsi:type="dcterms:W3CDTF">2024-01-03T03:28:00Z</dcterms:created>
  <dcterms:modified xsi:type="dcterms:W3CDTF">2024-01-05T00:59:00Z</dcterms:modified>
</cp:coreProperties>
</file>