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ADF" w:rsidRPr="005A426A" w:rsidRDefault="00FF0ADF" w:rsidP="00FF0ADF">
      <w:pPr>
        <w:jc w:val="both"/>
        <w:rPr>
          <w:rFonts w:ascii="Palatino Linotype" w:hAnsi="Palatino Linotype"/>
          <w:sz w:val="18"/>
          <w:szCs w:val="20"/>
          <w:lang w:val="en-US"/>
        </w:rPr>
      </w:pPr>
      <w:r w:rsidRPr="005A426A">
        <w:rPr>
          <w:rFonts w:ascii="Palatino Linotype" w:hAnsi="Palatino Linotype"/>
          <w:b/>
          <w:sz w:val="18"/>
          <w:szCs w:val="20"/>
          <w:lang w:val="en-US"/>
        </w:rPr>
        <w:t xml:space="preserve">Table </w:t>
      </w:r>
      <w:r>
        <w:rPr>
          <w:rFonts w:ascii="Palatino Linotype" w:hAnsi="Palatino Linotype"/>
          <w:b/>
          <w:sz w:val="18"/>
          <w:szCs w:val="20"/>
          <w:lang w:val="en-US"/>
        </w:rPr>
        <w:t>S</w:t>
      </w:r>
      <w:r w:rsidRPr="005A426A">
        <w:rPr>
          <w:rFonts w:ascii="Palatino Linotype" w:hAnsi="Palatino Linotype"/>
          <w:b/>
          <w:sz w:val="18"/>
          <w:szCs w:val="20"/>
          <w:lang w:val="en-US"/>
        </w:rPr>
        <w:t>1.</w:t>
      </w:r>
      <w:r>
        <w:rPr>
          <w:rFonts w:ascii="Palatino Linotype" w:hAnsi="Palatino Linotype"/>
          <w:sz w:val="18"/>
          <w:szCs w:val="20"/>
          <w:lang w:val="en-US"/>
        </w:rPr>
        <w:t xml:space="preserve"> Scheme of mycotoxins concentrations used in the study</w:t>
      </w:r>
      <w:r>
        <w:rPr>
          <w:rFonts w:ascii="Palatino Linotype" w:hAnsi="Palatino Linotype"/>
          <w:sz w:val="18"/>
          <w:szCs w:val="20"/>
          <w:lang w:val="en-US"/>
        </w:rPr>
        <w:t>.</w:t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1699"/>
        <w:gridCol w:w="2276"/>
        <w:gridCol w:w="2276"/>
      </w:tblGrid>
      <w:tr w:rsidR="00652DF0" w:rsidTr="0016488A">
        <w:trPr>
          <w:trHeight w:val="133"/>
        </w:trPr>
        <w:tc>
          <w:tcPr>
            <w:tcW w:w="1553" w:type="dxa"/>
            <w:vMerge w:val="restart"/>
            <w:tcBorders>
              <w:top w:val="single" w:sz="4" w:space="0" w:color="auto"/>
            </w:tcBorders>
            <w:vAlign w:val="center"/>
          </w:tcPr>
          <w:p w:rsidR="00652DF0" w:rsidRPr="00840F0A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Cell line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</w:tcBorders>
            <w:vAlign w:val="center"/>
          </w:tcPr>
          <w:p w:rsidR="00652DF0" w:rsidRPr="00840F0A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Mycotoxin</w:t>
            </w:r>
          </w:p>
        </w:tc>
        <w:tc>
          <w:tcPr>
            <w:tcW w:w="4552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652DF0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Range of concentrations tested</w:t>
            </w:r>
          </w:p>
        </w:tc>
        <w:bookmarkStart w:id="0" w:name="_GoBack"/>
        <w:bookmarkEnd w:id="0"/>
      </w:tr>
      <w:tr w:rsidR="00652DF0" w:rsidTr="0016488A">
        <w:trPr>
          <w:trHeight w:val="444"/>
        </w:trPr>
        <w:tc>
          <w:tcPr>
            <w:tcW w:w="1553" w:type="dxa"/>
            <w:vMerge/>
            <w:tcBorders>
              <w:bottom w:val="single" w:sz="4" w:space="0" w:color="auto"/>
            </w:tcBorders>
            <w:vAlign w:val="center"/>
          </w:tcPr>
          <w:p w:rsidR="00652DF0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  <w:vAlign w:val="center"/>
          </w:tcPr>
          <w:p w:rsidR="00652DF0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bottom w:val="single" w:sz="4" w:space="0" w:color="auto"/>
            </w:tcBorders>
            <w:vAlign w:val="center"/>
          </w:tcPr>
          <w:p w:rsidR="00652DF0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2D</w:t>
            </w:r>
          </w:p>
        </w:tc>
        <w:tc>
          <w:tcPr>
            <w:tcW w:w="2276" w:type="dxa"/>
            <w:tcBorders>
              <w:top w:val="nil"/>
              <w:bottom w:val="single" w:sz="4" w:space="0" w:color="auto"/>
            </w:tcBorders>
            <w:vAlign w:val="center"/>
          </w:tcPr>
          <w:p w:rsidR="00652DF0" w:rsidRDefault="00652DF0" w:rsidP="00E9779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3D</w:t>
            </w:r>
          </w:p>
        </w:tc>
      </w:tr>
      <w:tr w:rsidR="00652DF0" w:rsidTr="00652DF0">
        <w:tc>
          <w:tcPr>
            <w:tcW w:w="1553" w:type="dxa"/>
            <w:vMerge w:val="restart"/>
            <w:tcBorders>
              <w:top w:val="single" w:sz="4" w:space="0" w:color="auto"/>
            </w:tcBorders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BM-MSCs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STE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OTA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PAT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652DF0" w:rsidTr="00FC75AC">
        <w:tc>
          <w:tcPr>
            <w:tcW w:w="1553" w:type="dxa"/>
            <w:vMerge w:val="restart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HUVECs</w:t>
            </w: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STE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OTA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PAT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652DF0" w:rsidTr="00FC75AC">
        <w:tc>
          <w:tcPr>
            <w:tcW w:w="1553" w:type="dxa"/>
            <w:vMerge w:val="restart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MDA-MB-231</w:t>
            </w: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STE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OTA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PAT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0.28 – 9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25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652DF0" w:rsidTr="00FC75AC">
        <w:tc>
          <w:tcPr>
            <w:tcW w:w="1553" w:type="dxa"/>
            <w:vMerge w:val="restart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SH-SY5Y</w:t>
            </w: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STE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OTA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1.56 – 50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6.25 – 100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  <w:tr w:rsidR="00652DF0" w:rsidTr="00FC75AC">
        <w:tc>
          <w:tcPr>
            <w:tcW w:w="1553" w:type="dxa"/>
            <w:vMerge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PAT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0.035 – 1.12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76" w:type="dxa"/>
          </w:tcPr>
          <w:p w:rsidR="00652DF0" w:rsidRDefault="00652DF0" w:rsidP="00652DF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3.12 – 12.5 </w:t>
            </w:r>
            <w:r w:rsidRPr="00E97797">
              <w:rPr>
                <w:rFonts w:ascii="Palatino Linotype" w:hAnsi="Palatino Linotype" w:cs="Calibri"/>
                <w:sz w:val="20"/>
                <w:szCs w:val="20"/>
              </w:rPr>
              <w:t>µ</w:t>
            </w:r>
            <w:r w:rsidRPr="00E97797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</w:tr>
    </w:tbl>
    <w:p w:rsidR="00D24296" w:rsidRDefault="00D24296"/>
    <w:p w:rsidR="00D24296" w:rsidRDefault="00D24296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57"/>
        <w:gridCol w:w="4268"/>
      </w:tblGrid>
      <w:tr w:rsidR="00A205A7" w:rsidTr="00D24296">
        <w:trPr>
          <w:jc w:val="center"/>
        </w:trPr>
        <w:tc>
          <w:tcPr>
            <w:tcW w:w="4057" w:type="dxa"/>
            <w:vAlign w:val="center"/>
            <w:hideMark/>
          </w:tcPr>
          <w:p w:rsidR="00A205A7" w:rsidRDefault="00A205A7" w:rsidP="00D24296">
            <w:pPr>
              <w:pStyle w:val="MDPI52figure"/>
              <w:spacing w:before="0"/>
            </w:pPr>
            <w:r>
              <w:rPr>
                <w:rFonts w:eastAsia="SimSun"/>
                <w:noProof/>
                <w:snapToGrid/>
                <w:lang w:eastAsia="zh-CN" w:bidi="ar-SA"/>
              </w:rPr>
              <w:lastRenderedPageBreak/>
              <w:br w:type="page"/>
            </w:r>
            <w:r>
              <w:rPr>
                <w:noProof/>
                <w:lang w:val="en-GB" w:eastAsia="en-GB" w:bidi="ar-SA"/>
              </w:rPr>
              <w:drawing>
                <wp:inline distT="0" distB="0" distL="0" distR="0" wp14:anchorId="6E3574D3" wp14:editId="13CFC435">
                  <wp:extent cx="2050837" cy="1907098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37" cy="1907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hideMark/>
          </w:tcPr>
          <w:p w:rsidR="00A205A7" w:rsidRDefault="00A205A7" w:rsidP="00D24296">
            <w:pPr>
              <w:pStyle w:val="MDPI52figure"/>
              <w:spacing w:before="0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 wp14:anchorId="24A6DAFB" wp14:editId="302B8BBA">
                  <wp:extent cx="2321484" cy="1911996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84" cy="19119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5A7" w:rsidTr="00D24296">
        <w:trPr>
          <w:jc w:val="center"/>
        </w:trPr>
        <w:tc>
          <w:tcPr>
            <w:tcW w:w="4057" w:type="dxa"/>
            <w:vAlign w:val="center"/>
            <w:hideMark/>
          </w:tcPr>
          <w:p w:rsidR="00A205A7" w:rsidRDefault="00A205A7" w:rsidP="00D24296">
            <w:pPr>
              <w:pStyle w:val="MDPI42tablebody"/>
            </w:pPr>
            <w:r>
              <w:t>(</w:t>
            </w:r>
            <w:r w:rsidRPr="00DE7855">
              <w:rPr>
                <w:b/>
              </w:rPr>
              <w:t>a</w:t>
            </w:r>
            <w:r>
              <w:t>)</w:t>
            </w:r>
          </w:p>
        </w:tc>
        <w:tc>
          <w:tcPr>
            <w:tcW w:w="4268" w:type="dxa"/>
            <w:hideMark/>
          </w:tcPr>
          <w:p w:rsidR="00A205A7" w:rsidRDefault="00A205A7" w:rsidP="00D24296">
            <w:pPr>
              <w:pStyle w:val="MDPI42tablebody"/>
            </w:pPr>
            <w:r>
              <w:t>(</w:t>
            </w:r>
            <w:r w:rsidRPr="00DE7855">
              <w:rPr>
                <w:b/>
              </w:rPr>
              <w:t>b</w:t>
            </w:r>
            <w:r>
              <w:t>)</w:t>
            </w:r>
          </w:p>
        </w:tc>
      </w:tr>
      <w:tr w:rsidR="00A205A7" w:rsidTr="00D24296">
        <w:trPr>
          <w:jc w:val="center"/>
        </w:trPr>
        <w:tc>
          <w:tcPr>
            <w:tcW w:w="4057" w:type="dxa"/>
            <w:vAlign w:val="center"/>
          </w:tcPr>
          <w:p w:rsidR="00A205A7" w:rsidRDefault="00A205A7" w:rsidP="00D24296">
            <w:pPr>
              <w:pStyle w:val="MDPI42tablebody"/>
            </w:pPr>
          </w:p>
        </w:tc>
        <w:tc>
          <w:tcPr>
            <w:tcW w:w="4268" w:type="dxa"/>
          </w:tcPr>
          <w:p w:rsidR="00A205A7" w:rsidRDefault="00A205A7" w:rsidP="00D24296">
            <w:pPr>
              <w:pStyle w:val="MDPI42tablebody"/>
            </w:pPr>
          </w:p>
        </w:tc>
      </w:tr>
      <w:tr w:rsidR="00A205A7" w:rsidTr="00D24296">
        <w:trPr>
          <w:jc w:val="center"/>
        </w:trPr>
        <w:tc>
          <w:tcPr>
            <w:tcW w:w="4057" w:type="dxa"/>
            <w:vAlign w:val="center"/>
          </w:tcPr>
          <w:p w:rsidR="00A205A7" w:rsidRDefault="00A205A7" w:rsidP="00D24296">
            <w:pPr>
              <w:pStyle w:val="MDPI42tablebody"/>
            </w:pPr>
            <w:r w:rsidRPr="000358B9">
              <w:rPr>
                <w:noProof/>
                <w:lang w:val="en-GB" w:eastAsia="en-GB" w:bidi="ar-SA"/>
              </w:rPr>
              <w:drawing>
                <wp:inline distT="0" distB="0" distL="0" distR="0" wp14:anchorId="119C2F6C" wp14:editId="2FD3F556">
                  <wp:extent cx="2028009" cy="1907097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09" cy="1907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205A7" w:rsidRDefault="00A205A7" w:rsidP="00D24296">
            <w:pPr>
              <w:pStyle w:val="MDPI42tablebody"/>
            </w:pPr>
          </w:p>
        </w:tc>
      </w:tr>
      <w:tr w:rsidR="00A205A7" w:rsidTr="00D24296">
        <w:trPr>
          <w:jc w:val="center"/>
        </w:trPr>
        <w:tc>
          <w:tcPr>
            <w:tcW w:w="4057" w:type="dxa"/>
            <w:vAlign w:val="center"/>
          </w:tcPr>
          <w:p w:rsidR="00A205A7" w:rsidRDefault="00A205A7" w:rsidP="00D24296">
            <w:pPr>
              <w:pStyle w:val="MDPI42tablebody"/>
            </w:pPr>
            <w:r>
              <w:t>(</w:t>
            </w:r>
            <w:r w:rsidRPr="00726C9B">
              <w:rPr>
                <w:b/>
              </w:rPr>
              <w:t>c</w:t>
            </w:r>
            <w:r>
              <w:t>)</w:t>
            </w:r>
          </w:p>
        </w:tc>
        <w:tc>
          <w:tcPr>
            <w:tcW w:w="4268" w:type="dxa"/>
          </w:tcPr>
          <w:p w:rsidR="00A205A7" w:rsidRDefault="00A205A7" w:rsidP="00D24296">
            <w:pPr>
              <w:pStyle w:val="MDPI42tablebody"/>
            </w:pPr>
          </w:p>
        </w:tc>
      </w:tr>
    </w:tbl>
    <w:p w:rsidR="00A205A7" w:rsidRDefault="00A205A7" w:rsidP="00A205A7">
      <w:pPr>
        <w:pStyle w:val="MDPI51figurecaption"/>
        <w:ind w:left="0"/>
      </w:pPr>
      <w:r>
        <w:rPr>
          <w:b/>
        </w:rPr>
        <w:t xml:space="preserve">Figure S1. </w:t>
      </w:r>
      <w:r>
        <w:t>Morphometric parameters of BM-MSC</w:t>
      </w:r>
      <w:r w:rsidR="00202D9E">
        <w:t>s</w:t>
      </w:r>
      <w:r>
        <w:t>, HUVEC</w:t>
      </w:r>
      <w:r w:rsidR="00202D9E">
        <w:t>s</w:t>
      </w:r>
      <w:r>
        <w:t>, SH-SY5Y and MDA-MB-231 spheroids under optimal generation conditions. (</w:t>
      </w:r>
      <w:r w:rsidRPr="00985230">
        <w:rPr>
          <w:b/>
        </w:rPr>
        <w:t>a</w:t>
      </w:r>
      <w:r>
        <w:t>) Diameter, (</w:t>
      </w:r>
      <w:r w:rsidRPr="00985230">
        <w:rPr>
          <w:b/>
        </w:rPr>
        <w:t>b</w:t>
      </w:r>
      <w:r>
        <w:t>) Solidity and (</w:t>
      </w:r>
      <w:r w:rsidRPr="00985230">
        <w:rPr>
          <w:b/>
        </w:rPr>
        <w:t>c</w:t>
      </w:r>
      <w:r>
        <w:t xml:space="preserve">) </w:t>
      </w:r>
      <w:proofErr w:type="spellStart"/>
      <w:r>
        <w:t>Sphericity</w:t>
      </w:r>
      <w:proofErr w:type="spellEnd"/>
      <w:r>
        <w:t xml:space="preserve"> Index (SI) were obtained from bright-field microscopy images and </w:t>
      </w:r>
      <w:proofErr w:type="spellStart"/>
      <w:r>
        <w:t>AnaSP</w:t>
      </w:r>
      <w:proofErr w:type="spellEnd"/>
      <w:r>
        <w:t xml:space="preserve"> analysis of spheroids at day 1 after seeding for BM-MSCs and HUVECs and at day 7 and 4 after seeding for SH-SY5Y and MDA-MB-231 cells, respectively (</w:t>
      </w:r>
      <w:r w:rsidRPr="00247D3B">
        <w:rPr>
          <w:i/>
        </w:rPr>
        <w:t>N</w:t>
      </w:r>
      <w:r>
        <w:t xml:space="preserve"> = 3, </w:t>
      </w:r>
      <w:r w:rsidRPr="00247D3B">
        <w:rPr>
          <w:i/>
        </w:rPr>
        <w:t>n</w:t>
      </w:r>
      <w:r>
        <w:t xml:space="preserve"> = 6). </w:t>
      </w:r>
      <w:r w:rsidRPr="006349F8">
        <w:t>Each point represents a single spheroid</w:t>
      </w:r>
      <w:r>
        <w:t xml:space="preserve">, while </w:t>
      </w:r>
      <w:r w:rsidRPr="006349F8">
        <w:t xml:space="preserve">bars represent </w:t>
      </w:r>
      <w:r>
        <w:t>the deviation from the minimum to the maximum</w:t>
      </w:r>
      <w:r w:rsidRPr="006349F8">
        <w:t xml:space="preserve"> value of </w:t>
      </w:r>
      <w:r>
        <w:t>each data set.</w:t>
      </w:r>
    </w:p>
    <w:p w:rsidR="00E809A9" w:rsidRDefault="00E809A9" w:rsidP="00A205A7">
      <w:pPr>
        <w:pStyle w:val="MDPI51figurecaption"/>
        <w:ind w:left="0"/>
      </w:pPr>
    </w:p>
    <w:p w:rsidR="000B575A" w:rsidRDefault="000B575A" w:rsidP="00A205A7">
      <w:pPr>
        <w:pStyle w:val="MDPI51figurecaption"/>
        <w:ind w:left="0"/>
      </w:pP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5400040" cy="3939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96"/>
                    <a:stretch/>
                  </pic:blipFill>
                  <pic:spPr bwMode="auto">
                    <a:xfrm>
                      <a:off x="0" y="0"/>
                      <a:ext cx="5400040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078" w:rsidRDefault="000B575A" w:rsidP="00EB6BA5">
      <w:pPr>
        <w:pStyle w:val="MDPI51figurecaption"/>
        <w:ind w:left="0"/>
        <w:rPr>
          <w:rFonts w:cs="Calibri"/>
        </w:rPr>
      </w:pPr>
      <w:r>
        <w:rPr>
          <w:b/>
        </w:rPr>
        <w:t xml:space="preserve">Figure S2. </w:t>
      </w:r>
      <w:r w:rsidR="00EB6BA5">
        <w:t xml:space="preserve">Representative orthogonal projection of MDA-MB-231 spheroid exposed to PAT 6.25 and 9 </w:t>
      </w:r>
      <w:r w:rsidR="00EB6BA5" w:rsidRPr="00EB6BA5">
        <w:rPr>
          <w:rFonts w:cs="Calibri"/>
        </w:rPr>
        <w:t>µM</w:t>
      </w:r>
      <w:r w:rsidR="00EB6BA5">
        <w:rPr>
          <w:rFonts w:cs="Calibri"/>
        </w:rPr>
        <w:t xml:space="preserve"> for 24 h. Spheroid </w:t>
      </w:r>
      <w:r w:rsidR="00EB6BA5" w:rsidRPr="00EB6BA5">
        <w:rPr>
          <w:rFonts w:cs="Calibri"/>
        </w:rPr>
        <w:t xml:space="preserve">viability </w:t>
      </w:r>
      <w:r w:rsidR="00EB6BA5">
        <w:rPr>
          <w:rFonts w:cs="Calibri"/>
        </w:rPr>
        <w:t xml:space="preserve">was evaluated using the </w:t>
      </w:r>
      <w:r w:rsidR="00EB6BA5" w:rsidRPr="00EB6BA5">
        <w:rPr>
          <w:rFonts w:cs="Calibri"/>
        </w:rPr>
        <w:t>LIVE/DEAD™ Viability/Cytotoxicity Assay (Invitrogen®, L3224) on no-fixed cells.</w:t>
      </w:r>
      <w:r w:rsidR="00EB6BA5">
        <w:rPr>
          <w:rFonts w:cs="Calibri"/>
        </w:rPr>
        <w:t xml:space="preserve"> </w:t>
      </w:r>
      <w:r w:rsidR="00EB6BA5" w:rsidRPr="00EB6BA5">
        <w:rPr>
          <w:rFonts w:cs="Calibri"/>
        </w:rPr>
        <w:t xml:space="preserve">The assay allows to simultaneously discriminate live </w:t>
      </w:r>
      <w:r w:rsidR="00EB6BA5">
        <w:rPr>
          <w:rFonts w:cs="Calibri"/>
        </w:rPr>
        <w:t xml:space="preserve">(green) </w:t>
      </w:r>
      <w:r w:rsidR="00EB6BA5" w:rsidRPr="00EB6BA5">
        <w:rPr>
          <w:rFonts w:cs="Calibri"/>
        </w:rPr>
        <w:t>and dead</w:t>
      </w:r>
      <w:r w:rsidR="00EB6BA5">
        <w:rPr>
          <w:rFonts w:cs="Calibri"/>
        </w:rPr>
        <w:t xml:space="preserve"> (red)</w:t>
      </w:r>
      <w:r w:rsidR="00EB6BA5" w:rsidRPr="00EB6BA5">
        <w:rPr>
          <w:rFonts w:cs="Calibri"/>
        </w:rPr>
        <w:t xml:space="preserve"> cells using two different probes, the </w:t>
      </w:r>
      <w:proofErr w:type="spellStart"/>
      <w:r w:rsidR="00EB6BA5" w:rsidRPr="00EB6BA5">
        <w:rPr>
          <w:rFonts w:cs="Calibri"/>
        </w:rPr>
        <w:t>Calcein</w:t>
      </w:r>
      <w:proofErr w:type="spellEnd"/>
      <w:r w:rsidR="00EB6BA5" w:rsidRPr="00EB6BA5">
        <w:rPr>
          <w:rFonts w:cs="Calibri"/>
        </w:rPr>
        <w:t>-AM</w:t>
      </w:r>
      <w:r w:rsidR="00EB6BA5">
        <w:rPr>
          <w:rFonts w:cs="Calibri"/>
        </w:rPr>
        <w:t xml:space="preserve"> and Ethidium homodimer-1</w:t>
      </w:r>
      <w:r w:rsidR="00EB6BA5" w:rsidRPr="00EB6BA5">
        <w:rPr>
          <w:rFonts w:cs="Calibri"/>
        </w:rPr>
        <w:t xml:space="preserve">. The first one is a non-fluorescent cell-permeant that can be converted into a fluorescent molecule (green fluorescence 495-515 nm) by the enzymatic activity of </w:t>
      </w:r>
      <w:proofErr w:type="spellStart"/>
      <w:r w:rsidR="00EB6BA5" w:rsidRPr="00EB6BA5">
        <w:rPr>
          <w:rFonts w:cs="Calibri"/>
        </w:rPr>
        <w:t>esterases</w:t>
      </w:r>
      <w:proofErr w:type="spellEnd"/>
      <w:r w:rsidR="00EB6BA5" w:rsidRPr="00EB6BA5">
        <w:rPr>
          <w:rFonts w:cs="Calibri"/>
        </w:rPr>
        <w:t xml:space="preserve"> present in viable cells, while the latter is a nucleic acid intercalating agent that is </w:t>
      </w:r>
      <w:proofErr w:type="spellStart"/>
      <w:r w:rsidR="00EB6BA5" w:rsidRPr="00EB6BA5">
        <w:rPr>
          <w:rFonts w:cs="Calibri"/>
        </w:rPr>
        <w:t>internalised</w:t>
      </w:r>
      <w:proofErr w:type="spellEnd"/>
      <w:r w:rsidR="00EB6BA5" w:rsidRPr="00EB6BA5">
        <w:rPr>
          <w:rFonts w:cs="Calibri"/>
        </w:rPr>
        <w:t xml:space="preserve"> by cells with damaged membranes, enhancing his fluorescence signal (red fluorescence 495-635 nm) after DNA binding.</w:t>
      </w:r>
      <w:r w:rsidR="00EB6BA5">
        <w:rPr>
          <w:rFonts w:cs="Calibri"/>
        </w:rPr>
        <w:t xml:space="preserve"> </w:t>
      </w:r>
      <w:r w:rsidR="00EB6BA5" w:rsidRPr="00EB6BA5">
        <w:rPr>
          <w:rFonts w:cs="Calibri"/>
        </w:rPr>
        <w:t xml:space="preserve">1.5 mg/ml Hoechst staining solution in PBS was </w:t>
      </w:r>
      <w:r w:rsidR="00EB6BA5">
        <w:rPr>
          <w:rFonts w:cs="Calibri"/>
        </w:rPr>
        <w:t>used to stain the nuclei.</w:t>
      </w:r>
      <w:r w:rsidR="00993078">
        <w:rPr>
          <w:rFonts w:cs="Calibri"/>
        </w:rPr>
        <w:t xml:space="preserve"> </w:t>
      </w:r>
      <w:r w:rsidR="00993078">
        <w:t>Spheroids exposed to the same amount of solvent (</w:t>
      </w:r>
      <w:proofErr w:type="spellStart"/>
      <w:r w:rsidR="00993078">
        <w:t>MeOH</w:t>
      </w:r>
      <w:proofErr w:type="spellEnd"/>
      <w:r w:rsidR="00993078">
        <w:t>) were used as control.</w:t>
      </w:r>
      <w:r w:rsidR="00EB6BA5">
        <w:rPr>
          <w:rFonts w:cs="Calibri"/>
        </w:rPr>
        <w:t xml:space="preserve"> S</w:t>
      </w:r>
      <w:r w:rsidR="00EB6BA5" w:rsidRPr="00EB6BA5">
        <w:rPr>
          <w:rFonts w:cs="Calibri"/>
        </w:rPr>
        <w:t xml:space="preserve">pheroids were observed and imaged under a confocal fluorescence microscope (ZEISS LSM 800 </w:t>
      </w:r>
      <w:proofErr w:type="spellStart"/>
      <w:r w:rsidR="00EB6BA5" w:rsidRPr="00EB6BA5">
        <w:rPr>
          <w:rFonts w:cs="Calibri"/>
        </w:rPr>
        <w:t>Airyscan</w:t>
      </w:r>
      <w:proofErr w:type="spellEnd"/>
      <w:r w:rsidR="00EB6BA5" w:rsidRPr="00EB6BA5">
        <w:rPr>
          <w:rFonts w:cs="Calibri"/>
        </w:rPr>
        <w:t>, Zeiss Microscopy, Germany). For each spheroid, a z-stack of 10 slices was acquired to capture the information derived from the three-dimensionality of the structure. After acquisition, the images were processed using the orthogonal projection method.</w:t>
      </w:r>
      <w:r w:rsidR="00EB6BA5">
        <w:rPr>
          <w:rFonts w:cs="Calibri"/>
        </w:rPr>
        <w:t xml:space="preserve"> </w:t>
      </w:r>
      <w:r w:rsidR="00EB6BA5" w:rsidRPr="00EB6BA5">
        <w:rPr>
          <w:rFonts w:cs="Calibri"/>
        </w:rPr>
        <w:t xml:space="preserve">Scale bar = 100 </w:t>
      </w:r>
      <w:proofErr w:type="spellStart"/>
      <w:r w:rsidR="00EB6BA5" w:rsidRPr="00EB6BA5">
        <w:rPr>
          <w:rFonts w:cs="Calibri"/>
        </w:rPr>
        <w:t>μm</w:t>
      </w:r>
      <w:proofErr w:type="spellEnd"/>
      <w:r w:rsidR="00EB6BA5" w:rsidRPr="00EB6BA5">
        <w:rPr>
          <w:rFonts w:cs="Calibri"/>
        </w:rPr>
        <w:t xml:space="preserve"> (</w:t>
      </w:r>
      <w:r w:rsidR="00993078">
        <w:rPr>
          <w:rFonts w:cs="Calibri"/>
        </w:rPr>
        <w:t>objective</w:t>
      </w:r>
      <w:r w:rsidR="00EB6BA5">
        <w:rPr>
          <w:rFonts w:cs="Calibri"/>
        </w:rPr>
        <w:t xml:space="preserve"> </w:t>
      </w:r>
      <w:r w:rsidR="00993078">
        <w:rPr>
          <w:rFonts w:cs="Calibri"/>
        </w:rPr>
        <w:t>10</w:t>
      </w:r>
      <w:r w:rsidR="00EB6BA5">
        <w:rPr>
          <w:rFonts w:cs="Calibri"/>
        </w:rPr>
        <w:t>×).</w:t>
      </w:r>
    </w:p>
    <w:p w:rsidR="00993078" w:rsidRDefault="00993078">
      <w:pPr>
        <w:rPr>
          <w:rFonts w:ascii="Palatino Linotype" w:eastAsia="Times New Roman" w:hAnsi="Palatino Linotype" w:cs="Calibri"/>
          <w:color w:val="000000"/>
          <w:sz w:val="18"/>
          <w:szCs w:val="20"/>
          <w:lang w:val="en-US" w:eastAsia="de-DE" w:bidi="en-US"/>
        </w:rPr>
      </w:pPr>
      <w:r>
        <w:rPr>
          <w:rFonts w:cs="Calibri"/>
        </w:rPr>
        <w:br w:type="page"/>
      </w:r>
    </w:p>
    <w:p w:rsidR="00EB6BA5" w:rsidRDefault="00993078" w:rsidP="00EB6BA5">
      <w:pPr>
        <w:pStyle w:val="MDPI51figurecaption"/>
        <w:ind w:left="0"/>
        <w:rPr>
          <w:rFonts w:cs="Calibri"/>
        </w:rPr>
      </w:pPr>
      <w:r>
        <w:rPr>
          <w:rFonts w:cs="Calibri"/>
          <w:noProof/>
          <w:lang w:val="en-GB" w:eastAsia="en-GB" w:bidi="ar-SA"/>
        </w:rPr>
        <w:lastRenderedPageBreak/>
        <w:drawing>
          <wp:inline distT="0" distB="0" distL="0" distR="0">
            <wp:extent cx="5400040" cy="23774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87"/>
                    <a:stretch/>
                  </pic:blipFill>
                  <pic:spPr bwMode="auto"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15" w:rsidRPr="00EB6BA5" w:rsidRDefault="008C2F15" w:rsidP="008C2F15">
      <w:pPr>
        <w:pStyle w:val="MDPI51figurecaption"/>
        <w:ind w:left="0"/>
        <w:rPr>
          <w:rFonts w:cs="Calibri"/>
        </w:rPr>
      </w:pPr>
      <w:r>
        <w:rPr>
          <w:b/>
        </w:rPr>
        <w:t xml:space="preserve">Figure S3. </w:t>
      </w:r>
      <w:r>
        <w:t xml:space="preserve">Representative images of 2D BM-MSCs exposed to PAT 12.5 </w:t>
      </w:r>
      <w:r w:rsidRPr="00EB6BA5">
        <w:rPr>
          <w:rFonts w:cs="Calibri"/>
        </w:rPr>
        <w:t>µM</w:t>
      </w:r>
      <w:r>
        <w:rPr>
          <w:rFonts w:cs="Calibri"/>
        </w:rPr>
        <w:t xml:space="preserve"> for 24 h. Cell </w:t>
      </w:r>
      <w:r w:rsidRPr="00EB6BA5">
        <w:rPr>
          <w:rFonts w:cs="Calibri"/>
        </w:rPr>
        <w:t xml:space="preserve">viability </w:t>
      </w:r>
      <w:r>
        <w:rPr>
          <w:rFonts w:cs="Calibri"/>
        </w:rPr>
        <w:t xml:space="preserve">was evaluated using the </w:t>
      </w:r>
      <w:r w:rsidRPr="00EB6BA5">
        <w:rPr>
          <w:rFonts w:cs="Calibri"/>
        </w:rPr>
        <w:t>LIVE/DEAD™ Viability/Cytotoxicity Assay (Invitrogen®, L3224) on no-fixed cells</w:t>
      </w:r>
      <w:r>
        <w:rPr>
          <w:rFonts w:cs="Calibri"/>
        </w:rPr>
        <w:t xml:space="preserve"> (see Figure S2 </w:t>
      </w:r>
      <w:r w:rsidRPr="008C2F15">
        <w:rPr>
          <w:rFonts w:cs="Calibri"/>
        </w:rPr>
        <w:t>for detailed</w:t>
      </w:r>
      <w:r>
        <w:rPr>
          <w:rFonts w:cs="Calibri"/>
        </w:rPr>
        <w:t xml:space="preserve"> assay’s information)</w:t>
      </w:r>
      <w:r w:rsidRPr="008C2F15">
        <w:rPr>
          <w:rFonts w:cs="Calibri"/>
        </w:rPr>
        <w:t>.</w:t>
      </w:r>
      <w:r w:rsidR="00993078">
        <w:rPr>
          <w:rFonts w:cs="Calibri"/>
        </w:rPr>
        <w:t xml:space="preserve"> </w:t>
      </w:r>
      <w:r w:rsidR="00993078">
        <w:t>Cells exposed to the same amount of solvent (</w:t>
      </w:r>
      <w:proofErr w:type="spellStart"/>
      <w:r w:rsidR="00993078">
        <w:t>MeOH</w:t>
      </w:r>
      <w:proofErr w:type="spellEnd"/>
      <w:r w:rsidR="00993078">
        <w:t>) were used as control.</w:t>
      </w:r>
      <w:r>
        <w:rPr>
          <w:rFonts w:cs="Calibri"/>
        </w:rPr>
        <w:t xml:space="preserve"> Cells</w:t>
      </w:r>
      <w:r w:rsidRPr="00EB6BA5">
        <w:rPr>
          <w:rFonts w:cs="Calibri"/>
        </w:rPr>
        <w:t xml:space="preserve"> were observed and imaged unde</w:t>
      </w:r>
      <w:r>
        <w:rPr>
          <w:rFonts w:cs="Calibri"/>
        </w:rPr>
        <w:t>r the i</w:t>
      </w:r>
      <w:r w:rsidRPr="008C2F15">
        <w:rPr>
          <w:rFonts w:cs="Calibri"/>
        </w:rPr>
        <w:t xml:space="preserve">nverted </w:t>
      </w:r>
      <w:r>
        <w:rPr>
          <w:rFonts w:cs="Calibri"/>
        </w:rPr>
        <w:t>f</w:t>
      </w:r>
      <w:r w:rsidRPr="008C2F15">
        <w:rPr>
          <w:rFonts w:cs="Calibri"/>
        </w:rPr>
        <w:t xml:space="preserve">luorescence </w:t>
      </w:r>
      <w:r>
        <w:rPr>
          <w:rFonts w:cs="Calibri"/>
        </w:rPr>
        <w:t>m</w:t>
      </w:r>
      <w:r w:rsidRPr="008C2F15">
        <w:rPr>
          <w:rFonts w:cs="Calibri"/>
        </w:rPr>
        <w:t>icroscope</w:t>
      </w:r>
      <w:r>
        <w:rPr>
          <w:rFonts w:cs="Calibri"/>
        </w:rPr>
        <w:t xml:space="preserve"> Zeiss </w:t>
      </w:r>
      <w:proofErr w:type="spellStart"/>
      <w:r>
        <w:rPr>
          <w:rFonts w:cs="Calibri"/>
        </w:rPr>
        <w:t>Axio</w:t>
      </w:r>
      <w:proofErr w:type="spellEnd"/>
      <w:r>
        <w:rPr>
          <w:rFonts w:cs="Calibri"/>
        </w:rPr>
        <w:t xml:space="preserve"> Observer </w:t>
      </w:r>
      <w:r>
        <w:t>(Zeiss Microscopy, Germany)</w:t>
      </w:r>
      <w:r w:rsidR="00993078">
        <w:t xml:space="preserve">. </w:t>
      </w:r>
      <w:r w:rsidR="00993078" w:rsidRPr="00EB6BA5">
        <w:rPr>
          <w:rFonts w:cs="Calibri"/>
        </w:rPr>
        <w:t xml:space="preserve">Scale bar = 100 </w:t>
      </w:r>
      <w:proofErr w:type="spellStart"/>
      <w:r w:rsidR="00993078" w:rsidRPr="00EB6BA5">
        <w:rPr>
          <w:rFonts w:cs="Calibri"/>
        </w:rPr>
        <w:t>μm</w:t>
      </w:r>
      <w:proofErr w:type="spellEnd"/>
      <w:r w:rsidR="00993078" w:rsidRPr="00EB6BA5">
        <w:rPr>
          <w:rFonts w:cs="Calibri"/>
        </w:rPr>
        <w:t xml:space="preserve"> (</w:t>
      </w:r>
      <w:r w:rsidR="00993078">
        <w:rPr>
          <w:rFonts w:cs="Calibri"/>
        </w:rPr>
        <w:t>objective 10×)</w:t>
      </w:r>
    </w:p>
    <w:p w:rsidR="000B575A" w:rsidRDefault="000B575A" w:rsidP="00A205A7">
      <w:pPr>
        <w:pStyle w:val="MDPI51figurecaption"/>
        <w:ind w:left="0"/>
      </w:pPr>
    </w:p>
    <w:p w:rsidR="00A205A7" w:rsidRPr="00A205A7" w:rsidRDefault="00A205A7" w:rsidP="00A205A7">
      <w:pPr>
        <w:jc w:val="both"/>
        <w:rPr>
          <w:rFonts w:ascii="Palatino Linotype" w:hAnsi="Palatino Linotype"/>
          <w:i/>
          <w:sz w:val="20"/>
          <w:szCs w:val="20"/>
          <w:lang w:val="en-US"/>
        </w:rPr>
      </w:pPr>
    </w:p>
    <w:p w:rsidR="00A205A7" w:rsidRDefault="00A205A7" w:rsidP="00A205A7">
      <w:pPr>
        <w:jc w:val="both"/>
        <w:rPr>
          <w:rFonts w:ascii="Palatino Linotype" w:hAnsi="Palatino Linotype"/>
          <w:sz w:val="18"/>
          <w:szCs w:val="20"/>
          <w:lang w:val="en-US"/>
        </w:rPr>
      </w:pPr>
      <w:r>
        <w:rPr>
          <w:rFonts w:ascii="Palatino Linotype" w:hAnsi="Palatino Linotype"/>
          <w:noProof/>
          <w:sz w:val="18"/>
          <w:szCs w:val="20"/>
          <w:lang w:eastAsia="en-GB"/>
        </w:rPr>
        <w:lastRenderedPageBreak/>
        <w:drawing>
          <wp:inline distT="0" distB="0" distL="0" distR="0" wp14:anchorId="032A3B6A" wp14:editId="0635FE05">
            <wp:extent cx="5400040" cy="72015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derin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A7" w:rsidRPr="00CB5F0B" w:rsidRDefault="00A205A7" w:rsidP="00A205A7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sz w:val="18"/>
          <w:szCs w:val="20"/>
          <w:lang w:val="en-US"/>
        </w:rPr>
        <w:t xml:space="preserve">Figure </w:t>
      </w:r>
      <w:r w:rsidR="00993078">
        <w:rPr>
          <w:rFonts w:ascii="Palatino Linotype" w:hAnsi="Palatino Linotype"/>
          <w:b/>
          <w:sz w:val="18"/>
          <w:szCs w:val="20"/>
          <w:lang w:val="en-US"/>
        </w:rPr>
        <w:t>S4</w:t>
      </w:r>
      <w:r w:rsidRPr="00450792">
        <w:rPr>
          <w:rFonts w:ascii="Palatino Linotype" w:hAnsi="Palatino Linotype"/>
          <w:sz w:val="18"/>
          <w:szCs w:val="20"/>
          <w:lang w:val="en-US"/>
        </w:rPr>
        <w:t xml:space="preserve">. </w:t>
      </w:r>
      <w:r>
        <w:rPr>
          <w:rFonts w:ascii="Palatino Linotype" w:hAnsi="Palatino Linotype"/>
          <w:sz w:val="18"/>
          <w:szCs w:val="20"/>
          <w:lang w:val="en-US"/>
        </w:rPr>
        <w:t>Immunofluorescence staining of E-cadherin and N-cadherin proteins</w:t>
      </w:r>
      <w:r w:rsidR="00993078">
        <w:rPr>
          <w:rFonts w:ascii="Palatino Linotype" w:hAnsi="Palatino Linotype"/>
          <w:sz w:val="18"/>
          <w:szCs w:val="20"/>
          <w:lang w:val="en-US"/>
        </w:rPr>
        <w:t xml:space="preserve"> on</w:t>
      </w:r>
      <w:r>
        <w:rPr>
          <w:rFonts w:ascii="Palatino Linotype" w:hAnsi="Palatino Linotype"/>
          <w:sz w:val="18"/>
          <w:szCs w:val="20"/>
          <w:lang w:val="en-US"/>
        </w:rPr>
        <w:t xml:space="preserve"> BM-MSCs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spheroids</w:t>
      </w:r>
      <w:r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exposed to </w:t>
      </w:r>
      <w:r>
        <w:rPr>
          <w:rFonts w:ascii="Palatino Linotype" w:hAnsi="Palatino Linotype"/>
          <w:sz w:val="18"/>
          <w:szCs w:val="20"/>
          <w:lang w:val="en-US"/>
        </w:rPr>
        <w:t>PAT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</w:t>
      </w:r>
      <w:r>
        <w:rPr>
          <w:rFonts w:ascii="Palatino Linotype" w:hAnsi="Palatino Linotype"/>
          <w:sz w:val="18"/>
          <w:szCs w:val="20"/>
          <w:lang w:val="en-US"/>
        </w:rPr>
        <w:t>100</w:t>
      </w:r>
      <w:r w:rsidR="00993078">
        <w:rPr>
          <w:rFonts w:ascii="Palatino Linotype" w:hAnsi="Palatino Linotype"/>
          <w:sz w:val="18"/>
          <w:szCs w:val="20"/>
          <w:lang w:val="en-US"/>
        </w:rPr>
        <w:t xml:space="preserve"> </w:t>
      </w:r>
      <w:proofErr w:type="spellStart"/>
      <w:r w:rsidR="00993078">
        <w:rPr>
          <w:rFonts w:ascii="Palatino Linotype" w:hAnsi="Palatino Linotype"/>
          <w:sz w:val="18"/>
          <w:szCs w:val="20"/>
          <w:lang w:val="en-US"/>
        </w:rPr>
        <w:t>μM</w:t>
      </w:r>
      <w:proofErr w:type="spellEnd"/>
      <w:r w:rsidRPr="00E055A3">
        <w:rPr>
          <w:rFonts w:ascii="Palatino Linotype" w:hAnsi="Palatino Linotype"/>
          <w:sz w:val="18"/>
          <w:szCs w:val="20"/>
          <w:lang w:val="en-US"/>
        </w:rPr>
        <w:t xml:space="preserve"> for </w:t>
      </w:r>
      <w:r w:rsidR="00993078">
        <w:rPr>
          <w:rFonts w:ascii="Palatino Linotype" w:hAnsi="Palatino Linotype"/>
          <w:sz w:val="18"/>
          <w:szCs w:val="20"/>
          <w:lang w:val="en-US"/>
        </w:rPr>
        <w:t>72 . Spheroids were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fixed and stained with DAPI to visualize</w:t>
      </w:r>
      <w:r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="00993078">
        <w:rPr>
          <w:rFonts w:ascii="Palatino Linotype" w:hAnsi="Palatino Linotype"/>
          <w:sz w:val="18"/>
          <w:szCs w:val="20"/>
          <w:lang w:val="en-US"/>
        </w:rPr>
        <w:t>nuclei (blue) and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anti-</w:t>
      </w:r>
      <w:r>
        <w:rPr>
          <w:rFonts w:ascii="Palatino Linotype" w:hAnsi="Palatino Linotype"/>
          <w:sz w:val="18"/>
          <w:szCs w:val="20"/>
          <w:lang w:val="en-US"/>
        </w:rPr>
        <w:t>E-cadherin o anti-N-cadherin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antibody (red).</w:t>
      </w:r>
      <w:r>
        <w:rPr>
          <w:rFonts w:ascii="Palatino Linotype" w:hAnsi="Palatino Linotype"/>
          <w:sz w:val="18"/>
          <w:szCs w:val="20"/>
          <w:lang w:val="en-US"/>
        </w:rPr>
        <w:t xml:space="preserve"> Spheroids exposed to the same amount of solvent (</w:t>
      </w:r>
      <w:proofErr w:type="spellStart"/>
      <w:r>
        <w:rPr>
          <w:rFonts w:ascii="Palatino Linotype" w:hAnsi="Palatino Linotype"/>
          <w:sz w:val="18"/>
          <w:szCs w:val="20"/>
          <w:lang w:val="en-US"/>
        </w:rPr>
        <w:t>MeOH</w:t>
      </w:r>
      <w:proofErr w:type="spellEnd"/>
      <w:r>
        <w:rPr>
          <w:rFonts w:ascii="Palatino Linotype" w:hAnsi="Palatino Linotype"/>
          <w:sz w:val="18"/>
          <w:szCs w:val="20"/>
          <w:lang w:val="en-US"/>
        </w:rPr>
        <w:t>) were used as control.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 Images were obtained by using</w:t>
      </w:r>
      <w:r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Pr="00E055A3">
        <w:rPr>
          <w:rFonts w:ascii="Palatino Linotype" w:hAnsi="Palatino Linotype"/>
          <w:sz w:val="18"/>
          <w:szCs w:val="20"/>
          <w:lang w:val="en-US"/>
        </w:rPr>
        <w:t>the confocal fluorescence microscope Zeiss LSM 800</w:t>
      </w:r>
      <w:r>
        <w:rPr>
          <w:rFonts w:ascii="Palatino Linotype" w:hAnsi="Palatino Linotype"/>
          <w:sz w:val="18"/>
          <w:szCs w:val="20"/>
          <w:lang w:val="en-US"/>
        </w:rPr>
        <w:t xml:space="preserve"> </w:t>
      </w:r>
      <w:r w:rsidR="00993078">
        <w:rPr>
          <w:rFonts w:ascii="Palatino Linotype" w:hAnsi="Palatino Linotype"/>
          <w:sz w:val="18"/>
          <w:szCs w:val="20"/>
          <w:lang w:val="en-US"/>
        </w:rPr>
        <w:t>(Zeiss Microscopy, Germany</w:t>
      </w:r>
      <w:r w:rsidRPr="00E055A3">
        <w:rPr>
          <w:rFonts w:ascii="Palatino Linotype" w:hAnsi="Palatino Linotype"/>
          <w:sz w:val="18"/>
          <w:szCs w:val="20"/>
          <w:lang w:val="en-US"/>
        </w:rPr>
        <w:t xml:space="preserve">). Scale bar: 50 </w:t>
      </w:r>
      <w:proofErr w:type="spellStart"/>
      <w:r w:rsidRPr="00E055A3">
        <w:rPr>
          <w:rFonts w:ascii="Palatino Linotype" w:hAnsi="Palatino Linotype"/>
          <w:sz w:val="18"/>
          <w:szCs w:val="20"/>
          <w:lang w:val="en-US"/>
        </w:rPr>
        <w:t>μm</w:t>
      </w:r>
      <w:proofErr w:type="spellEnd"/>
      <w:r w:rsidR="00993078">
        <w:rPr>
          <w:rFonts w:ascii="Palatino Linotype" w:hAnsi="Palatino Linotype"/>
          <w:sz w:val="18"/>
          <w:szCs w:val="20"/>
          <w:lang w:val="en-US"/>
        </w:rPr>
        <w:t xml:space="preserve"> (objective </w:t>
      </w:r>
      <w:r w:rsidR="00993078" w:rsidRPr="00993078">
        <w:rPr>
          <w:rFonts w:ascii="Palatino Linotype" w:hAnsi="Palatino Linotype"/>
          <w:sz w:val="18"/>
          <w:szCs w:val="20"/>
          <w:lang w:val="en-US"/>
        </w:rPr>
        <w:t>2</w:t>
      </w:r>
      <w:r w:rsidR="00993078">
        <w:rPr>
          <w:rFonts w:ascii="Palatino Linotype" w:hAnsi="Palatino Linotype"/>
          <w:sz w:val="18"/>
          <w:szCs w:val="20"/>
          <w:lang w:val="en-US"/>
        </w:rPr>
        <w:t>0</w:t>
      </w:r>
      <w:r w:rsidR="00993078" w:rsidRPr="00993078">
        <w:rPr>
          <w:rFonts w:ascii="Palatino Linotype" w:hAnsi="Palatino Linotype"/>
          <w:sz w:val="18"/>
          <w:szCs w:val="20"/>
          <w:lang w:val="en-US"/>
        </w:rPr>
        <w:t>x</w:t>
      </w:r>
      <w:r w:rsidR="00993078">
        <w:rPr>
          <w:rFonts w:ascii="Palatino Linotype" w:hAnsi="Palatino Linotype"/>
          <w:sz w:val="18"/>
          <w:szCs w:val="20"/>
          <w:lang w:val="en-US"/>
        </w:rPr>
        <w:t>)</w:t>
      </w:r>
      <w:r w:rsidRPr="00E055A3">
        <w:rPr>
          <w:rFonts w:ascii="Palatino Linotype" w:hAnsi="Palatino Linotype"/>
          <w:sz w:val="18"/>
          <w:szCs w:val="20"/>
          <w:lang w:val="en-US"/>
        </w:rPr>
        <w:t>.</w:t>
      </w:r>
    </w:p>
    <w:p w:rsidR="008C33C4" w:rsidRDefault="008C33C4"/>
    <w:sectPr w:rsidR="008C33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5A7"/>
    <w:rsid w:val="000B575A"/>
    <w:rsid w:val="00202D9E"/>
    <w:rsid w:val="00652DF0"/>
    <w:rsid w:val="008C2F15"/>
    <w:rsid w:val="008C33C4"/>
    <w:rsid w:val="00993078"/>
    <w:rsid w:val="00A205A7"/>
    <w:rsid w:val="00D24296"/>
    <w:rsid w:val="00DB7A0C"/>
    <w:rsid w:val="00E809A9"/>
    <w:rsid w:val="00E97797"/>
    <w:rsid w:val="00EB6BA5"/>
    <w:rsid w:val="00FE104C"/>
    <w:rsid w:val="00FF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D747F"/>
  <w15:chartTrackingRefBased/>
  <w15:docId w15:val="{FF1B7F34-72DF-46BF-BFB5-8074A624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5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42tablebody">
    <w:name w:val="MDPI_4.2_table_body"/>
    <w:qFormat/>
    <w:rsid w:val="00A205A7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1figurecaption">
    <w:name w:val="MDPI_5.1_figure_caption"/>
    <w:qFormat/>
    <w:rsid w:val="00A205A7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A205A7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table" w:styleId="Tablaconcuadrcula">
    <w:name w:val="Table Grid"/>
    <w:basedOn w:val="Tablanormal"/>
    <w:uiPriority w:val="39"/>
    <w:rsid w:val="00D24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Zingales</dc:creator>
  <cp:keywords/>
  <dc:description/>
  <cp:lastModifiedBy>Veronica Zingales</cp:lastModifiedBy>
  <cp:revision>8</cp:revision>
  <dcterms:created xsi:type="dcterms:W3CDTF">2023-11-20T17:59:00Z</dcterms:created>
  <dcterms:modified xsi:type="dcterms:W3CDTF">2023-12-19T14:11:00Z</dcterms:modified>
</cp:coreProperties>
</file>