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E9A60" w14:textId="484430FA" w:rsidR="0028385D" w:rsidRPr="00A33341" w:rsidRDefault="0028385D" w:rsidP="0028385D">
      <w:pPr>
        <w:rPr>
          <w:rFonts w:ascii="Calibri" w:eastAsia="Calibri" w:hAnsi="Calibri" w:cs="Times New Roman"/>
          <w:lang w:val="en-GB"/>
        </w:rPr>
      </w:pPr>
      <w:r w:rsidRPr="003A6AF3">
        <w:rPr>
          <w:b/>
          <w:sz w:val="24"/>
          <w:lang w:val="en-GB"/>
        </w:rPr>
        <w:t>Supplement</w:t>
      </w:r>
      <w:r>
        <w:rPr>
          <w:b/>
          <w:lang w:val="en-GB"/>
        </w:rPr>
        <w:br/>
      </w:r>
      <w:r w:rsidRPr="00CE6EA4">
        <w:rPr>
          <w:rFonts w:ascii="Calibri" w:eastAsia="Calibri" w:hAnsi="Calibri" w:cs="Times New Roman"/>
          <w:b/>
          <w:lang w:val="en-GB"/>
        </w:rPr>
        <w:t xml:space="preserve">Structural </w:t>
      </w:r>
      <w:r>
        <w:rPr>
          <w:rFonts w:ascii="Calibri" w:eastAsia="Calibri" w:hAnsi="Calibri" w:cs="Times New Roman"/>
          <w:b/>
          <w:lang w:val="en-GB"/>
        </w:rPr>
        <w:t>g</w:t>
      </w:r>
      <w:r w:rsidRPr="00CE6EA4">
        <w:rPr>
          <w:rFonts w:ascii="Calibri" w:eastAsia="Calibri" w:hAnsi="Calibri" w:cs="Times New Roman"/>
          <w:b/>
          <w:lang w:val="en-GB"/>
        </w:rPr>
        <w:t xml:space="preserve">eological </w:t>
      </w:r>
      <w:r>
        <w:rPr>
          <w:rFonts w:ascii="Calibri" w:eastAsia="Calibri" w:hAnsi="Calibri" w:cs="Times New Roman"/>
          <w:b/>
          <w:lang w:val="en-GB"/>
        </w:rPr>
        <w:t>i</w:t>
      </w:r>
      <w:r w:rsidRPr="00CE6EA4">
        <w:rPr>
          <w:rFonts w:ascii="Calibri" w:eastAsia="Calibri" w:hAnsi="Calibri" w:cs="Times New Roman"/>
          <w:b/>
          <w:lang w:val="en-GB"/>
        </w:rPr>
        <w:t xml:space="preserve">nterpretation of </w:t>
      </w:r>
      <w:r>
        <w:rPr>
          <w:rFonts w:ascii="Calibri" w:eastAsia="Calibri" w:hAnsi="Calibri" w:cs="Times New Roman"/>
          <w:b/>
          <w:lang w:val="en-GB"/>
        </w:rPr>
        <w:t>s</w:t>
      </w:r>
      <w:r w:rsidRPr="00CE6EA4">
        <w:rPr>
          <w:rFonts w:ascii="Calibri" w:eastAsia="Calibri" w:hAnsi="Calibri" w:cs="Times New Roman"/>
          <w:b/>
          <w:lang w:val="en-GB"/>
        </w:rPr>
        <w:t xml:space="preserve">ettlement </w:t>
      </w:r>
      <w:r>
        <w:rPr>
          <w:rFonts w:ascii="Calibri" w:eastAsia="Calibri" w:hAnsi="Calibri" w:cs="Times New Roman"/>
          <w:b/>
          <w:lang w:val="en-GB"/>
        </w:rPr>
        <w:t>p</w:t>
      </w:r>
      <w:r w:rsidRPr="00CE6EA4">
        <w:rPr>
          <w:rFonts w:ascii="Calibri" w:eastAsia="Calibri" w:hAnsi="Calibri" w:cs="Times New Roman"/>
          <w:b/>
          <w:lang w:val="en-GB"/>
        </w:rPr>
        <w:t xml:space="preserve">atterns of </w:t>
      </w:r>
      <w:r>
        <w:rPr>
          <w:rFonts w:ascii="Calibri" w:eastAsia="Calibri" w:hAnsi="Calibri" w:cs="Times New Roman"/>
          <w:b/>
          <w:lang w:val="en-GB"/>
        </w:rPr>
        <w:t>r</w:t>
      </w:r>
      <w:r w:rsidRPr="00CE6EA4">
        <w:rPr>
          <w:rFonts w:ascii="Calibri" w:eastAsia="Calibri" w:hAnsi="Calibri" w:cs="Times New Roman"/>
          <w:b/>
          <w:lang w:val="en-GB"/>
        </w:rPr>
        <w:t xml:space="preserve">ed </w:t>
      </w:r>
      <w:r>
        <w:rPr>
          <w:rFonts w:ascii="Calibri" w:eastAsia="Calibri" w:hAnsi="Calibri" w:cs="Times New Roman"/>
          <w:b/>
          <w:lang w:val="en-GB"/>
        </w:rPr>
        <w:t>w</w:t>
      </w:r>
      <w:r w:rsidRPr="00CE6EA4">
        <w:rPr>
          <w:rFonts w:ascii="Calibri" w:eastAsia="Calibri" w:hAnsi="Calibri" w:cs="Times New Roman"/>
          <w:b/>
          <w:lang w:val="en-GB"/>
        </w:rPr>
        <w:t xml:space="preserve">ood </w:t>
      </w:r>
      <w:r>
        <w:rPr>
          <w:rFonts w:ascii="Calibri" w:eastAsia="Calibri" w:hAnsi="Calibri" w:cs="Times New Roman"/>
          <w:b/>
          <w:lang w:val="en-GB"/>
        </w:rPr>
        <w:t>a</w:t>
      </w:r>
      <w:r w:rsidRPr="00CE6EA4">
        <w:rPr>
          <w:rFonts w:ascii="Calibri" w:eastAsia="Calibri" w:hAnsi="Calibri" w:cs="Times New Roman"/>
          <w:b/>
          <w:lang w:val="en-GB"/>
        </w:rPr>
        <w:t>nts (</w:t>
      </w:r>
      <w:r w:rsidRPr="00C37DC5">
        <w:rPr>
          <w:rFonts w:ascii="Calibri" w:eastAsia="Calibri" w:hAnsi="Calibri" w:cs="Times New Roman"/>
          <w:b/>
          <w:i/>
          <w:lang w:val="en-GB"/>
        </w:rPr>
        <w:t>Formica rufa</w:t>
      </w:r>
      <w:r w:rsidRPr="00CE6EA4">
        <w:rPr>
          <w:rFonts w:ascii="Calibri" w:eastAsia="Calibri" w:hAnsi="Calibri" w:cs="Times New Roman"/>
          <w:b/>
          <w:lang w:val="en-GB"/>
        </w:rPr>
        <w:t xml:space="preserve"> </w:t>
      </w:r>
      <w:r>
        <w:rPr>
          <w:rFonts w:ascii="Calibri" w:eastAsia="Calibri" w:hAnsi="Calibri" w:cs="Times New Roman"/>
          <w:b/>
          <w:lang w:val="en-GB"/>
        </w:rPr>
        <w:t>g</w:t>
      </w:r>
      <w:r w:rsidRPr="00CE6EA4">
        <w:rPr>
          <w:rFonts w:ascii="Calibri" w:eastAsia="Calibri" w:hAnsi="Calibri" w:cs="Times New Roman"/>
          <w:b/>
          <w:lang w:val="en-GB"/>
        </w:rPr>
        <w:t xml:space="preserve">roup) in Southwest Germany between the Black Forest and the Swabian Alb </w:t>
      </w:r>
    </w:p>
    <w:p w14:paraId="649533CF" w14:textId="77777777" w:rsidR="0028385D" w:rsidRPr="0028385D" w:rsidRDefault="0028385D" w:rsidP="0028385D">
      <w:pPr>
        <w:jc w:val="both"/>
        <w:rPr>
          <w:rFonts w:ascii="Calibri" w:eastAsia="Calibri" w:hAnsi="Calibri" w:cs="Times New Roman"/>
          <w:lang w:val="en-US"/>
        </w:rPr>
      </w:pPr>
      <w:r w:rsidRPr="0028385D">
        <w:rPr>
          <w:rFonts w:ascii="Calibri" w:eastAsia="Calibri" w:hAnsi="Calibri" w:cs="Times New Roman"/>
          <w:lang w:val="en-US"/>
        </w:rPr>
        <w:t>Maresch, L.</w:t>
      </w:r>
      <w:r w:rsidRPr="0028385D">
        <w:rPr>
          <w:rFonts w:ascii="Calibri" w:eastAsia="Calibri" w:hAnsi="Calibri" w:cs="Times New Roman"/>
          <w:vertAlign w:val="superscript"/>
          <w:lang w:val="en-US"/>
        </w:rPr>
        <w:t>1</w:t>
      </w:r>
      <w:r w:rsidRPr="0028385D">
        <w:rPr>
          <w:rFonts w:ascii="Calibri" w:eastAsia="Calibri" w:hAnsi="Calibri" w:cs="Times New Roman"/>
          <w:lang w:val="en-US"/>
        </w:rPr>
        <w:t>, Schreiber, U.</w:t>
      </w:r>
      <w:r w:rsidRPr="0028385D">
        <w:rPr>
          <w:rFonts w:ascii="Calibri" w:eastAsia="Calibri" w:hAnsi="Calibri" w:cs="Times New Roman"/>
          <w:vertAlign w:val="superscript"/>
          <w:lang w:val="en-US"/>
        </w:rPr>
        <w:t>2</w:t>
      </w:r>
    </w:p>
    <w:p w14:paraId="0E1FB5B6" w14:textId="61FD4430" w:rsidR="00A639FC" w:rsidRPr="00A639FC" w:rsidRDefault="00A639FC" w:rsidP="00A639FC">
      <w:pPr>
        <w:rPr>
          <w:b/>
          <w:lang w:val="en-GB"/>
        </w:rPr>
      </w:pPr>
      <w:r w:rsidRPr="00A639FC">
        <w:rPr>
          <w:b/>
          <w:lang w:val="en-GB"/>
        </w:rPr>
        <w:t xml:space="preserve">Supplement </w:t>
      </w:r>
      <w:r w:rsidRPr="00A639FC">
        <w:rPr>
          <w:lang w:val="en-GB"/>
        </w:rPr>
        <w:t>1: Indirect detection</w:t>
      </w:r>
      <w:r w:rsidR="00772ADB">
        <w:rPr>
          <w:lang w:val="en-GB"/>
        </w:rPr>
        <w:t xml:space="preserve"> of outgassing in the field (Fe-</w:t>
      </w:r>
      <w:r w:rsidRPr="00A639FC">
        <w:rPr>
          <w:lang w:val="en-GB"/>
        </w:rPr>
        <w:t>precipitation, floating iron)</w:t>
      </w:r>
    </w:p>
    <w:tbl>
      <w:tblPr>
        <w:tblStyle w:val="Tabellenraster4"/>
        <w:tblW w:w="0" w:type="auto"/>
        <w:jc w:val="center"/>
        <w:tblLook w:val="04A0" w:firstRow="1" w:lastRow="0" w:firstColumn="1" w:lastColumn="0" w:noHBand="0" w:noVBand="1"/>
      </w:tblPr>
      <w:tblGrid>
        <w:gridCol w:w="6674"/>
      </w:tblGrid>
      <w:tr w:rsidR="00A639FC" w:rsidRPr="00772ADB" w14:paraId="1D1C66FD" w14:textId="77777777" w:rsidTr="00A639FC">
        <w:trPr>
          <w:trHeight w:val="3190"/>
          <w:jc w:val="center"/>
        </w:trPr>
        <w:tc>
          <w:tcPr>
            <w:tcW w:w="6674" w:type="dxa"/>
          </w:tcPr>
          <w:p w14:paraId="718AAF33" w14:textId="77777777" w:rsidR="00A639FC" w:rsidRPr="00A639FC" w:rsidRDefault="00A639FC" w:rsidP="00A639FC">
            <w:r w:rsidRPr="00A639FC">
              <w:rPr>
                <w:noProof/>
                <w:lang w:eastAsia="de-DE"/>
              </w:rPr>
              <w:drawing>
                <wp:inline distT="0" distB="0" distL="0" distR="0" wp14:anchorId="1D36A359" wp14:editId="5425496C">
                  <wp:extent cx="3863419" cy="1828800"/>
                  <wp:effectExtent l="0" t="0" r="3810" b="0"/>
                  <wp:docPr id="25" name="Grafik 25" descr="C:\Users\Schreiber\AppData\Local\Temp\Temp4_GrosFichiers - Lothar Maresch_270322.zip\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reiber\AppData\Local\Temp\Temp4_GrosFichiers - Lothar Maresch_270322.zip\18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3880154" cy="1836722"/>
                          </a:xfrm>
                          <a:prstGeom prst="rect">
                            <a:avLst/>
                          </a:prstGeom>
                          <a:noFill/>
                          <a:ln>
                            <a:noFill/>
                          </a:ln>
                        </pic:spPr>
                      </pic:pic>
                    </a:graphicData>
                  </a:graphic>
                </wp:inline>
              </w:drawing>
            </w:r>
          </w:p>
          <w:p w14:paraId="70703E8C" w14:textId="1374486E" w:rsidR="00A639FC" w:rsidRPr="00A639FC" w:rsidRDefault="00772ADB" w:rsidP="00A639FC">
            <w:pPr>
              <w:rPr>
                <w:lang w:val="en-GB"/>
              </w:rPr>
            </w:pPr>
            <w:r>
              <w:rPr>
                <w:lang w:val="en-GB"/>
              </w:rPr>
              <w:t>Colloidal Fe-</w:t>
            </w:r>
            <w:r w:rsidR="00A639FC" w:rsidRPr="00A639FC">
              <w:rPr>
                <w:lang w:val="en-GB"/>
              </w:rPr>
              <w:t>precipitations (red-brown deposits in the water), March 27, 2022 (long. 8° 40‘ 19.45 / lat. 48° 3‘ 10.96)</w:t>
            </w:r>
          </w:p>
        </w:tc>
      </w:tr>
      <w:tr w:rsidR="00A639FC" w:rsidRPr="000C4DA1" w14:paraId="3F49A43E" w14:textId="77777777" w:rsidTr="00A639FC">
        <w:trPr>
          <w:jc w:val="center"/>
        </w:trPr>
        <w:tc>
          <w:tcPr>
            <w:tcW w:w="6674" w:type="dxa"/>
          </w:tcPr>
          <w:p w14:paraId="65A7C190" w14:textId="77777777" w:rsidR="00A639FC" w:rsidRPr="00A639FC" w:rsidRDefault="00A639FC" w:rsidP="00A639FC">
            <w:r w:rsidRPr="00A639FC">
              <w:rPr>
                <w:noProof/>
                <w:lang w:eastAsia="de-DE"/>
              </w:rPr>
              <w:drawing>
                <wp:inline distT="0" distB="0" distL="0" distR="0" wp14:anchorId="357EA800" wp14:editId="56FFD3D4">
                  <wp:extent cx="3955473" cy="1872375"/>
                  <wp:effectExtent l="0" t="0" r="6985" b="0"/>
                  <wp:docPr id="26" name="Grafik 26" descr="C:\Users\Schreiber\AppData\Local\Temp\Temp4_GrosFichiers - Lothar Maresch_270322.zip\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chreiber\AppData\Local\Temp\Temp4_GrosFichiers - Lothar Maresch_270322.zip\18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3982439" cy="1885140"/>
                          </a:xfrm>
                          <a:prstGeom prst="rect">
                            <a:avLst/>
                          </a:prstGeom>
                          <a:noFill/>
                          <a:ln>
                            <a:noFill/>
                          </a:ln>
                        </pic:spPr>
                      </pic:pic>
                    </a:graphicData>
                  </a:graphic>
                </wp:inline>
              </w:drawing>
            </w:r>
          </w:p>
          <w:p w14:paraId="6FB9A05B" w14:textId="61290816" w:rsidR="00A639FC" w:rsidRPr="00A639FC" w:rsidRDefault="00A639FC" w:rsidP="000C4DA1">
            <w:pPr>
              <w:rPr>
                <w:lang w:val="en-GB"/>
              </w:rPr>
            </w:pPr>
            <w:r w:rsidRPr="00A639FC">
              <w:rPr>
                <w:lang w:val="en-GB"/>
              </w:rPr>
              <w:t>Floating iron (</w:t>
            </w:r>
            <w:r w:rsidR="00D7306F" w:rsidRPr="00D7306F">
              <w:rPr>
                <w:lang w:val="en-GB"/>
              </w:rPr>
              <w:t>reflective surfaces with sharp edges on water-bearing sites</w:t>
            </w:r>
            <w:r w:rsidRPr="00A639FC">
              <w:rPr>
                <w:lang w:val="en-GB"/>
              </w:rPr>
              <w:t xml:space="preserve">), 27.03.2022 (long. 8° 40‘ 30.68 / lat. 48° 3‘ 7.45) </w:t>
            </w:r>
          </w:p>
        </w:tc>
      </w:tr>
    </w:tbl>
    <w:p w14:paraId="072EA8A2" w14:textId="77777777" w:rsidR="00A639FC" w:rsidRPr="00A639FC" w:rsidRDefault="00A639FC" w:rsidP="00A639FC">
      <w:pPr>
        <w:rPr>
          <w:lang w:val="en-GB"/>
        </w:rPr>
      </w:pPr>
    </w:p>
    <w:p w14:paraId="2407F49E" w14:textId="7C660C1A" w:rsidR="00A639FC" w:rsidRPr="00A639FC" w:rsidRDefault="00A639FC" w:rsidP="00A639FC">
      <w:pPr>
        <w:rPr>
          <w:lang w:val="en-GB"/>
        </w:rPr>
      </w:pPr>
    </w:p>
    <w:p w14:paraId="604019DA" w14:textId="77777777" w:rsidR="00A639FC" w:rsidRPr="00A639FC" w:rsidRDefault="00A639FC" w:rsidP="00A639FC">
      <w:pPr>
        <w:jc w:val="both"/>
        <w:rPr>
          <w:b/>
          <w:lang w:val="en-GB"/>
        </w:rPr>
      </w:pPr>
      <w:r w:rsidRPr="00A639FC">
        <w:rPr>
          <w:b/>
          <w:lang w:val="en-GB"/>
        </w:rPr>
        <w:t>Supplement 2: Tectonic setting</w:t>
      </w:r>
    </w:p>
    <w:p w14:paraId="162CB2D7" w14:textId="77777777" w:rsidR="00A639FC" w:rsidRPr="00A639FC" w:rsidRDefault="00A639FC" w:rsidP="00A639FC">
      <w:pPr>
        <w:spacing w:after="0"/>
        <w:jc w:val="both"/>
        <w:rPr>
          <w:b/>
          <w:lang w:val="en-GB"/>
        </w:rPr>
      </w:pPr>
      <w:r w:rsidRPr="00A639FC">
        <w:rPr>
          <w:b/>
          <w:lang w:val="en-GB"/>
        </w:rPr>
        <w:t>Geology</w:t>
      </w:r>
    </w:p>
    <w:p w14:paraId="4BD59222" w14:textId="5005B0F4" w:rsidR="00A639FC" w:rsidRPr="00A639FC" w:rsidRDefault="00A639FC" w:rsidP="00A639FC">
      <w:pPr>
        <w:spacing w:after="0"/>
        <w:jc w:val="both"/>
        <w:rPr>
          <w:lang w:val="en-GB"/>
        </w:rPr>
      </w:pPr>
      <w:r w:rsidRPr="00A639FC">
        <w:rPr>
          <w:lang w:val="en-GB"/>
        </w:rPr>
        <w:t>The study area is located in the southwestern part of the South German scarplands, where Triassic and Jurassic sediments</w:t>
      </w:r>
      <w:r w:rsidR="00EB16F8">
        <w:rPr>
          <w:lang w:val="en-GB"/>
        </w:rPr>
        <w:t>, with a total thickness of 1 to</w:t>
      </w:r>
      <w:r w:rsidRPr="00A639FC">
        <w:rPr>
          <w:lang w:val="en-GB"/>
        </w:rPr>
        <w:t xml:space="preserve"> 2 km, were deposited. These sediments overlie </w:t>
      </w:r>
      <w:proofErr w:type="spellStart"/>
      <w:r w:rsidRPr="00A639FC">
        <w:rPr>
          <w:lang w:val="en-GB"/>
        </w:rPr>
        <w:t>Variscan</w:t>
      </w:r>
      <w:proofErr w:type="spellEnd"/>
      <w:r w:rsidRPr="00A639FC">
        <w:rPr>
          <w:lang w:val="en-GB"/>
        </w:rPr>
        <w:t xml:space="preserve"> gneisses and magmatic rocks, comparable to those emerging in the Black Forest to the west and the Bohemian Massif to the east. The oldest Mesozoic units consist of</w:t>
      </w:r>
      <w:r w:rsidR="00AA4C67">
        <w:rPr>
          <w:lang w:val="en-GB"/>
        </w:rPr>
        <w:t xml:space="preserve"> sandstones from the Middle </w:t>
      </w:r>
      <w:proofErr w:type="spellStart"/>
      <w:r w:rsidR="00AA4C67">
        <w:rPr>
          <w:lang w:val="en-GB"/>
        </w:rPr>
        <w:t>Bunt</w:t>
      </w:r>
      <w:r w:rsidRPr="00A639FC">
        <w:rPr>
          <w:lang w:val="en-GB"/>
        </w:rPr>
        <w:t>sandstein</w:t>
      </w:r>
      <w:proofErr w:type="spellEnd"/>
      <w:r w:rsidRPr="00A639FC">
        <w:rPr>
          <w:lang w:val="en-GB"/>
        </w:rPr>
        <w:t xml:space="preserve">, which discordant overlay the bedrock at the eastern edge of the Black Forest. To the east, southeast, and southwards, younger units from the Triassic are </w:t>
      </w:r>
      <w:proofErr w:type="spellStart"/>
      <w:r w:rsidRPr="00A639FC">
        <w:rPr>
          <w:lang w:val="en-GB"/>
        </w:rPr>
        <w:t>overlayed</w:t>
      </w:r>
      <w:proofErr w:type="spellEnd"/>
      <w:r w:rsidRPr="00A639FC">
        <w:rPr>
          <w:lang w:val="en-GB"/>
        </w:rPr>
        <w:t xml:space="preserve"> by Jurassic strata. The youngest sedimentary rocks in the area are Upper Jurassic limestones, occurring in reef facies or in layered strata. An uplift and simultaneous tilting of the entire South German block, associated with the Alpine </w:t>
      </w:r>
      <w:proofErr w:type="spellStart"/>
      <w:r w:rsidRPr="00A639FC">
        <w:rPr>
          <w:lang w:val="en-GB"/>
        </w:rPr>
        <w:t>orogenesis</w:t>
      </w:r>
      <w:proofErr w:type="spellEnd"/>
      <w:r w:rsidRPr="00A639FC">
        <w:rPr>
          <w:lang w:val="en-GB"/>
        </w:rPr>
        <w:t xml:space="preserve">, displaced the layers, causing them to dip at an angle of 5 </w:t>
      </w:r>
      <w:r w:rsidR="00EB16F8">
        <w:rPr>
          <w:lang w:val="en-GB"/>
        </w:rPr>
        <w:t>to</w:t>
      </w:r>
      <w:r w:rsidRPr="00A639FC">
        <w:rPr>
          <w:lang w:val="en-GB"/>
        </w:rPr>
        <w:t xml:space="preserve"> 10° to the south-southeast. Subsequently, widespread erosion from the north set in, leading to the development of the characteristic scarpland since the Miocene. The study area encompasses a north-south section at the eastern edge of the Black Forest, representing all stratigraphic units from the Middle </w:t>
      </w:r>
      <w:proofErr w:type="spellStart"/>
      <w:r w:rsidRPr="00A639FC">
        <w:rPr>
          <w:lang w:val="en-GB"/>
        </w:rPr>
        <w:t>Buntsandstein</w:t>
      </w:r>
      <w:proofErr w:type="spellEnd"/>
      <w:r w:rsidRPr="00A639FC">
        <w:rPr>
          <w:lang w:val="en-GB"/>
        </w:rPr>
        <w:t xml:space="preserve"> to the Upper Jurassic.</w:t>
      </w:r>
    </w:p>
    <w:p w14:paraId="4279F8E4" w14:textId="77777777" w:rsidR="00A639FC" w:rsidRPr="00A639FC" w:rsidRDefault="00A639FC" w:rsidP="00A639FC">
      <w:pPr>
        <w:spacing w:after="0"/>
        <w:jc w:val="both"/>
        <w:rPr>
          <w:b/>
          <w:lang w:val="en-GB"/>
        </w:rPr>
      </w:pPr>
      <w:r w:rsidRPr="00A639FC">
        <w:rPr>
          <w:b/>
          <w:lang w:val="en-GB"/>
        </w:rPr>
        <w:lastRenderedPageBreak/>
        <w:t>Major tectonic framework</w:t>
      </w:r>
    </w:p>
    <w:p w14:paraId="5C4E262E" w14:textId="5C803F25" w:rsidR="00A639FC" w:rsidRPr="00A639FC" w:rsidRDefault="00A639FC" w:rsidP="00A639FC">
      <w:pPr>
        <w:spacing w:after="0"/>
        <w:jc w:val="both"/>
        <w:rPr>
          <w:lang w:val="en-GB"/>
        </w:rPr>
      </w:pPr>
      <w:r w:rsidRPr="00A639FC">
        <w:rPr>
          <w:lang w:val="en-GB"/>
        </w:rPr>
        <w:t>The South German scarplands east of the Black Forest have been characterized since the Upper Jurassic by multiple changes in the stress field's orientation and intensity (</w:t>
      </w:r>
      <w:r w:rsidRPr="00AA4C67">
        <w:rPr>
          <w:lang w:val="en-GB"/>
        </w:rPr>
        <w:t>Schwarz, 2012</w:t>
      </w:r>
      <w:r w:rsidRPr="00A639FC">
        <w:rPr>
          <w:lang w:val="en-GB"/>
        </w:rPr>
        <w:t xml:space="preserve">). Apart from the reactivation of ancient </w:t>
      </w:r>
      <w:proofErr w:type="spellStart"/>
      <w:r w:rsidRPr="00A639FC">
        <w:rPr>
          <w:lang w:val="en-GB"/>
        </w:rPr>
        <w:t>Variscan</w:t>
      </w:r>
      <w:proofErr w:type="spellEnd"/>
      <w:r w:rsidRPr="00A639FC">
        <w:rPr>
          <w:lang w:val="en-GB"/>
        </w:rPr>
        <w:t xml:space="preserve"> fault systems, new directions were established before and during the Alpine </w:t>
      </w:r>
      <w:proofErr w:type="spellStart"/>
      <w:r w:rsidRPr="00A639FC">
        <w:rPr>
          <w:lang w:val="en-GB"/>
        </w:rPr>
        <w:t>orogenesis</w:t>
      </w:r>
      <w:proofErr w:type="spellEnd"/>
      <w:r w:rsidRPr="00A639FC">
        <w:rPr>
          <w:lang w:val="en-GB"/>
        </w:rPr>
        <w:t xml:space="preserve">. </w:t>
      </w:r>
      <w:r w:rsidRPr="00AA4C67">
        <w:rPr>
          <w:lang w:val="en-GB"/>
        </w:rPr>
        <w:t>In the gridded areas of larger fault zones, small interlocking crustal block fields developed, the majority of whose structures are characterized by horizontal movements.</w:t>
      </w:r>
      <w:r w:rsidRPr="00A639FC">
        <w:rPr>
          <w:lang w:val="en-GB"/>
        </w:rPr>
        <w:t xml:space="preserve"> Often associated with these are </w:t>
      </w:r>
      <w:proofErr w:type="spellStart"/>
      <w:r w:rsidRPr="00A639FC">
        <w:rPr>
          <w:lang w:val="en-GB"/>
        </w:rPr>
        <w:t>transpression</w:t>
      </w:r>
      <w:proofErr w:type="spellEnd"/>
      <w:r w:rsidRPr="00A639FC">
        <w:rPr>
          <w:lang w:val="en-GB"/>
        </w:rPr>
        <w:t xml:space="preserve"> and </w:t>
      </w:r>
      <w:proofErr w:type="spellStart"/>
      <w:r w:rsidRPr="00A639FC">
        <w:rPr>
          <w:lang w:val="en-GB"/>
        </w:rPr>
        <w:t>transtension</w:t>
      </w:r>
      <w:proofErr w:type="spellEnd"/>
      <w:r w:rsidRPr="00A639FC">
        <w:rPr>
          <w:lang w:val="en-GB"/>
        </w:rPr>
        <w:t xml:space="preserve"> zones of various magnitudes, coupled with numerous closely spaced secondary faults. Transition zones between (often "invisible" for mapping [Geyer, </w:t>
      </w:r>
      <w:proofErr w:type="spellStart"/>
      <w:r w:rsidRPr="00A639FC">
        <w:rPr>
          <w:lang w:val="en-GB"/>
        </w:rPr>
        <w:t>Gwinner</w:t>
      </w:r>
      <w:proofErr w:type="spellEnd"/>
      <w:r w:rsidRPr="00A639FC">
        <w:rPr>
          <w:lang w:val="en-GB"/>
        </w:rPr>
        <w:t xml:space="preserve">, 2011]) lateral displacements led to rhomboid to graben-like delimited block fields with locally stronger vertical offsets. Additionally, block rotations further complicate the structural inventory (Geyer, </w:t>
      </w:r>
      <w:proofErr w:type="spellStart"/>
      <w:r w:rsidRPr="00A639FC">
        <w:rPr>
          <w:lang w:val="en-GB"/>
        </w:rPr>
        <w:t>Gwinner</w:t>
      </w:r>
      <w:proofErr w:type="spellEnd"/>
      <w:r w:rsidRPr="00A639FC">
        <w:rPr>
          <w:lang w:val="en-GB"/>
        </w:rPr>
        <w:t>, 2011).</w:t>
      </w:r>
    </w:p>
    <w:p w14:paraId="3D1BAD5E" w14:textId="77777777" w:rsidR="00A639FC" w:rsidRPr="00A639FC" w:rsidRDefault="00A639FC" w:rsidP="00A639FC">
      <w:pPr>
        <w:spacing w:after="0"/>
        <w:jc w:val="both"/>
        <w:rPr>
          <w:lang w:val="en-GB"/>
        </w:rPr>
      </w:pPr>
    </w:p>
    <w:p w14:paraId="69D6D63F" w14:textId="77777777" w:rsidR="00A639FC" w:rsidRPr="00A639FC" w:rsidRDefault="00A639FC" w:rsidP="00A639FC">
      <w:pPr>
        <w:spacing w:after="0"/>
        <w:jc w:val="both"/>
        <w:rPr>
          <w:lang w:val="en-GB"/>
        </w:rPr>
      </w:pPr>
      <w:r w:rsidRPr="00A639FC">
        <w:rPr>
          <w:lang w:val="en-GB"/>
        </w:rPr>
        <w:t xml:space="preserve">The recent deformations of shear zones in southwest Germany are broadly related to the development of the Cenozoic rift system in Europe and the northern </w:t>
      </w:r>
      <w:proofErr w:type="spellStart"/>
      <w:r w:rsidRPr="00A639FC">
        <w:rPr>
          <w:lang w:val="en-GB"/>
        </w:rPr>
        <w:t>Molasse</w:t>
      </w:r>
      <w:proofErr w:type="spellEnd"/>
      <w:r w:rsidRPr="00A639FC">
        <w:rPr>
          <w:lang w:val="en-GB"/>
        </w:rPr>
        <w:t xml:space="preserve"> basin of the Alps (</w:t>
      </w:r>
      <w:proofErr w:type="spellStart"/>
      <w:r w:rsidRPr="00A639FC">
        <w:rPr>
          <w:lang w:val="en-GB"/>
        </w:rPr>
        <w:t>Reicherter</w:t>
      </w:r>
      <w:proofErr w:type="spellEnd"/>
      <w:r w:rsidRPr="00A639FC">
        <w:rPr>
          <w:lang w:val="en-GB"/>
        </w:rPr>
        <w:t xml:space="preserve"> et al., 2008). The tectonic structures visible today in southern Germany are characterized by a NW-SE-directed shortening with NE-SW-oriented extension (Reiter et al., 2015; </w:t>
      </w:r>
      <w:proofErr w:type="spellStart"/>
      <w:r w:rsidRPr="00A639FC">
        <w:rPr>
          <w:lang w:val="en-GB"/>
        </w:rPr>
        <w:t>Heidbach</w:t>
      </w:r>
      <w:proofErr w:type="spellEnd"/>
      <w:r w:rsidRPr="00A639FC">
        <w:rPr>
          <w:lang w:val="en-GB"/>
        </w:rPr>
        <w:t xml:space="preserve"> et al., 2016), interpreted as a consequence of plate tectonic processes within the Alpine </w:t>
      </w:r>
      <w:proofErr w:type="spellStart"/>
      <w:r w:rsidRPr="00A639FC">
        <w:rPr>
          <w:lang w:val="en-GB"/>
        </w:rPr>
        <w:t>orogenesis</w:t>
      </w:r>
      <w:proofErr w:type="spellEnd"/>
      <w:r w:rsidRPr="00A639FC">
        <w:rPr>
          <w:lang w:val="en-GB"/>
        </w:rPr>
        <w:t xml:space="preserve"> (Ring, </w:t>
      </w:r>
      <w:proofErr w:type="spellStart"/>
      <w:r w:rsidRPr="00A639FC">
        <w:rPr>
          <w:lang w:val="en-GB"/>
        </w:rPr>
        <w:t>Bolhar</w:t>
      </w:r>
      <w:proofErr w:type="spellEnd"/>
      <w:r w:rsidRPr="00A639FC">
        <w:rPr>
          <w:lang w:val="en-GB"/>
        </w:rPr>
        <w:t>, 2020). This led to conjugate shear systems, correlating with the present seismic activity.</w:t>
      </w:r>
    </w:p>
    <w:p w14:paraId="71E62CB0" w14:textId="77777777" w:rsidR="00A639FC" w:rsidRPr="00A639FC" w:rsidRDefault="00A639FC" w:rsidP="00A639FC">
      <w:pPr>
        <w:spacing w:after="0"/>
        <w:jc w:val="both"/>
        <w:rPr>
          <w:lang w:val="en-GB"/>
        </w:rPr>
      </w:pPr>
    </w:p>
    <w:p w14:paraId="264D5B2B" w14:textId="31D630F6" w:rsidR="00A639FC" w:rsidRPr="00A639FC" w:rsidRDefault="00A639FC" w:rsidP="00A639FC">
      <w:pPr>
        <w:spacing w:after="0"/>
        <w:jc w:val="both"/>
        <w:rPr>
          <w:lang w:val="en-GB"/>
        </w:rPr>
      </w:pPr>
      <w:r w:rsidRPr="00A639FC">
        <w:rPr>
          <w:lang w:val="en-GB"/>
        </w:rPr>
        <w:t>Tectonically relevant for the study area is the sinistral Albstadt shear zone (ASZ) running north-northeast</w:t>
      </w:r>
      <w:r w:rsidR="00AA4C67">
        <w:rPr>
          <w:lang w:val="en-GB"/>
        </w:rPr>
        <w:t xml:space="preserve"> </w:t>
      </w:r>
      <w:r w:rsidR="006C0CA0">
        <w:rPr>
          <w:lang w:val="en-GB"/>
        </w:rPr>
        <w:t xml:space="preserve">/ </w:t>
      </w:r>
      <w:r w:rsidRPr="00A639FC">
        <w:rPr>
          <w:lang w:val="en-GB"/>
        </w:rPr>
        <w:t xml:space="preserve">south-southwest in the east. Its existence has only been known since 1911 when earthquakes became frequent in its vicinity. It parallels the Upper Rhine Graben, whose tectonics, in addition to the graben-forming normal faults, is also marked by sinistral strike-slip faults. After </w:t>
      </w:r>
      <w:proofErr w:type="spellStart"/>
      <w:r w:rsidRPr="00A639FC">
        <w:rPr>
          <w:lang w:val="en-GB"/>
        </w:rPr>
        <w:t>analyzing</w:t>
      </w:r>
      <w:proofErr w:type="spellEnd"/>
      <w:r w:rsidRPr="00A639FC">
        <w:rPr>
          <w:lang w:val="en-GB"/>
        </w:rPr>
        <w:t xml:space="preserve"> earthquake mechanisms, the tectonics of the South German scarplands is dominated by dextral strike-slip faults with accompanying normal faults, while the ASZ, as a conjugate system, is characterized by sinistral strike-slip faults (Werner, </w:t>
      </w:r>
      <w:proofErr w:type="spellStart"/>
      <w:r w:rsidRPr="00A639FC">
        <w:rPr>
          <w:lang w:val="en-GB"/>
        </w:rPr>
        <w:t>Franzke</w:t>
      </w:r>
      <w:proofErr w:type="spellEnd"/>
      <w:r w:rsidRPr="00A639FC">
        <w:rPr>
          <w:lang w:val="en-GB"/>
        </w:rPr>
        <w:t xml:space="preserve">, 2001; </w:t>
      </w:r>
      <w:proofErr w:type="spellStart"/>
      <w:r w:rsidRPr="00A639FC">
        <w:rPr>
          <w:lang w:val="en-GB"/>
        </w:rPr>
        <w:t>Stange</w:t>
      </w:r>
      <w:proofErr w:type="spellEnd"/>
      <w:r w:rsidRPr="00A639FC">
        <w:rPr>
          <w:lang w:val="en-GB"/>
        </w:rPr>
        <w:t xml:space="preserve">, </w:t>
      </w:r>
      <w:proofErr w:type="spellStart"/>
      <w:r w:rsidRPr="00A639FC">
        <w:rPr>
          <w:lang w:val="en-GB"/>
        </w:rPr>
        <w:t>Strehlau</w:t>
      </w:r>
      <w:proofErr w:type="spellEnd"/>
      <w:r w:rsidRPr="00A639FC">
        <w:rPr>
          <w:lang w:val="en-GB"/>
        </w:rPr>
        <w:t xml:space="preserve">, 2002; </w:t>
      </w:r>
      <w:proofErr w:type="spellStart"/>
      <w:r w:rsidRPr="00A639FC">
        <w:rPr>
          <w:lang w:val="en-GB"/>
        </w:rPr>
        <w:t>Sawatzki</w:t>
      </w:r>
      <w:proofErr w:type="spellEnd"/>
      <w:r w:rsidRPr="00A639FC">
        <w:rPr>
          <w:lang w:val="en-GB"/>
        </w:rPr>
        <w:t>, Hann, 2003). South of the study area, the ASZ nearly intersects at a right angle with the also recently active Freiburg-Bonndorf-Bodensee shear zone (FBBSZ, Fig. 7</w:t>
      </w:r>
      <w:r w:rsidR="00AA4C67">
        <w:rPr>
          <w:lang w:val="en-GB"/>
        </w:rPr>
        <w:t>c</w:t>
      </w:r>
      <w:r w:rsidRPr="00A639FC">
        <w:rPr>
          <w:lang w:val="en-GB"/>
        </w:rPr>
        <w:t>). The FBBSZ is a pronounced deformation zone running in a west-northwest</w:t>
      </w:r>
      <w:r w:rsidR="000C4DA1">
        <w:rPr>
          <w:lang w:val="en-GB"/>
        </w:rPr>
        <w:t>/</w:t>
      </w:r>
      <w:r w:rsidRPr="00A639FC">
        <w:rPr>
          <w:lang w:val="en-GB"/>
        </w:rPr>
        <w:t xml:space="preserve">east-southeast direction from Freiburg in the west to Lake Constance in the southeast. In this zone, the bedrock in the west is overlain to the east by Mesozoic cover, Tertiary </w:t>
      </w:r>
      <w:proofErr w:type="spellStart"/>
      <w:r w:rsidRPr="00A639FC">
        <w:rPr>
          <w:lang w:val="en-GB"/>
        </w:rPr>
        <w:t>molasse</w:t>
      </w:r>
      <w:proofErr w:type="spellEnd"/>
      <w:r w:rsidRPr="00A639FC">
        <w:rPr>
          <w:lang w:val="en-GB"/>
        </w:rPr>
        <w:t>, and Quaternary sediments (near Lake Constance).</w:t>
      </w:r>
    </w:p>
    <w:p w14:paraId="00AF4496" w14:textId="77777777" w:rsidR="00A639FC" w:rsidRPr="00A639FC" w:rsidRDefault="00A639FC" w:rsidP="00A639FC">
      <w:pPr>
        <w:spacing w:after="0"/>
        <w:jc w:val="both"/>
        <w:rPr>
          <w:lang w:val="en-GB"/>
        </w:rPr>
      </w:pPr>
    </w:p>
    <w:p w14:paraId="5EE6D84D" w14:textId="77777777" w:rsidR="00A639FC" w:rsidRPr="00A639FC" w:rsidRDefault="00A639FC" w:rsidP="00A639FC">
      <w:pPr>
        <w:spacing w:after="0"/>
        <w:jc w:val="both"/>
        <w:rPr>
          <w:lang w:val="en-GB"/>
        </w:rPr>
      </w:pPr>
      <w:r w:rsidRPr="00A639FC">
        <w:rPr>
          <w:lang w:val="en-GB"/>
        </w:rPr>
        <w:t xml:space="preserve">The study area is characterized by multiple changes in tectonic stress with different principal stress directions in the last 200 million years. Part of the old fault planes was reactivated with each new stress, resulting in a complex fracture pattern dominated by strike-slip faults today. During the Alpine </w:t>
      </w:r>
      <w:proofErr w:type="spellStart"/>
      <w:r w:rsidRPr="00A639FC">
        <w:rPr>
          <w:lang w:val="en-GB"/>
        </w:rPr>
        <w:t>orogenesis</w:t>
      </w:r>
      <w:proofErr w:type="spellEnd"/>
      <w:r w:rsidRPr="00A639FC">
        <w:rPr>
          <w:lang w:val="en-GB"/>
        </w:rPr>
        <w:t>, a horizontal principal stress direction in the northwest-southeast direction developed in Central Europe, leading to the recent formation of a conjugate shear system with the sinistral Albstadt shear zone (ASZ) and the dextral Freiburg-Bonndorf-Bodensee shear zone (FBBSZ) in southwest Germany. This system is marked by some of the strongest seismic activity in Germany. The repeated imprint of tectonic structures with a high strike-slip component, combined with poor outcrop conditions, often precludes detailed mapping of secondary and tertiary faults. However, using specific fault indicators and the mapped nests, a rough assessment of the existence and course of gas-permeable faults can be obtained.</w:t>
      </w:r>
    </w:p>
    <w:p w14:paraId="5904E973" w14:textId="676CC11A" w:rsidR="00A639FC" w:rsidRDefault="00A639FC" w:rsidP="00A639FC">
      <w:pPr>
        <w:jc w:val="both"/>
        <w:rPr>
          <w:lang w:val="en-GB"/>
        </w:rPr>
      </w:pPr>
    </w:p>
    <w:p w14:paraId="5238F5AF" w14:textId="77777777" w:rsidR="007926D9" w:rsidRPr="00A639FC" w:rsidRDefault="007926D9" w:rsidP="00A639FC">
      <w:pPr>
        <w:jc w:val="both"/>
        <w:rPr>
          <w:lang w:val="en-GB"/>
        </w:rPr>
      </w:pPr>
    </w:p>
    <w:p w14:paraId="3000A440" w14:textId="77777777" w:rsidR="00755124" w:rsidRDefault="00755124" w:rsidP="00A639FC">
      <w:pPr>
        <w:spacing w:after="0"/>
        <w:jc w:val="both"/>
        <w:rPr>
          <w:b/>
          <w:lang w:val="en-GB"/>
        </w:rPr>
      </w:pPr>
    </w:p>
    <w:p w14:paraId="23A9F43B" w14:textId="77777777" w:rsidR="00755124" w:rsidRDefault="00755124" w:rsidP="00A639FC">
      <w:pPr>
        <w:spacing w:after="0"/>
        <w:jc w:val="both"/>
        <w:rPr>
          <w:b/>
          <w:lang w:val="en-GB"/>
        </w:rPr>
      </w:pPr>
    </w:p>
    <w:p w14:paraId="4A0B5220" w14:textId="77777777" w:rsidR="00755124" w:rsidRDefault="00755124" w:rsidP="00A639FC">
      <w:pPr>
        <w:spacing w:after="0"/>
        <w:jc w:val="both"/>
        <w:rPr>
          <w:b/>
          <w:lang w:val="en-GB"/>
        </w:rPr>
      </w:pPr>
    </w:p>
    <w:p w14:paraId="2C7CC02A" w14:textId="77777777" w:rsidR="00A639FC" w:rsidRPr="00A639FC" w:rsidRDefault="00A639FC" w:rsidP="00A639FC">
      <w:pPr>
        <w:spacing w:after="0"/>
        <w:jc w:val="both"/>
        <w:rPr>
          <w:b/>
          <w:lang w:val="en-GB"/>
        </w:rPr>
      </w:pPr>
      <w:r w:rsidRPr="00A639FC">
        <w:rPr>
          <w:b/>
          <w:lang w:val="en-GB"/>
        </w:rPr>
        <w:lastRenderedPageBreak/>
        <w:t>Supplement 3: Isotope measurements of methane</w:t>
      </w:r>
    </w:p>
    <w:p w14:paraId="48E4C780" w14:textId="77777777" w:rsidR="00A639FC" w:rsidRPr="00A639FC" w:rsidRDefault="00A639FC" w:rsidP="00A639FC">
      <w:pPr>
        <w:spacing w:after="0"/>
        <w:jc w:val="both"/>
        <w:rPr>
          <w:lang w:val="en-GB"/>
        </w:rPr>
      </w:pPr>
    </w:p>
    <w:p w14:paraId="0BC654D7" w14:textId="29316D74" w:rsidR="00A639FC" w:rsidRPr="00A639FC" w:rsidRDefault="00A639FC" w:rsidP="00A639FC">
      <w:pPr>
        <w:spacing w:after="0"/>
        <w:jc w:val="both"/>
        <w:rPr>
          <w:lang w:val="en-GB"/>
        </w:rPr>
      </w:pPr>
      <w:r w:rsidRPr="00A639FC">
        <w:rPr>
          <w:lang w:val="en-GB"/>
        </w:rPr>
        <w:t>Institute for Marine and Atmospheric research (IMAU) - Report CH</w:t>
      </w:r>
      <w:r w:rsidRPr="00A639FC">
        <w:rPr>
          <w:vertAlign w:val="subscript"/>
          <w:lang w:val="en-GB"/>
        </w:rPr>
        <w:t>4</w:t>
      </w:r>
      <w:r w:rsidRPr="00A639FC">
        <w:rPr>
          <w:lang w:val="en-GB"/>
        </w:rPr>
        <w:t xml:space="preserve"> isotope analysis (WG </w:t>
      </w:r>
      <w:proofErr w:type="spellStart"/>
      <w:r w:rsidRPr="00A639FC">
        <w:rPr>
          <w:lang w:val="en-GB"/>
        </w:rPr>
        <w:t>Prof.</w:t>
      </w:r>
      <w:proofErr w:type="spellEnd"/>
      <w:r w:rsidRPr="00A639FC">
        <w:rPr>
          <w:lang w:val="en-GB"/>
        </w:rPr>
        <w:t xml:space="preserve"> </w:t>
      </w:r>
      <w:proofErr w:type="spellStart"/>
      <w:r w:rsidRPr="00A639FC">
        <w:rPr>
          <w:lang w:val="en-GB"/>
        </w:rPr>
        <w:t>Dr.</w:t>
      </w:r>
      <w:proofErr w:type="spellEnd"/>
      <w:r w:rsidRPr="00A639FC">
        <w:rPr>
          <w:lang w:val="en-GB"/>
        </w:rPr>
        <w:t xml:space="preserve"> Thomas Roeckmann; </w:t>
      </w:r>
      <w:r w:rsidR="00755124">
        <w:rPr>
          <w:lang w:val="en-GB"/>
        </w:rPr>
        <w:t xml:space="preserve">done by Carina van der Veen) </w:t>
      </w:r>
      <w:r w:rsidRPr="00A639FC">
        <w:rPr>
          <w:lang w:val="en-GB"/>
        </w:rPr>
        <w:t>November</w:t>
      </w:r>
      <w:r w:rsidR="00755124">
        <w:rPr>
          <w:lang w:val="en-GB"/>
        </w:rPr>
        <w:t xml:space="preserve"> 8.</w:t>
      </w:r>
      <w:r w:rsidRPr="00A639FC">
        <w:rPr>
          <w:lang w:val="en-GB"/>
        </w:rPr>
        <w:t xml:space="preserve"> 2021 </w:t>
      </w:r>
    </w:p>
    <w:p w14:paraId="52B17FB1" w14:textId="77777777" w:rsidR="00A639FC" w:rsidRPr="00A639FC" w:rsidRDefault="00A639FC" w:rsidP="00A639FC">
      <w:pPr>
        <w:spacing w:after="0"/>
        <w:jc w:val="both"/>
        <w:rPr>
          <w:lang w:val="en-GB"/>
        </w:rPr>
      </w:pPr>
    </w:p>
    <w:p w14:paraId="7E7C7CFE" w14:textId="77777777" w:rsidR="00A639FC" w:rsidRPr="00A639FC" w:rsidRDefault="00A639FC" w:rsidP="00A639FC">
      <w:pPr>
        <w:spacing w:after="0"/>
        <w:jc w:val="both"/>
        <w:rPr>
          <w:b/>
          <w:lang w:val="en-GB"/>
        </w:rPr>
      </w:pPr>
      <w:r w:rsidRPr="00A639FC">
        <w:rPr>
          <w:b/>
          <w:lang w:val="en-GB"/>
        </w:rPr>
        <w:t>Sample description:</w:t>
      </w:r>
    </w:p>
    <w:p w14:paraId="08D4185C" w14:textId="69C17149" w:rsidR="00A639FC" w:rsidRPr="00A639FC" w:rsidRDefault="00A639FC" w:rsidP="00A639FC">
      <w:pPr>
        <w:spacing w:after="0"/>
        <w:jc w:val="both"/>
        <w:rPr>
          <w:lang w:val="en-GB"/>
        </w:rPr>
      </w:pPr>
      <w:r w:rsidRPr="00A639FC">
        <w:rPr>
          <w:lang w:val="en-GB"/>
        </w:rPr>
        <w:t>Stainless steel gas sample containers “gas frog” (20 mL) filled with gas samples from six locations. The gas is different from normal atmospheric air, and the CH</w:t>
      </w:r>
      <w:r w:rsidRPr="00A639FC">
        <w:rPr>
          <w:vertAlign w:val="subscript"/>
          <w:lang w:val="en-GB"/>
        </w:rPr>
        <w:t>4</w:t>
      </w:r>
      <w:r w:rsidRPr="00A639FC">
        <w:rPr>
          <w:lang w:val="en-GB"/>
        </w:rPr>
        <w:t xml:space="preserve"> mole fra</w:t>
      </w:r>
      <w:r w:rsidR="00AA4C67">
        <w:rPr>
          <w:lang w:val="en-GB"/>
        </w:rPr>
        <w:t>ction reported is up to 80 %</w:t>
      </w:r>
      <w:r w:rsidRPr="00A639FC">
        <w:rPr>
          <w:lang w:val="en-GB"/>
        </w:rPr>
        <w:t>.</w:t>
      </w:r>
    </w:p>
    <w:p w14:paraId="4BB72D1B" w14:textId="77777777" w:rsidR="00A639FC" w:rsidRPr="00A639FC" w:rsidRDefault="00A639FC" w:rsidP="00A639FC">
      <w:pPr>
        <w:spacing w:after="0"/>
        <w:jc w:val="both"/>
        <w:rPr>
          <w:lang w:val="en-GB"/>
        </w:rPr>
      </w:pPr>
    </w:p>
    <w:p w14:paraId="4D4A3AAD" w14:textId="77777777" w:rsidR="00A639FC" w:rsidRPr="00A639FC" w:rsidRDefault="00A639FC" w:rsidP="00A639FC">
      <w:pPr>
        <w:spacing w:after="0"/>
        <w:jc w:val="both"/>
        <w:rPr>
          <w:b/>
          <w:lang w:val="en-GB"/>
        </w:rPr>
      </w:pPr>
      <w:r w:rsidRPr="00A639FC">
        <w:rPr>
          <w:b/>
          <w:lang w:val="en-GB"/>
        </w:rPr>
        <w:t>Measurements:</w:t>
      </w:r>
    </w:p>
    <w:p w14:paraId="33B9DED5" w14:textId="6A85F60A" w:rsidR="00A639FC" w:rsidRPr="00A639FC" w:rsidRDefault="00A639FC" w:rsidP="00A639FC">
      <w:pPr>
        <w:spacing w:after="0"/>
        <w:jc w:val="both"/>
        <w:rPr>
          <w:lang w:val="en-GB"/>
        </w:rPr>
      </w:pPr>
      <w:r w:rsidRPr="00A639FC">
        <w:rPr>
          <w:lang w:val="en-GB"/>
        </w:rPr>
        <w:t>The samples were diluted to 2 ppm with N</w:t>
      </w:r>
      <w:r w:rsidRPr="00A639FC">
        <w:rPr>
          <w:vertAlign w:val="subscript"/>
          <w:lang w:val="en-GB"/>
        </w:rPr>
        <w:t>2</w:t>
      </w:r>
      <w:r w:rsidRPr="00A639FC">
        <w:rPr>
          <w:lang w:val="en-GB"/>
        </w:rPr>
        <w:t xml:space="preserve">, in 2L foil air sample bags. The prepared dilutions were measured on the </w:t>
      </w:r>
      <w:proofErr w:type="spellStart"/>
      <w:r w:rsidRPr="00A639FC">
        <w:rPr>
          <w:lang w:val="en-GB"/>
        </w:rPr>
        <w:t>Picarro</w:t>
      </w:r>
      <w:proofErr w:type="spellEnd"/>
      <w:r w:rsidRPr="00A639FC">
        <w:rPr>
          <w:lang w:val="en-GB"/>
        </w:rPr>
        <w:t xml:space="preserve"> optical </w:t>
      </w:r>
      <w:proofErr w:type="spellStart"/>
      <w:r w:rsidRPr="00A639FC">
        <w:rPr>
          <w:lang w:val="en-GB"/>
        </w:rPr>
        <w:t>analyzer</w:t>
      </w:r>
      <w:proofErr w:type="spellEnd"/>
      <w:r w:rsidRPr="00A639FC">
        <w:rPr>
          <w:lang w:val="en-GB"/>
        </w:rPr>
        <w:t xml:space="preserve"> before the isotopic measurement. The IRMS CH</w:t>
      </w:r>
      <w:r w:rsidRPr="00A639FC">
        <w:rPr>
          <w:vertAlign w:val="subscript"/>
          <w:lang w:val="en-GB"/>
        </w:rPr>
        <w:t>4</w:t>
      </w:r>
      <w:r w:rsidRPr="00A639FC">
        <w:rPr>
          <w:lang w:val="en-GB"/>
        </w:rPr>
        <w:t xml:space="preserve"> measurements were</w:t>
      </w:r>
      <w:r w:rsidR="00755124">
        <w:rPr>
          <w:lang w:val="en-GB"/>
        </w:rPr>
        <w:t xml:space="preserve"> performed on IVAN on </w:t>
      </w:r>
      <w:r w:rsidRPr="00A639FC">
        <w:rPr>
          <w:lang w:val="en-GB"/>
        </w:rPr>
        <w:t>November</w:t>
      </w:r>
      <w:r w:rsidR="00755124">
        <w:rPr>
          <w:lang w:val="en-GB"/>
        </w:rPr>
        <w:t xml:space="preserve"> 5. </w:t>
      </w:r>
      <w:proofErr w:type="gramStart"/>
      <w:r w:rsidR="00755124">
        <w:rPr>
          <w:lang w:val="en-GB"/>
        </w:rPr>
        <w:t>and</w:t>
      </w:r>
      <w:proofErr w:type="gramEnd"/>
      <w:r w:rsidR="00755124">
        <w:rPr>
          <w:lang w:val="en-GB"/>
        </w:rPr>
        <w:t xml:space="preserve"> 6. </w:t>
      </w:r>
      <w:r w:rsidRPr="00A639FC">
        <w:rPr>
          <w:lang w:val="en-GB"/>
        </w:rPr>
        <w:t>2021.</w:t>
      </w:r>
    </w:p>
    <w:p w14:paraId="7CA65F00" w14:textId="77777777" w:rsidR="00A639FC" w:rsidRPr="00A639FC" w:rsidRDefault="00A639FC" w:rsidP="00A639FC">
      <w:pPr>
        <w:spacing w:after="0"/>
        <w:jc w:val="both"/>
        <w:rPr>
          <w:lang w:val="en-GB"/>
        </w:rPr>
      </w:pPr>
    </w:p>
    <w:p w14:paraId="15978A19" w14:textId="77777777" w:rsidR="00A639FC" w:rsidRPr="00A639FC" w:rsidRDefault="00A639FC" w:rsidP="00A639FC">
      <w:pPr>
        <w:spacing w:after="0"/>
        <w:jc w:val="both"/>
        <w:rPr>
          <w:b/>
          <w:lang w:val="en-GB"/>
        </w:rPr>
      </w:pPr>
      <w:r w:rsidRPr="00A639FC">
        <w:rPr>
          <w:b/>
          <w:lang w:val="en-GB"/>
        </w:rPr>
        <w:t>Method</w:t>
      </w:r>
    </w:p>
    <w:p w14:paraId="7199A7BD" w14:textId="77777777" w:rsidR="00A639FC" w:rsidRPr="00A639FC" w:rsidRDefault="00A639FC" w:rsidP="00A639FC">
      <w:pPr>
        <w:spacing w:after="0"/>
        <w:jc w:val="both"/>
        <w:rPr>
          <w:lang w:val="en-GB"/>
        </w:rPr>
      </w:pPr>
      <w:r w:rsidRPr="00A639FC">
        <w:rPr>
          <w:lang w:val="en-GB"/>
        </w:rPr>
        <w:t>The CH</w:t>
      </w:r>
      <w:r w:rsidRPr="00A639FC">
        <w:rPr>
          <w:vertAlign w:val="subscript"/>
          <w:lang w:val="en-GB"/>
        </w:rPr>
        <w:t>4</w:t>
      </w:r>
      <w:r w:rsidRPr="00A639FC">
        <w:rPr>
          <w:lang w:val="en-GB"/>
        </w:rPr>
        <w:t xml:space="preserve"> from 60 mL of the diluted gas was extracted for each </w:t>
      </w:r>
      <w:r w:rsidRPr="00A639FC">
        <w:t>δ</w:t>
      </w:r>
      <w:r w:rsidRPr="00AA4C67">
        <w:rPr>
          <w:vertAlign w:val="superscript"/>
          <w:lang w:val="en-GB"/>
        </w:rPr>
        <w:t>2</w:t>
      </w:r>
      <w:r w:rsidRPr="00A639FC">
        <w:rPr>
          <w:lang w:val="en-GB"/>
        </w:rPr>
        <w:t xml:space="preserve">H measurement, and from 40 mL for </w:t>
      </w:r>
      <w:r w:rsidRPr="00A639FC">
        <w:t>δ</w:t>
      </w:r>
      <w:r w:rsidRPr="00AA4C67">
        <w:rPr>
          <w:vertAlign w:val="superscript"/>
          <w:lang w:val="en-GB"/>
        </w:rPr>
        <w:t>13</w:t>
      </w:r>
      <w:r w:rsidRPr="00A639FC">
        <w:rPr>
          <w:lang w:val="en-GB"/>
        </w:rPr>
        <w:t>C measurements.</w:t>
      </w:r>
    </w:p>
    <w:p w14:paraId="2EC4E284" w14:textId="77777777" w:rsidR="00A639FC" w:rsidRPr="00A639FC" w:rsidRDefault="00A639FC" w:rsidP="00A639FC">
      <w:pPr>
        <w:spacing w:after="0"/>
        <w:jc w:val="both"/>
        <w:rPr>
          <w:lang w:val="en-GB"/>
        </w:rPr>
      </w:pPr>
    </w:p>
    <w:p w14:paraId="5232A84F" w14:textId="77777777" w:rsidR="00A639FC" w:rsidRPr="00A639FC" w:rsidRDefault="00A639FC" w:rsidP="00A639FC">
      <w:pPr>
        <w:spacing w:after="0"/>
        <w:jc w:val="both"/>
        <w:rPr>
          <w:b/>
          <w:lang w:val="en-GB"/>
        </w:rPr>
      </w:pPr>
      <w:r w:rsidRPr="00A639FC">
        <w:rPr>
          <w:b/>
          <w:lang w:val="en-GB"/>
        </w:rPr>
        <w:t>Calibration</w:t>
      </w:r>
    </w:p>
    <w:p w14:paraId="7C6FCE0A" w14:textId="77777777" w:rsidR="00A639FC" w:rsidRPr="00A639FC" w:rsidRDefault="00A639FC" w:rsidP="00A639FC">
      <w:pPr>
        <w:spacing w:after="0"/>
        <w:jc w:val="both"/>
        <w:rPr>
          <w:lang w:val="en-GB"/>
        </w:rPr>
      </w:pPr>
      <w:r w:rsidRPr="00A639FC">
        <w:rPr>
          <w:lang w:val="en-GB"/>
        </w:rPr>
        <w:t>A one-point calibration was done using the Ref cylinder NAT350, with the following assigned values:</w:t>
      </w:r>
    </w:p>
    <w:p w14:paraId="684052B0" w14:textId="285C38CC" w:rsidR="00A639FC" w:rsidRDefault="00A639FC" w:rsidP="00A639FC">
      <w:pPr>
        <w:spacing w:after="0"/>
        <w:jc w:val="both"/>
        <w:rPr>
          <w:lang w:val="en-GB"/>
        </w:rPr>
      </w:pPr>
      <w:r w:rsidRPr="00A639FC">
        <w:rPr>
          <w:lang w:val="en-GB"/>
        </w:rPr>
        <w:t>CH</w:t>
      </w:r>
      <w:r w:rsidRPr="00A639FC">
        <w:rPr>
          <w:vertAlign w:val="subscript"/>
          <w:lang w:val="en-GB"/>
        </w:rPr>
        <w:t>4</w:t>
      </w:r>
      <w:r w:rsidRPr="00A639FC">
        <w:rPr>
          <w:lang w:val="en-GB"/>
        </w:rPr>
        <w:t xml:space="preserve">: 1907 ppb; </w:t>
      </w:r>
      <w:r w:rsidRPr="00A639FC">
        <w:t>δ</w:t>
      </w:r>
      <w:r w:rsidRPr="00AA4C67">
        <w:rPr>
          <w:vertAlign w:val="superscript"/>
          <w:lang w:val="en-GB"/>
        </w:rPr>
        <w:t>2</w:t>
      </w:r>
      <w:r w:rsidRPr="00A639FC">
        <w:rPr>
          <w:lang w:val="en-GB"/>
        </w:rPr>
        <w:t xml:space="preserve">H: -83.38 ‰ (VSMOW); </w:t>
      </w:r>
      <w:r w:rsidRPr="00A639FC">
        <w:t>δ</w:t>
      </w:r>
      <w:r w:rsidRPr="00AA4C67">
        <w:rPr>
          <w:vertAlign w:val="superscript"/>
          <w:lang w:val="en-GB"/>
        </w:rPr>
        <w:t>13</w:t>
      </w:r>
      <w:r w:rsidRPr="00A639FC">
        <w:rPr>
          <w:lang w:val="en-GB"/>
        </w:rPr>
        <w:t>C: -47.75 ‰ (VPDB)</w:t>
      </w:r>
    </w:p>
    <w:p w14:paraId="74FBA048" w14:textId="77777777" w:rsidR="00AA4C67" w:rsidRPr="00A639FC" w:rsidRDefault="00AA4C67" w:rsidP="00A639FC">
      <w:pPr>
        <w:spacing w:after="0"/>
        <w:jc w:val="both"/>
        <w:rPr>
          <w:lang w:val="en-GB"/>
        </w:rPr>
      </w:pPr>
    </w:p>
    <w:p w14:paraId="06B109ED" w14:textId="77777777" w:rsidR="00A639FC" w:rsidRPr="00AA4C67" w:rsidRDefault="00A639FC" w:rsidP="00A639FC">
      <w:pPr>
        <w:spacing w:after="0"/>
        <w:jc w:val="both"/>
        <w:rPr>
          <w:b/>
          <w:lang w:val="en-GB"/>
        </w:rPr>
      </w:pPr>
      <w:r w:rsidRPr="00AA4C67">
        <w:rPr>
          <w:b/>
          <w:lang w:val="en-GB"/>
        </w:rPr>
        <w:t>Precision</w:t>
      </w:r>
    </w:p>
    <w:p w14:paraId="50D6705C" w14:textId="77777777" w:rsidR="00A639FC" w:rsidRPr="00A639FC" w:rsidRDefault="00A639FC" w:rsidP="00A639FC">
      <w:pPr>
        <w:spacing w:after="0"/>
        <w:jc w:val="both"/>
        <w:rPr>
          <w:lang w:val="en-GB"/>
        </w:rPr>
      </w:pPr>
      <w:r w:rsidRPr="00A639FC">
        <w:rPr>
          <w:lang w:val="en-GB"/>
        </w:rPr>
        <w:t xml:space="preserve">The measurement error in the reported </w:t>
      </w:r>
      <w:r w:rsidRPr="00A639FC">
        <w:t>δ</w:t>
      </w:r>
      <w:r w:rsidRPr="00AA4C67">
        <w:rPr>
          <w:vertAlign w:val="superscript"/>
          <w:lang w:val="en-GB"/>
        </w:rPr>
        <w:t>13</w:t>
      </w:r>
      <w:r w:rsidRPr="00A639FC">
        <w:rPr>
          <w:lang w:val="en-GB"/>
        </w:rPr>
        <w:t xml:space="preserve">C is ± 0.2 ‰; and in </w:t>
      </w:r>
      <w:r w:rsidRPr="00A639FC">
        <w:t>δ</w:t>
      </w:r>
      <w:r w:rsidRPr="00973714">
        <w:rPr>
          <w:vertAlign w:val="superscript"/>
          <w:lang w:val="en-GB"/>
        </w:rPr>
        <w:t>2</w:t>
      </w:r>
      <w:r w:rsidRPr="00A639FC">
        <w:rPr>
          <w:lang w:val="en-GB"/>
        </w:rPr>
        <w:t>H ± 2 ‰ for the bag samples.</w:t>
      </w:r>
    </w:p>
    <w:p w14:paraId="4DA15A27" w14:textId="77777777" w:rsidR="00A639FC" w:rsidRPr="00A639FC" w:rsidRDefault="00A639FC" w:rsidP="00A639FC">
      <w:pPr>
        <w:spacing w:after="0"/>
        <w:jc w:val="both"/>
        <w:rPr>
          <w:lang w:val="en-GB"/>
        </w:rPr>
      </w:pPr>
    </w:p>
    <w:p w14:paraId="420C771D" w14:textId="7DDEB5E4" w:rsidR="00A639FC" w:rsidRDefault="00A639FC" w:rsidP="00A639FC">
      <w:pPr>
        <w:spacing w:after="0"/>
        <w:jc w:val="both"/>
        <w:rPr>
          <w:sz w:val="18"/>
          <w:szCs w:val="18"/>
          <w:lang w:val="en-GB"/>
        </w:rPr>
      </w:pPr>
      <w:r w:rsidRPr="00A639FC">
        <w:rPr>
          <w:sz w:val="18"/>
          <w:szCs w:val="18"/>
          <w:lang w:val="en-GB"/>
        </w:rPr>
        <w:t>Tab. 1: Isotope Analysis Data (</w:t>
      </w:r>
      <w:r w:rsidRPr="00A639FC">
        <w:rPr>
          <w:sz w:val="18"/>
          <w:szCs w:val="18"/>
        </w:rPr>
        <w:t>δ</w:t>
      </w:r>
      <w:r w:rsidRPr="00973714">
        <w:rPr>
          <w:sz w:val="18"/>
          <w:szCs w:val="18"/>
          <w:vertAlign w:val="superscript"/>
          <w:lang w:val="en-GB"/>
        </w:rPr>
        <w:t>13</w:t>
      </w:r>
      <w:r w:rsidRPr="00A639FC">
        <w:rPr>
          <w:sz w:val="18"/>
          <w:szCs w:val="18"/>
          <w:lang w:val="en-GB"/>
        </w:rPr>
        <w:t>C-CH</w:t>
      </w:r>
      <w:r w:rsidRPr="00973714">
        <w:rPr>
          <w:sz w:val="18"/>
          <w:szCs w:val="18"/>
          <w:vertAlign w:val="subscript"/>
          <w:lang w:val="en-GB"/>
        </w:rPr>
        <w:t>4</w:t>
      </w:r>
      <w:r w:rsidRPr="00A639FC">
        <w:rPr>
          <w:sz w:val="18"/>
          <w:szCs w:val="18"/>
          <w:lang w:val="en-GB"/>
        </w:rPr>
        <w:t xml:space="preserve">, </w:t>
      </w:r>
      <w:r w:rsidRPr="00A639FC">
        <w:rPr>
          <w:sz w:val="18"/>
          <w:szCs w:val="18"/>
        </w:rPr>
        <w:t>δ</w:t>
      </w:r>
      <w:r w:rsidRPr="00973714">
        <w:rPr>
          <w:sz w:val="18"/>
          <w:szCs w:val="18"/>
          <w:vertAlign w:val="superscript"/>
          <w:lang w:val="en-GB"/>
        </w:rPr>
        <w:t>2</w:t>
      </w:r>
      <w:r w:rsidRPr="00A639FC">
        <w:rPr>
          <w:sz w:val="18"/>
          <w:szCs w:val="18"/>
          <w:lang w:val="en-GB"/>
        </w:rPr>
        <w:t>H-CH</w:t>
      </w:r>
      <w:r w:rsidRPr="00973714">
        <w:rPr>
          <w:sz w:val="18"/>
          <w:szCs w:val="18"/>
          <w:vertAlign w:val="subscript"/>
          <w:lang w:val="en-GB"/>
        </w:rPr>
        <w:t>4</w:t>
      </w:r>
      <w:r w:rsidRPr="00A639FC">
        <w:rPr>
          <w:sz w:val="18"/>
          <w:szCs w:val="18"/>
          <w:lang w:val="en-GB"/>
        </w:rPr>
        <w:t xml:space="preserve">) of 6 Sampling Points with varied </w:t>
      </w:r>
      <w:proofErr w:type="spellStart"/>
      <w:r w:rsidRPr="00A639FC">
        <w:rPr>
          <w:sz w:val="18"/>
          <w:szCs w:val="18"/>
          <w:lang w:val="en-GB"/>
        </w:rPr>
        <w:t>geotectonic</w:t>
      </w:r>
      <w:proofErr w:type="spellEnd"/>
      <w:r w:rsidRPr="00A639FC">
        <w:rPr>
          <w:sz w:val="18"/>
          <w:szCs w:val="18"/>
          <w:lang w:val="en-GB"/>
        </w:rPr>
        <w:t xml:space="preserve"> positions and high methane emissions (methane concentration &gt;80%). Analysis conducted by the Institute for Marine and Atmospheric Research (IMAU).</w:t>
      </w:r>
    </w:p>
    <w:p w14:paraId="0D3A274E" w14:textId="77777777" w:rsidR="00813D5B" w:rsidRPr="00A639FC" w:rsidRDefault="00813D5B" w:rsidP="00A639FC">
      <w:pPr>
        <w:spacing w:after="0"/>
        <w:jc w:val="both"/>
        <w:rPr>
          <w:sz w:val="18"/>
          <w:szCs w:val="18"/>
          <w:lang w:val="en-GB"/>
        </w:rPr>
      </w:pPr>
      <w:bookmarkStart w:id="0" w:name="_GoBack"/>
      <w:bookmarkEnd w:id="0"/>
    </w:p>
    <w:p w14:paraId="7342716B" w14:textId="77777777" w:rsidR="00A639FC" w:rsidRPr="00A639FC" w:rsidRDefault="00A639FC" w:rsidP="00A639FC">
      <w:pPr>
        <w:jc w:val="both"/>
        <w:rPr>
          <w:lang w:val="en-GB"/>
        </w:rPr>
      </w:pPr>
      <w:r w:rsidRPr="00A639FC">
        <w:rPr>
          <w:noProof/>
          <w:lang w:eastAsia="de-DE"/>
        </w:rPr>
        <w:drawing>
          <wp:inline distT="0" distB="0" distL="0" distR="0" wp14:anchorId="2F6E3EF6" wp14:editId="33724021">
            <wp:extent cx="5760720" cy="1636206"/>
            <wp:effectExtent l="0" t="0" r="0" b="254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636206"/>
                    </a:xfrm>
                    <a:prstGeom prst="rect">
                      <a:avLst/>
                    </a:prstGeom>
                    <a:noFill/>
                    <a:ln>
                      <a:noFill/>
                    </a:ln>
                  </pic:spPr>
                </pic:pic>
              </a:graphicData>
            </a:graphic>
          </wp:inline>
        </w:drawing>
      </w:r>
    </w:p>
    <w:p w14:paraId="1CDEBDE0" w14:textId="2826FC2A" w:rsidR="00A639FC" w:rsidRDefault="00A639FC" w:rsidP="00D57CB2">
      <w:pPr>
        <w:spacing w:after="0"/>
        <w:jc w:val="both"/>
        <w:rPr>
          <w:lang w:val="en-GB"/>
        </w:rPr>
      </w:pPr>
    </w:p>
    <w:p w14:paraId="7AA49D2A" w14:textId="77777777" w:rsidR="00A639FC" w:rsidRPr="00732F9B" w:rsidRDefault="00A639FC" w:rsidP="00D57CB2">
      <w:pPr>
        <w:spacing w:after="0"/>
        <w:jc w:val="both"/>
        <w:rPr>
          <w:lang w:val="en-GB"/>
        </w:rPr>
      </w:pPr>
    </w:p>
    <w:p w14:paraId="1A5F31EB" w14:textId="77777777" w:rsidR="00F82BC0" w:rsidRDefault="00F82BC0" w:rsidP="00D57CB2">
      <w:pPr>
        <w:spacing w:after="0"/>
        <w:jc w:val="both"/>
        <w:rPr>
          <w:b/>
          <w:lang w:val="en-GB"/>
        </w:rPr>
      </w:pPr>
    </w:p>
    <w:p w14:paraId="510AC568" w14:textId="77777777" w:rsidR="00F82BC0" w:rsidRDefault="00F82BC0" w:rsidP="00D57CB2">
      <w:pPr>
        <w:spacing w:after="0"/>
        <w:jc w:val="both"/>
        <w:rPr>
          <w:b/>
          <w:lang w:val="en-GB"/>
        </w:rPr>
      </w:pPr>
    </w:p>
    <w:p w14:paraId="25441A19" w14:textId="77777777" w:rsidR="00F82BC0" w:rsidRDefault="00F82BC0" w:rsidP="00D57CB2">
      <w:pPr>
        <w:spacing w:after="0"/>
        <w:jc w:val="both"/>
        <w:rPr>
          <w:b/>
          <w:lang w:val="en-GB"/>
        </w:rPr>
      </w:pPr>
    </w:p>
    <w:p w14:paraId="40A9F977" w14:textId="77777777" w:rsidR="00F82BC0" w:rsidRDefault="00F82BC0" w:rsidP="00D57CB2">
      <w:pPr>
        <w:spacing w:after="0"/>
        <w:jc w:val="both"/>
        <w:rPr>
          <w:b/>
          <w:lang w:val="en-GB"/>
        </w:rPr>
      </w:pPr>
    </w:p>
    <w:p w14:paraId="53D40F8A" w14:textId="77777777" w:rsidR="00F82BC0" w:rsidRDefault="00F82BC0" w:rsidP="00D57CB2">
      <w:pPr>
        <w:spacing w:after="0"/>
        <w:jc w:val="both"/>
        <w:rPr>
          <w:b/>
          <w:lang w:val="en-GB"/>
        </w:rPr>
      </w:pPr>
    </w:p>
    <w:p w14:paraId="0964FBA6" w14:textId="77777777" w:rsidR="00F82BC0" w:rsidRDefault="00F82BC0" w:rsidP="00D57CB2">
      <w:pPr>
        <w:spacing w:after="0"/>
        <w:jc w:val="both"/>
        <w:rPr>
          <w:b/>
          <w:lang w:val="en-GB"/>
        </w:rPr>
      </w:pPr>
    </w:p>
    <w:p w14:paraId="0216D2F8" w14:textId="77777777" w:rsidR="00F82BC0" w:rsidRDefault="00F82BC0" w:rsidP="00D57CB2">
      <w:pPr>
        <w:spacing w:after="0"/>
        <w:jc w:val="both"/>
        <w:rPr>
          <w:b/>
          <w:lang w:val="en-GB"/>
        </w:rPr>
      </w:pPr>
    </w:p>
    <w:p w14:paraId="40A82865" w14:textId="77777777" w:rsidR="00F82BC0" w:rsidRDefault="00F82BC0" w:rsidP="00D57CB2">
      <w:pPr>
        <w:spacing w:after="0"/>
        <w:jc w:val="both"/>
        <w:rPr>
          <w:b/>
          <w:lang w:val="en-GB"/>
        </w:rPr>
      </w:pPr>
    </w:p>
    <w:p w14:paraId="0E227C4B" w14:textId="77777777" w:rsidR="00F82BC0" w:rsidRDefault="00F82BC0" w:rsidP="00D57CB2">
      <w:pPr>
        <w:spacing w:after="0"/>
        <w:jc w:val="both"/>
        <w:rPr>
          <w:b/>
          <w:lang w:val="en-GB"/>
        </w:rPr>
      </w:pPr>
    </w:p>
    <w:p w14:paraId="5C070C4E" w14:textId="77777777" w:rsidR="00F82BC0" w:rsidRDefault="00F82BC0" w:rsidP="00D57CB2">
      <w:pPr>
        <w:spacing w:after="0"/>
        <w:jc w:val="both"/>
        <w:rPr>
          <w:b/>
          <w:lang w:val="en-GB"/>
        </w:rPr>
      </w:pPr>
    </w:p>
    <w:p w14:paraId="7163B510" w14:textId="348B8EFD" w:rsidR="00732F9B" w:rsidRPr="00732F9B" w:rsidRDefault="00732F9B" w:rsidP="00D57CB2">
      <w:pPr>
        <w:spacing w:after="0"/>
        <w:jc w:val="both"/>
        <w:rPr>
          <w:b/>
          <w:lang w:val="en-GB"/>
        </w:rPr>
      </w:pPr>
      <w:r w:rsidRPr="00732F9B">
        <w:rPr>
          <w:b/>
          <w:lang w:val="en-GB"/>
        </w:rPr>
        <w:lastRenderedPageBreak/>
        <w:t xml:space="preserve">Supplement </w:t>
      </w:r>
      <w:r w:rsidR="00241A2D" w:rsidRPr="00241A2D">
        <w:rPr>
          <w:b/>
          <w:lang w:val="en-GB"/>
        </w:rPr>
        <w:t>References</w:t>
      </w:r>
    </w:p>
    <w:p w14:paraId="19262B70" w14:textId="3F683E45" w:rsidR="00732F9B" w:rsidRPr="00732F9B" w:rsidRDefault="00732F9B" w:rsidP="00D57CB2">
      <w:pPr>
        <w:spacing w:after="0"/>
        <w:jc w:val="both"/>
        <w:rPr>
          <w:lang w:val="en-GB"/>
        </w:rPr>
      </w:pPr>
      <w:proofErr w:type="spellStart"/>
      <w:r w:rsidRPr="00732F9B">
        <w:rPr>
          <w:lang w:val="en-US"/>
        </w:rPr>
        <w:t>Egli</w:t>
      </w:r>
      <w:proofErr w:type="spellEnd"/>
      <w:r w:rsidRPr="00732F9B">
        <w:rPr>
          <w:lang w:val="en-US"/>
        </w:rPr>
        <w:t xml:space="preserve">, D., </w:t>
      </w:r>
      <w:proofErr w:type="spellStart"/>
      <w:r w:rsidRPr="00732F9B">
        <w:rPr>
          <w:lang w:val="en-US"/>
        </w:rPr>
        <w:t>Mosar</w:t>
      </w:r>
      <w:proofErr w:type="spellEnd"/>
      <w:r w:rsidRPr="00732F9B">
        <w:rPr>
          <w:lang w:val="en-US"/>
        </w:rPr>
        <w:t xml:space="preserve">, J., </w:t>
      </w:r>
      <w:proofErr w:type="spellStart"/>
      <w:r w:rsidRPr="00732F9B">
        <w:rPr>
          <w:lang w:val="en-US"/>
        </w:rPr>
        <w:t>Ibele</w:t>
      </w:r>
      <w:proofErr w:type="spellEnd"/>
      <w:r w:rsidRPr="00732F9B">
        <w:rPr>
          <w:lang w:val="en-US"/>
        </w:rPr>
        <w:t xml:space="preserve">, T., </w:t>
      </w:r>
      <w:proofErr w:type="spellStart"/>
      <w:r w:rsidRPr="00732F9B">
        <w:rPr>
          <w:lang w:val="en-US"/>
        </w:rPr>
        <w:t>Madritsch</w:t>
      </w:r>
      <w:proofErr w:type="spellEnd"/>
      <w:r w:rsidRPr="00732F9B">
        <w:rPr>
          <w:lang w:val="en-US"/>
        </w:rPr>
        <w:t xml:space="preserve">, H. (2017). </w:t>
      </w:r>
      <w:r w:rsidRPr="00732F9B">
        <w:rPr>
          <w:lang w:val="en-GB"/>
        </w:rPr>
        <w:t>The role of precursory structures on Tertiary deformation in the Black Forest—Hegau region. International Journal of Earth Sciences, 106, 2297-2318.</w:t>
      </w:r>
    </w:p>
    <w:p w14:paraId="685D2EA4" w14:textId="6346C05E" w:rsidR="00732F9B" w:rsidRPr="00732F9B" w:rsidRDefault="00732F9B" w:rsidP="00D57CB2">
      <w:pPr>
        <w:spacing w:after="0"/>
        <w:jc w:val="both"/>
        <w:rPr>
          <w:lang w:val="en-GB"/>
        </w:rPr>
      </w:pPr>
      <w:proofErr w:type="spellStart"/>
      <w:r w:rsidRPr="00F873F7">
        <w:rPr>
          <w:lang w:val="en-GB"/>
        </w:rPr>
        <w:t>Heidbach</w:t>
      </w:r>
      <w:proofErr w:type="spellEnd"/>
      <w:r w:rsidRPr="00F873F7">
        <w:rPr>
          <w:lang w:val="en-GB"/>
        </w:rPr>
        <w:t xml:space="preserve">, O., Barth, A., Müller, B., Reinecker, J., </w:t>
      </w:r>
      <w:proofErr w:type="spellStart"/>
      <w:r w:rsidRPr="00F873F7">
        <w:rPr>
          <w:lang w:val="en-GB"/>
        </w:rPr>
        <w:t>Stephansson</w:t>
      </w:r>
      <w:proofErr w:type="spellEnd"/>
      <w:r w:rsidRPr="00F873F7">
        <w:rPr>
          <w:lang w:val="en-GB"/>
        </w:rPr>
        <w:t xml:space="preserve">, O., </w:t>
      </w:r>
      <w:proofErr w:type="spellStart"/>
      <w:r w:rsidRPr="00F873F7">
        <w:rPr>
          <w:lang w:val="en-GB"/>
        </w:rPr>
        <w:t>Tingay</w:t>
      </w:r>
      <w:proofErr w:type="spellEnd"/>
      <w:r w:rsidRPr="00F873F7">
        <w:rPr>
          <w:lang w:val="en-GB"/>
        </w:rPr>
        <w:t xml:space="preserve">, M., </w:t>
      </w:r>
      <w:proofErr w:type="spellStart"/>
      <w:r w:rsidRPr="00F873F7">
        <w:rPr>
          <w:lang w:val="en-GB"/>
        </w:rPr>
        <w:t>Zang</w:t>
      </w:r>
      <w:proofErr w:type="spellEnd"/>
      <w:r w:rsidRPr="00F873F7">
        <w:rPr>
          <w:lang w:val="en-GB"/>
        </w:rPr>
        <w:t xml:space="preserve">, A. (2016). </w:t>
      </w:r>
      <w:r w:rsidRPr="00732F9B">
        <w:rPr>
          <w:lang w:val="en-GB"/>
        </w:rPr>
        <w:t>WSM quality ranking scheme, database description and analysis guidelines for stress indicator.</w:t>
      </w:r>
    </w:p>
    <w:p w14:paraId="59D34A4E" w14:textId="77777777" w:rsidR="00732F9B" w:rsidRPr="00732F9B" w:rsidRDefault="00732F9B" w:rsidP="00D57CB2">
      <w:pPr>
        <w:spacing w:after="0"/>
        <w:jc w:val="both"/>
        <w:rPr>
          <w:lang w:val="en-GB"/>
        </w:rPr>
      </w:pPr>
      <w:proofErr w:type="spellStart"/>
      <w:r w:rsidRPr="00732F9B">
        <w:rPr>
          <w:lang w:val="en-GB"/>
        </w:rPr>
        <w:t>Ibele</w:t>
      </w:r>
      <w:proofErr w:type="spellEnd"/>
      <w:r w:rsidRPr="00732F9B">
        <w:rPr>
          <w:lang w:val="en-GB"/>
        </w:rPr>
        <w:t xml:space="preserve">, T. (2015). Tectonics of the Hegau and Lake Constance Region: A synthesis based on existing Literature. </w:t>
      </w:r>
      <w:proofErr w:type="spellStart"/>
      <w:r w:rsidRPr="00732F9B">
        <w:rPr>
          <w:lang w:val="en-GB"/>
        </w:rPr>
        <w:t>Nagra</w:t>
      </w:r>
      <w:proofErr w:type="spellEnd"/>
      <w:r w:rsidRPr="00732F9B">
        <w:rPr>
          <w:lang w:val="en-GB"/>
        </w:rPr>
        <w:t xml:space="preserve"> Working Report, NAB 12–23, </w:t>
      </w:r>
      <w:proofErr w:type="spellStart"/>
      <w:r w:rsidRPr="00732F9B">
        <w:rPr>
          <w:lang w:val="en-GB"/>
        </w:rPr>
        <w:t>Wettingen</w:t>
      </w:r>
      <w:proofErr w:type="spellEnd"/>
      <w:r w:rsidRPr="00732F9B">
        <w:rPr>
          <w:lang w:val="en-GB"/>
        </w:rPr>
        <w:t xml:space="preserve">, </w:t>
      </w:r>
      <w:proofErr w:type="spellStart"/>
      <w:r w:rsidRPr="00732F9B">
        <w:rPr>
          <w:lang w:val="en-GB"/>
        </w:rPr>
        <w:t>Nagra</w:t>
      </w:r>
      <w:proofErr w:type="spellEnd"/>
      <w:r w:rsidRPr="00732F9B">
        <w:rPr>
          <w:lang w:val="en-GB"/>
        </w:rPr>
        <w:t>.</w:t>
      </w:r>
    </w:p>
    <w:p w14:paraId="19D66E6D" w14:textId="637CFAAA" w:rsidR="00732F9B" w:rsidRPr="00732F9B" w:rsidRDefault="00732F9B" w:rsidP="00D57CB2">
      <w:pPr>
        <w:spacing w:after="0"/>
        <w:jc w:val="both"/>
      </w:pPr>
      <w:r w:rsidRPr="00732F9B">
        <w:rPr>
          <w:lang w:val="en-GB"/>
        </w:rPr>
        <w:t xml:space="preserve">Ring, U., </w:t>
      </w:r>
      <w:proofErr w:type="spellStart"/>
      <w:r w:rsidRPr="00732F9B">
        <w:rPr>
          <w:lang w:val="en-GB"/>
        </w:rPr>
        <w:t>Bolhar</w:t>
      </w:r>
      <w:proofErr w:type="spellEnd"/>
      <w:r w:rsidRPr="00732F9B">
        <w:rPr>
          <w:lang w:val="en-GB"/>
        </w:rPr>
        <w:t xml:space="preserve">, R. (2020). Tilting, uplift, volcanism and disintegration of the South German block. </w:t>
      </w:r>
      <w:proofErr w:type="spellStart"/>
      <w:r w:rsidRPr="00732F9B">
        <w:t>Tectonophysics</w:t>
      </w:r>
      <w:proofErr w:type="spellEnd"/>
      <w:r w:rsidRPr="00732F9B">
        <w:t>, 795, 228611.</w:t>
      </w:r>
    </w:p>
    <w:p w14:paraId="52570824" w14:textId="12A392C5" w:rsidR="00732F9B" w:rsidRPr="00732F9B" w:rsidRDefault="00732F9B" w:rsidP="00D57CB2">
      <w:pPr>
        <w:spacing w:after="0"/>
        <w:jc w:val="both"/>
        <w:rPr>
          <w:lang w:val="en-GB"/>
        </w:rPr>
      </w:pPr>
      <w:proofErr w:type="spellStart"/>
      <w:r w:rsidRPr="00732F9B">
        <w:t>Reicherter</w:t>
      </w:r>
      <w:proofErr w:type="spellEnd"/>
      <w:r w:rsidRPr="00732F9B">
        <w:t xml:space="preserve">, K., Froitzheim, N., </w:t>
      </w:r>
      <w:proofErr w:type="spellStart"/>
      <w:r w:rsidRPr="00732F9B">
        <w:t>Jarosiński</w:t>
      </w:r>
      <w:proofErr w:type="spellEnd"/>
      <w:r w:rsidRPr="00732F9B">
        <w:t xml:space="preserve">, M., Badura, J., Franzke, H. J., Hansen, M., ... </w:t>
      </w:r>
      <w:proofErr w:type="spellStart"/>
      <w:r w:rsidRPr="00732F9B">
        <w:rPr>
          <w:lang w:val="en-GB"/>
        </w:rPr>
        <w:t>Zuchiewicz</w:t>
      </w:r>
      <w:proofErr w:type="spellEnd"/>
      <w:r w:rsidRPr="00732F9B">
        <w:rPr>
          <w:lang w:val="en-GB"/>
        </w:rPr>
        <w:t>, W. (2008). Alpine tectonics north of the Alps.</w:t>
      </w:r>
    </w:p>
    <w:p w14:paraId="6FE01DEC" w14:textId="13ECEDD2" w:rsidR="00732F9B" w:rsidRPr="00732F9B" w:rsidRDefault="00732F9B" w:rsidP="00D57CB2">
      <w:pPr>
        <w:spacing w:after="0"/>
        <w:jc w:val="both"/>
      </w:pPr>
      <w:r w:rsidRPr="00732F9B">
        <w:rPr>
          <w:lang w:val="en-GB"/>
        </w:rPr>
        <w:t xml:space="preserve">Reinecker, J., Schneider, G. (2002). </w:t>
      </w:r>
      <w:r w:rsidRPr="00732F9B">
        <w:t xml:space="preserve">Zur Neotektonik der </w:t>
      </w:r>
      <w:proofErr w:type="spellStart"/>
      <w:r w:rsidRPr="00732F9B">
        <w:t>Zollernalb</w:t>
      </w:r>
      <w:proofErr w:type="spellEnd"/>
      <w:r w:rsidRPr="00732F9B">
        <w:t>: Der Hohenzollerngraben und die Albstadt-Erdbeben. Jahresberichte und Mitteilungen des oberrheinischen geologischen Vereins, 391-417.</w:t>
      </w:r>
    </w:p>
    <w:p w14:paraId="03E8E691" w14:textId="6FA1B651" w:rsidR="00732F9B" w:rsidRPr="00F873F7" w:rsidRDefault="00732F9B" w:rsidP="00D57CB2">
      <w:pPr>
        <w:spacing w:after="0"/>
        <w:jc w:val="both"/>
      </w:pPr>
      <w:r w:rsidRPr="00732F9B">
        <w:t xml:space="preserve">Reiter, W., </w:t>
      </w:r>
      <w:proofErr w:type="spellStart"/>
      <w:r w:rsidRPr="00732F9B">
        <w:t>Elfert</w:t>
      </w:r>
      <w:proofErr w:type="spellEnd"/>
      <w:r w:rsidRPr="00732F9B">
        <w:t xml:space="preserve">, S., </w:t>
      </w:r>
      <w:proofErr w:type="spellStart"/>
      <w:r w:rsidRPr="00732F9B">
        <w:t>Glotzbach</w:t>
      </w:r>
      <w:proofErr w:type="spellEnd"/>
      <w:r w:rsidRPr="00732F9B">
        <w:t xml:space="preserve">, C., Spiegel, C. (2015). </w:t>
      </w:r>
      <w:proofErr w:type="spellStart"/>
      <w:r w:rsidRPr="00732F9B">
        <w:rPr>
          <w:lang w:val="en-GB"/>
        </w:rPr>
        <w:t>Plio</w:t>
      </w:r>
      <w:proofErr w:type="spellEnd"/>
      <w:r w:rsidRPr="00732F9B">
        <w:rPr>
          <w:lang w:val="en-GB"/>
        </w:rPr>
        <w:t xml:space="preserve">-Pleistocene evolution of the north Alpine drainage system: new constraints from detrital </w:t>
      </w:r>
      <w:proofErr w:type="spellStart"/>
      <w:r w:rsidRPr="00732F9B">
        <w:rPr>
          <w:lang w:val="en-GB"/>
        </w:rPr>
        <w:t>thermochronology</w:t>
      </w:r>
      <w:proofErr w:type="spellEnd"/>
      <w:r w:rsidRPr="00732F9B">
        <w:rPr>
          <w:lang w:val="en-GB"/>
        </w:rPr>
        <w:t xml:space="preserve"> of foreland deposits. </w:t>
      </w:r>
      <w:r w:rsidRPr="00F873F7">
        <w:t xml:space="preserve">International Journal </w:t>
      </w:r>
      <w:proofErr w:type="spellStart"/>
      <w:r w:rsidRPr="00F873F7">
        <w:t>of</w:t>
      </w:r>
      <w:proofErr w:type="spellEnd"/>
      <w:r w:rsidRPr="00F873F7">
        <w:t xml:space="preserve"> Earth Sciences, 104, 891-907.</w:t>
      </w:r>
    </w:p>
    <w:p w14:paraId="2FE6BD9A" w14:textId="7DE07C7F" w:rsidR="00732F9B" w:rsidRPr="00732F9B" w:rsidRDefault="00732F9B" w:rsidP="00D57CB2">
      <w:pPr>
        <w:spacing w:after="0"/>
        <w:jc w:val="both"/>
      </w:pPr>
      <w:proofErr w:type="spellStart"/>
      <w:r w:rsidRPr="00F873F7">
        <w:t>Sawatzki</w:t>
      </w:r>
      <w:proofErr w:type="spellEnd"/>
      <w:r w:rsidRPr="00F873F7">
        <w:t xml:space="preserve">, G., </w:t>
      </w:r>
      <w:proofErr w:type="spellStart"/>
      <w:r w:rsidRPr="00F873F7">
        <w:t>Hann</w:t>
      </w:r>
      <w:proofErr w:type="spellEnd"/>
      <w:r w:rsidRPr="00F873F7">
        <w:t xml:space="preserve">, E. (2003). </w:t>
      </w:r>
      <w:r w:rsidRPr="00732F9B">
        <w:t>Badenweiler-Lenzkirch-Zone (Südschwarzwald). Erläuterung mit Hinweisen für Exkursionen. Landesamt für Geologie, Rohstoffe und Bergbau Baden-Württemberg, Freiburg i. Br.</w:t>
      </w:r>
    </w:p>
    <w:p w14:paraId="4204810E" w14:textId="6B4B8D37" w:rsidR="00732F9B" w:rsidRPr="00732F9B" w:rsidRDefault="00732F9B" w:rsidP="00D57CB2">
      <w:pPr>
        <w:spacing w:after="0"/>
        <w:jc w:val="both"/>
      </w:pPr>
      <w:r w:rsidRPr="00732F9B">
        <w:t xml:space="preserve">Schreiner, A. (1992). Erläuterungen zur geologischen Karte Hegau und westlicher Bodensee 1: 50.000–290 </w:t>
      </w:r>
      <w:r w:rsidR="00A639FC">
        <w:t>pp</w:t>
      </w:r>
      <w:r w:rsidRPr="00732F9B">
        <w:t>. Freiburg (Geologisches Landesamt Baden-Württemberg).</w:t>
      </w:r>
    </w:p>
    <w:p w14:paraId="41D7D432" w14:textId="77777777" w:rsidR="00732F9B" w:rsidRPr="00732F9B" w:rsidRDefault="00732F9B" w:rsidP="00D57CB2">
      <w:pPr>
        <w:spacing w:after="0"/>
        <w:jc w:val="both"/>
      </w:pPr>
      <w:r w:rsidRPr="00732F9B">
        <w:t>Schwarz, H. U. (2012). Das Schwäbisch-Fränkische Bruchmuster. Zeitschrift der Deutschen Gesellschaft für Geowissenschaften, 411-446.</w:t>
      </w:r>
    </w:p>
    <w:p w14:paraId="0FF46167" w14:textId="4A640EAB" w:rsidR="00732F9B" w:rsidRPr="00732F9B" w:rsidRDefault="00732F9B" w:rsidP="00D57CB2">
      <w:pPr>
        <w:spacing w:after="0"/>
        <w:jc w:val="both"/>
        <w:rPr>
          <w:lang w:val="en-GB"/>
        </w:rPr>
      </w:pPr>
      <w:proofErr w:type="spellStart"/>
      <w:r w:rsidRPr="00732F9B">
        <w:rPr>
          <w:lang w:val="en-GB"/>
        </w:rPr>
        <w:t>Songchitruksa</w:t>
      </w:r>
      <w:proofErr w:type="spellEnd"/>
      <w:r w:rsidRPr="00732F9B">
        <w:rPr>
          <w:lang w:val="en-GB"/>
        </w:rPr>
        <w:t xml:space="preserve">, P., Zeng, X. (2010). </w:t>
      </w:r>
      <w:proofErr w:type="spellStart"/>
      <w:r w:rsidRPr="00732F9B">
        <w:rPr>
          <w:lang w:val="en-GB"/>
        </w:rPr>
        <w:t>Getis</w:t>
      </w:r>
      <w:proofErr w:type="spellEnd"/>
      <w:r w:rsidRPr="00732F9B">
        <w:rPr>
          <w:lang w:val="en-GB"/>
        </w:rPr>
        <w:t>–Ord spatial statistics to identify hot spots by using incident management data. Transportation research record, 2165(1), 42-51.</w:t>
      </w:r>
    </w:p>
    <w:p w14:paraId="2D495ABA" w14:textId="71AFB7C0" w:rsidR="00732F9B" w:rsidRPr="00732F9B" w:rsidRDefault="00732F9B" w:rsidP="00D57CB2">
      <w:pPr>
        <w:spacing w:after="0"/>
        <w:jc w:val="both"/>
      </w:pPr>
      <w:proofErr w:type="spellStart"/>
      <w:r w:rsidRPr="00732F9B">
        <w:rPr>
          <w:lang w:val="en-GB"/>
        </w:rPr>
        <w:t>Ufrecht</w:t>
      </w:r>
      <w:proofErr w:type="spellEnd"/>
      <w:r w:rsidRPr="00732F9B">
        <w:rPr>
          <w:lang w:val="en-GB"/>
        </w:rPr>
        <w:t xml:space="preserve">, W. (2006). </w:t>
      </w:r>
      <w:proofErr w:type="spellStart"/>
      <w:r w:rsidRPr="00732F9B">
        <w:rPr>
          <w:lang w:val="en-GB"/>
        </w:rPr>
        <w:t>Zusammensetzung</w:t>
      </w:r>
      <w:proofErr w:type="spellEnd"/>
      <w:r w:rsidRPr="00732F9B">
        <w:rPr>
          <w:lang w:val="en-GB"/>
        </w:rPr>
        <w:t xml:space="preserve"> und </w:t>
      </w:r>
      <w:proofErr w:type="spellStart"/>
      <w:r w:rsidRPr="00732F9B">
        <w:rPr>
          <w:lang w:val="en-GB"/>
        </w:rPr>
        <w:t>Herkunft</w:t>
      </w:r>
      <w:proofErr w:type="spellEnd"/>
      <w:r w:rsidRPr="00732F9B">
        <w:rPr>
          <w:lang w:val="en-GB"/>
        </w:rPr>
        <w:t xml:space="preserve"> der </w:t>
      </w:r>
      <w:proofErr w:type="spellStart"/>
      <w:r w:rsidRPr="00732F9B">
        <w:rPr>
          <w:lang w:val="en-GB"/>
        </w:rPr>
        <w:t>Gase</w:t>
      </w:r>
      <w:proofErr w:type="spellEnd"/>
      <w:r w:rsidRPr="00732F9B">
        <w:rPr>
          <w:lang w:val="en-GB"/>
        </w:rPr>
        <w:t xml:space="preserve"> in den </w:t>
      </w:r>
      <w:proofErr w:type="spellStart"/>
      <w:r w:rsidRPr="00732F9B">
        <w:rPr>
          <w:lang w:val="en-GB"/>
        </w:rPr>
        <w:t>Säuerlingen</w:t>
      </w:r>
      <w:proofErr w:type="spellEnd"/>
      <w:r w:rsidRPr="00732F9B">
        <w:rPr>
          <w:lang w:val="en-GB"/>
        </w:rPr>
        <w:t xml:space="preserve"> von Stuttgart-Bad </w:t>
      </w:r>
      <w:proofErr w:type="spellStart"/>
      <w:r w:rsidRPr="00732F9B">
        <w:rPr>
          <w:lang w:val="en-GB"/>
        </w:rPr>
        <w:t>Canstatt</w:t>
      </w:r>
      <w:proofErr w:type="spellEnd"/>
      <w:r w:rsidRPr="00732F9B">
        <w:rPr>
          <w:lang w:val="en-GB"/>
        </w:rPr>
        <w:t xml:space="preserve"> und-Berg [Origin and composition of the gases in the mineral water of Stuttgart-Bad </w:t>
      </w:r>
      <w:proofErr w:type="spellStart"/>
      <w:r w:rsidRPr="00732F9B">
        <w:rPr>
          <w:lang w:val="en-GB"/>
        </w:rPr>
        <w:t>Canstatt</w:t>
      </w:r>
      <w:proofErr w:type="spellEnd"/>
      <w:r w:rsidRPr="00732F9B">
        <w:rPr>
          <w:lang w:val="en-GB"/>
        </w:rPr>
        <w:t xml:space="preserve"> and Berg]. </w:t>
      </w:r>
      <w:r w:rsidRPr="00732F9B">
        <w:t>Schr</w:t>
      </w:r>
      <w:r w:rsidR="00A639FC">
        <w:t>iften</w:t>
      </w:r>
      <w:r w:rsidRPr="00732F9B">
        <w:t>reihe Amt</w:t>
      </w:r>
      <w:r w:rsidR="00A639FC">
        <w:t>es</w:t>
      </w:r>
      <w:r w:rsidRPr="00732F9B">
        <w:t xml:space="preserve"> Umweltschutz, 3(2006), 103-114.</w:t>
      </w:r>
    </w:p>
    <w:p w14:paraId="722A4EC9" w14:textId="77777777" w:rsidR="00732F9B" w:rsidRPr="00732F9B" w:rsidRDefault="00732F9B" w:rsidP="00D57CB2">
      <w:pPr>
        <w:spacing w:after="0"/>
        <w:jc w:val="both"/>
        <w:rPr>
          <w:lang w:val="en-GB"/>
        </w:rPr>
      </w:pPr>
    </w:p>
    <w:p w14:paraId="79F8E7E1" w14:textId="77777777" w:rsidR="00732F9B" w:rsidRPr="00A33341" w:rsidRDefault="00732F9B" w:rsidP="00D57CB2">
      <w:pPr>
        <w:spacing w:after="0"/>
        <w:jc w:val="both"/>
        <w:rPr>
          <w:lang w:val="en-GB"/>
        </w:rPr>
      </w:pPr>
    </w:p>
    <w:sectPr w:rsidR="00732F9B" w:rsidRPr="00A333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50"/>
    <w:rsid w:val="00012EF6"/>
    <w:rsid w:val="00045F0F"/>
    <w:rsid w:val="000A5D53"/>
    <w:rsid w:val="000B46EC"/>
    <w:rsid w:val="000C00D8"/>
    <w:rsid w:val="000C4DA1"/>
    <w:rsid w:val="000E42E0"/>
    <w:rsid w:val="000F3B78"/>
    <w:rsid w:val="001035A1"/>
    <w:rsid w:val="0010766F"/>
    <w:rsid w:val="00125E77"/>
    <w:rsid w:val="0013198A"/>
    <w:rsid w:val="00185426"/>
    <w:rsid w:val="001A356F"/>
    <w:rsid w:val="001A6EDE"/>
    <w:rsid w:val="001B50CF"/>
    <w:rsid w:val="00206167"/>
    <w:rsid w:val="00234E74"/>
    <w:rsid w:val="00241A2D"/>
    <w:rsid w:val="00242E36"/>
    <w:rsid w:val="002467DA"/>
    <w:rsid w:val="0025219A"/>
    <w:rsid w:val="00253DC5"/>
    <w:rsid w:val="00262B4B"/>
    <w:rsid w:val="00263CB3"/>
    <w:rsid w:val="0026503D"/>
    <w:rsid w:val="0026669B"/>
    <w:rsid w:val="0027163D"/>
    <w:rsid w:val="002748A4"/>
    <w:rsid w:val="0028385D"/>
    <w:rsid w:val="00292E9E"/>
    <w:rsid w:val="00305038"/>
    <w:rsid w:val="003074B6"/>
    <w:rsid w:val="0032142D"/>
    <w:rsid w:val="00333842"/>
    <w:rsid w:val="003430DC"/>
    <w:rsid w:val="0034311F"/>
    <w:rsid w:val="00351D7D"/>
    <w:rsid w:val="00352CF7"/>
    <w:rsid w:val="0035342C"/>
    <w:rsid w:val="003671B8"/>
    <w:rsid w:val="00380D06"/>
    <w:rsid w:val="003A6AF3"/>
    <w:rsid w:val="003D5634"/>
    <w:rsid w:val="003D7859"/>
    <w:rsid w:val="003E0326"/>
    <w:rsid w:val="003F1D7B"/>
    <w:rsid w:val="003F2649"/>
    <w:rsid w:val="003F4D23"/>
    <w:rsid w:val="00410661"/>
    <w:rsid w:val="00415D55"/>
    <w:rsid w:val="00417DA0"/>
    <w:rsid w:val="00426378"/>
    <w:rsid w:val="0043045E"/>
    <w:rsid w:val="004311F0"/>
    <w:rsid w:val="004448DC"/>
    <w:rsid w:val="00451498"/>
    <w:rsid w:val="004610A5"/>
    <w:rsid w:val="0048289B"/>
    <w:rsid w:val="004F5D4A"/>
    <w:rsid w:val="0050010F"/>
    <w:rsid w:val="005026C8"/>
    <w:rsid w:val="00503B61"/>
    <w:rsid w:val="0052414F"/>
    <w:rsid w:val="00525402"/>
    <w:rsid w:val="00527CBD"/>
    <w:rsid w:val="0054366B"/>
    <w:rsid w:val="00557797"/>
    <w:rsid w:val="00583D25"/>
    <w:rsid w:val="005B65F4"/>
    <w:rsid w:val="005B7148"/>
    <w:rsid w:val="005D00CE"/>
    <w:rsid w:val="005D1BDC"/>
    <w:rsid w:val="00622FDB"/>
    <w:rsid w:val="00623E88"/>
    <w:rsid w:val="00624E67"/>
    <w:rsid w:val="00637078"/>
    <w:rsid w:val="006400A0"/>
    <w:rsid w:val="00654C50"/>
    <w:rsid w:val="00682825"/>
    <w:rsid w:val="00691983"/>
    <w:rsid w:val="00691D05"/>
    <w:rsid w:val="006C0CA0"/>
    <w:rsid w:val="006E32AB"/>
    <w:rsid w:val="006F002C"/>
    <w:rsid w:val="006F3DFD"/>
    <w:rsid w:val="006F4B8B"/>
    <w:rsid w:val="006F6E69"/>
    <w:rsid w:val="00700867"/>
    <w:rsid w:val="007163E6"/>
    <w:rsid w:val="00720DD7"/>
    <w:rsid w:val="00732F9B"/>
    <w:rsid w:val="00735283"/>
    <w:rsid w:val="00744C59"/>
    <w:rsid w:val="00745696"/>
    <w:rsid w:val="007550EC"/>
    <w:rsid w:val="00755124"/>
    <w:rsid w:val="00766F8E"/>
    <w:rsid w:val="00772ADB"/>
    <w:rsid w:val="007926D9"/>
    <w:rsid w:val="007D142A"/>
    <w:rsid w:val="00813D5B"/>
    <w:rsid w:val="00816690"/>
    <w:rsid w:val="00825527"/>
    <w:rsid w:val="0083270A"/>
    <w:rsid w:val="00835A54"/>
    <w:rsid w:val="00842B1E"/>
    <w:rsid w:val="00843D9C"/>
    <w:rsid w:val="008539FD"/>
    <w:rsid w:val="00864096"/>
    <w:rsid w:val="00872795"/>
    <w:rsid w:val="008A6D41"/>
    <w:rsid w:val="008D0A75"/>
    <w:rsid w:val="008E378F"/>
    <w:rsid w:val="008E6B5D"/>
    <w:rsid w:val="009238CE"/>
    <w:rsid w:val="009342AA"/>
    <w:rsid w:val="00940D73"/>
    <w:rsid w:val="00957BD4"/>
    <w:rsid w:val="00957F75"/>
    <w:rsid w:val="00973714"/>
    <w:rsid w:val="00996D88"/>
    <w:rsid w:val="009A13DB"/>
    <w:rsid w:val="009A3AD3"/>
    <w:rsid w:val="009C3003"/>
    <w:rsid w:val="009F7397"/>
    <w:rsid w:val="00A30D75"/>
    <w:rsid w:val="00A33341"/>
    <w:rsid w:val="00A34113"/>
    <w:rsid w:val="00A4039C"/>
    <w:rsid w:val="00A639FC"/>
    <w:rsid w:val="00A671EF"/>
    <w:rsid w:val="00A7739E"/>
    <w:rsid w:val="00A946ED"/>
    <w:rsid w:val="00AA4C67"/>
    <w:rsid w:val="00AB1F4D"/>
    <w:rsid w:val="00AB7EC0"/>
    <w:rsid w:val="00B10CF3"/>
    <w:rsid w:val="00B1481A"/>
    <w:rsid w:val="00B2611E"/>
    <w:rsid w:val="00B36B52"/>
    <w:rsid w:val="00B566D2"/>
    <w:rsid w:val="00B64816"/>
    <w:rsid w:val="00B722F0"/>
    <w:rsid w:val="00BD2F01"/>
    <w:rsid w:val="00BE12C0"/>
    <w:rsid w:val="00BF55A6"/>
    <w:rsid w:val="00C31B68"/>
    <w:rsid w:val="00C37DC5"/>
    <w:rsid w:val="00C45068"/>
    <w:rsid w:val="00C45762"/>
    <w:rsid w:val="00C5374A"/>
    <w:rsid w:val="00C5772D"/>
    <w:rsid w:val="00C75291"/>
    <w:rsid w:val="00C7537C"/>
    <w:rsid w:val="00CA012B"/>
    <w:rsid w:val="00CB0831"/>
    <w:rsid w:val="00CC4972"/>
    <w:rsid w:val="00CD4EFD"/>
    <w:rsid w:val="00CE0334"/>
    <w:rsid w:val="00CE6EA4"/>
    <w:rsid w:val="00CF4B87"/>
    <w:rsid w:val="00D028A2"/>
    <w:rsid w:val="00D0405A"/>
    <w:rsid w:val="00D14361"/>
    <w:rsid w:val="00D32330"/>
    <w:rsid w:val="00D42113"/>
    <w:rsid w:val="00D57CB2"/>
    <w:rsid w:val="00D64971"/>
    <w:rsid w:val="00D6647F"/>
    <w:rsid w:val="00D7306F"/>
    <w:rsid w:val="00D81509"/>
    <w:rsid w:val="00D83F58"/>
    <w:rsid w:val="00D95A28"/>
    <w:rsid w:val="00DC43D7"/>
    <w:rsid w:val="00E26904"/>
    <w:rsid w:val="00E301C1"/>
    <w:rsid w:val="00E66149"/>
    <w:rsid w:val="00EB16F8"/>
    <w:rsid w:val="00ED7BA0"/>
    <w:rsid w:val="00EE0746"/>
    <w:rsid w:val="00EE280D"/>
    <w:rsid w:val="00EE6E39"/>
    <w:rsid w:val="00F120DB"/>
    <w:rsid w:val="00F22F04"/>
    <w:rsid w:val="00F41878"/>
    <w:rsid w:val="00F82BC0"/>
    <w:rsid w:val="00F84737"/>
    <w:rsid w:val="00F873F7"/>
    <w:rsid w:val="00FA0069"/>
    <w:rsid w:val="00FB699A"/>
    <w:rsid w:val="00FB6EC6"/>
    <w:rsid w:val="00FC27EC"/>
    <w:rsid w:val="00FE2777"/>
    <w:rsid w:val="00FE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F082"/>
  <w15:chartTrackingRefBased/>
  <w15:docId w15:val="{26D0E085-AE9A-4166-A68D-F994E250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33341"/>
    <w:rPr>
      <w:sz w:val="16"/>
      <w:szCs w:val="16"/>
    </w:rPr>
  </w:style>
  <w:style w:type="paragraph" w:customStyle="1" w:styleId="Kommentartext1">
    <w:name w:val="Kommentartext1"/>
    <w:basedOn w:val="Standard"/>
    <w:next w:val="Kommentartext"/>
    <w:link w:val="KommentartextZchn"/>
    <w:uiPriority w:val="99"/>
    <w:semiHidden/>
    <w:unhideWhenUsed/>
    <w:rsid w:val="00A33341"/>
    <w:pPr>
      <w:spacing w:line="240" w:lineRule="auto"/>
    </w:pPr>
    <w:rPr>
      <w:sz w:val="20"/>
      <w:szCs w:val="20"/>
    </w:rPr>
  </w:style>
  <w:style w:type="character" w:customStyle="1" w:styleId="KommentartextZchn">
    <w:name w:val="Kommentartext Zchn"/>
    <w:basedOn w:val="Absatz-Standardschriftart"/>
    <w:link w:val="Kommentartext1"/>
    <w:uiPriority w:val="99"/>
    <w:semiHidden/>
    <w:rsid w:val="00A33341"/>
    <w:rPr>
      <w:sz w:val="20"/>
      <w:szCs w:val="20"/>
    </w:rPr>
  </w:style>
  <w:style w:type="table" w:customStyle="1" w:styleId="Tabellenraster1">
    <w:name w:val="Tabellenraster1"/>
    <w:basedOn w:val="NormaleTabelle"/>
    <w:next w:val="Tabellenraster"/>
    <w:uiPriority w:val="39"/>
    <w:rsid w:val="00A3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1"/>
    <w:uiPriority w:val="99"/>
    <w:semiHidden/>
    <w:unhideWhenUsed/>
    <w:rsid w:val="00A33341"/>
    <w:pPr>
      <w:spacing w:line="240" w:lineRule="auto"/>
    </w:pPr>
    <w:rPr>
      <w:sz w:val="20"/>
      <w:szCs w:val="20"/>
    </w:rPr>
  </w:style>
  <w:style w:type="character" w:customStyle="1" w:styleId="KommentartextZchn1">
    <w:name w:val="Kommentartext Zchn1"/>
    <w:basedOn w:val="Absatz-Standardschriftart"/>
    <w:link w:val="Kommentartext"/>
    <w:uiPriority w:val="99"/>
    <w:semiHidden/>
    <w:rsid w:val="00A33341"/>
    <w:rPr>
      <w:sz w:val="20"/>
      <w:szCs w:val="20"/>
    </w:rPr>
  </w:style>
  <w:style w:type="table" w:styleId="Tabellenraster">
    <w:name w:val="Table Grid"/>
    <w:basedOn w:val="NormaleTabelle"/>
    <w:uiPriority w:val="39"/>
    <w:rsid w:val="00A33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333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334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946ED"/>
    <w:rPr>
      <w:b/>
      <w:bCs/>
    </w:rPr>
  </w:style>
  <w:style w:type="character" w:customStyle="1" w:styleId="KommentarthemaZchn">
    <w:name w:val="Kommentarthema Zchn"/>
    <w:basedOn w:val="KommentartextZchn1"/>
    <w:link w:val="Kommentarthema"/>
    <w:uiPriority w:val="99"/>
    <w:semiHidden/>
    <w:rsid w:val="00A946ED"/>
    <w:rPr>
      <w:b/>
      <w:bCs/>
      <w:sz w:val="20"/>
      <w:szCs w:val="20"/>
    </w:rPr>
  </w:style>
  <w:style w:type="paragraph" w:customStyle="1" w:styleId="text">
    <w:name w:val="text"/>
    <w:basedOn w:val="Standard"/>
    <w:rsid w:val="0010766F"/>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ellenraster2">
    <w:name w:val="Tabellenraster2"/>
    <w:basedOn w:val="NormaleTabelle"/>
    <w:next w:val="Tabellenraster"/>
    <w:uiPriority w:val="39"/>
    <w:rsid w:val="0073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73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39"/>
    <w:rsid w:val="00A63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44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598720">
      <w:bodyDiv w:val="1"/>
      <w:marLeft w:val="0"/>
      <w:marRight w:val="0"/>
      <w:marTop w:val="0"/>
      <w:marBottom w:val="0"/>
      <w:divBdr>
        <w:top w:val="none" w:sz="0" w:space="0" w:color="auto"/>
        <w:left w:val="none" w:sz="0" w:space="0" w:color="auto"/>
        <w:bottom w:val="none" w:sz="0" w:space="0" w:color="auto"/>
        <w:right w:val="none" w:sz="0" w:space="0" w:color="auto"/>
      </w:divBdr>
    </w:div>
    <w:div w:id="426968365">
      <w:bodyDiv w:val="1"/>
      <w:marLeft w:val="0"/>
      <w:marRight w:val="0"/>
      <w:marTop w:val="0"/>
      <w:marBottom w:val="0"/>
      <w:divBdr>
        <w:top w:val="none" w:sz="0" w:space="0" w:color="auto"/>
        <w:left w:val="none" w:sz="0" w:space="0" w:color="auto"/>
        <w:bottom w:val="none" w:sz="0" w:space="0" w:color="auto"/>
        <w:right w:val="none" w:sz="0" w:space="0" w:color="auto"/>
      </w:divBdr>
    </w:div>
    <w:div w:id="729228957">
      <w:bodyDiv w:val="1"/>
      <w:marLeft w:val="0"/>
      <w:marRight w:val="0"/>
      <w:marTop w:val="0"/>
      <w:marBottom w:val="0"/>
      <w:divBdr>
        <w:top w:val="none" w:sz="0" w:space="0" w:color="auto"/>
        <w:left w:val="none" w:sz="0" w:space="0" w:color="auto"/>
        <w:bottom w:val="none" w:sz="0" w:space="0" w:color="auto"/>
        <w:right w:val="none" w:sz="0" w:space="0" w:color="auto"/>
      </w:divBdr>
    </w:div>
    <w:div w:id="1135290026">
      <w:bodyDiv w:val="1"/>
      <w:marLeft w:val="0"/>
      <w:marRight w:val="0"/>
      <w:marTop w:val="0"/>
      <w:marBottom w:val="0"/>
      <w:divBdr>
        <w:top w:val="none" w:sz="0" w:space="0" w:color="auto"/>
        <w:left w:val="none" w:sz="0" w:space="0" w:color="auto"/>
        <w:bottom w:val="none" w:sz="0" w:space="0" w:color="auto"/>
        <w:right w:val="none" w:sz="0" w:space="0" w:color="auto"/>
      </w:divBdr>
    </w:div>
    <w:div w:id="1421638413">
      <w:bodyDiv w:val="1"/>
      <w:marLeft w:val="0"/>
      <w:marRight w:val="0"/>
      <w:marTop w:val="0"/>
      <w:marBottom w:val="0"/>
      <w:divBdr>
        <w:top w:val="none" w:sz="0" w:space="0" w:color="auto"/>
        <w:left w:val="none" w:sz="0" w:space="0" w:color="auto"/>
        <w:bottom w:val="none" w:sz="0" w:space="0" w:color="auto"/>
        <w:right w:val="none" w:sz="0" w:space="0" w:color="auto"/>
      </w:divBdr>
    </w:div>
    <w:div w:id="21128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F729-18B8-4BBE-B98C-5F7A02A4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7902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Lothar</cp:lastModifiedBy>
  <cp:revision>14</cp:revision>
  <cp:lastPrinted>2023-12-16T19:07:00Z</cp:lastPrinted>
  <dcterms:created xsi:type="dcterms:W3CDTF">2023-12-20T15:44:00Z</dcterms:created>
  <dcterms:modified xsi:type="dcterms:W3CDTF">2023-12-20T15:58:00Z</dcterms:modified>
</cp:coreProperties>
</file>