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11.png" ContentType="image/png"/>
  <Override PartName="/word/media/image5.jpeg" ContentType="image/jpeg"/>
  <Override PartName="/word/media/image7.png" ContentType="image/png"/>
  <Override PartName="/word/media/image6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Supplementary Figure 1</w:t>
      </w:r>
    </w:p>
    <w:p>
      <w:pPr>
        <w:pStyle w:val="Normal"/>
        <w:bidi w:val="0"/>
        <w:jc w:val="left"/>
        <w:rPr/>
      </w:pPr>
      <w:r>
        <w:rPr/>
      </w:r>
    </w:p>
    <w:tbl>
      <w:tblPr>
        <w:tblW w:w="906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052"/>
        <w:gridCol w:w="2983"/>
        <w:gridCol w:w="3027"/>
      </w:tblGrid>
      <w:tr>
        <w:trPr>
          <w:trHeight w:val="3393" w:hRule="atLeast"/>
        </w:trPr>
        <w:tc>
          <w:tcPr>
            <w:tcW w:w="3052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>
                <w:rFonts w:eastAsia="Calibri"/>
                <w:b/>
              </w:rPr>
              <w:t>Mask 1</w:t>
            </w:r>
          </w:p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0" allowOverlap="1" relativeHeight="17" wp14:anchorId="1C9C3A95">
                      <wp:simplePos x="0" y="0"/>
                      <wp:positionH relativeFrom="column">
                        <wp:posOffset>3272790</wp:posOffset>
                      </wp:positionH>
                      <wp:positionV relativeFrom="paragraph">
                        <wp:posOffset>15875</wp:posOffset>
                      </wp:positionV>
                      <wp:extent cx="635000" cy="635000"/>
                      <wp:effectExtent l="4323715" t="1422400" r="0" b="0"/>
                      <wp:wrapNone/>
                      <wp:docPr id="1" name="_x0000_tole_rId16" hidden="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40" cy="635040"/>
                              </a:xfrm>
                              <a:custGeom>
                                <a:avLst/>
                                <a:gdLst/>
                                <a:ahLst/>
                                <a:rect l="0" t="0" r="r" b="b"/>
                                <a:pathLst/>
                              </a:cu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  <w:drawing>
                <wp:inline distT="0" distB="0" distL="0" distR="0">
                  <wp:extent cx="1924050" cy="1905000"/>
                  <wp:effectExtent l="0" t="0" r="0" b="0"/>
                  <wp:docPr id="2" name="Bild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>
                <w:rFonts w:eastAsia="Calibri"/>
                <w:b/>
              </w:rPr>
              <w:t>Mask 2</w:t>
            </w:r>
          </w:p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0" allowOverlap="1" relativeHeight="18" wp14:anchorId="66C4E5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635000" cy="635000"/>
                      <wp:effectExtent l="0" t="0" r="0" b="0"/>
                      <wp:wrapNone/>
                      <wp:docPr id="3" name="_x0000_tole_rId18" hidden="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40" cy="635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_x0000_tole_rId18" path="m0,0l-2147483645,0l-2147483645,-2147483646l0,-2147483646xe" stroked="f" o:allowincell="f" style="position:absolute;margin-left:0pt;margin-top:0.05pt;width:49.95pt;height:49.95pt;mso-wrap-style:none;v-text-anchor:middle" wp14:anchorId="66C4E582">
                      <v:fill o:detectmouseclick="t" on="false"/>
                      <v:stroke color="#3465a4" joinstyle="round" endcap="flat"/>
                      <w10:wrap type="none"/>
                    </v:rect>
                  </w:pict>
                </mc:Fallback>
              </mc:AlternateContent>
              <w:drawing>
                <wp:inline distT="0" distB="0" distL="0" distR="0">
                  <wp:extent cx="1905000" cy="1905000"/>
                  <wp:effectExtent l="0" t="0" r="0" b="0"/>
                  <wp:docPr id="4" name="Bild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>
                <w:rFonts w:eastAsia="Calibri"/>
                <w:b/>
              </w:rPr>
              <w:t>Mask 3</w:t>
            </w:r>
          </w:p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0" allowOverlap="1" relativeHeight="19" wp14:anchorId="1DE947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635000" cy="635000"/>
                      <wp:effectExtent l="0" t="0" r="0" b="0"/>
                      <wp:wrapNone/>
                      <wp:docPr id="5" name="_x0000_tole_rId20" hidden="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40" cy="635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_x0000_tole_rId20" path="m0,0l-2147483645,0l-2147483645,-2147483646l0,-2147483646xe" stroked="f" o:allowincell="f" style="position:absolute;margin-left:0pt;margin-top:0.05pt;width:49.95pt;height:49.95pt;mso-wrap-style:none;v-text-anchor:middle" wp14:anchorId="1DE94735">
                      <v:fill o:detectmouseclick="t" on="false"/>
                      <v:stroke color="#3465a4" joinstyle="round" endcap="flat"/>
                      <w10:wrap type="none"/>
                    </v:rect>
                  </w:pict>
                </mc:Fallback>
              </mc:AlternateContent>
              <w:drawing>
                <wp:inline distT="0" distB="0" distL="0" distR="0">
                  <wp:extent cx="1914525" cy="1905000"/>
                  <wp:effectExtent l="0" t="0" r="0" b="0"/>
                  <wp:docPr id="6" name="Bild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052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>
                <w:rFonts w:eastAsia="Calibri"/>
                <w:b/>
              </w:rPr>
              <w:t>Mask 4</w:t>
            </w:r>
          </w:p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0" allowOverlap="1" relativeHeight="20" wp14:anchorId="4EFAFBCD">
                      <wp:simplePos x="0" y="0"/>
                      <wp:positionH relativeFrom="column">
                        <wp:posOffset>3272790</wp:posOffset>
                      </wp:positionH>
                      <wp:positionV relativeFrom="paragraph">
                        <wp:posOffset>635</wp:posOffset>
                      </wp:positionV>
                      <wp:extent cx="635000" cy="635000"/>
                      <wp:effectExtent l="4323715" t="3829050" r="0" b="0"/>
                      <wp:wrapNone/>
                      <wp:docPr id="7" name="_x0000_tole_rId22" hidden="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40" cy="635040"/>
                              </a:xfrm>
                              <a:custGeom>
                                <a:avLst/>
                                <a:gdLst/>
                                <a:ahLst/>
                                <a:rect l="0" t="0" r="r" b="b"/>
                                <a:pathLst/>
                              </a:cu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  <w:drawing>
                <wp:inline distT="0" distB="0" distL="0" distR="0">
                  <wp:extent cx="1828800" cy="1847850"/>
                  <wp:effectExtent l="0" t="0" r="0" b="0"/>
                  <wp:docPr id="8" name="Bild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>
                <w:rFonts w:eastAsia="Calibri"/>
                <w:b/>
              </w:rPr>
              <w:t>Mask 5</w:t>
            </w:r>
          </w:p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/>
              <w:drawing>
                <wp:inline distT="0" distB="0" distL="0" distR="0">
                  <wp:extent cx="1838960" cy="1842135"/>
                  <wp:effectExtent l="0" t="0" r="0" b="0"/>
                  <wp:docPr id="9" name="Bild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84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>
                <w:rFonts w:eastAsia="Calibri"/>
                <w:b/>
              </w:rPr>
              <w:t>Mask 6</w:t>
            </w:r>
          </w:p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0" allowOverlap="1" relativeHeight="21" wp14:anchorId="6D8C8E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635000" cy="635000"/>
                      <wp:effectExtent l="0" t="0" r="0" b="0"/>
                      <wp:wrapNone/>
                      <wp:docPr id="10" name="_x0000_tole_rId25" hidden="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40" cy="635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_x0000_tole_rId25" path="m0,0l-2147483645,0l-2147483645,-2147483646l0,-2147483646xe" stroked="f" o:allowincell="f" style="position:absolute;margin-left:0pt;margin-top:0.05pt;width:49.95pt;height:49.95pt;mso-wrap-style:none;v-text-anchor:middle" wp14:anchorId="6D8C8EE2">
                      <v:fill o:detectmouseclick="t" on="false"/>
                      <v:stroke color="#3465a4" joinstyle="round" endcap="flat"/>
                      <w10:wrap type="none"/>
                    </v:rect>
                  </w:pict>
                </mc:Fallback>
              </mc:AlternateContent>
              <w:drawing>
                <wp:inline distT="0" distB="0" distL="0" distR="0">
                  <wp:extent cx="1857375" cy="1857375"/>
                  <wp:effectExtent l="0" t="0" r="0" b="0"/>
                  <wp:docPr id="11" name="Bild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052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>
                <w:rFonts w:eastAsia="Calibri"/>
                <w:b/>
              </w:rPr>
              <w:t>Mask 7</w:t>
            </w:r>
          </w:p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0" allowOverlap="1" relativeHeight="22" wp14:anchorId="015DCA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635000" cy="635000"/>
                      <wp:effectExtent l="0" t="0" r="0" b="0"/>
                      <wp:wrapNone/>
                      <wp:docPr id="12" name="_x0000_tole_rId27" hidden="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40" cy="635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_x0000_tole_rId27" path="m0,0l-2147483645,0l-2147483645,-2147483646l0,-2147483646xe" stroked="f" o:allowincell="f" style="position:absolute;margin-left:0pt;margin-top:0.05pt;width:49.95pt;height:49.95pt;mso-wrap-style:none;v-text-anchor:middle" wp14:anchorId="015DCACC">
                      <v:fill o:detectmouseclick="t" on="false"/>
                      <v:stroke color="#3465a4" joinstyle="round" endcap="flat"/>
                      <w10:wrap type="none"/>
                    </v:rect>
                  </w:pict>
                </mc:Fallback>
              </mc:AlternateContent>
              <w:drawing>
                <wp:inline distT="0" distB="0" distL="0" distR="0">
                  <wp:extent cx="1819275" cy="1809750"/>
                  <wp:effectExtent l="0" t="0" r="0" b="0"/>
                  <wp:docPr id="13" name="Bild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>
                <w:rFonts w:eastAsia="Calibri"/>
                <w:b/>
              </w:rPr>
              <w:t>Mask 8</w:t>
            </w:r>
          </w:p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0" allowOverlap="1" relativeHeight="23" wp14:anchorId="137F8E4B">
                      <wp:simplePos x="0" y="0"/>
                      <wp:positionH relativeFrom="column">
                        <wp:posOffset>4635500</wp:posOffset>
                      </wp:positionH>
                      <wp:positionV relativeFrom="paragraph">
                        <wp:posOffset>635</wp:posOffset>
                      </wp:positionV>
                      <wp:extent cx="635000" cy="635000"/>
                      <wp:effectExtent l="0" t="0" r="0" b="0"/>
                      <wp:wrapNone/>
                      <wp:docPr id="14" name="_x0000_tole_rId29" hidden="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40" cy="635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_x0000_tole_rId29" path="m0,0l-2147483645,0l-2147483645,-2147483646l0,-2147483646xe" stroked="f" o:allowincell="f" style="position:absolute;margin-left:365pt;margin-top:0.05pt;width:49.95pt;height:49.95pt;mso-wrap-style:none;v-text-anchor:middle" wp14:anchorId="137F8E4B">
                      <v:fill o:detectmouseclick="t" on="false"/>
                      <v:stroke color="#3465a4" joinstyle="round" endcap="flat"/>
                      <w10:wrap type="none"/>
                    </v:rect>
                  </w:pict>
                </mc:Fallback>
              </mc:AlternateContent>
              <w:drawing>
                <wp:inline distT="0" distB="0" distL="0" distR="0">
                  <wp:extent cx="1819275" cy="1790700"/>
                  <wp:effectExtent l="0" t="0" r="0" b="0"/>
                  <wp:docPr id="15" name="Bild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>
                <w:rFonts w:eastAsia="Calibri"/>
                <w:b/>
              </w:rPr>
              <w:t>Mask 9</w:t>
            </w:r>
          </w:p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0" allowOverlap="1" relativeHeight="24" wp14:anchorId="71D17982">
                      <wp:simplePos x="0" y="0"/>
                      <wp:positionH relativeFrom="column">
                        <wp:posOffset>2741295</wp:posOffset>
                      </wp:positionH>
                      <wp:positionV relativeFrom="paragraph">
                        <wp:posOffset>635</wp:posOffset>
                      </wp:positionV>
                      <wp:extent cx="635000" cy="635000"/>
                      <wp:effectExtent l="0" t="0" r="0" b="0"/>
                      <wp:wrapNone/>
                      <wp:docPr id="16" name="_x0000_tole_rId31" hidden="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40" cy="635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_x0000_tole_rId31" path="m0,0l-2147483645,0l-2147483645,-2147483646l0,-2147483646xe" stroked="f" o:allowincell="f" style="position:absolute;margin-left:215.85pt;margin-top:0.05pt;width:49.95pt;height:49.95pt;mso-wrap-style:none;v-text-anchor:middle" wp14:anchorId="71D17982">
                      <v:fill o:detectmouseclick="t" on="false"/>
                      <v:stroke color="#3465a4" joinstyle="round" endcap="flat"/>
                      <w10:wrap type="none"/>
                    </v:rect>
                  </w:pict>
                </mc:Fallback>
              </mc:AlternateContent>
              <w:drawing>
                <wp:inline distT="0" distB="0" distL="0" distR="0">
                  <wp:extent cx="1762125" cy="1800225"/>
                  <wp:effectExtent l="0" t="0" r="0" b="0"/>
                  <wp:docPr id="17" name="Bild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d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052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>
                <w:rFonts w:eastAsia="Calibri"/>
                <w:b/>
              </w:rPr>
              <w:t>Mask 10</w:t>
            </w:r>
          </w:p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0" allowOverlap="1" relativeHeight="25" wp14:anchorId="0D3B0E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635000" cy="635000"/>
                      <wp:effectExtent l="0" t="0" r="0" b="0"/>
                      <wp:wrapNone/>
                      <wp:docPr id="18" name="_x0000_tole_rId33" hidden="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40" cy="635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_x0000_tole_rId33" path="m0,0l-2147483645,0l-2147483645,-2147483646l0,-2147483646xe" stroked="f" o:allowincell="f" style="position:absolute;margin-left:0pt;margin-top:0.05pt;width:49.95pt;height:49.95pt;mso-wrap-style:none;v-text-anchor:middle" wp14:anchorId="0D3B0E9A">
                      <v:fill o:detectmouseclick="t" on="false"/>
                      <v:stroke color="#3465a4" joinstyle="round" endcap="flat"/>
                      <w10:wrap type="none"/>
                    </v:rect>
                  </w:pict>
                </mc:Fallback>
              </mc:AlternateContent>
              <w:drawing>
                <wp:inline distT="0" distB="0" distL="0" distR="0">
                  <wp:extent cx="1819275" cy="1866900"/>
                  <wp:effectExtent l="0" t="0" r="0" b="0"/>
                  <wp:docPr id="19" name="Bild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d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>
                <w:rFonts w:eastAsia="Calibri"/>
                <w:b/>
              </w:rPr>
              <w:t>Mask 11</w:t>
            </w:r>
          </w:p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0" allowOverlap="1" relativeHeight="26" wp14:anchorId="5CA493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635000" cy="635000"/>
                      <wp:effectExtent l="0" t="0" r="0" b="0"/>
                      <wp:wrapNone/>
                      <wp:docPr id="20" name="_x0000_tole_rId35" hidden="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40" cy="635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_x0000_tole_rId35" path="m0,0l-2147483645,0l-2147483645,-2147483646l0,-2147483646xe" stroked="f" o:allowincell="f" style="position:absolute;margin-left:0pt;margin-top:0.05pt;width:49.95pt;height:49.95pt;mso-wrap-style:none;v-text-anchor:middle" wp14:anchorId="5CA49330">
                      <v:fill o:detectmouseclick="t" on="false"/>
                      <v:stroke color="#3465a4" joinstyle="round" endcap="flat"/>
                      <w10:wrap type="none"/>
                    </v:rect>
                  </w:pict>
                </mc:Fallback>
              </mc:AlternateContent>
              <w:drawing>
                <wp:inline distT="0" distB="0" distL="0" distR="0">
                  <wp:extent cx="1857375" cy="1876425"/>
                  <wp:effectExtent l="0" t="0" r="0" b="0"/>
                  <wp:docPr id="21" name="Bild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>
                <w:rFonts w:eastAsia="Calibri"/>
                <w:b/>
              </w:rPr>
              <w:t>Mask 12</w:t>
            </w:r>
          </w:p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0" allowOverlap="1" relativeHeight="27" wp14:anchorId="418CE4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635000" cy="635000"/>
                      <wp:effectExtent l="0" t="0" r="0" b="0"/>
                      <wp:wrapNone/>
                      <wp:docPr id="22" name="_x0000_tole_rId37" hidden="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40" cy="635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_x0000_tole_rId37" path="m0,0l-2147483645,0l-2147483645,-2147483646l0,-2147483646xe" stroked="f" o:allowincell="f" style="position:absolute;margin-left:0pt;margin-top:0.05pt;width:49.95pt;height:49.95pt;mso-wrap-style:none;v-text-anchor:middle" wp14:anchorId="418CE480">
                      <v:fill o:detectmouseclick="t" on="false"/>
                      <v:stroke color="#3465a4" joinstyle="round" endcap="flat"/>
                      <w10:wrap type="none"/>
                    </v:rect>
                  </w:pict>
                </mc:Fallback>
              </mc:AlternateContent>
              <w:drawing>
                <wp:inline distT="0" distB="0" distL="0" distR="0">
                  <wp:extent cx="1800225" cy="1857375"/>
                  <wp:effectExtent l="0" t="0" r="0" b="0"/>
                  <wp:docPr id="23" name="Bild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534" w:hRule="atLeast"/>
        </w:trPr>
        <w:tc>
          <w:tcPr>
            <w:tcW w:w="3052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>
                <w:rFonts w:eastAsia="Calibri"/>
                <w:b/>
              </w:rPr>
              <w:t>Mask 13</w:t>
            </w:r>
          </w:p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0" allowOverlap="1" relativeHeight="28" wp14:anchorId="40B8BD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635000" cy="635000"/>
                      <wp:effectExtent l="0" t="0" r="0" b="0"/>
                      <wp:wrapNone/>
                      <wp:docPr id="24" name="_x0000_tole_rId39" hidden="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40" cy="635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_x0000_tole_rId39" path="m0,0l-2147483645,0l-2147483645,-2147483646l0,-2147483646xe" stroked="f" o:allowincell="f" style="position:absolute;margin-left:0pt;margin-top:0.05pt;width:49.95pt;height:49.95pt;mso-wrap-style:none;v-text-anchor:middle" wp14:anchorId="40B8BD35">
                      <v:fill o:detectmouseclick="t" on="false"/>
                      <v:stroke color="#3465a4" joinstyle="round" endcap="flat"/>
                      <w10:wrap type="none"/>
                    </v:rect>
                  </w:pict>
                </mc:Fallback>
              </mc:AlternateContent>
              <w:drawing>
                <wp:inline distT="0" distB="0" distL="0" distR="0">
                  <wp:extent cx="1943100" cy="1952625"/>
                  <wp:effectExtent l="0" t="0" r="0" b="0"/>
                  <wp:docPr id="25" name="Bild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>
                <w:rFonts w:eastAsia="Calibri"/>
                <w:b/>
              </w:rPr>
              <w:t>Mask 14</w:t>
            </w:r>
          </w:p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0" allowOverlap="1" relativeHeight="29" wp14:anchorId="3DB8DD3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635000" cy="635000"/>
                      <wp:effectExtent l="0" t="0" r="0" b="0"/>
                      <wp:wrapNone/>
                      <wp:docPr id="26" name="_x0000_tole_rId41" hidden="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40" cy="635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_x0000_tole_rId41" path="m0,0l-2147483645,0l-2147483645,-2147483646l0,-2147483646xe" stroked="f" o:allowincell="f" style="position:absolute;margin-left:0pt;margin-top:0.05pt;width:49.95pt;height:49.95pt;mso-wrap-style:none;v-text-anchor:middle" wp14:anchorId="3DB8DD3B">
                      <v:fill o:detectmouseclick="t" on="false"/>
                      <v:stroke color="#3465a4" joinstyle="round" endcap="flat"/>
                      <w10:wrap type="none"/>
                    </v:rect>
                  </w:pict>
                </mc:Fallback>
              </mc:AlternateContent>
              <w:drawing>
                <wp:inline distT="0" distB="0" distL="0" distR="0">
                  <wp:extent cx="1866900" cy="1943100"/>
                  <wp:effectExtent l="0" t="0" r="0" b="0"/>
                  <wp:docPr id="27" name="Bild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ild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>
                <w:rFonts w:eastAsia="Calibri"/>
                <w:b/>
              </w:rPr>
              <w:t>Mask 15</w:t>
            </w:r>
          </w:p>
          <w:p>
            <w:pPr>
              <w:pStyle w:val="Normal"/>
              <w:widowControl w:val="false"/>
              <w:bidi w:val="0"/>
              <w:spacing w:lineRule="auto" w:line="480" w:before="0" w:after="0"/>
              <w:jc w:val="left"/>
              <w:rPr>
                <w:rFonts w:ascii="Calibri" w:hAnsi="Calibri"/>
              </w:rPr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0" allowOverlap="1" relativeHeight="30" wp14:anchorId="0F1CA6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635000" cy="635000"/>
                      <wp:effectExtent l="0" t="0" r="0" b="0"/>
                      <wp:wrapNone/>
                      <wp:docPr id="28" name="_x0000_tole_rId43" hidden="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40" cy="635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_x0000_tole_rId43" path="m0,0l-2147483645,0l-2147483645,-2147483646l0,-2147483646xe" stroked="f" o:allowincell="f" style="position:absolute;margin-left:0pt;margin-top:0.05pt;width:49.95pt;height:49.95pt;mso-wrap-style:none;v-text-anchor:middle" wp14:anchorId="0F1CA688">
                      <v:fill o:detectmouseclick="t" on="false"/>
                      <v:stroke color="#3465a4" joinstyle="round" endcap="flat"/>
                      <w10:wrap type="none"/>
                    </v:rect>
                  </w:pict>
                </mc:Fallback>
              </mc:AlternateContent>
              <w:drawing>
                <wp:inline distT="0" distB="0" distL="0" distR="0">
                  <wp:extent cx="1876425" cy="1924050"/>
                  <wp:effectExtent l="0" t="0" r="0" b="0"/>
                  <wp:docPr id="29" name="Bild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ild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bidi w:val="0"/>
        <w:spacing w:lineRule="auto" w:line="480"/>
        <w:jc w:val="center"/>
        <w:rPr>
          <w:rFonts w:ascii="Calibri" w:hAnsi="Calibri"/>
        </w:rPr>
      </w:pPr>
      <w:r>
        <w:rPr>
          <w:b/>
          <w:bCs/>
        </w:rPr>
        <w:t xml:space="preserve">Supplementary Figure 1. </w:t>
      </w:r>
      <w:r>
        <w:rPr>
          <w:b w:val="false"/>
          <w:bCs w:val="false"/>
          <w:i/>
          <w:iCs/>
        </w:rPr>
        <w:t>Bacterial colonies isolated from 15 randomly collected surgical face masks on blood agar.</w:t>
      </w:r>
    </w:p>
    <w:p>
      <w:pPr>
        <w:sectPr>
          <w:type w:val="nextPage"/>
          <w:pgSz w:w="11906" w:h="16838"/>
          <w:pgMar w:left="1134" w:right="1134" w:gutter="0" w:header="0" w:top="1134" w:footer="0" w:bottom="1134"/>
          <w:pgNumType w:fmt="decimal"/>
          <w:formProt w:val="false"/>
          <w:textDirection w:val="lrTb"/>
        </w:sectPr>
        <w:pStyle w:val="Normal"/>
        <w:widowControl/>
        <w:suppressAutoHyphens w:val="true"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bidi w:val="0"/>
        <w:ind w:left="1416" w:firstLine="708"/>
        <w:jc w:val="left"/>
        <w:rPr>
          <w:b/>
          <w:b/>
          <w:bCs/>
          <w:lang w:val="en-US"/>
        </w:rPr>
      </w:pPr>
      <w:r>
        <w:rPr>
          <w:b/>
          <w:bCs/>
          <w:lang w:val="en-US"/>
        </w:rPr>
        <w:t>Supplementary Table 1. BLASTn results of 16S rRNA-based identification of isolated bacteria from masks</w:t>
      </w:r>
    </w:p>
    <w:tbl>
      <w:tblPr>
        <w:tblStyle w:val="Tabela-Siatka"/>
        <w:tblW w:w="1417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38"/>
        <w:gridCol w:w="961"/>
        <w:gridCol w:w="992"/>
        <w:gridCol w:w="1568"/>
        <w:gridCol w:w="1550"/>
        <w:gridCol w:w="1134"/>
        <w:gridCol w:w="3176"/>
        <w:gridCol w:w="991"/>
        <w:gridCol w:w="938"/>
        <w:gridCol w:w="2320"/>
      </w:tblGrid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b/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pl-PL" w:eastAsia="en-US" w:bidi="ar-SA"/>
              </w:rPr>
              <w:t>Mask number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pl-PL" w:eastAsia="en-US" w:bidi="ar-SA"/>
              </w:rPr>
              <w:t>Clone number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pl-PL" w:eastAsia="en-US" w:bidi="ar-SA"/>
              </w:rPr>
              <w:t>Seqeunce code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pl-PL" w:eastAsia="en-US" w:bidi="ar-SA"/>
              </w:rPr>
              <w:t>Trimmed sequence range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pl-PL" w:eastAsia="en-US" w:bidi="ar-SA"/>
              </w:rPr>
              <w:t>Sequence length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pl-PL" w:eastAsia="en-US" w:bidi="ar-SA"/>
              </w:rPr>
              <w:t>The highest identity record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pl-PL" w:eastAsia="en-US" w:bidi="ar-SA"/>
              </w:rPr>
              <w:t>Coverage (%)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pl-PL" w:eastAsia="en-US" w:bidi="ar-SA"/>
              </w:rPr>
              <w:t>Identity (%)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b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en-US" w:eastAsia="en-US" w:bidi="ar-SA"/>
              </w:rPr>
              <w:t xml:space="preserve">Genome accession number of the first </w:t>
            </w:r>
            <w:r>
              <w:rPr>
                <w:rFonts w:eastAsia="Calibri" w:cs=""/>
                <w:b/>
                <w:kern w:val="0"/>
                <w:sz w:val="20"/>
                <w:szCs w:val="20"/>
                <w:lang w:val="en-US" w:eastAsia="en-US" w:bidi="ar-SA"/>
              </w:rPr>
              <w:t>highest identity record</w:t>
            </w:r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21CDZAD040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C:10-C:1095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1086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Bhargavaea ginsengi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hyperlink r:id="rId17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KT719934.1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5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21CDZAD020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C:15-A:1078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1064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epidermidis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hyperlink r:id="rId18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CP119047.1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3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6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21CDZAD014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C:13-A:806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794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warneri/pasteuri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rStyle w:val="Cf01"/>
                <w:rFonts w:ascii="Calibri" w:hAnsi="Calibri" w:asciiTheme="minorHAnsi" w:hAnsiTheme="minorHAnsi"/>
                <w:color w:val="000000" w:themeColor="text1"/>
                <w:sz w:val="20"/>
                <w:szCs w:val="20"/>
              </w:rPr>
            </w:pPr>
            <w:hyperlink r:id="rId19">
              <w:r>
                <w:rPr>
                  <w:rStyle w:val="Internetverknpfung"/>
                  <w:rFonts w:eastAsia="Calibri" w:cs=""/>
                  <w:color w:val="000000" w:themeColor="text1"/>
                  <w:kern w:val="0"/>
                  <w:sz w:val="20"/>
                  <w:szCs w:val="20"/>
                  <w:u w:val="none"/>
                  <w:lang w:val="pl-PL" w:eastAsia="en-US" w:bidi="ar-SA"/>
                </w:rPr>
                <w:t>MK203007.1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4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21CDZAD049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T:10-A:1074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1065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epidermidis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hyperlink r:id="rId20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CP065656.1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5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21CDZAD039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C:16-A:976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961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epidermidis/warneri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hyperlink r:id="rId21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CP040883.1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6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4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21CDZAD005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C:9-T:1050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1042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epidermidis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rStyle w:val="Cf01"/>
                <w:rFonts w:ascii="Calibri" w:hAnsi="Calibri" w:asciiTheme="minorHAnsi" w:hAnsiTheme="minorHAnsi"/>
                <w:color w:val="000000" w:themeColor="text1"/>
                <w:sz w:val="20"/>
                <w:szCs w:val="20"/>
              </w:rPr>
            </w:pPr>
            <w:hyperlink r:id="rId22">
              <w:r>
                <w:rPr>
                  <w:rStyle w:val="Internetverknpfung"/>
                  <w:rFonts w:eastAsia="Calibri" w:cs=""/>
                  <w:color w:val="000000" w:themeColor="text1"/>
                  <w:kern w:val="0"/>
                  <w:sz w:val="20"/>
                  <w:szCs w:val="20"/>
                  <w:u w:val="none"/>
                  <w:lang w:val="pl-PL" w:eastAsia="en-US" w:bidi="ar-SA"/>
                </w:rPr>
                <w:t>CP040883.1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7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3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21CDZAD029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C:16-A:1142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1127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epidermidis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hyperlink r:id="rId23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CP040883.1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8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3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6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21CDZAD013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C:15-T:806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792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epidermidis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rStyle w:val="Cf01"/>
                <w:rFonts w:ascii="Calibri" w:hAnsi="Calibri" w:asciiTheme="minorHAnsi" w:hAnsiTheme="minorHAnsi"/>
                <w:color w:val="000000" w:themeColor="text1"/>
                <w:sz w:val="20"/>
                <w:szCs w:val="20"/>
              </w:rPr>
            </w:pPr>
            <w:hyperlink r:id="rId24">
              <w:r>
                <w:rPr>
                  <w:rStyle w:val="Internetverknpfung"/>
                  <w:rFonts w:eastAsia="Calibri" w:cs=""/>
                  <w:color w:val="000000" w:themeColor="text1"/>
                  <w:kern w:val="0"/>
                  <w:sz w:val="20"/>
                  <w:szCs w:val="20"/>
                  <w:u w:val="none"/>
                  <w:lang w:val="pl-PL" w:eastAsia="en-US" w:bidi="ar-SA"/>
                </w:rPr>
                <w:t>MT482624.1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9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4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21CDZAD038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A:31-T:1121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1091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epidermidis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hyperlink r:id="rId25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MT613456.1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4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3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21CDZAD035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A:35-T:675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641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warneri/pasteuri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hyperlink r:id="rId26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MT642942.1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11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4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5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21CDZAD012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C:17-T:882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866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epidermidis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rStyle w:val="Cf01"/>
                <w:rFonts w:ascii="Calibri" w:hAnsi="Calibri" w:asciiTheme="minorHAnsi" w:hAnsiTheme="minorHAnsi"/>
                <w:color w:val="000000" w:themeColor="text1"/>
                <w:sz w:val="20"/>
                <w:szCs w:val="20"/>
              </w:rPr>
            </w:pPr>
            <w:hyperlink r:id="rId27">
              <w:r>
                <w:rPr>
                  <w:rStyle w:val="Internetverknpfung"/>
                  <w:rFonts w:eastAsia="Calibri" w:cs=""/>
                  <w:color w:val="000000" w:themeColor="text1"/>
                  <w:kern w:val="0"/>
                  <w:sz w:val="20"/>
                  <w:szCs w:val="20"/>
                  <w:u w:val="none"/>
                  <w:lang w:val="pl-PL" w:eastAsia="en-US" w:bidi="ar-SA"/>
                </w:rPr>
                <w:t>MT482624.1</w:t>
              </w:r>
            </w:hyperlink>
          </w:p>
        </w:tc>
      </w:tr>
      <w:tr>
        <w:trPr>
          <w:trHeight w:val="157" w:hRule="atLeast"/>
        </w:trPr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12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5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21CDZAD048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G:33-C:995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963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  <w:highlight w:val="yellow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aureus/argenteus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Pf0"/>
              <w:widowControl w:val="false"/>
              <w:suppressAutoHyphens w:val="true"/>
              <w:bidi w:val="0"/>
              <w:spacing w:before="0" w:after="0"/>
              <w:jc w:val="center"/>
              <w:rPr>
                <w:rFonts w:ascii="Calibri" w:hAnsi="Calibri" w:cs="Arial" w:asciiTheme="minorHAnsi" w:hAnsiTheme="minorHAnsi"/>
                <w:color w:val="000000" w:themeColor="text1"/>
                <w:sz w:val="20"/>
                <w:szCs w:val="20"/>
              </w:rPr>
            </w:pPr>
            <w:hyperlink r:id="rId28">
              <w:r>
                <w:rPr>
                  <w:rStyle w:val="Cf01"/>
                  <w:rFonts w:ascii="Calibri" w:hAnsi="Calibri" w:asciiTheme="minorHAnsi" w:hAnsiTheme="minorHAnsi"/>
                  <w:color w:val="000000" w:themeColor="text1"/>
                  <w:kern w:val="0"/>
                  <w:sz w:val="20"/>
                  <w:szCs w:val="20"/>
                  <w:lang w:val="pl-PL" w:bidi="ar-SA"/>
                </w:rPr>
                <w:t>CP119113.1</w:t>
              </w:r>
            </w:hyperlink>
            <w:r>
              <w:rPr>
                <w:rStyle w:val="Cf01"/>
                <w:rFonts w:ascii="Calibri" w:hAnsi="Calibri" w:asciiTheme="minorHAnsi" w:hAnsiTheme="minorHAnsi"/>
                <w:color w:val="000000" w:themeColor="text1"/>
                <w:kern w:val="0"/>
                <w:sz w:val="20"/>
                <w:szCs w:val="20"/>
                <w:lang w:val="pl-PL" w:bidi="ar-SA"/>
              </w:rPr>
              <w:t xml:space="preserve"> </w:t>
            </w:r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13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5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3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21CDZAD026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A:36-A:1123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1088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aureus/argenteus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hyperlink r:id="rId29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CP119113.1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14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5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4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21CDZAD025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T:17-A:1121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1105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aureus/argenteus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hyperlink r:id="rId30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CP119113.1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15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6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21CDZAD037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C:14-C:1151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1138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warneri/pasteuri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hyperlink r:id="rId31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OP263325.1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16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6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21CDZAD032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C:14-A:1120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1107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epidermidis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hyperlink r:id="rId32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MT604781.1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17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7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21CDZAD028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C:19-A:1082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1064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epidermidis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hyperlink r:id="rId33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CP119047.1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18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7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3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21CDZAD027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C:16-A:1079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1064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epidermidis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hyperlink r:id="rId34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CP119047.1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19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8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21CDZAD047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C:16-C:1043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1028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hominis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hyperlink r:id="rId35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MT544813.1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20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8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21CDZAD031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C:15-A:1147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1133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epidermidis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hyperlink r:id="rId36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CP024408.1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9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21CDZAD046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C:10-G:981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972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Paenibacillus lemnae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99.07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MN581184.</w:t>
            </w:r>
            <w:r>
              <w:rPr>
                <w:rFonts w:eastAsia="Calibri" w:cs=""/>
                <w:kern w:val="0"/>
                <w:sz w:val="22"/>
                <w:szCs w:val="22"/>
                <w:lang w:val="pl-PL" w:eastAsia="en-US" w:bidi="ar-SA"/>
              </w:rPr>
              <w:t>1</w:t>
            </w:r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22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9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21CDZAD030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C:19-C:1039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1021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  <w:lang w:val="en-GB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en-GB" w:eastAsia="en-US" w:bidi="ar-SA"/>
              </w:rPr>
              <w:t xml:space="preserve">Bacillus </w:t>
            </w:r>
            <w:r>
              <w:rPr>
                <w:rFonts w:eastAsia="Calibri" w:cs=""/>
                <w:iCs/>
                <w:kern w:val="0"/>
                <w:sz w:val="20"/>
                <w:szCs w:val="20"/>
                <w:lang w:val="en-GB" w:eastAsia="en-US" w:bidi="ar-SA"/>
              </w:rPr>
              <w:t>spp</w:t>
            </w:r>
            <w:r>
              <w:rPr>
                <w:rFonts w:eastAsia="Calibri" w:cs=""/>
                <w:i/>
                <w:kern w:val="0"/>
                <w:sz w:val="20"/>
                <w:szCs w:val="20"/>
                <w:lang w:val="en-GB" w:eastAsia="en-US" w:bidi="ar-SA"/>
              </w:rPr>
              <w:t>.*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hyperlink r:id="rId37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OQ509998.1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23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9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4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21CDZAD011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G:25-C:1087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1063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en-GB" w:eastAsia="en-US" w:bidi="ar-SA"/>
              </w:rPr>
              <w:t xml:space="preserve">Bacillus </w:t>
            </w:r>
            <w:r>
              <w:rPr>
                <w:rFonts w:eastAsia="Calibri" w:cs=""/>
                <w:iCs/>
                <w:kern w:val="0"/>
                <w:sz w:val="20"/>
                <w:szCs w:val="20"/>
                <w:lang w:val="en-GB" w:eastAsia="en-US" w:bidi="ar-SA"/>
              </w:rPr>
              <w:t>spp</w:t>
            </w:r>
            <w:r>
              <w:rPr>
                <w:rFonts w:eastAsia="Calibri" w:cs=""/>
                <w:i/>
                <w:kern w:val="0"/>
                <w:sz w:val="20"/>
                <w:szCs w:val="20"/>
                <w:lang w:val="en-GB" w:eastAsia="en-US" w:bidi="ar-SA"/>
              </w:rPr>
              <w:t>.*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rStyle w:val="Cf01"/>
                <w:rFonts w:ascii="Calibri" w:hAnsi="Calibri"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Style w:val="Internetverknpfung"/>
                <w:rFonts w:eastAsia="Calibri" w:cs="Arial"/>
                <w:color w:val="000000" w:themeColor="text1"/>
                <w:kern w:val="0"/>
                <w:sz w:val="20"/>
                <w:szCs w:val="20"/>
                <w:u w:val="none"/>
                <w:lang w:val="pl-PL" w:eastAsia="en-US" w:bidi="ar-SA"/>
              </w:rPr>
              <w:t>OQ534872.1</w:t>
            </w:r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24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21CDZAD045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A:25-T:1030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1006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epidermidis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hyperlink r:id="rId38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MT605363.1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25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21CDZAD024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C:14-A:1077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1064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epidermidis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hyperlink r:id="rId39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CP119047.1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26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7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21CDZAD016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A:22-A:1025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1004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Psychrobacter faecalis/pulmonis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hyperlink r:id="rId40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MT269580.1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27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21CDZAD015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T:19-G:1031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1013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epidermidis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hyperlink r:id="rId41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KY623304.1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28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11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21CDZAD044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T:14-A:1063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1050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epidermidis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hyperlink r:id="rId42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MT604781.1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29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11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4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21CDZAD019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T:13-G:916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904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epidermidis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hyperlink r:id="rId43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MT445298.1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30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11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6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21CDZAD010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T:10-T:795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786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warneri/pasteuri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rStyle w:val="Cf01"/>
                <w:rFonts w:ascii="Calibri" w:hAnsi="Calibri" w:asciiTheme="minorHAnsi" w:hAnsiTheme="minorHAnsi"/>
                <w:color w:val="000000" w:themeColor="text1"/>
                <w:sz w:val="20"/>
                <w:szCs w:val="20"/>
              </w:rPr>
            </w:pPr>
            <w:hyperlink r:id="rId44">
              <w:r>
                <w:rPr>
                  <w:rStyle w:val="Internetverknpfung"/>
                  <w:rFonts w:eastAsia="Calibri" w:cs=""/>
                  <w:color w:val="000000" w:themeColor="text1"/>
                  <w:kern w:val="0"/>
                  <w:sz w:val="20"/>
                  <w:szCs w:val="20"/>
                  <w:u w:val="none"/>
                  <w:lang w:val="pl-PL" w:eastAsia="en-US" w:bidi="ar-SA"/>
                </w:rPr>
                <w:t>MT642942.1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31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12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21CDZAD036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C:16-A:995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980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epidermidis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hyperlink r:id="rId45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CP040883.1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32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12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5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21CDZAD009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C:12-C:1139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1128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epidermidis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rStyle w:val="Cf01"/>
                <w:rFonts w:ascii="Calibri" w:hAnsi="Calibri" w:asciiTheme="minorHAnsi" w:hAnsiTheme="minorHAnsi"/>
                <w:color w:val="000000" w:themeColor="text1"/>
                <w:sz w:val="20"/>
                <w:szCs w:val="20"/>
              </w:rPr>
            </w:pPr>
            <w:hyperlink r:id="rId46">
              <w:r>
                <w:rPr>
                  <w:rStyle w:val="Internetverknpfung"/>
                  <w:rFonts w:eastAsia="Calibri" w:cs=""/>
                  <w:color w:val="000000" w:themeColor="text1"/>
                  <w:kern w:val="0"/>
                  <w:sz w:val="20"/>
                  <w:szCs w:val="20"/>
                  <w:u w:val="none"/>
                  <w:lang w:val="pl-PL" w:eastAsia="en-US" w:bidi="ar-SA"/>
                </w:rPr>
                <w:t>MT482624.1</w:t>
              </w:r>
            </w:hyperlink>
          </w:p>
        </w:tc>
      </w:tr>
      <w:tr>
        <w:trPr>
          <w:trHeight w:val="70" w:hRule="atLeast"/>
        </w:trPr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33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12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7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21CDZAD008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T:24-A:1089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1066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epidermidis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99.91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rStyle w:val="Cf01"/>
                <w:rFonts w:ascii="Calibri" w:hAnsi="Calibri"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Style w:val="Internetverknpfung"/>
                <w:rFonts w:eastAsia="Calibri" w:cs=""/>
                <w:color w:val="000000" w:themeColor="text1"/>
                <w:kern w:val="0"/>
                <w:sz w:val="20"/>
                <w:szCs w:val="20"/>
                <w:u w:val="none"/>
                <w:lang w:val="pl-PL" w:eastAsia="en-US" w:bidi="ar-SA"/>
              </w:rPr>
              <w:t>KY623304.1</w:t>
            </w:r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34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13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21CDZAD043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T:15-A:973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959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hominis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hyperlink r:id="rId47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CP054883.1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35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13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21CDZAD034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C:13-C:1125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1113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warneri/pasteuri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hyperlink r:id="rId48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MT642942.1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36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14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21CDZAD042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G:24-T:1120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1097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Bacillus altitudinis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99.91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hyperlink r:id="rId49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OM670223.1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37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14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21CDZAD018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T:21-G:1033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1013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Bacillus spp.**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hyperlink r:id="rId50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MT605432.1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38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14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3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21CDZAD017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T:20-C:993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974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Sporosarcina newyorkensis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hyperlink r:id="rId51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LN774518.1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39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15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21CDZAD041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C:16-T:1123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1108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epidermidis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rFonts w:cs="Arial"/>
                <w:color w:val="000000" w:themeColor="text1"/>
                <w:sz w:val="20"/>
                <w:szCs w:val="20"/>
              </w:rPr>
            </w:pPr>
            <w:hyperlink r:id="rId52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MK425675.1</w:t>
              </w:r>
            </w:hyperlink>
          </w:p>
        </w:tc>
      </w:tr>
      <w:tr>
        <w:trPr/>
        <w:tc>
          <w:tcPr>
            <w:tcW w:w="5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40</w:t>
            </w:r>
          </w:p>
        </w:tc>
        <w:tc>
          <w:tcPr>
            <w:tcW w:w="96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15</w:t>
            </w:r>
          </w:p>
        </w:tc>
        <w:tc>
          <w:tcPr>
            <w:tcW w:w="992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4</w:t>
            </w:r>
          </w:p>
        </w:tc>
        <w:tc>
          <w:tcPr>
            <w:tcW w:w="156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21CDZAD021</w:t>
            </w:r>
          </w:p>
        </w:tc>
        <w:tc>
          <w:tcPr>
            <w:tcW w:w="155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C:22-A:1126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1105</w:t>
            </w:r>
          </w:p>
        </w:tc>
        <w:tc>
          <w:tcPr>
            <w:tcW w:w="3176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i/>
                <w:kern w:val="0"/>
                <w:sz w:val="20"/>
                <w:szCs w:val="20"/>
                <w:lang w:val="pl-PL" w:eastAsia="en-US" w:bidi="ar-SA"/>
              </w:rPr>
              <w:t>Staphylococcus epidermidis</w:t>
            </w:r>
          </w:p>
        </w:tc>
        <w:tc>
          <w:tcPr>
            <w:tcW w:w="991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938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kern w:val="0"/>
                <w:sz w:val="20"/>
                <w:szCs w:val="20"/>
                <w:lang w:val="pl-PL" w:eastAsia="en-US" w:bidi="ar-SA"/>
              </w:rPr>
              <w:t>100</w:t>
            </w:r>
          </w:p>
        </w:tc>
        <w:tc>
          <w:tcPr>
            <w:tcW w:w="232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hyperlink r:id="rId53">
              <w:r>
                <w:rPr>
                  <w:rStyle w:val="Cf01"/>
                  <w:rFonts w:eastAsia="Calibri" w:cs=""/>
                  <w:color w:val="000000" w:themeColor="text1"/>
                  <w:kern w:val="0"/>
                  <w:sz w:val="20"/>
                  <w:szCs w:val="20"/>
                  <w:lang w:val="pl-PL" w:eastAsia="en-US" w:bidi="ar-SA"/>
                </w:rPr>
                <w:t>CP119047.1</w:t>
              </w:r>
            </w:hyperlink>
          </w:p>
        </w:tc>
      </w:tr>
    </w:tbl>
    <w:p>
      <w:pPr>
        <w:sectPr>
          <w:type w:val="nextPage"/>
          <w:pgSz w:orient="landscape" w:w="16838" w:h="11906"/>
          <w:pgMar w:left="1134" w:right="1134" w:gutter="0" w:header="0" w:top="1134" w:footer="0" w:bottom="1134"/>
          <w:pgNumType w:fmt="decimal"/>
          <w:formProt w:val="false"/>
          <w:textDirection w:val="lrTb"/>
        </w:sectPr>
        <w:pStyle w:val="Normal"/>
        <w:bidi w:val="0"/>
        <w:spacing w:before="0" w:after="160"/>
        <w:jc w:val="left"/>
        <w:rPr>
          <w:rFonts w:cs="Calibri" w:cstheme="minorHAnsi"/>
          <w:i/>
          <w:i/>
          <w:iCs/>
          <w:lang w:val="en-US"/>
        </w:rPr>
      </w:pPr>
      <w:r>
        <w:rPr>
          <w:lang w:val="en-US"/>
        </w:rPr>
        <w:t>*</w:t>
      </w:r>
      <w:r>
        <w:rPr>
          <w:i/>
          <w:iCs/>
          <w:lang w:val="en-US"/>
        </w:rPr>
        <w:t>Bacillus</w:t>
      </w:r>
      <w:r>
        <w:rPr>
          <w:lang w:val="en-US"/>
        </w:rPr>
        <w:t xml:space="preserve"> spp: </w:t>
      </w:r>
      <w:r>
        <w:rPr>
          <w:i/>
          <w:iCs/>
          <w:lang w:val="en-US"/>
        </w:rPr>
        <w:t xml:space="preserve">B. thuringiensis, B. tropicus, B. cereus, B. proteolyticus, B. albus, B. toyonensis, B. subtilis, B. paranthracis, B. mobilis, B. </w:t>
      </w:r>
      <w:r>
        <w:rPr>
          <w:rFonts w:cs="Calibri" w:cstheme="minorHAnsi"/>
          <w:i/>
          <w:iCs/>
          <w:lang w:val="en-GB"/>
        </w:rPr>
        <w:t xml:space="preserve">wiedmanni, </w:t>
        <w:br/>
        <w:t>**</w:t>
      </w:r>
      <w:r>
        <w:rPr>
          <w:lang w:val="en-US"/>
        </w:rPr>
        <w:t xml:space="preserve">Bacillus spp.: </w:t>
      </w:r>
      <w:r>
        <w:rPr>
          <w:i/>
          <w:iCs/>
          <w:lang w:val="en-US"/>
        </w:rPr>
        <w:t>B. megaterium, B. aryabhattai, B. acidiceler, B. zanthoxyli</w:t>
      </w:r>
    </w:p>
    <w:p>
      <w:pPr>
        <w:pStyle w:val="Normal"/>
        <w:bidi w:val="0"/>
        <w:jc w:val="center"/>
        <w:rPr>
          <w:rFonts w:ascii="Calibri" w:hAnsi="Calibri"/>
          <w:b/>
          <w:b/>
          <w:bCs/>
          <w:lang w:val="en-US"/>
        </w:rPr>
      </w:pPr>
      <w:r>
        <w:rPr>
          <w:b/>
          <w:bCs/>
          <w:lang w:val="en-US"/>
        </w:rPr>
        <w:t>Supplementary Table 2. Molecular identification of bacteria isolated from surgical masks, and their selected biochemical characteristics</w:t>
      </w:r>
    </w:p>
    <w:tbl>
      <w:tblPr>
        <w:tblW w:w="1048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40"/>
        <w:gridCol w:w="1016"/>
        <w:gridCol w:w="1260"/>
        <w:gridCol w:w="1257"/>
        <w:gridCol w:w="1437"/>
        <w:gridCol w:w="1143"/>
        <w:gridCol w:w="3431"/>
      </w:tblGrid>
      <w:tr>
        <w:trPr>
          <w:trHeight w:val="127" w:hRule="atLeast"/>
        </w:trPr>
        <w:tc>
          <w:tcPr>
            <w:tcW w:w="9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/>
              </w:rPr>
              <w:t>Mask number</w:t>
            </w:r>
          </w:p>
        </w:tc>
        <w:tc>
          <w:tcPr>
            <w:tcW w:w="10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/>
              </w:rPr>
              <w:t>Clone number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/>
              </w:rPr>
              <w:t>Haemolysis*</w:t>
            </w:r>
          </w:p>
        </w:tc>
        <w:tc>
          <w:tcPr>
            <w:tcW w:w="12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/>
              </w:rPr>
              <w:t>Salt tolerance</w:t>
            </w:r>
          </w:p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/>
              </w:rPr>
              <w:t>(6.5 % NaCl)</w:t>
            </w: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/>
              </w:rPr>
              <w:t>Mannitol fermentation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/>
              </w:rPr>
              <w:t>Coagulase</w:t>
            </w:r>
          </w:p>
        </w:tc>
        <w:tc>
          <w:tcPr>
            <w:tcW w:w="34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  <w:lang w:val="en-US"/>
              </w:rPr>
            </w:pPr>
            <w:r>
              <w:rPr>
                <w:rFonts w:eastAsia="Calibri"/>
                <w:b/>
                <w:lang w:val="en-US"/>
              </w:rPr>
              <w:t>Result of molecular identification based on 16S rRNA</w:t>
            </w:r>
          </w:p>
        </w:tc>
      </w:tr>
      <w:tr>
        <w:trPr>
          <w:trHeight w:val="127" w:hRule="atLeast"/>
        </w:trPr>
        <w:tc>
          <w:tcPr>
            <w:tcW w:w="940" w:type="dxa"/>
            <w:vMerge w:val="restart"/>
            <w:tcBorders>
              <w:top w:val="single" w:sz="4" w:space="0" w:color="000000"/>
            </w:tcBorders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1</w:t>
            </w:r>
          </w:p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>
              <w:top w:val="single" w:sz="4" w:space="0" w:color="000000"/>
            </w:tcBorders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</w:tcBorders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257" w:type="dxa"/>
            <w:tcBorders>
              <w:top w:val="single" w:sz="4" w:space="0" w:color="000000"/>
            </w:tcBorders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>
              <w:top w:val="single" w:sz="4" w:space="0" w:color="000000"/>
            </w:tcBorders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>
              <w:top w:val="single" w:sz="4" w:space="0" w:color="000000"/>
            </w:tcBorders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3431" w:type="dxa"/>
            <w:tcBorders>
              <w:top w:val="single" w:sz="4" w:space="0" w:color="000000"/>
            </w:tcBorders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Bhargavaea ginsengi</w:t>
            </w:r>
          </w:p>
        </w:tc>
      </w:tr>
      <w:tr>
        <w:trPr>
          <w:trHeight w:val="140" w:hRule="atLeast"/>
        </w:trPr>
        <w:tc>
          <w:tcPr>
            <w:tcW w:w="940" w:type="dxa"/>
            <w:vMerge w:val="continue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5</w:t>
            </w:r>
          </w:p>
        </w:tc>
        <w:tc>
          <w:tcPr>
            <w:tcW w:w="1260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25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epidermidis</w:t>
            </w:r>
          </w:p>
        </w:tc>
      </w:tr>
      <w:tr>
        <w:trPr>
          <w:trHeight w:val="140" w:hRule="atLeast"/>
        </w:trPr>
        <w:tc>
          <w:tcPr>
            <w:tcW w:w="940" w:type="dxa"/>
            <w:vMerge w:val="continue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6</w:t>
            </w:r>
          </w:p>
        </w:tc>
        <w:tc>
          <w:tcPr>
            <w:tcW w:w="1260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25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143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sz w:val="20"/>
                <w:szCs w:val="20"/>
              </w:rPr>
              <w:t>Staphylococcus warneri/pasteuri</w:t>
            </w:r>
          </w:p>
        </w:tc>
      </w:tr>
      <w:tr>
        <w:trPr>
          <w:trHeight w:val="127" w:hRule="atLeast"/>
        </w:trPr>
        <w:tc>
          <w:tcPr>
            <w:tcW w:w="940" w:type="dxa"/>
            <w:vMerge w:val="restart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1016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1</w:t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++</w:t>
            </w:r>
          </w:p>
        </w:tc>
        <w:tc>
          <w:tcPr>
            <w:tcW w:w="125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epidermidis</w:t>
            </w:r>
          </w:p>
        </w:tc>
      </w:tr>
      <w:tr>
        <w:trPr>
          <w:trHeight w:val="133" w:hRule="atLeast"/>
        </w:trPr>
        <w:tc>
          <w:tcPr>
            <w:tcW w:w="940" w:type="dxa"/>
            <w:vMerge w:val="continue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++</w:t>
            </w:r>
          </w:p>
        </w:tc>
        <w:tc>
          <w:tcPr>
            <w:tcW w:w="125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epidermidis/warneri</w:t>
            </w:r>
          </w:p>
        </w:tc>
      </w:tr>
      <w:tr>
        <w:trPr>
          <w:trHeight w:val="133" w:hRule="atLeast"/>
        </w:trPr>
        <w:tc>
          <w:tcPr>
            <w:tcW w:w="940" w:type="dxa"/>
            <w:vMerge w:val="continue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4</w:t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++</w:t>
            </w:r>
          </w:p>
        </w:tc>
        <w:tc>
          <w:tcPr>
            <w:tcW w:w="125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sz w:val="20"/>
                <w:szCs w:val="20"/>
              </w:rPr>
              <w:t>Staphylococcus epidermidis</w:t>
            </w:r>
          </w:p>
        </w:tc>
      </w:tr>
      <w:tr>
        <w:trPr>
          <w:trHeight w:val="127" w:hRule="atLeast"/>
        </w:trPr>
        <w:tc>
          <w:tcPr>
            <w:tcW w:w="940" w:type="dxa"/>
            <w:vMerge w:val="restart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3</w:t>
            </w:r>
          </w:p>
        </w:tc>
        <w:tc>
          <w:tcPr>
            <w:tcW w:w="1016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1</w:t>
            </w:r>
          </w:p>
        </w:tc>
        <w:tc>
          <w:tcPr>
            <w:tcW w:w="1260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++</w:t>
            </w:r>
          </w:p>
        </w:tc>
        <w:tc>
          <w:tcPr>
            <w:tcW w:w="125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epidermidis</w:t>
            </w:r>
          </w:p>
        </w:tc>
      </w:tr>
      <w:tr>
        <w:trPr>
          <w:trHeight w:val="127" w:hRule="atLeast"/>
        </w:trPr>
        <w:tc>
          <w:tcPr>
            <w:tcW w:w="940" w:type="dxa"/>
            <w:vMerge w:val="continue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6</w:t>
            </w:r>
          </w:p>
        </w:tc>
        <w:tc>
          <w:tcPr>
            <w:tcW w:w="1260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25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sz w:val="20"/>
                <w:szCs w:val="20"/>
              </w:rPr>
              <w:t>Staphylococcus epidermidis</w:t>
            </w:r>
          </w:p>
        </w:tc>
      </w:tr>
      <w:tr>
        <w:trPr>
          <w:trHeight w:val="133" w:hRule="atLeast"/>
        </w:trPr>
        <w:tc>
          <w:tcPr>
            <w:tcW w:w="940" w:type="dxa"/>
            <w:vMerge w:val="restart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4</w:t>
            </w:r>
          </w:p>
        </w:tc>
        <w:tc>
          <w:tcPr>
            <w:tcW w:w="1016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25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epidermidis</w:t>
            </w:r>
          </w:p>
        </w:tc>
      </w:tr>
      <w:tr>
        <w:trPr>
          <w:trHeight w:val="133" w:hRule="atLeast"/>
        </w:trPr>
        <w:tc>
          <w:tcPr>
            <w:tcW w:w="940" w:type="dxa"/>
            <w:vMerge w:val="continue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3</w:t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25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143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warneri/pasteuri</w:t>
            </w:r>
          </w:p>
        </w:tc>
      </w:tr>
      <w:tr>
        <w:trPr>
          <w:trHeight w:val="133" w:hRule="atLeast"/>
        </w:trPr>
        <w:tc>
          <w:tcPr>
            <w:tcW w:w="940" w:type="dxa"/>
            <w:vMerge w:val="continue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5</w:t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++</w:t>
            </w:r>
          </w:p>
        </w:tc>
        <w:tc>
          <w:tcPr>
            <w:tcW w:w="125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sz w:val="20"/>
                <w:szCs w:val="20"/>
              </w:rPr>
              <w:t>Staphylococcus epidermidis</w:t>
            </w:r>
          </w:p>
        </w:tc>
      </w:tr>
      <w:tr>
        <w:trPr>
          <w:trHeight w:val="127" w:hRule="atLeast"/>
        </w:trPr>
        <w:tc>
          <w:tcPr>
            <w:tcW w:w="940" w:type="dxa"/>
            <w:vMerge w:val="restart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5</w:t>
            </w:r>
          </w:p>
        </w:tc>
        <w:tc>
          <w:tcPr>
            <w:tcW w:w="1016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1</w:t>
            </w:r>
          </w:p>
        </w:tc>
        <w:tc>
          <w:tcPr>
            <w:tcW w:w="1260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25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143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3431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aureus/argenteus</w:t>
            </w:r>
          </w:p>
        </w:tc>
      </w:tr>
      <w:tr>
        <w:trPr>
          <w:trHeight w:val="133" w:hRule="atLeast"/>
        </w:trPr>
        <w:tc>
          <w:tcPr>
            <w:tcW w:w="940" w:type="dxa"/>
            <w:vMerge w:val="continue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3</w:t>
            </w:r>
          </w:p>
        </w:tc>
        <w:tc>
          <w:tcPr>
            <w:tcW w:w="1260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25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143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3431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aureus/argenteus</w:t>
            </w:r>
          </w:p>
        </w:tc>
      </w:tr>
      <w:tr>
        <w:trPr>
          <w:trHeight w:val="140" w:hRule="atLeast"/>
        </w:trPr>
        <w:tc>
          <w:tcPr>
            <w:tcW w:w="940" w:type="dxa"/>
            <w:vMerge w:val="continue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4</w:t>
            </w:r>
          </w:p>
        </w:tc>
        <w:tc>
          <w:tcPr>
            <w:tcW w:w="1260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25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143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3431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aureus/argenteus</w:t>
            </w:r>
          </w:p>
        </w:tc>
      </w:tr>
      <w:tr>
        <w:trPr>
          <w:trHeight w:val="127" w:hRule="atLeast"/>
        </w:trPr>
        <w:tc>
          <w:tcPr>
            <w:tcW w:w="940" w:type="dxa"/>
            <w:vMerge w:val="restart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6</w:t>
            </w:r>
          </w:p>
        </w:tc>
        <w:tc>
          <w:tcPr>
            <w:tcW w:w="1016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1</w:t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25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warneri/pasteuri</w:t>
            </w:r>
          </w:p>
        </w:tc>
      </w:tr>
      <w:tr>
        <w:trPr>
          <w:trHeight w:val="133" w:hRule="atLeast"/>
        </w:trPr>
        <w:tc>
          <w:tcPr>
            <w:tcW w:w="940" w:type="dxa"/>
            <w:vMerge w:val="continue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++</w:t>
            </w:r>
          </w:p>
        </w:tc>
        <w:tc>
          <w:tcPr>
            <w:tcW w:w="125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epidermidis</w:t>
            </w:r>
          </w:p>
        </w:tc>
      </w:tr>
      <w:tr>
        <w:trPr>
          <w:trHeight w:val="127" w:hRule="atLeast"/>
        </w:trPr>
        <w:tc>
          <w:tcPr>
            <w:tcW w:w="940" w:type="dxa"/>
            <w:vMerge w:val="restart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7</w:t>
            </w:r>
          </w:p>
        </w:tc>
        <w:tc>
          <w:tcPr>
            <w:tcW w:w="1016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1</w:t>
            </w:r>
          </w:p>
        </w:tc>
        <w:tc>
          <w:tcPr>
            <w:tcW w:w="1260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25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3431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epidermidis</w:t>
            </w:r>
          </w:p>
        </w:tc>
      </w:tr>
      <w:tr>
        <w:trPr>
          <w:trHeight w:val="140" w:hRule="atLeast"/>
        </w:trPr>
        <w:tc>
          <w:tcPr>
            <w:tcW w:w="940" w:type="dxa"/>
            <w:vMerge w:val="continue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3</w:t>
            </w:r>
          </w:p>
        </w:tc>
        <w:tc>
          <w:tcPr>
            <w:tcW w:w="1260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25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epidermidis</w:t>
            </w:r>
          </w:p>
        </w:tc>
      </w:tr>
      <w:tr>
        <w:trPr>
          <w:trHeight w:val="127" w:hRule="atLeast"/>
        </w:trPr>
        <w:tc>
          <w:tcPr>
            <w:tcW w:w="940" w:type="dxa"/>
            <w:vMerge w:val="restart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8</w:t>
            </w:r>
          </w:p>
        </w:tc>
        <w:tc>
          <w:tcPr>
            <w:tcW w:w="1016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1</w:t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25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hominis</w:t>
            </w:r>
          </w:p>
        </w:tc>
      </w:tr>
      <w:tr>
        <w:trPr>
          <w:trHeight w:val="133" w:hRule="atLeast"/>
        </w:trPr>
        <w:tc>
          <w:tcPr>
            <w:tcW w:w="940" w:type="dxa"/>
            <w:vMerge w:val="continue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25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epidermidis</w:t>
            </w:r>
          </w:p>
        </w:tc>
      </w:tr>
      <w:tr>
        <w:trPr>
          <w:trHeight w:val="127" w:hRule="atLeast"/>
        </w:trPr>
        <w:tc>
          <w:tcPr>
            <w:tcW w:w="940" w:type="dxa"/>
            <w:vMerge w:val="restart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9</w:t>
            </w:r>
          </w:p>
        </w:tc>
        <w:tc>
          <w:tcPr>
            <w:tcW w:w="1016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1</w:t>
            </w:r>
          </w:p>
        </w:tc>
        <w:tc>
          <w:tcPr>
            <w:tcW w:w="1260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25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43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Paenibacillus lemnae</w:t>
            </w:r>
          </w:p>
        </w:tc>
      </w:tr>
      <w:tr>
        <w:trPr>
          <w:trHeight w:val="140" w:hRule="atLeast"/>
        </w:trPr>
        <w:tc>
          <w:tcPr>
            <w:tcW w:w="940" w:type="dxa"/>
            <w:vMerge w:val="continue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1260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++</w:t>
            </w:r>
          </w:p>
        </w:tc>
        <w:tc>
          <w:tcPr>
            <w:tcW w:w="125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43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 xml:space="preserve">Bacillus </w:t>
            </w:r>
            <w:r>
              <w:rPr>
                <w:rFonts w:eastAsia="Calibri"/>
                <w:bCs/>
                <w:sz w:val="20"/>
                <w:szCs w:val="20"/>
              </w:rPr>
              <w:t>spp.</w:t>
            </w:r>
          </w:p>
        </w:tc>
      </w:tr>
      <w:tr>
        <w:trPr>
          <w:trHeight w:val="140" w:hRule="atLeast"/>
        </w:trPr>
        <w:tc>
          <w:tcPr>
            <w:tcW w:w="940" w:type="dxa"/>
            <w:vMerge w:val="continue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4</w:t>
            </w:r>
          </w:p>
        </w:tc>
        <w:tc>
          <w:tcPr>
            <w:tcW w:w="1260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++</w:t>
            </w:r>
          </w:p>
        </w:tc>
        <w:tc>
          <w:tcPr>
            <w:tcW w:w="125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43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sz w:val="20"/>
                <w:szCs w:val="20"/>
              </w:rPr>
              <w:t xml:space="preserve">Bacillus </w:t>
            </w:r>
            <w:r>
              <w:rPr>
                <w:rFonts w:eastAsia="Calibri"/>
                <w:bCs/>
                <w:iCs/>
                <w:sz w:val="20"/>
                <w:szCs w:val="20"/>
              </w:rPr>
              <w:t>spp</w:t>
            </w:r>
            <w:r>
              <w:rPr>
                <w:rFonts w:eastAsia="Calibri"/>
                <w:bCs/>
                <w:i/>
                <w:sz w:val="20"/>
                <w:szCs w:val="20"/>
              </w:rPr>
              <w:t>.</w:t>
            </w:r>
          </w:p>
        </w:tc>
      </w:tr>
      <w:tr>
        <w:trPr>
          <w:trHeight w:val="127" w:hRule="atLeast"/>
        </w:trPr>
        <w:tc>
          <w:tcPr>
            <w:tcW w:w="940" w:type="dxa"/>
            <w:vMerge w:val="restart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10</w:t>
            </w:r>
          </w:p>
        </w:tc>
        <w:tc>
          <w:tcPr>
            <w:tcW w:w="1016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1</w:t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25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epidermidis</w:t>
            </w:r>
          </w:p>
        </w:tc>
      </w:tr>
      <w:tr>
        <w:trPr>
          <w:trHeight w:val="133" w:hRule="atLeast"/>
        </w:trPr>
        <w:tc>
          <w:tcPr>
            <w:tcW w:w="940" w:type="dxa"/>
            <w:vMerge w:val="continue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25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epidermidis</w:t>
            </w:r>
          </w:p>
        </w:tc>
      </w:tr>
      <w:tr>
        <w:trPr>
          <w:trHeight w:val="133" w:hRule="atLeast"/>
        </w:trPr>
        <w:tc>
          <w:tcPr>
            <w:tcW w:w="940" w:type="dxa"/>
            <w:vMerge w:val="continue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7</w:t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25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43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Psychrobacter faecalis/pulmonis</w:t>
            </w:r>
          </w:p>
        </w:tc>
      </w:tr>
      <w:tr>
        <w:trPr>
          <w:trHeight w:val="133" w:hRule="atLeast"/>
        </w:trPr>
        <w:tc>
          <w:tcPr>
            <w:tcW w:w="940" w:type="dxa"/>
            <w:vMerge w:val="continue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10</w:t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++</w:t>
            </w:r>
          </w:p>
        </w:tc>
        <w:tc>
          <w:tcPr>
            <w:tcW w:w="125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43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epidermidis</w:t>
            </w:r>
          </w:p>
        </w:tc>
      </w:tr>
      <w:tr>
        <w:trPr>
          <w:trHeight w:val="127" w:hRule="atLeast"/>
        </w:trPr>
        <w:tc>
          <w:tcPr>
            <w:tcW w:w="940" w:type="dxa"/>
            <w:vMerge w:val="restart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11</w:t>
            </w:r>
          </w:p>
        </w:tc>
        <w:tc>
          <w:tcPr>
            <w:tcW w:w="1016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1</w:t>
            </w:r>
          </w:p>
        </w:tc>
        <w:tc>
          <w:tcPr>
            <w:tcW w:w="1260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25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epidermidis</w:t>
            </w:r>
          </w:p>
        </w:tc>
      </w:tr>
      <w:tr>
        <w:trPr>
          <w:trHeight w:val="127" w:hRule="atLeast"/>
        </w:trPr>
        <w:tc>
          <w:tcPr>
            <w:tcW w:w="940" w:type="dxa"/>
            <w:vMerge w:val="continue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4</w:t>
            </w:r>
          </w:p>
        </w:tc>
        <w:tc>
          <w:tcPr>
            <w:tcW w:w="1260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25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epidermidis</w:t>
            </w:r>
          </w:p>
        </w:tc>
      </w:tr>
      <w:tr>
        <w:trPr>
          <w:trHeight w:val="127" w:hRule="atLeast"/>
        </w:trPr>
        <w:tc>
          <w:tcPr>
            <w:tcW w:w="940" w:type="dxa"/>
            <w:vMerge w:val="continue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6</w:t>
            </w:r>
          </w:p>
        </w:tc>
        <w:tc>
          <w:tcPr>
            <w:tcW w:w="1260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25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143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warneri/pasteuri</w:t>
            </w:r>
          </w:p>
        </w:tc>
      </w:tr>
      <w:tr>
        <w:trPr>
          <w:trHeight w:val="133" w:hRule="atLeast"/>
        </w:trPr>
        <w:tc>
          <w:tcPr>
            <w:tcW w:w="940" w:type="dxa"/>
            <w:vMerge w:val="restart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12</w:t>
            </w:r>
          </w:p>
        </w:tc>
        <w:tc>
          <w:tcPr>
            <w:tcW w:w="1016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25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epidermidis</w:t>
            </w:r>
          </w:p>
        </w:tc>
      </w:tr>
      <w:tr>
        <w:trPr>
          <w:trHeight w:val="133" w:hRule="atLeast"/>
        </w:trPr>
        <w:tc>
          <w:tcPr>
            <w:tcW w:w="940" w:type="dxa"/>
            <w:vMerge w:val="continue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5</w:t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++</w:t>
            </w:r>
          </w:p>
        </w:tc>
        <w:tc>
          <w:tcPr>
            <w:tcW w:w="125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sz w:val="20"/>
                <w:szCs w:val="20"/>
              </w:rPr>
              <w:t>Staphylococcus epidermidis</w:t>
            </w:r>
          </w:p>
        </w:tc>
      </w:tr>
      <w:tr>
        <w:trPr>
          <w:trHeight w:val="133" w:hRule="atLeast"/>
        </w:trPr>
        <w:tc>
          <w:tcPr>
            <w:tcW w:w="940" w:type="dxa"/>
            <w:vMerge w:val="continue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7</w:t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++</w:t>
            </w:r>
          </w:p>
        </w:tc>
        <w:tc>
          <w:tcPr>
            <w:tcW w:w="125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3431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sz w:val="20"/>
                <w:szCs w:val="20"/>
              </w:rPr>
              <w:t>Staphylococcus epidermidis</w:t>
            </w:r>
          </w:p>
        </w:tc>
      </w:tr>
      <w:tr>
        <w:trPr>
          <w:trHeight w:val="127" w:hRule="atLeast"/>
        </w:trPr>
        <w:tc>
          <w:tcPr>
            <w:tcW w:w="940" w:type="dxa"/>
            <w:vMerge w:val="restart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13</w:t>
            </w:r>
          </w:p>
        </w:tc>
        <w:tc>
          <w:tcPr>
            <w:tcW w:w="1016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1</w:t>
            </w:r>
          </w:p>
        </w:tc>
        <w:tc>
          <w:tcPr>
            <w:tcW w:w="1260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25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hominis</w:t>
            </w:r>
          </w:p>
        </w:tc>
      </w:tr>
      <w:tr>
        <w:trPr>
          <w:trHeight w:val="133" w:hRule="atLeast"/>
        </w:trPr>
        <w:tc>
          <w:tcPr>
            <w:tcW w:w="940" w:type="dxa"/>
            <w:vMerge w:val="continue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1260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25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143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warneri/pasteuri</w:t>
            </w:r>
          </w:p>
        </w:tc>
      </w:tr>
      <w:tr>
        <w:trPr>
          <w:trHeight w:val="127" w:hRule="atLeast"/>
        </w:trPr>
        <w:tc>
          <w:tcPr>
            <w:tcW w:w="940" w:type="dxa"/>
            <w:vMerge w:val="restart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14</w:t>
            </w:r>
          </w:p>
        </w:tc>
        <w:tc>
          <w:tcPr>
            <w:tcW w:w="1016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1</w:t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++</w:t>
            </w:r>
          </w:p>
        </w:tc>
        <w:tc>
          <w:tcPr>
            <w:tcW w:w="125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143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Bacillus altitudinis</w:t>
            </w:r>
          </w:p>
        </w:tc>
      </w:tr>
      <w:tr>
        <w:trPr>
          <w:trHeight w:val="127" w:hRule="atLeast"/>
        </w:trPr>
        <w:tc>
          <w:tcPr>
            <w:tcW w:w="940" w:type="dxa"/>
            <w:vMerge w:val="continue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25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143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 xml:space="preserve">Bacillus </w:t>
            </w:r>
            <w:r>
              <w:rPr>
                <w:rFonts w:eastAsia="Calibri"/>
                <w:bCs/>
                <w:sz w:val="20"/>
                <w:szCs w:val="20"/>
              </w:rPr>
              <w:t>spp.</w:t>
            </w:r>
          </w:p>
        </w:tc>
      </w:tr>
      <w:tr>
        <w:trPr>
          <w:trHeight w:val="127" w:hRule="atLeast"/>
        </w:trPr>
        <w:tc>
          <w:tcPr>
            <w:tcW w:w="940" w:type="dxa"/>
            <w:vMerge w:val="continue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3</w:t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25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437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Sporosarcina newyorkensis</w:t>
            </w:r>
          </w:p>
        </w:tc>
      </w:tr>
      <w:tr>
        <w:trPr>
          <w:trHeight w:val="133" w:hRule="atLeast"/>
        </w:trPr>
        <w:tc>
          <w:tcPr>
            <w:tcW w:w="940" w:type="dxa"/>
            <w:vMerge w:val="restart"/>
            <w:tcBorders>
              <w:bottom w:val="single" w:sz="4" w:space="0" w:color="000000"/>
            </w:tcBorders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15</w:t>
            </w:r>
          </w:p>
        </w:tc>
        <w:tc>
          <w:tcPr>
            <w:tcW w:w="1016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1</w:t>
            </w:r>
          </w:p>
        </w:tc>
        <w:tc>
          <w:tcPr>
            <w:tcW w:w="1260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25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/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epidermidis</w:t>
            </w:r>
          </w:p>
        </w:tc>
      </w:tr>
      <w:tr>
        <w:trPr>
          <w:trHeight w:val="133" w:hRule="atLeast"/>
        </w:trPr>
        <w:tc>
          <w:tcPr>
            <w:tcW w:w="940" w:type="dxa"/>
            <w:vMerge w:val="continue"/>
            <w:tcBorders>
              <w:bottom w:val="single" w:sz="4" w:space="0" w:color="000000"/>
            </w:tcBorders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 w:eastAsia="Calibri"/>
                <w:bCs/>
              </w:rPr>
            </w:pPr>
            <w:r>
              <w:rPr>
                <w:rFonts w:eastAsia="Calibri" w:ascii="Calibri" w:hAnsi="Calibri"/>
                <w:bCs/>
              </w:rPr>
            </w:r>
          </w:p>
        </w:tc>
        <w:tc>
          <w:tcPr>
            <w:tcW w:w="1016" w:type="dxa"/>
            <w:tcBorders>
              <w:bottom w:val="single" w:sz="4" w:space="0" w:color="000000"/>
            </w:tcBorders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4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257" w:type="dxa"/>
            <w:tcBorders>
              <w:bottom w:val="single" w:sz="4" w:space="0" w:color="000000"/>
            </w:tcBorders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+</w:t>
            </w:r>
          </w:p>
        </w:tc>
        <w:tc>
          <w:tcPr>
            <w:tcW w:w="1437" w:type="dxa"/>
            <w:tcBorders>
              <w:bottom w:val="single" w:sz="4" w:space="0" w:color="000000"/>
            </w:tcBorders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</w:rPr>
              <w:t>-</w:t>
            </w:r>
          </w:p>
        </w:tc>
        <w:tc>
          <w:tcPr>
            <w:tcW w:w="1143" w:type="dxa"/>
            <w:tcBorders>
              <w:bottom w:val="single" w:sz="4" w:space="0" w:color="000000"/>
            </w:tcBorders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r>
              <w:rPr>
                <w:rFonts w:eastAsia="Calibri"/>
                <w:bCs/>
                <w:i/>
                <w:iCs/>
              </w:rPr>
              <w:t>-</w:t>
            </w:r>
          </w:p>
        </w:tc>
        <w:tc>
          <w:tcPr>
            <w:tcW w:w="3431" w:type="dxa"/>
            <w:tcBorders>
              <w:bottom w:val="single" w:sz="4" w:space="0" w:color="000000"/>
            </w:tcBorders>
            <w:shd w:color="auto" w:fill="BFBFBF" w:themeFill="background1" w:themeFillShade="bf" w:val="clear"/>
          </w:tcPr>
          <w:p>
            <w:pPr>
              <w:pStyle w:val="Normal"/>
              <w:widowControl w:val="false"/>
              <w:bidi w:val="0"/>
              <w:spacing w:lineRule="auto" w:line="480" w:before="0" w:after="0"/>
              <w:jc w:val="center"/>
              <w:rPr>
                <w:rFonts w:ascii="Calibri" w:hAnsi="Calibri"/>
              </w:rPr>
            </w:pPr>
            <w:bookmarkStart w:id="0" w:name="_Hlk127875630"/>
            <w:r>
              <w:rPr>
                <w:rFonts w:eastAsia="Calibri"/>
                <w:bCs/>
                <w:i/>
                <w:iCs/>
                <w:sz w:val="20"/>
                <w:szCs w:val="20"/>
              </w:rPr>
              <w:t>Staphylococcus epidermidis</w:t>
            </w:r>
            <w:bookmarkEnd w:id="0"/>
          </w:p>
        </w:tc>
      </w:tr>
    </w:tbl>
    <w:p>
      <w:pPr>
        <w:pStyle w:val="Normal"/>
        <w:bidi w:val="0"/>
        <w:spacing w:before="0" w:after="160"/>
        <w:jc w:val="center"/>
        <w:rPr>
          <w:lang w:val="en-US"/>
        </w:rPr>
      </w:pPr>
      <w:r>
        <w:rPr>
          <w:rFonts w:cs="Calibri" w:cstheme="minorHAnsi"/>
          <w:i/>
          <w:iCs/>
          <w:color w:val="000000"/>
          <w:lang w:val="en-US"/>
        </w:rPr>
        <w:t xml:space="preserve">++ intense haemolysis, + haemolysis visible under colonies, Both salt tolerance and mannitol fermentation were measured in Mannitol Salt Agar 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GB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GB" w:eastAsia="zh-CN" w:bidi="hi-IN"/>
    </w:rPr>
  </w:style>
  <w:style w:type="character" w:styleId="DefaultParagraphFont">
    <w:name w:val="Default Paragraph Font"/>
    <w:qFormat/>
    <w:rPr/>
  </w:style>
  <w:style w:type="character" w:styleId="Cf01">
    <w:name w:val="cf01"/>
    <w:basedOn w:val="DefaultParagraphFont"/>
    <w:qFormat/>
    <w:rPr>
      <w:rFonts w:ascii="Segoe UI" w:hAnsi="Segoe UI" w:cs="Segoe UI"/>
      <w:sz w:val="18"/>
      <w:szCs w:val="18"/>
    </w:rPr>
  </w:style>
  <w:style w:type="character" w:styleId="Internetverknpfung">
    <w:name w:val="Hyperlink"/>
    <w:rPr>
      <w:color w:val="000080"/>
      <w:u w:val="single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  <w:style w:type="paragraph" w:styleId="Pf0">
    <w:name w:val="pf0"/>
    <w:basedOn w:val="Normal"/>
    <w:qFormat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hyperlink" Target="https://www.ncbi.nlm.nih.gov/nucleotide/KT719934.1?report=genbank&amp;log$=nucltop&amp;blast_rank=1&amp;RID=25JG1EB901N" TargetMode="External"/><Relationship Id="rId18" Type="http://schemas.openxmlformats.org/officeDocument/2006/relationships/hyperlink" Target="https://www.ncbi.nlm.nih.gov/nucleotide/CP119047.1?report=genbank&amp;log$=nucltop&amp;blast_rank=1&amp;RID=25G2BG9D016" TargetMode="External"/><Relationship Id="rId19" Type="http://schemas.openxmlformats.org/officeDocument/2006/relationships/hyperlink" Target="https://www.ncbi.nlm.nih.gov/nucleotide/MK203007.1?report=genbank&amp;log$=nucltop&amp;blast_rank=3&amp;RID=2B4WCTBV01N" TargetMode="External"/><Relationship Id="rId20" Type="http://schemas.openxmlformats.org/officeDocument/2006/relationships/hyperlink" Target="https://www.ncbi.nlm.nih.gov/nucleotide/CP065656.1?report=genbank&amp;log$=nucltop&amp;blast_rank=1&amp;RID=25KKUXBA016" TargetMode="External"/><Relationship Id="rId21" Type="http://schemas.openxmlformats.org/officeDocument/2006/relationships/hyperlink" Target="https://www.ncbi.nlm.nih.gov/nucleotide/CP040883.1?report=genbank&amp;log$=nucltop&amp;blast_rank=1&amp;RID=25JER61501N" TargetMode="External"/><Relationship Id="rId22" Type="http://schemas.openxmlformats.org/officeDocument/2006/relationships/hyperlink" Target="https://www.ncbi.nlm.nih.gov/nucleotide/CP040883.1?report=genbank&amp;log$=nucltop&amp;blast_rank=1&amp;RID=2D2B3N5Z013" TargetMode="External"/><Relationship Id="rId23" Type="http://schemas.openxmlformats.org/officeDocument/2006/relationships/hyperlink" Target="https://www.ncbi.nlm.nih.gov/nucleotide/CP040883.1?report=genbank&amp;log$=nucltop&amp;blast_rank=1&amp;RID=25H4ZG5D013" TargetMode="External"/><Relationship Id="rId24" Type="http://schemas.openxmlformats.org/officeDocument/2006/relationships/hyperlink" Target="https://www.ncbi.nlm.nih.gov/nucleotide/MT482624.1?report=genbank&amp;log$=nucltop&amp;blast_rank=1&amp;RID=2B4REJXX013" TargetMode="External"/><Relationship Id="rId25" Type="http://schemas.openxmlformats.org/officeDocument/2006/relationships/hyperlink" Target="https://www.ncbi.nlm.nih.gov/nucleotide/MT613456.1?report=genbank&amp;log$=nucltop&amp;blast_rank=1&amp;RID=25J99S4Y01N" TargetMode="External"/><Relationship Id="rId26" Type="http://schemas.openxmlformats.org/officeDocument/2006/relationships/hyperlink" Target="https://www.ncbi.nlm.nih.gov/nucleotide/MT642942.1?report=genbank&amp;log$=nucltop&amp;blast_rank=1&amp;RID=25J23833013" TargetMode="External"/><Relationship Id="rId27" Type="http://schemas.openxmlformats.org/officeDocument/2006/relationships/hyperlink" Target="https://www.ncbi.nlm.nih.gov/nucleotide/MT482624.1?report=genbank&amp;log$=nucltop&amp;blast_rank=1&amp;RID=2B5GVVNU013" TargetMode="External"/><Relationship Id="rId28" Type="http://schemas.openxmlformats.org/officeDocument/2006/relationships/hyperlink" Target="https://www.ncbi.nlm.nih.gov/nucleotide/CP119113.1?report=genbank&amp;log$=nucltop&amp;blast_rank=1&amp;RID=25KJUC5U016" TargetMode="External"/><Relationship Id="rId29" Type="http://schemas.openxmlformats.org/officeDocument/2006/relationships/hyperlink" Target="https://www.ncbi.nlm.nih.gov/nucleotide/CP119113.1?report=genbank&amp;log$=nucltop&amp;blast_rank=1&amp;RID=25GTP4ZE013" TargetMode="External"/><Relationship Id="rId30" Type="http://schemas.openxmlformats.org/officeDocument/2006/relationships/hyperlink" Target="https://www.ncbi.nlm.nih.gov/nucleotide/CP119113.1?report=genbank&amp;log$=nucltop&amp;blast_rank=1&amp;RID=25GNBGXA016" TargetMode="External"/><Relationship Id="rId31" Type="http://schemas.openxmlformats.org/officeDocument/2006/relationships/hyperlink" Target="https://www.ncbi.nlm.nih.gov/nucleotide/OP263325.1?report=genbank&amp;log$=nucltop&amp;blast_rank=2&amp;RID=25J811HM01N" TargetMode="External"/><Relationship Id="rId32" Type="http://schemas.openxmlformats.org/officeDocument/2006/relationships/hyperlink" Target="https://www.ncbi.nlm.nih.gov/nucleotide/MT604781.1?report=genbank&amp;log$=nucltop&amp;blast_rank=1&amp;RID=25HR5VV501N" TargetMode="External"/><Relationship Id="rId33" Type="http://schemas.openxmlformats.org/officeDocument/2006/relationships/hyperlink" Target="https://www.ncbi.nlm.nih.gov/nucleotide/CP119047.1?report=genbank&amp;log$=nucltop&amp;blast_rank=1&amp;RID=25H37GJX013" TargetMode="External"/><Relationship Id="rId34" Type="http://schemas.openxmlformats.org/officeDocument/2006/relationships/hyperlink" Target="https://www.ncbi.nlm.nih.gov/nucleotide/CP119047.1?report=genbank&amp;log$=nucltop&amp;blast_rank=1&amp;RID=25GXRMBF016" TargetMode="External"/><Relationship Id="rId35" Type="http://schemas.openxmlformats.org/officeDocument/2006/relationships/hyperlink" Target="https://www.ncbi.nlm.nih.gov/nucleotide/MT544813.1?report=genbank&amp;log$=nucltop&amp;blast_rank=1&amp;RID=25KE2RRM013" TargetMode="External"/><Relationship Id="rId36" Type="http://schemas.openxmlformats.org/officeDocument/2006/relationships/hyperlink" Target="https://www.ncbi.nlm.nih.gov/nucleotide/CP024408.1?report=genbank&amp;log$=nucltop&amp;blast_rank=1&amp;RID=25HBN7FX016" TargetMode="External"/><Relationship Id="rId37" Type="http://schemas.openxmlformats.org/officeDocument/2006/relationships/hyperlink" Target="https://www.ncbi.nlm.nih.gov/nucleotide/OQ509998.1?report=genbank&amp;log$=nucltop&amp;blast_rank=4&amp;RID=25H9NSXK016" TargetMode="External"/><Relationship Id="rId38" Type="http://schemas.openxmlformats.org/officeDocument/2006/relationships/hyperlink" Target="https://www.ncbi.nlm.nih.gov/nucleotide/MT605363.1?report=genbank&amp;log$=nucltop&amp;blast_rank=1&amp;RID=25K6MJC6016" TargetMode="External"/><Relationship Id="rId39" Type="http://schemas.openxmlformats.org/officeDocument/2006/relationships/hyperlink" Target="https://www.ncbi.nlm.nih.gov/nucleotide/CP119047.1?report=genbank&amp;log$=nucltop&amp;blast_rank=1&amp;RID=25GFE10V016" TargetMode="External"/><Relationship Id="rId40" Type="http://schemas.openxmlformats.org/officeDocument/2006/relationships/hyperlink" Target="https://www.ncbi.nlm.nih.gov/nucleotide/MT269580.1?report=genbank&amp;log$=nucltop&amp;blast_rank=1&amp;RID=25E4SS97013" TargetMode="External"/><Relationship Id="rId41" Type="http://schemas.openxmlformats.org/officeDocument/2006/relationships/hyperlink" Target="https://www.ncbi.nlm.nih.gov/nucleotide/KY623304.1?report=genbank&amp;log$=nuclalign&amp;blast_rank=1&amp;RID=25F4JTJ2016" TargetMode="External"/><Relationship Id="rId42" Type="http://schemas.openxmlformats.org/officeDocument/2006/relationships/hyperlink" Target="https://www.ncbi.nlm.nih.gov/nucleotide/MT604781.1?report=genbank&amp;log$=nucltop&amp;blast_rank=1&amp;RID=25K4CMFA016" TargetMode="External"/><Relationship Id="rId43" Type="http://schemas.openxmlformats.org/officeDocument/2006/relationships/hyperlink" Target="https://www.ncbi.nlm.nih.gov/nucleotide/MT445298.1?report=genbank&amp;log$=nucltop&amp;blast_rank=2&amp;RID=25FUZW7T016" TargetMode="External"/><Relationship Id="rId44" Type="http://schemas.openxmlformats.org/officeDocument/2006/relationships/hyperlink" Target="https://www.ncbi.nlm.nih.gov/nucleotide/MT642942.1?report=genbank&amp;log$=nucltop&amp;blast_rank=1&amp;RID=2B6XJVB5016" TargetMode="External"/><Relationship Id="rId45" Type="http://schemas.openxmlformats.org/officeDocument/2006/relationships/hyperlink" Target="https://www.ncbi.nlm.nih.gov/nucleotide/CP040883.1?report=genbank&amp;log$=nucltop&amp;blast_rank=1&amp;RID=25J38YK301N" TargetMode="External"/><Relationship Id="rId46" Type="http://schemas.openxmlformats.org/officeDocument/2006/relationships/hyperlink" Target="https://www.ncbi.nlm.nih.gov/nucleotide/MT482624.1?report=genbank&amp;log$=nucltop&amp;blast_rank=1&amp;RID=2B73U1GT016" TargetMode="External"/><Relationship Id="rId47" Type="http://schemas.openxmlformats.org/officeDocument/2006/relationships/hyperlink" Target="https://www.ncbi.nlm.nih.gov/nucleotide/CP054883.1?report=genbank&amp;log$=nucltop&amp;blast_rank=1&amp;RID=25JY0YHM016" TargetMode="External"/><Relationship Id="rId48" Type="http://schemas.openxmlformats.org/officeDocument/2006/relationships/hyperlink" Target="https://www.ncbi.nlm.nih.gov/nucleotide/MT642942.1?report=genbank&amp;log$=nucltop&amp;blast_rank=1&amp;RID=25HTDYSU01N" TargetMode="External"/><Relationship Id="rId49" Type="http://schemas.openxmlformats.org/officeDocument/2006/relationships/hyperlink" Target="https://www.ncbi.nlm.nih.gov/nucleotide/OM670223.1?report=genbank&amp;log$=nucltop&amp;blast_rank=1&amp;RID=25JWSG77013" TargetMode="External"/><Relationship Id="rId50" Type="http://schemas.openxmlformats.org/officeDocument/2006/relationships/hyperlink" Target="https://www.ncbi.nlm.nih.gov/nucleotide/MT605432.1?report=genbank&amp;log$=nucltop&amp;blast_rank=1&amp;RID=25FG0BXG013" TargetMode="External"/><Relationship Id="rId51" Type="http://schemas.openxmlformats.org/officeDocument/2006/relationships/hyperlink" Target="https://www.ncbi.nlm.nih.gov/nucleotide/LN774518.1?report=genbank&amp;log$=nucltop&amp;blast_rank=1&amp;RID=25FEE30N013" TargetMode="External"/><Relationship Id="rId52" Type="http://schemas.openxmlformats.org/officeDocument/2006/relationships/hyperlink" Target="https://www.ncbi.nlm.nih.gov/nucleotide/MK425675.1?report=genbank&amp;log$=nucltop&amp;blast_rank=1&amp;RID=25JME1UE01N" TargetMode="External"/><Relationship Id="rId53" Type="http://schemas.openxmlformats.org/officeDocument/2006/relationships/hyperlink" Target="https://www.ncbi.nlm.nih.gov/nucleotide/CP119047.1?report=genbank&amp;log$=nucltop&amp;blast_rank=1&amp;RID=25G9E7N4016" TargetMode="External"/><Relationship Id="rId54" Type="http://schemas.openxmlformats.org/officeDocument/2006/relationships/fontTable" Target="fontTable.xml"/><Relationship Id="rId5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LibreOffice/7.4.7.2$Windows_X86_64 LibreOffice_project/723314e595e8007d3cf785c16538505a1c878ca5</Application>
  <AppVersion>15.0000</AppVersion>
  <Pages>6</Pages>
  <Words>915</Words>
  <Characters>5026</Characters>
  <CharactersWithSpaces>5250</CharactersWithSpaces>
  <Paragraphs>708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2023-12-19T18:24:11Z</dcterms:created>
  <dc:creator/>
  <dc:description/>
  <dc:language>en-GB</dc:language>
  <cp:lastModifiedBy/>
  <dcterms:modified xsi:type="dcterms:W3CDTF">2023-12-19T18:35:10Z</dcterms:modified>
  <cp:revision>1</cp:revision>
  <dc:subject/>
  <dc:title/>
</cp:coreProperties>
</file>