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470"/>
        <w:tblW w:w="0" w:type="auto"/>
        <w:jc w:val="center"/>
        <w:tblBorders>
          <w:top w:val="single" w:color="auto" w:sz="4" w:space="0"/>
          <w:left w:val="none" w:color="000000" w:sz="4" w:space="0"/>
          <w:bottom w:val="single" w:color="auto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119"/>
        <w:gridCol w:w="2977"/>
      </w:tblGrid>
      <w:tr>
        <w:tblPrEx>
          <w:tblBorders>
            <w:top w:val="single" w:color="auto" w:sz="4" w:space="0"/>
            <w:left w:val="none" w:color="000000" w:sz="4" w:space="0"/>
            <w:bottom w:val="single" w:color="auto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bdr w:val="none" w:color="auto" w:sz="0" w:space="0"/>
                <w:lang w:val="en-US"/>
              </w:rPr>
            </w:pPr>
            <w:bookmarkStart w:id="0" w:name="OLE_LINK144"/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Gene name</w:t>
            </w:r>
            <w:bookmarkEnd w:id="0"/>
          </w:p>
        </w:tc>
        <w:tc>
          <w:tcPr>
            <w:tcW w:w="3119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Forward primer (5′→3′)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Reverse primer (5′→3′)</w:t>
            </w:r>
          </w:p>
        </w:tc>
      </w:tr>
      <w:tr>
        <w:tblPrEx>
          <w:tblBorders>
            <w:top w:val="single" w:color="auto" w:sz="4" w:space="0"/>
            <w:left w:val="none" w:color="000000" w:sz="4" w:space="0"/>
            <w:bottom w:val="single" w:color="auto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42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PyDET2e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TACAAGGTTCCCAAGGGTGG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AACTCCTCCCCGTCAGGTAA</w:t>
            </w:r>
          </w:p>
        </w:tc>
      </w:tr>
      <w:tr>
        <w:tblPrEx>
          <w:tblBorders>
            <w:top w:val="single" w:color="auto" w:sz="4" w:space="0"/>
            <w:left w:val="none" w:color="000000" w:sz="4" w:space="0"/>
            <w:bottom w:val="single" w:color="auto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HIS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TTTAAGACTGATCTGCGTTTCC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GAACAGCCCAACAAGGTATG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kern w:val="2"/>
          <w:sz w:val="18"/>
          <w:szCs w:val="18"/>
          <w:lang w:val="en-US" w:eastAsia="zh-CN" w:bidi="ar"/>
        </w:rPr>
        <w:t xml:space="preserve">Table S1 </w:t>
      </w:r>
      <w:r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"/>
        </w:rPr>
        <w:t>Primer sequence of RT-qPCR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18"/>
          <w:szCs w:val="1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18"/>
          <w:szCs w:val="1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18"/>
          <w:szCs w:val="1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18"/>
          <w:szCs w:val="18"/>
          <w:lang w:val="en-US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2240" w:h="15840"/>
          <w:pgMar w:top="1440" w:right="1800" w:bottom="1440" w:left="1800" w:header="720" w:footer="720" w:gutter="0"/>
          <w:paperSrc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>Table S2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 xml:space="preserve">. Identification of 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18"/>
          <w:szCs w:val="18"/>
          <w:lang w:val="en-US" w:eastAsia="zh-CN" w:bidi="ar"/>
        </w:rPr>
        <w:t>DET2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 xml:space="preserve"> family genes in 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18"/>
          <w:szCs w:val="18"/>
          <w:lang w:val="en-US" w:eastAsia="zh-CN" w:bidi="ar"/>
        </w:rPr>
        <w:t>P. yunnanensis.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tbl>
      <w:tblPr>
        <w:tblStyle w:val="3"/>
        <w:tblpPr w:leftFromText="180" w:rightFromText="180" w:vertAnchor="page" w:horzAnchor="page" w:tblpX="1472" w:tblpY="2190"/>
        <w:tblW w:w="4938" w:type="pct"/>
        <w:tblInd w:w="0" w:type="dxa"/>
        <w:tblBorders>
          <w:top w:val="single" w:color="000000" w:sz="4" w:space="0"/>
          <w:left w:val="none" w:color="000000" w:sz="4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624"/>
        <w:gridCol w:w="1031"/>
        <w:gridCol w:w="308"/>
        <w:gridCol w:w="1116"/>
        <w:gridCol w:w="308"/>
        <w:gridCol w:w="182"/>
        <w:gridCol w:w="819"/>
        <w:gridCol w:w="101"/>
        <w:gridCol w:w="1179"/>
        <w:gridCol w:w="791"/>
        <w:gridCol w:w="308"/>
        <w:gridCol w:w="558"/>
        <w:gridCol w:w="893"/>
        <w:gridCol w:w="561"/>
        <w:gridCol w:w="879"/>
        <w:gridCol w:w="1187"/>
        <w:gridCol w:w="55"/>
        <w:gridCol w:w="100"/>
      </w:tblGrid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9" w:type="pct"/>
            <w:vMerge w:val="restar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Gene name</w:t>
            </w:r>
          </w:p>
        </w:tc>
        <w:tc>
          <w:tcPr>
            <w:tcW w:w="623" w:type="pct"/>
            <w:vMerge w:val="restar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Gene ID</w:t>
            </w:r>
          </w:p>
        </w:tc>
        <w:tc>
          <w:tcPr>
            <w:tcW w:w="514" w:type="pct"/>
            <w:gridSpan w:val="2"/>
            <w:vMerge w:val="restar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Amino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Acid(aa)</w:t>
            </w:r>
          </w:p>
        </w:tc>
        <w:tc>
          <w:tcPr>
            <w:tcW w:w="428" w:type="pct"/>
            <w:vMerge w:val="restar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Molecular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Weight (kDa)</w:t>
            </w:r>
          </w:p>
        </w:tc>
        <w:tc>
          <w:tcPr>
            <w:tcW w:w="541" w:type="pct"/>
            <w:gridSpan w:val="4"/>
            <w:vMerge w:val="restar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Isoelectric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Point (pI)</w:t>
            </w:r>
          </w:p>
        </w:tc>
        <w:tc>
          <w:tcPr>
            <w:tcW w:w="452" w:type="pct"/>
            <w:vMerge w:val="restar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Instability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Index</w:t>
            </w:r>
          </w:p>
        </w:tc>
        <w:tc>
          <w:tcPr>
            <w:tcW w:w="303" w:type="pct"/>
            <w:vMerge w:val="restar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15"/>
                <w:szCs w:val="15"/>
                <w:lang w:val="en-US" w:eastAsia="zh-CN" w:bidi="ar"/>
              </w:rPr>
              <w:t>GRAVY</w:t>
            </w:r>
          </w:p>
        </w:tc>
        <w:tc>
          <w:tcPr>
            <w:tcW w:w="1229" w:type="pct"/>
            <w:gridSpan w:val="5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Secondary structure/%</w:t>
            </w:r>
          </w:p>
        </w:tc>
        <w:tc>
          <w:tcPr>
            <w:tcW w:w="515" w:type="pct"/>
            <w:gridSpan w:val="3"/>
            <w:vMerge w:val="restart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Subcellular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highlight w:val="yellow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Localization</w:t>
            </w:r>
          </w:p>
        </w:tc>
      </w:tr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pct"/>
            <w:vMerge w:val="continue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514" w:type="pct"/>
            <w:gridSpan w:val="2"/>
            <w:vMerge w:val="continue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428" w:type="pct"/>
            <w:vMerge w:val="continue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541" w:type="pct"/>
            <w:gridSpan w:val="4"/>
            <w:vMerge w:val="continue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33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Alpha helix</w:t>
            </w:r>
          </w:p>
        </w:tc>
        <w:tc>
          <w:tcPr>
            <w:tcW w:w="343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Extended strand</w:t>
            </w:r>
          </w:p>
        </w:tc>
        <w:tc>
          <w:tcPr>
            <w:tcW w:w="215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Beta turn</w:t>
            </w:r>
          </w:p>
        </w:tc>
        <w:tc>
          <w:tcPr>
            <w:tcW w:w="337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Random coil</w:t>
            </w:r>
          </w:p>
        </w:tc>
        <w:tc>
          <w:tcPr>
            <w:tcW w:w="515" w:type="pct"/>
            <w:gridSpan w:val="3"/>
            <w:vMerge w:val="continue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PyDET2a</w:t>
            </w:r>
          </w:p>
        </w:tc>
        <w:tc>
          <w:tcPr>
            <w:tcW w:w="623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Pyun04G015560.1</w:t>
            </w:r>
          </w:p>
        </w:tc>
        <w:tc>
          <w:tcPr>
            <w:tcW w:w="514" w:type="pct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339</w:t>
            </w:r>
          </w:p>
        </w:tc>
        <w:tc>
          <w:tcPr>
            <w:tcW w:w="547" w:type="pct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38.94</w:t>
            </w:r>
          </w:p>
        </w:tc>
        <w:tc>
          <w:tcPr>
            <w:tcW w:w="423" w:type="pct"/>
            <w:gridSpan w:val="3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8.79</w:t>
            </w:r>
          </w:p>
        </w:tc>
        <w:tc>
          <w:tcPr>
            <w:tcW w:w="452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46.84</w:t>
            </w:r>
          </w:p>
        </w:tc>
        <w:tc>
          <w:tcPr>
            <w:tcW w:w="422" w:type="pct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102.36</w:t>
            </w:r>
          </w:p>
        </w:tc>
        <w:tc>
          <w:tcPr>
            <w:tcW w:w="214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53.98</w:t>
            </w:r>
          </w:p>
        </w:tc>
        <w:tc>
          <w:tcPr>
            <w:tcW w:w="343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16.22</w:t>
            </w:r>
          </w:p>
        </w:tc>
        <w:tc>
          <w:tcPr>
            <w:tcW w:w="215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3.83</w:t>
            </w:r>
          </w:p>
        </w:tc>
        <w:tc>
          <w:tcPr>
            <w:tcW w:w="337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25.96</w:t>
            </w:r>
          </w:p>
        </w:tc>
        <w:tc>
          <w:tcPr>
            <w:tcW w:w="515" w:type="pct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Chloroplast</w:t>
            </w:r>
          </w:p>
        </w:tc>
      </w:tr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PyDET2b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Pyun05G003670.1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253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29.71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9.17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38.71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86.68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29.25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28.46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4.74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37.55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Golgi apparatus</w:t>
            </w:r>
          </w:p>
        </w:tc>
      </w:tr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PyDET2c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Pyun08G000950.1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267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30.10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9.65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42.71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110.9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51.69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17.23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2.62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28.46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Chloroplast.</w:t>
            </w:r>
          </w:p>
        </w:tc>
      </w:tr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PyDET2d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Pyun08G000960.1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263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29.62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9.53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31.45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102.59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49.43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17.11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5.32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28.14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Cell membrane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Chloroplast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Golgi apparatus</w:t>
            </w:r>
          </w:p>
        </w:tc>
      </w:tr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PyDET2e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Pyun08G000970.1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264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30.02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9.66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43.18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108.11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47.35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21.97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3.79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26.89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Chloroplast</w:t>
            </w:r>
          </w:p>
        </w:tc>
      </w:tr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PyDET2f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Pyun09G012590.1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351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40.35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8.99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44.34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101.11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47.29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19.66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4.84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28.21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Cell membrane</w:t>
            </w:r>
          </w:p>
        </w:tc>
      </w:tr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PyDET2g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Pyun10G023000.1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268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30.26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9.40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45.98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109.78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48.51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17.91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4.85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28.73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Cell membrane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Chloroplast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Peroxisome</w:t>
            </w:r>
          </w:p>
        </w:tc>
      </w:tr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PyDET2h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Pyun10G023010.1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253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28.74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9.58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40.06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106.32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48.22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18.58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4.74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28.46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Cell membrane</w:t>
            </w:r>
          </w:p>
        </w:tc>
      </w:tr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PyDET2i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Pyun10G023020.1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264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29.76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9.34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43.02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107.08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54.20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13.74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27.86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Cell membrane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Golgi apparatus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Peroxisome</w:t>
            </w:r>
          </w:p>
        </w:tc>
      </w:tr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PyDET2j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Pyun13G013760.1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264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30.90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9.35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43.38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89.02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34.09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25.38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3.41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37.12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Cell membrane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Golgi apparatus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Mitochondrion</w:t>
            </w:r>
          </w:p>
        </w:tc>
      </w:tr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PyDET2k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Pyun13G013800.1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264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20.71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9.35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45.08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89.39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36.74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24.24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2.65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36.36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Cell membrane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Golgi apparatus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Mitochondrion</w:t>
            </w:r>
          </w:p>
        </w:tc>
      </w:tr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PyDET2l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Pyun14G008550.1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320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38.25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9.25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22.63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94.69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43.12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20.62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3.12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33.12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Chloroplast</w:t>
            </w:r>
          </w:p>
        </w:tc>
      </w:tr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pct"/>
          <w:trHeight w:val="329" w:hRule="atLeast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PyDET2m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Pyun15G004230.1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292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33.11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8.99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28.32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114.79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46.58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17.47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4.45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31.51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Cell membra</w:t>
            </w:r>
            <w:r>
              <w:rPr>
                <w:rFonts w:hint="eastAsia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ne</w:t>
            </w:r>
          </w:p>
        </w:tc>
      </w:tr>
      <w:tr>
        <w:tblPrEx>
          <w:tblBorders>
            <w:top w:val="singl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trHeight w:val="310" w:hRule="atLeast"/>
        </w:trPr>
        <w:tc>
          <w:tcPr>
            <w:tcW w:w="389" w:type="pc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PyDET2n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lang w:val="en-US" w:eastAsia="zh-CN" w:bidi="ar"/>
              </w:rPr>
              <w:t>Pyun16G010440.1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267</w:t>
            </w:r>
          </w:p>
        </w:tc>
        <w:tc>
          <w:tcPr>
            <w:tcW w:w="735" w:type="pct"/>
            <w:gridSpan w:val="4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29.68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9.48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46.55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91.44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38.52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24.51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3.50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33.46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Cell membrane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"/>
        </w:rPr>
        <w:t>Note: Information provided includes gene names, gene ids, amino acid, molecular weight (kDa), isoelectric points(PI), instability index, GRAVY, Secondary structure and subcellular localization.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0"/>
          <w:szCs w:val="20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kern w:val="2"/>
          <w:sz w:val="20"/>
          <w:szCs w:val="20"/>
          <w:lang w:val="en-US" w:eastAsia="zh-CN" w:bidi="ar"/>
        </w:rPr>
        <w:t xml:space="preserve">Table 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20"/>
          <w:szCs w:val="20"/>
          <w:lang w:val="en-US" w:eastAsia="zh-CN" w:bidi="ar"/>
        </w:rPr>
        <w:t>S3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0"/>
          <w:szCs w:val="20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2"/>
          <w:sz w:val="20"/>
          <w:szCs w:val="20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Base composition of codons in the </w:t>
      </w:r>
      <w:r>
        <w:rPr>
          <w:rFonts w:hint="default" w:ascii="Times New Roman" w:hAnsi="Times New Roman" w:eastAsia="宋体" w:cs="Times New Roman"/>
          <w:i/>
          <w:iCs/>
          <w:color w:val="000000"/>
          <w:kern w:val="0"/>
          <w:sz w:val="20"/>
          <w:szCs w:val="20"/>
          <w:lang w:val="en-US" w:eastAsia="zh-CN" w:bidi="ar"/>
        </w:rPr>
        <w:t>DET2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 gene family of </w:t>
      </w:r>
      <w:r>
        <w:rPr>
          <w:rFonts w:hint="default" w:ascii="Times New Roman" w:hAnsi="Times New Roman" w:eastAsia="宋体" w:cs="Times New Roman"/>
          <w:i/>
          <w:iCs w:val="0"/>
          <w:kern w:val="2"/>
          <w:sz w:val="20"/>
          <w:szCs w:val="20"/>
          <w:lang w:val="en-US" w:eastAsia="zh-CN" w:bidi="ar"/>
        </w:rPr>
        <w:t>P. yunnanensis.</w:t>
      </w:r>
    </w:p>
    <w:tbl>
      <w:tblPr>
        <w:tblStyle w:val="3"/>
        <w:tblpPr w:leftFromText="180" w:rightFromText="180" w:vertAnchor="text" w:horzAnchor="page" w:tblpX="3067" w:tblpY="2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766"/>
        <w:gridCol w:w="766"/>
        <w:gridCol w:w="766"/>
        <w:gridCol w:w="766"/>
        <w:gridCol w:w="783"/>
        <w:gridCol w:w="772"/>
        <w:gridCol w:w="750"/>
        <w:gridCol w:w="794"/>
        <w:gridCol w:w="816"/>
        <w:gridCol w:w="816"/>
        <w:gridCol w:w="816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"/>
              </w:rPr>
              <w:t>Gene Name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T3s/%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C3s/%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A3s/%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G3s/%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CAI/%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CBI/%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Fop/%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ENc/%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GC1/%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GC2/%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GC3/%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GC/%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 w:bidi="ar"/>
              </w:rPr>
              <w:t>PyDET2a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0.4514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0.1701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0.3529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0.2617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0.193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-0.120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0.335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51.96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0.482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0.410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0.368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 w:bidi="ar"/>
              </w:rPr>
              <w:t>PyDET2b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 w:bidi="ar"/>
              </w:rPr>
              <w:t>PyDET2c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 w:bidi="ar"/>
              </w:rPr>
              <w:t>PyDET2d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 w:bidi="ar"/>
              </w:rPr>
              <w:t>PyDET2e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 w:bidi="ar"/>
              </w:rPr>
              <w:t>PyDET2f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 w:bidi="ar"/>
              </w:rPr>
              <w:t>PyDET2g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 w:bidi="ar"/>
              </w:rPr>
              <w:t>PyDET2h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 w:bidi="ar"/>
              </w:rPr>
              <w:t>PyDET2i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 w:bidi="ar"/>
              </w:rPr>
              <w:t>PyDET2j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 w:bidi="ar"/>
              </w:rPr>
              <w:t>PyDET2k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 w:bidi="ar"/>
              </w:rPr>
              <w:t>PyDET2l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 w:bidi="ar"/>
              </w:rPr>
              <w:t>PyDET2m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lang w:val="en-US" w:eastAsia="zh-CN" w:bidi="ar"/>
              </w:rPr>
              <w:t>PyDET2n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0.1761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0.3636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-0.043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48.81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0.506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lang w:val="en-US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5840" w:h="12240" w:orient="landscape"/>
          <w:pgMar w:top="1803" w:right="1440" w:bottom="1803" w:left="1440" w:header="720" w:footer="720" w:gutter="0"/>
          <w:paperSrc/>
          <w:cols w:space="0" w:num="1"/>
          <w:rtlGutter w:val="0"/>
          <w:docGrid w:type="lines" w:linePitch="319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64660" cy="1920240"/>
            <wp:effectExtent l="0" t="0" r="2540" b="10160"/>
            <wp:docPr id="3" name="图片 3" descr="netphos-3.1b.PyDET2e (1)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netphos-3.1b.PyDET2e (1) - 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00170" cy="1922780"/>
            <wp:effectExtent l="0" t="0" r="11430" b="7620"/>
            <wp:docPr id="4" name="图片 4" descr="PyDET2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PyDET2e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rFonts w:hint="default"/>
          <w:b/>
          <w:lang w:val="en-US" w:eastAsia="zh-CN"/>
        </w:rPr>
      </w:pPr>
      <w:bookmarkStart w:id="1" w:name="_GoBack"/>
      <w:bookmarkEnd w:id="1"/>
      <w:r>
        <w:rPr>
          <w:rFonts w:hint="eastAsia"/>
          <w:b/>
          <w:lang w:val="en-US" w:eastAsia="zh-CN"/>
        </w:rPr>
        <w:t xml:space="preserve">Figure S1. </w:t>
      </w:r>
      <w:r>
        <w:rPr>
          <w:rFonts w:hint="eastAsia"/>
          <w:b w:val="0"/>
          <w:bCs/>
          <w:lang w:val="en-US" w:eastAsia="zh-CN"/>
        </w:rPr>
        <w:t xml:space="preserve">Prediction of phosphorylation sites and transmembrane regions of </w:t>
      </w:r>
      <w:r>
        <w:rPr>
          <w:rFonts w:hint="eastAsia"/>
          <w:b w:val="0"/>
          <w:bCs/>
          <w:i/>
          <w:iCs/>
          <w:lang w:val="en-US" w:eastAsia="zh-CN"/>
        </w:rPr>
        <w:t>PyDET2e</w:t>
      </w:r>
      <w:r>
        <w:rPr>
          <w:rFonts w:hint="eastAsia"/>
          <w:b w:val="0"/>
          <w:bCs/>
          <w:lang w:val="en-US" w:eastAsia="zh-CN"/>
        </w:rPr>
        <w:t xml:space="preserve"> protein</w:t>
      </w:r>
    </w:p>
    <w:sectPr>
      <w:pgSz w:w="15840" w:h="12240" w:orient="landscape"/>
      <w:pgMar w:top="1803" w:right="1440" w:bottom="1803" w:left="1440" w:header="720" w:footer="720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ZjcxMDM1N2ZkZGI2MmJlMmFhMjIyNGNiNGY4MWMifQ=="/>
  </w:docVars>
  <w:rsids>
    <w:rsidRoot w:val="34747EDE"/>
    <w:rsid w:val="3474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paragraph" w:customStyle="1" w:styleId="5">
    <w:name w:val="MDPI_4.2_table_body"/>
    <w:qFormat/>
    <w:uiPriority w:val="0"/>
    <w:pPr>
      <w:adjustRightInd w:val="0"/>
      <w:snapToGrid w:val="0"/>
      <w:spacing w:line="260" w:lineRule="atLeast"/>
      <w:jc w:val="center"/>
    </w:pPr>
    <w:rPr>
      <w:rFonts w:ascii="Palatino Linotype" w:hAnsi="Palatino Linotype" w:eastAsia="Times New Roman" w:cs="Times New Roman"/>
      <w:snapToGrid w:val="0"/>
      <w:color w:val="000000"/>
      <w:lang w:val="en-US" w:eastAsia="de-DE" w:bidi="en-US"/>
    </w:rPr>
  </w:style>
  <w:style w:type="paragraph" w:customStyle="1" w:styleId="6">
    <w:name w:val="MDPI_5.1_figure_caption"/>
    <w:qFormat/>
    <w:uiPriority w:val="0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hAnsi="Palatino Linotype" w:eastAsia="Times New Roman" w:cs="Times New Roman"/>
      <w:color w:val="000000"/>
      <w:sz w:val="18"/>
      <w:lang w:val="en-US" w:eastAsia="de-DE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482</Words>
  <Characters>2890</Characters>
  <Lines>0</Lines>
  <Paragraphs>0</Paragraphs>
  <TotalTime>5</TotalTime>
  <ScaleCrop>false</ScaleCrop>
  <LinksUpToDate>false</LinksUpToDate>
  <CharactersWithSpaces>2969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2023-11-30T09:34:00Z</dcterms:created>
  <dc:creator>阿乔</dc:creator>
  <cp:lastModifiedBy>阿乔</cp:lastModifiedBy>
  <dcterms:modified xsi:type="dcterms:W3CDTF">2023-12-03T10:18:13Z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5189A38042C84FD7AC7EA644AEE8D536_11</vt:lpwstr>
  </property>
</Properties>
</file>