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D84B" w14:textId="77777777" w:rsidR="000724C6" w:rsidRDefault="000724C6" w:rsidP="000724C6">
      <w:pPr>
        <w:pStyle w:val="Heading1"/>
      </w:pPr>
      <w:r w:rsidRPr="00731904">
        <w:rPr>
          <w:lang w:val="en-US"/>
        </w:rPr>
        <w:t>Reconciling Top-down and Bottom-up Methane Emissions Estimates in the Delaware Basin</w:t>
      </w:r>
    </w:p>
    <w:p w14:paraId="44448558" w14:textId="77777777" w:rsidR="000724C6" w:rsidRDefault="000724C6" w:rsidP="000724C6">
      <w:pPr>
        <w:rPr>
          <w:vertAlign w:val="subscript"/>
        </w:rPr>
      </w:pPr>
      <w:r w:rsidRPr="0064346F">
        <w:t>Stuart N. Riddick</w:t>
      </w:r>
      <w:r w:rsidRPr="0064346F">
        <w:rPr>
          <w:vertAlign w:val="superscript"/>
        </w:rPr>
        <w:t>1</w:t>
      </w:r>
      <w:r w:rsidRPr="0064346F">
        <w:t>, Mercy Mbua</w:t>
      </w:r>
      <w:r w:rsidRPr="0064346F">
        <w:rPr>
          <w:vertAlign w:val="superscript"/>
        </w:rPr>
        <w:t>1</w:t>
      </w:r>
      <w:r w:rsidRPr="0064346F">
        <w:t>, Arthur Santos</w:t>
      </w:r>
      <w:r w:rsidRPr="0064346F">
        <w:rPr>
          <w:vertAlign w:val="superscript"/>
        </w:rPr>
        <w:t>1</w:t>
      </w:r>
      <w:r w:rsidRPr="0064346F">
        <w:t>, Wendy Hartzell</w:t>
      </w:r>
      <w:r w:rsidRPr="0064346F">
        <w:rPr>
          <w:vertAlign w:val="superscript"/>
        </w:rPr>
        <w:t>1</w:t>
      </w:r>
      <w:r w:rsidRPr="0064346F">
        <w:t xml:space="preserve"> and Daniel J. Zimmerle</w:t>
      </w:r>
      <w:r w:rsidRPr="0064346F">
        <w:rPr>
          <w:vertAlign w:val="superscript"/>
        </w:rPr>
        <w:t>1</w:t>
      </w:r>
    </w:p>
    <w:p w14:paraId="7ED663A9" w14:textId="77777777" w:rsidR="000724C6" w:rsidRDefault="000724C6" w:rsidP="000724C6">
      <w:r w:rsidRPr="0064346F">
        <w:rPr>
          <w:vertAlign w:val="superscript"/>
        </w:rPr>
        <w:t>1</w:t>
      </w:r>
      <w:r w:rsidRPr="0064346F">
        <w:t xml:space="preserve"> The Energy Institute, Colorado State </w:t>
      </w:r>
      <w:r>
        <w:t>U</w:t>
      </w:r>
      <w:r w:rsidRPr="0064346F">
        <w:t>niversity, Fort Collins, CO, USA</w:t>
      </w:r>
    </w:p>
    <w:p w14:paraId="2DB37F3E" w14:textId="77777777" w:rsidR="000724C6" w:rsidRDefault="000724C6" w:rsidP="000724C6"/>
    <w:p w14:paraId="635FF737" w14:textId="77777777" w:rsidR="000724C6" w:rsidRDefault="000724C6" w:rsidP="000724C6">
      <w:pPr>
        <w:pStyle w:val="Heading1"/>
      </w:pPr>
      <w:r>
        <w:t>Supplementary Materials</w:t>
      </w:r>
    </w:p>
    <w:p w14:paraId="000FD4B2" w14:textId="77777777" w:rsidR="000724C6" w:rsidRDefault="000724C6" w:rsidP="000724C6">
      <w:pPr>
        <w:rPr>
          <w:lang w:val="en-US"/>
        </w:rPr>
      </w:pPr>
      <w:r w:rsidRPr="00BF0C47">
        <w:rPr>
          <w:rFonts w:cs="Times New Roman"/>
          <w:lang w:val="en-US"/>
        </w:rPr>
        <w:t>Table S1</w:t>
      </w:r>
      <w:r>
        <w:rPr>
          <w:lang w:val="en-US"/>
        </w:rPr>
        <w:t xml:space="preserve"> - </w:t>
      </w:r>
      <w:r w:rsidRPr="00717983">
        <w:rPr>
          <w:lang w:val="en-US"/>
        </w:rPr>
        <w:t>2020 bottom-up emission estimate for the Delaware basin, TX, calculated using Tier 1 emission factors</w:t>
      </w:r>
    </w:p>
    <w:p w14:paraId="13BC2788" w14:textId="7718E3B3" w:rsidR="000724C6" w:rsidRDefault="000724C6" w:rsidP="000724C6">
      <w:r w:rsidRPr="00BF0C47">
        <w:rPr>
          <w:rFonts w:cs="Times New Roman"/>
          <w:lang w:val="en-US"/>
        </w:rPr>
        <w:t>Table S</w:t>
      </w:r>
      <w:r>
        <w:rPr>
          <w:lang w:val="en-US"/>
        </w:rPr>
        <w:t xml:space="preserve">2 - </w:t>
      </w:r>
      <w:r>
        <w:t>Data source of 2020 GHGRP emission factors</w:t>
      </w:r>
    </w:p>
    <w:p w14:paraId="42C41C92" w14:textId="77777777" w:rsidR="000724C6" w:rsidRDefault="000724C6">
      <w:r>
        <w:br w:type="page"/>
      </w:r>
    </w:p>
    <w:p w14:paraId="2A919A40" w14:textId="0C44B443" w:rsidR="000724C6" w:rsidRPr="000724C6" w:rsidRDefault="000724C6" w:rsidP="000724C6">
      <w:pPr>
        <w:pStyle w:val="Heading1"/>
      </w:pPr>
      <w:r w:rsidRPr="000724C6">
        <w:lastRenderedPageBreak/>
        <w:t>Supplementary Material Section 1 2020 bottom-up emission estimate for the Delaware basin, TX, calculated using Tier 1 emission factors</w:t>
      </w:r>
    </w:p>
    <w:p w14:paraId="2ED75A19" w14:textId="77777777" w:rsidR="000724C6" w:rsidRPr="000724C6" w:rsidRDefault="000724C6" w:rsidP="000724C6">
      <w:pPr>
        <w:rPr>
          <w:i/>
          <w:iCs/>
        </w:rPr>
      </w:pPr>
      <w:r w:rsidRPr="000724C6">
        <w:rPr>
          <w:i/>
          <w:iCs/>
        </w:rPr>
        <w:t xml:space="preserve">Table S1 Tier 1 - Fugitive Emissions from Oil and Natural Gas Systems in developed countries </w:t>
      </w:r>
      <w:r w:rsidRPr="000724C6">
        <w:rPr>
          <w:i/>
          <w:iCs/>
        </w:rPr>
        <w:fldChar w:fldCharType="begin"/>
      </w:r>
      <w:r w:rsidRPr="000724C6">
        <w:rPr>
          <w:i/>
          <w:iCs/>
        </w:rPr>
        <w:instrText xml:space="preserve"> ADDIN ZOTERO_ITEM CSL_CITATION {"citationID":"3qf8BH9y","properties":{"formattedCitation":"(IPCC, 2023, 2006, 2014)","plainCitation":"(IPCC, 2023, 2006, 2014)","noteIndex":0},"citationItems":[{"id":978,"uris":["http://zotero.org/users/6213030/items/XRMNTHU8"],"itemData":{"id":978,"type":"document","title":"Intergovernmental Panel on Climate change.  Emission Factor database.  https://www.ipcc-nggip.iges.or.jp/EFDB/main.php.  Last accessed 15th June 2023","author":[{"literal":"IPCC"}],"issued":{"date-parts":[["2023"]]}}},{"id":146,"uris":["http://zotero.org/users/6213030/items/T7XVNKCY"],"itemData":{"id":146,"type":"article-journal","title":"IPCC Guidelines for National Greenhouse Gas Inventories.  https://www.ipcc-nggip.iges.or.jp/public/2006gl/pdf/1_Volume1/V1_3_Ch3_Uncertainties.pdf.  LAst accessed 13th September 2023","URL":"https://www.ipcc-nggip.iges.or.jp/public/2006gl/pdf/1_Volume1/V1_3_Ch3_Uncertainties.pdf","author":[{"literal":"IPCC"}],"accessed":{"date-parts":[["2019",2,18]]},"issued":{"date-parts":[["2006"]]}}},{"id":80,"uris":["http://zotero.org/users/6213030/items/HSCZYEQI"],"itemData":{"id":80,"type":"book","event-place":"Cambridge","ISBN":"978-1-107-41532-4","note":"DOI: 10.1017/CBO9781107415324","publisher":"Cambridge University Press","publisher-place":"Cambridge","source":"Crossref","title":"Climate Change 2013 - The Physical Science Basis: Working Group I Contribution to the Fifth Assessment Report of the Intergovernmental Panel on Climate Change","title-short":"Climate Change 2013 - The Physical Science Basis","URL":"http://ebooks.cambridge.org/ref/id/CBO9781107415324","author":[{"literal":"IPCC"}],"accessed":{"date-parts":[["2019",2,4]]},"issued":{"date-parts":[["2014"]]}}}],"schema":"https://github.com/citation-style-language/schema/raw/master/csl-citation.json"} </w:instrText>
      </w:r>
      <w:r w:rsidRPr="000724C6">
        <w:rPr>
          <w:i/>
          <w:iCs/>
        </w:rPr>
        <w:fldChar w:fldCharType="separate"/>
      </w:r>
      <w:r w:rsidRPr="000724C6">
        <w:rPr>
          <w:i/>
          <w:iCs/>
        </w:rPr>
        <w:t>(IPCC, 2023, 2006, 2014)</w:t>
      </w:r>
      <w:r w:rsidRPr="000724C6">
        <w:fldChar w:fldCharType="end"/>
      </w:r>
      <w:r w:rsidRPr="000724C6">
        <w:rPr>
          <w:i/>
          <w:iCs/>
        </w:rPr>
        <w:t>.  EF-symbolizes “Emission Factor”. Emission units are: 1. kg CH</w:t>
      </w:r>
      <w:r w:rsidRPr="000724C6">
        <w:rPr>
          <w:i/>
          <w:iCs/>
          <w:vertAlign w:val="subscript"/>
        </w:rPr>
        <w:t>4</w:t>
      </w:r>
      <w:r w:rsidRPr="000724C6">
        <w:rPr>
          <w:i/>
          <w:iCs/>
        </w:rPr>
        <w:t xml:space="preserve"> per 10</w:t>
      </w:r>
      <w:r w:rsidRPr="000724C6">
        <w:rPr>
          <w:i/>
          <w:iCs/>
          <w:vertAlign w:val="superscript"/>
        </w:rPr>
        <w:t>3</w:t>
      </w:r>
      <w:r w:rsidRPr="000724C6">
        <w:rPr>
          <w:i/>
          <w:iCs/>
        </w:rPr>
        <w:t xml:space="preserve"> m</w:t>
      </w:r>
      <w:r w:rsidRPr="000724C6">
        <w:rPr>
          <w:i/>
          <w:iCs/>
          <w:vertAlign w:val="superscript"/>
        </w:rPr>
        <w:t>3</w:t>
      </w:r>
      <w:r w:rsidRPr="000724C6">
        <w:rPr>
          <w:i/>
          <w:iCs/>
        </w:rPr>
        <w:t xml:space="preserve"> oil; 2. kg CH</w:t>
      </w:r>
      <w:r w:rsidRPr="000724C6">
        <w:rPr>
          <w:i/>
          <w:iCs/>
          <w:vertAlign w:val="subscript"/>
        </w:rPr>
        <w:t>4</w:t>
      </w:r>
      <w:r w:rsidRPr="000724C6">
        <w:rPr>
          <w:i/>
          <w:iCs/>
        </w:rPr>
        <w:t xml:space="preserve"> per 10</w:t>
      </w:r>
      <w:r w:rsidRPr="000724C6">
        <w:rPr>
          <w:i/>
          <w:iCs/>
          <w:vertAlign w:val="superscript"/>
        </w:rPr>
        <w:t xml:space="preserve">6 </w:t>
      </w:r>
      <w:r w:rsidRPr="000724C6">
        <w:rPr>
          <w:i/>
          <w:iCs/>
        </w:rPr>
        <w:t>m</w:t>
      </w:r>
      <w:r w:rsidRPr="000724C6">
        <w:rPr>
          <w:i/>
          <w:iCs/>
          <w:vertAlign w:val="superscript"/>
        </w:rPr>
        <w:t>3</w:t>
      </w:r>
      <w:r w:rsidRPr="000724C6">
        <w:rPr>
          <w:i/>
          <w:iCs/>
        </w:rPr>
        <w:t xml:space="preserve"> gas; or 3. kg CH</w:t>
      </w:r>
      <w:r w:rsidRPr="000724C6">
        <w:rPr>
          <w:i/>
          <w:iCs/>
          <w:vertAlign w:val="subscript"/>
        </w:rPr>
        <w:t>4</w:t>
      </w:r>
      <w:r w:rsidRPr="000724C6">
        <w:rPr>
          <w:i/>
          <w:iCs/>
        </w:rPr>
        <w:t xml:space="preserve"> per 10</w:t>
      </w:r>
      <w:r w:rsidRPr="000724C6">
        <w:rPr>
          <w:i/>
          <w:iCs/>
          <w:vertAlign w:val="superscript"/>
        </w:rPr>
        <w:t>6</w:t>
      </w:r>
      <w:r w:rsidRPr="000724C6">
        <w:rPr>
          <w:i/>
          <w:iCs/>
        </w:rPr>
        <w:t xml:space="preserve"> m</w:t>
      </w:r>
      <w:r w:rsidRPr="000724C6">
        <w:rPr>
          <w:i/>
          <w:iCs/>
          <w:vertAlign w:val="superscript"/>
        </w:rPr>
        <w:t>3</w:t>
      </w:r>
      <w:r w:rsidRPr="000724C6">
        <w:rPr>
          <w:i/>
          <w:iCs/>
        </w:rPr>
        <w:t xml:space="preserve"> condensate. Category Source: Fl – Flaring, Fu – Fugitive and V - Venting</w:t>
      </w:r>
    </w:p>
    <w:tbl>
      <w:tblPr>
        <w:tblW w:w="9209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1080"/>
        <w:gridCol w:w="1080"/>
        <w:gridCol w:w="810"/>
        <w:gridCol w:w="810"/>
        <w:gridCol w:w="1021"/>
        <w:gridCol w:w="706"/>
        <w:gridCol w:w="706"/>
        <w:gridCol w:w="26"/>
      </w:tblGrid>
      <w:tr w:rsidR="000724C6" w:rsidRPr="000724C6" w14:paraId="34566F86" w14:textId="77777777" w:rsidTr="00B95D6E">
        <w:trPr>
          <w:trHeight w:val="290"/>
        </w:trPr>
        <w:tc>
          <w:tcPr>
            <w:tcW w:w="2970" w:type="dxa"/>
            <w:tcBorders>
              <w:bottom w:val="nil"/>
            </w:tcBorders>
            <w:shd w:val="clear" w:color="auto" w:fill="auto"/>
            <w:noWrap/>
            <w:hideMark/>
          </w:tcPr>
          <w:p w14:paraId="16A84A8D" w14:textId="77777777" w:rsidR="000724C6" w:rsidRPr="000724C6" w:rsidRDefault="000724C6" w:rsidP="000724C6">
            <w:r w:rsidRPr="000724C6">
              <w:t>Category</w:t>
            </w:r>
          </w:p>
        </w:tc>
        <w:tc>
          <w:tcPr>
            <w:tcW w:w="1080" w:type="dxa"/>
            <w:tcBorders>
              <w:bottom w:val="nil"/>
            </w:tcBorders>
          </w:tcPr>
          <w:p w14:paraId="5140B20D" w14:textId="77777777" w:rsidR="000724C6" w:rsidRPr="000724C6" w:rsidRDefault="000724C6" w:rsidP="000724C6">
            <w:r w:rsidRPr="000724C6">
              <w:t>Min EF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hideMark/>
          </w:tcPr>
          <w:p w14:paraId="39FB8AB8" w14:textId="77777777" w:rsidR="000724C6" w:rsidRPr="000724C6" w:rsidRDefault="000724C6" w:rsidP="000724C6">
            <w:r w:rsidRPr="000724C6">
              <w:t xml:space="preserve">Max EF 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noWrap/>
            <w:hideMark/>
          </w:tcPr>
          <w:p w14:paraId="02058133" w14:textId="77777777" w:rsidR="000724C6" w:rsidRPr="000724C6" w:rsidRDefault="000724C6" w:rsidP="000724C6">
            <w:r w:rsidRPr="000724C6">
              <w:t>±U (%)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noWrap/>
            <w:hideMark/>
          </w:tcPr>
          <w:p w14:paraId="283A3887" w14:textId="77777777" w:rsidR="000724C6" w:rsidRPr="000724C6" w:rsidRDefault="000724C6" w:rsidP="000724C6">
            <w:r w:rsidRPr="000724C6">
              <w:t>EF Unit</w:t>
            </w:r>
          </w:p>
        </w:tc>
        <w:tc>
          <w:tcPr>
            <w:tcW w:w="2459" w:type="dxa"/>
            <w:gridSpan w:val="4"/>
            <w:tcBorders>
              <w:bottom w:val="nil"/>
            </w:tcBorders>
          </w:tcPr>
          <w:p w14:paraId="5C9752F5" w14:textId="77777777" w:rsidR="000724C6" w:rsidRPr="000724C6" w:rsidRDefault="000724C6" w:rsidP="000724C6">
            <w:r w:rsidRPr="000724C6">
              <w:t>Gas Loss (Gg y</w:t>
            </w:r>
            <w:r w:rsidRPr="000724C6">
              <w:rPr>
                <w:vertAlign w:val="superscript"/>
              </w:rPr>
              <w:t>-1</w:t>
            </w:r>
            <w:r w:rsidRPr="000724C6">
              <w:t>)</w:t>
            </w:r>
          </w:p>
        </w:tc>
      </w:tr>
      <w:tr w:rsidR="000724C6" w:rsidRPr="000724C6" w14:paraId="47910362" w14:textId="77777777" w:rsidTr="00B95D6E">
        <w:trPr>
          <w:gridAfter w:val="1"/>
          <w:wAfter w:w="26" w:type="dxa"/>
          <w:trHeight w:val="290"/>
        </w:trPr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3013E72" w14:textId="77777777" w:rsidR="000724C6" w:rsidRPr="000724C6" w:rsidRDefault="000724C6" w:rsidP="000724C6"/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11C5824B" w14:textId="77777777" w:rsidR="000724C6" w:rsidRPr="000724C6" w:rsidRDefault="000724C6" w:rsidP="000724C6"/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612439DB" w14:textId="77777777" w:rsidR="000724C6" w:rsidRPr="000724C6" w:rsidRDefault="000724C6" w:rsidP="000724C6"/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45CC72C1" w14:textId="77777777" w:rsidR="000724C6" w:rsidRPr="000724C6" w:rsidRDefault="000724C6" w:rsidP="000724C6"/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4F5B3B0B" w14:textId="77777777" w:rsidR="000724C6" w:rsidRPr="000724C6" w:rsidRDefault="000724C6" w:rsidP="000724C6"/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14:paraId="79F4E22B" w14:textId="77777777" w:rsidR="000724C6" w:rsidRPr="000724C6" w:rsidRDefault="000724C6" w:rsidP="000724C6">
            <w:r w:rsidRPr="000724C6">
              <w:t>Min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42958F45" w14:textId="77777777" w:rsidR="000724C6" w:rsidRPr="000724C6" w:rsidRDefault="000724C6" w:rsidP="000724C6">
            <w:r w:rsidRPr="000724C6">
              <w:t>Best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7EA62972" w14:textId="77777777" w:rsidR="000724C6" w:rsidRPr="000724C6" w:rsidRDefault="000724C6" w:rsidP="000724C6">
            <w:r w:rsidRPr="000724C6">
              <w:t>Max</w:t>
            </w:r>
          </w:p>
        </w:tc>
      </w:tr>
      <w:tr w:rsidR="000724C6" w:rsidRPr="000724C6" w14:paraId="0174F774" w14:textId="77777777" w:rsidTr="00B95D6E">
        <w:trPr>
          <w:gridAfter w:val="1"/>
          <w:wAfter w:w="26" w:type="dxa"/>
          <w:trHeight w:val="290"/>
        </w:trPr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213BA1F1" w14:textId="77777777" w:rsidR="000724C6" w:rsidRPr="000724C6" w:rsidRDefault="000724C6" w:rsidP="000724C6">
            <w:r w:rsidRPr="000724C6">
              <w:t>Gas Production (Fu)</w:t>
            </w:r>
          </w:p>
        </w:tc>
        <w:tc>
          <w:tcPr>
            <w:tcW w:w="1080" w:type="dxa"/>
            <w:vAlign w:val="center"/>
          </w:tcPr>
          <w:p w14:paraId="07C05E24" w14:textId="77777777" w:rsidR="000724C6" w:rsidRPr="000724C6" w:rsidRDefault="000724C6" w:rsidP="000724C6">
            <w:r w:rsidRPr="000724C6">
              <w:t>380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E83868" w14:textId="77777777" w:rsidR="000724C6" w:rsidRPr="000724C6" w:rsidRDefault="000724C6" w:rsidP="000724C6">
            <w:r w:rsidRPr="000724C6">
              <w:t>2300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CC8E9DC" w14:textId="77777777" w:rsidR="000724C6" w:rsidRPr="000724C6" w:rsidRDefault="000724C6" w:rsidP="000724C6">
            <w:r w:rsidRPr="000724C6">
              <w:t>100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2C09555" w14:textId="77777777" w:rsidR="000724C6" w:rsidRPr="000724C6" w:rsidRDefault="000724C6" w:rsidP="000724C6">
            <w:r w:rsidRPr="000724C6">
              <w:t xml:space="preserve">2 </w:t>
            </w:r>
          </w:p>
        </w:tc>
        <w:tc>
          <w:tcPr>
            <w:tcW w:w="1021" w:type="dxa"/>
            <w:vAlign w:val="center"/>
          </w:tcPr>
          <w:p w14:paraId="512DB3BF" w14:textId="77777777" w:rsidR="000724C6" w:rsidRPr="000724C6" w:rsidRDefault="000724C6" w:rsidP="000724C6">
            <w:r w:rsidRPr="000724C6">
              <w:t>0.0</w:t>
            </w:r>
          </w:p>
        </w:tc>
        <w:tc>
          <w:tcPr>
            <w:tcW w:w="706" w:type="dxa"/>
            <w:vAlign w:val="center"/>
          </w:tcPr>
          <w:p w14:paraId="6155865E" w14:textId="77777777" w:rsidR="000724C6" w:rsidRPr="000724C6" w:rsidRDefault="000724C6" w:rsidP="000724C6">
            <w:r w:rsidRPr="000724C6">
              <w:t>140</w:t>
            </w:r>
          </w:p>
        </w:tc>
        <w:tc>
          <w:tcPr>
            <w:tcW w:w="706" w:type="dxa"/>
            <w:vAlign w:val="center"/>
          </w:tcPr>
          <w:p w14:paraId="2910B824" w14:textId="77777777" w:rsidR="000724C6" w:rsidRPr="000724C6" w:rsidRDefault="000724C6" w:rsidP="000724C6">
            <w:r w:rsidRPr="000724C6">
              <w:t>482</w:t>
            </w:r>
          </w:p>
        </w:tc>
      </w:tr>
      <w:tr w:rsidR="000724C6" w:rsidRPr="000724C6" w14:paraId="1A33EDB1" w14:textId="77777777" w:rsidTr="00B95D6E">
        <w:trPr>
          <w:gridAfter w:val="1"/>
          <w:wAfter w:w="26" w:type="dxa"/>
          <w:trHeight w:val="290"/>
        </w:trPr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7F45BD5B" w14:textId="77777777" w:rsidR="000724C6" w:rsidRPr="000724C6" w:rsidRDefault="000724C6" w:rsidP="000724C6">
            <w:r w:rsidRPr="000724C6">
              <w:t>Gas Production (Fl)</w:t>
            </w:r>
          </w:p>
        </w:tc>
        <w:tc>
          <w:tcPr>
            <w:tcW w:w="1080" w:type="dxa"/>
            <w:vAlign w:val="center"/>
          </w:tcPr>
          <w:p w14:paraId="317E504F" w14:textId="77777777" w:rsidR="000724C6" w:rsidRPr="000724C6" w:rsidRDefault="000724C6" w:rsidP="000724C6">
            <w:r w:rsidRPr="000724C6">
              <w:t>0.76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5DBBCA4" w14:textId="77777777" w:rsidR="000724C6" w:rsidRPr="000724C6" w:rsidRDefault="000724C6" w:rsidP="000724C6">
            <w:r w:rsidRPr="000724C6">
              <w:t>0.76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9E0C687" w14:textId="77777777" w:rsidR="000724C6" w:rsidRPr="000724C6" w:rsidRDefault="000724C6" w:rsidP="000724C6">
            <w:r w:rsidRPr="000724C6">
              <w:t>25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F2D18E9" w14:textId="77777777" w:rsidR="000724C6" w:rsidRPr="000724C6" w:rsidRDefault="000724C6" w:rsidP="000724C6">
            <w:r w:rsidRPr="000724C6">
              <w:t xml:space="preserve">2 </w:t>
            </w:r>
          </w:p>
        </w:tc>
        <w:tc>
          <w:tcPr>
            <w:tcW w:w="1021" w:type="dxa"/>
            <w:vAlign w:val="center"/>
          </w:tcPr>
          <w:p w14:paraId="302183C1" w14:textId="77777777" w:rsidR="000724C6" w:rsidRPr="000724C6" w:rsidRDefault="000724C6" w:rsidP="000724C6">
            <w:r w:rsidRPr="000724C6">
              <w:t>0.06</w:t>
            </w:r>
          </w:p>
        </w:tc>
        <w:tc>
          <w:tcPr>
            <w:tcW w:w="706" w:type="dxa"/>
            <w:vAlign w:val="center"/>
          </w:tcPr>
          <w:p w14:paraId="10C8462D" w14:textId="77777777" w:rsidR="000724C6" w:rsidRPr="000724C6" w:rsidRDefault="000724C6" w:rsidP="000724C6">
            <w:r w:rsidRPr="000724C6">
              <w:t>0.08</w:t>
            </w:r>
          </w:p>
        </w:tc>
        <w:tc>
          <w:tcPr>
            <w:tcW w:w="706" w:type="dxa"/>
            <w:vAlign w:val="center"/>
          </w:tcPr>
          <w:p w14:paraId="6E38F5A0" w14:textId="77777777" w:rsidR="000724C6" w:rsidRPr="000724C6" w:rsidRDefault="000724C6" w:rsidP="000724C6">
            <w:r w:rsidRPr="000724C6">
              <w:t>0.10</w:t>
            </w:r>
          </w:p>
        </w:tc>
      </w:tr>
      <w:tr w:rsidR="000724C6" w:rsidRPr="000724C6" w14:paraId="7227402D" w14:textId="77777777" w:rsidTr="00B95D6E">
        <w:trPr>
          <w:gridAfter w:val="1"/>
          <w:wAfter w:w="26" w:type="dxa"/>
          <w:trHeight w:val="290"/>
        </w:trPr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55326ECC" w14:textId="77777777" w:rsidR="000724C6" w:rsidRPr="000724C6" w:rsidRDefault="000724C6" w:rsidP="000724C6">
            <w:r w:rsidRPr="000724C6">
              <w:t>Oil Production (Fu)</w:t>
            </w:r>
          </w:p>
        </w:tc>
        <w:tc>
          <w:tcPr>
            <w:tcW w:w="1080" w:type="dxa"/>
            <w:vAlign w:val="center"/>
          </w:tcPr>
          <w:p w14:paraId="0AD17D9A" w14:textId="77777777" w:rsidR="000724C6" w:rsidRPr="000724C6" w:rsidRDefault="000724C6" w:rsidP="000724C6">
            <w:r w:rsidRPr="000724C6">
              <w:t>1.5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1CC293B" w14:textId="77777777" w:rsidR="000724C6" w:rsidRPr="000724C6" w:rsidRDefault="000724C6" w:rsidP="000724C6">
            <w:r w:rsidRPr="000724C6">
              <w:t>3600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0567D53" w14:textId="77777777" w:rsidR="000724C6" w:rsidRPr="000724C6" w:rsidRDefault="000724C6" w:rsidP="000724C6">
            <w:r w:rsidRPr="000724C6">
              <w:t>100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112982C" w14:textId="77777777" w:rsidR="000724C6" w:rsidRPr="000724C6" w:rsidRDefault="000724C6" w:rsidP="000724C6">
            <w:r w:rsidRPr="000724C6">
              <w:t>1</w:t>
            </w:r>
          </w:p>
        </w:tc>
        <w:tc>
          <w:tcPr>
            <w:tcW w:w="1021" w:type="dxa"/>
            <w:vAlign w:val="center"/>
          </w:tcPr>
          <w:p w14:paraId="41647A3F" w14:textId="77777777" w:rsidR="000724C6" w:rsidRPr="000724C6" w:rsidRDefault="000724C6" w:rsidP="000724C6">
            <w:r w:rsidRPr="000724C6">
              <w:t>0.0</w:t>
            </w:r>
          </w:p>
        </w:tc>
        <w:tc>
          <w:tcPr>
            <w:tcW w:w="706" w:type="dxa"/>
            <w:vAlign w:val="center"/>
          </w:tcPr>
          <w:p w14:paraId="46B28772" w14:textId="77777777" w:rsidR="000724C6" w:rsidRPr="000724C6" w:rsidRDefault="000724C6" w:rsidP="000724C6">
            <w:r w:rsidRPr="000724C6">
              <w:t>242</w:t>
            </w:r>
          </w:p>
        </w:tc>
        <w:tc>
          <w:tcPr>
            <w:tcW w:w="706" w:type="dxa"/>
            <w:vAlign w:val="center"/>
          </w:tcPr>
          <w:p w14:paraId="4A030D6F" w14:textId="77777777" w:rsidR="000724C6" w:rsidRPr="000724C6" w:rsidRDefault="000724C6" w:rsidP="000724C6">
            <w:r w:rsidRPr="000724C6">
              <w:t>968</w:t>
            </w:r>
          </w:p>
        </w:tc>
      </w:tr>
      <w:tr w:rsidR="000724C6" w:rsidRPr="000724C6" w14:paraId="1E06B125" w14:textId="77777777" w:rsidTr="00B95D6E">
        <w:trPr>
          <w:gridAfter w:val="1"/>
          <w:wAfter w:w="26" w:type="dxa"/>
          <w:trHeight w:val="290"/>
        </w:trPr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66D5EAEB" w14:textId="77777777" w:rsidR="000724C6" w:rsidRPr="000724C6" w:rsidRDefault="000724C6" w:rsidP="000724C6">
            <w:r w:rsidRPr="000724C6">
              <w:t>Oil Production (V)</w:t>
            </w:r>
          </w:p>
        </w:tc>
        <w:tc>
          <w:tcPr>
            <w:tcW w:w="1080" w:type="dxa"/>
            <w:vAlign w:val="center"/>
          </w:tcPr>
          <w:p w14:paraId="37A21ADB" w14:textId="77777777" w:rsidR="000724C6" w:rsidRPr="000724C6" w:rsidRDefault="000724C6" w:rsidP="000724C6">
            <w:r w:rsidRPr="000724C6">
              <w:t>720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0ED0319" w14:textId="77777777" w:rsidR="000724C6" w:rsidRPr="000724C6" w:rsidRDefault="000724C6" w:rsidP="000724C6">
            <w:r w:rsidRPr="000724C6">
              <w:t>720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F9CB11E" w14:textId="77777777" w:rsidR="000724C6" w:rsidRPr="000724C6" w:rsidRDefault="000724C6" w:rsidP="000724C6">
            <w:r w:rsidRPr="000724C6">
              <w:t>50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943C056" w14:textId="77777777" w:rsidR="000724C6" w:rsidRPr="000724C6" w:rsidRDefault="000724C6" w:rsidP="000724C6">
            <w:r w:rsidRPr="000724C6">
              <w:t>1</w:t>
            </w:r>
          </w:p>
        </w:tc>
        <w:tc>
          <w:tcPr>
            <w:tcW w:w="1021" w:type="dxa"/>
            <w:vAlign w:val="center"/>
          </w:tcPr>
          <w:p w14:paraId="77368791" w14:textId="77777777" w:rsidR="000724C6" w:rsidRPr="000724C6" w:rsidRDefault="000724C6" w:rsidP="000724C6">
            <w:r w:rsidRPr="000724C6">
              <w:t>48</w:t>
            </w:r>
          </w:p>
        </w:tc>
        <w:tc>
          <w:tcPr>
            <w:tcW w:w="706" w:type="dxa"/>
            <w:vAlign w:val="center"/>
          </w:tcPr>
          <w:p w14:paraId="01FBCE33" w14:textId="77777777" w:rsidR="000724C6" w:rsidRPr="000724C6" w:rsidRDefault="000724C6" w:rsidP="000724C6">
            <w:r w:rsidRPr="000724C6">
              <w:t>97</w:t>
            </w:r>
          </w:p>
        </w:tc>
        <w:tc>
          <w:tcPr>
            <w:tcW w:w="706" w:type="dxa"/>
            <w:vAlign w:val="center"/>
          </w:tcPr>
          <w:p w14:paraId="34222C35" w14:textId="77777777" w:rsidR="000724C6" w:rsidRPr="000724C6" w:rsidRDefault="000724C6" w:rsidP="000724C6">
            <w:r w:rsidRPr="000724C6">
              <w:t>145</w:t>
            </w:r>
          </w:p>
        </w:tc>
      </w:tr>
      <w:tr w:rsidR="000724C6" w:rsidRPr="000724C6" w14:paraId="1870E497" w14:textId="77777777" w:rsidTr="00B95D6E">
        <w:trPr>
          <w:gridAfter w:val="1"/>
          <w:wAfter w:w="26" w:type="dxa"/>
          <w:trHeight w:val="290"/>
        </w:trPr>
        <w:tc>
          <w:tcPr>
            <w:tcW w:w="297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1C6924A" w14:textId="77777777" w:rsidR="000724C6" w:rsidRPr="000724C6" w:rsidRDefault="000724C6" w:rsidP="000724C6">
            <w:r w:rsidRPr="000724C6">
              <w:t>Oil Production (Fl)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39E6DD0D" w14:textId="77777777" w:rsidR="000724C6" w:rsidRPr="000724C6" w:rsidRDefault="000724C6" w:rsidP="000724C6">
            <w:r w:rsidRPr="000724C6">
              <w:t>25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8BB1018" w14:textId="77777777" w:rsidR="000724C6" w:rsidRPr="000724C6" w:rsidRDefault="000724C6" w:rsidP="000724C6">
            <w:r w:rsidRPr="000724C6">
              <w:t>25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B65476D" w14:textId="77777777" w:rsidR="000724C6" w:rsidRPr="000724C6" w:rsidRDefault="000724C6" w:rsidP="000724C6">
            <w:r w:rsidRPr="000724C6">
              <w:t>50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7721137" w14:textId="77777777" w:rsidR="000724C6" w:rsidRPr="000724C6" w:rsidRDefault="000724C6" w:rsidP="000724C6">
            <w:r w:rsidRPr="000724C6">
              <w:t>1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14:paraId="5E0B451E" w14:textId="77777777" w:rsidR="000724C6" w:rsidRPr="000724C6" w:rsidRDefault="000724C6" w:rsidP="000724C6">
            <w:r w:rsidRPr="000724C6">
              <w:t>1.7</w:t>
            </w: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14:paraId="71677D71" w14:textId="77777777" w:rsidR="000724C6" w:rsidRPr="000724C6" w:rsidRDefault="000724C6" w:rsidP="000724C6">
            <w:r w:rsidRPr="000724C6">
              <w:t>3.4</w:t>
            </w: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14:paraId="2A444752" w14:textId="77777777" w:rsidR="000724C6" w:rsidRPr="000724C6" w:rsidRDefault="000724C6" w:rsidP="000724C6">
            <w:r w:rsidRPr="000724C6">
              <w:t>5.0</w:t>
            </w:r>
          </w:p>
        </w:tc>
      </w:tr>
      <w:tr w:rsidR="000724C6" w:rsidRPr="000724C6" w14:paraId="78906995" w14:textId="77777777" w:rsidTr="00B95D6E">
        <w:trPr>
          <w:gridAfter w:val="1"/>
          <w:wAfter w:w="26" w:type="dxa"/>
          <w:trHeight w:val="290"/>
        </w:trPr>
        <w:tc>
          <w:tcPr>
            <w:tcW w:w="29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FE397E" w14:textId="77777777" w:rsidR="000724C6" w:rsidRPr="000724C6" w:rsidRDefault="000724C6" w:rsidP="000724C6">
            <w:r w:rsidRPr="000724C6">
              <w:t>Servicing (Fl/V)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CF058EF" w14:textId="77777777" w:rsidR="000724C6" w:rsidRPr="000724C6" w:rsidRDefault="000724C6" w:rsidP="000724C6">
            <w:r w:rsidRPr="000724C6">
              <w:t>110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90B194" w14:textId="77777777" w:rsidR="000724C6" w:rsidRPr="000724C6" w:rsidRDefault="000724C6" w:rsidP="000724C6">
            <w:r w:rsidRPr="000724C6">
              <w:t>110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F92BB2" w14:textId="77777777" w:rsidR="000724C6" w:rsidRPr="000724C6" w:rsidRDefault="000724C6" w:rsidP="000724C6">
            <w:r w:rsidRPr="000724C6">
              <w:t>50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0E1698" w14:textId="77777777" w:rsidR="000724C6" w:rsidRPr="000724C6" w:rsidRDefault="000724C6" w:rsidP="000724C6">
            <w:r w:rsidRPr="000724C6">
              <w:t xml:space="preserve">1 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29859146" w14:textId="77777777" w:rsidR="000724C6" w:rsidRPr="000724C6" w:rsidRDefault="000724C6" w:rsidP="000724C6">
            <w:r w:rsidRPr="000724C6">
              <w:t>7.4</w:t>
            </w: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0422EBEC" w14:textId="77777777" w:rsidR="000724C6" w:rsidRPr="000724C6" w:rsidRDefault="000724C6" w:rsidP="000724C6">
            <w:r w:rsidRPr="000724C6">
              <w:t>15</w:t>
            </w: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4AC166C5" w14:textId="77777777" w:rsidR="000724C6" w:rsidRPr="000724C6" w:rsidRDefault="000724C6" w:rsidP="000724C6">
            <w:r w:rsidRPr="000724C6">
              <w:t>22</w:t>
            </w:r>
          </w:p>
        </w:tc>
      </w:tr>
      <w:tr w:rsidR="000724C6" w:rsidRPr="000724C6" w14:paraId="63F848A7" w14:textId="77777777" w:rsidTr="00B95D6E">
        <w:trPr>
          <w:gridAfter w:val="1"/>
          <w:wAfter w:w="26" w:type="dxa"/>
          <w:trHeight w:val="290"/>
        </w:trPr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572F670C" w14:textId="77777777" w:rsidR="000724C6" w:rsidRPr="000724C6" w:rsidRDefault="000724C6" w:rsidP="000724C6">
            <w:r w:rsidRPr="000724C6">
              <w:t>Gas Transmission (Fu)</w:t>
            </w:r>
          </w:p>
        </w:tc>
        <w:tc>
          <w:tcPr>
            <w:tcW w:w="1080" w:type="dxa"/>
            <w:vAlign w:val="center"/>
          </w:tcPr>
          <w:p w14:paraId="5091232E" w14:textId="77777777" w:rsidR="000724C6" w:rsidRPr="000724C6" w:rsidRDefault="000724C6" w:rsidP="000724C6">
            <w:r w:rsidRPr="000724C6">
              <w:t>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AFF8429" w14:textId="77777777" w:rsidR="000724C6" w:rsidRPr="000724C6" w:rsidRDefault="000724C6" w:rsidP="000724C6">
            <w:r w:rsidRPr="000724C6">
              <w:t>180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77DFAAD" w14:textId="77777777" w:rsidR="000724C6" w:rsidRPr="000724C6" w:rsidRDefault="000724C6" w:rsidP="000724C6">
            <w:r w:rsidRPr="000724C6">
              <w:t>100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7069A55" w14:textId="77777777" w:rsidR="000724C6" w:rsidRPr="000724C6" w:rsidRDefault="000724C6" w:rsidP="000724C6">
            <w:r w:rsidRPr="000724C6">
              <w:t>2</w:t>
            </w:r>
          </w:p>
        </w:tc>
        <w:tc>
          <w:tcPr>
            <w:tcW w:w="1021" w:type="dxa"/>
            <w:vAlign w:val="center"/>
          </w:tcPr>
          <w:p w14:paraId="035BA6C5" w14:textId="77777777" w:rsidR="000724C6" w:rsidRPr="000724C6" w:rsidRDefault="000724C6" w:rsidP="000724C6">
            <w:r w:rsidRPr="000724C6">
              <w:t>0.0</w:t>
            </w:r>
          </w:p>
        </w:tc>
        <w:tc>
          <w:tcPr>
            <w:tcW w:w="706" w:type="dxa"/>
            <w:vAlign w:val="center"/>
          </w:tcPr>
          <w:p w14:paraId="6E1978A7" w14:textId="77777777" w:rsidR="000724C6" w:rsidRPr="000724C6" w:rsidRDefault="000724C6" w:rsidP="000724C6">
            <w:r w:rsidRPr="000724C6">
              <w:t>13</w:t>
            </w:r>
          </w:p>
        </w:tc>
        <w:tc>
          <w:tcPr>
            <w:tcW w:w="706" w:type="dxa"/>
            <w:vAlign w:val="center"/>
          </w:tcPr>
          <w:p w14:paraId="62369B7F" w14:textId="77777777" w:rsidR="000724C6" w:rsidRPr="000724C6" w:rsidRDefault="000724C6" w:rsidP="000724C6">
            <w:r w:rsidRPr="000724C6">
              <w:t>38</w:t>
            </w:r>
          </w:p>
        </w:tc>
      </w:tr>
      <w:tr w:rsidR="000724C6" w:rsidRPr="000724C6" w14:paraId="1EF114FA" w14:textId="77777777" w:rsidTr="00B95D6E">
        <w:trPr>
          <w:gridAfter w:val="1"/>
          <w:wAfter w:w="26" w:type="dxa"/>
          <w:trHeight w:val="290"/>
        </w:trPr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47080FA0" w14:textId="77777777" w:rsidR="000724C6" w:rsidRPr="000724C6" w:rsidRDefault="000724C6" w:rsidP="000724C6">
            <w:r w:rsidRPr="000724C6">
              <w:t>Gas Transmission (V)</w:t>
            </w:r>
          </w:p>
        </w:tc>
        <w:tc>
          <w:tcPr>
            <w:tcW w:w="1080" w:type="dxa"/>
            <w:vAlign w:val="center"/>
          </w:tcPr>
          <w:p w14:paraId="1B4C489D" w14:textId="77777777" w:rsidR="000724C6" w:rsidRPr="000724C6" w:rsidRDefault="000724C6" w:rsidP="000724C6">
            <w:r w:rsidRPr="000724C6">
              <w:t>44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8A808E" w14:textId="77777777" w:rsidR="000724C6" w:rsidRPr="000724C6" w:rsidRDefault="000724C6" w:rsidP="000724C6">
            <w:r w:rsidRPr="000724C6">
              <w:t>320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472B967" w14:textId="77777777" w:rsidR="000724C6" w:rsidRPr="000724C6" w:rsidRDefault="000724C6" w:rsidP="000724C6">
            <w:r w:rsidRPr="000724C6">
              <w:t>75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03F7AE2" w14:textId="77777777" w:rsidR="000724C6" w:rsidRPr="000724C6" w:rsidRDefault="000724C6" w:rsidP="000724C6">
            <w:r w:rsidRPr="000724C6">
              <w:t>2</w:t>
            </w:r>
          </w:p>
        </w:tc>
        <w:tc>
          <w:tcPr>
            <w:tcW w:w="1021" w:type="dxa"/>
            <w:vAlign w:val="center"/>
          </w:tcPr>
          <w:p w14:paraId="2E5A2178" w14:textId="77777777" w:rsidR="000724C6" w:rsidRPr="000724C6" w:rsidRDefault="000724C6" w:rsidP="000724C6">
            <w:r w:rsidRPr="000724C6">
              <w:t>8.4</w:t>
            </w:r>
          </w:p>
        </w:tc>
        <w:tc>
          <w:tcPr>
            <w:tcW w:w="706" w:type="dxa"/>
            <w:vAlign w:val="center"/>
          </w:tcPr>
          <w:p w14:paraId="52C2CB9D" w14:textId="77777777" w:rsidR="000724C6" w:rsidRPr="000724C6" w:rsidRDefault="000724C6" w:rsidP="000724C6">
            <w:r w:rsidRPr="000724C6">
              <w:t>19</w:t>
            </w:r>
          </w:p>
        </w:tc>
        <w:tc>
          <w:tcPr>
            <w:tcW w:w="706" w:type="dxa"/>
            <w:vAlign w:val="center"/>
          </w:tcPr>
          <w:p w14:paraId="160A29C5" w14:textId="77777777" w:rsidR="000724C6" w:rsidRPr="000724C6" w:rsidRDefault="000724C6" w:rsidP="000724C6">
            <w:r w:rsidRPr="000724C6">
              <w:t>59</w:t>
            </w:r>
          </w:p>
        </w:tc>
      </w:tr>
      <w:tr w:rsidR="000724C6" w:rsidRPr="000724C6" w14:paraId="4685E286" w14:textId="77777777" w:rsidTr="00B95D6E">
        <w:trPr>
          <w:gridAfter w:val="1"/>
          <w:wAfter w:w="26" w:type="dxa"/>
          <w:trHeight w:val="290"/>
        </w:trPr>
        <w:tc>
          <w:tcPr>
            <w:tcW w:w="297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1BE8D52" w14:textId="77777777" w:rsidR="000724C6" w:rsidRPr="000724C6" w:rsidRDefault="000724C6" w:rsidP="000724C6">
            <w:bookmarkStart w:id="0" w:name="_Hlk137468635"/>
            <w:r w:rsidRPr="000724C6">
              <w:t>Condensate Transport (Fu)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264035BE" w14:textId="77777777" w:rsidR="000724C6" w:rsidRPr="000724C6" w:rsidRDefault="000724C6" w:rsidP="000724C6">
            <w:r w:rsidRPr="000724C6">
              <w:t>110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85A8149" w14:textId="77777777" w:rsidR="000724C6" w:rsidRPr="000724C6" w:rsidRDefault="000724C6" w:rsidP="000724C6">
            <w:r w:rsidRPr="000724C6">
              <w:t>110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31E7708" w14:textId="77777777" w:rsidR="000724C6" w:rsidRPr="000724C6" w:rsidRDefault="000724C6" w:rsidP="000724C6">
            <w:r w:rsidRPr="000724C6">
              <w:t>100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2C93983" w14:textId="77777777" w:rsidR="000724C6" w:rsidRPr="000724C6" w:rsidRDefault="000724C6" w:rsidP="000724C6">
            <w:r w:rsidRPr="000724C6">
              <w:t>3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14:paraId="4CB014A1" w14:textId="77777777" w:rsidR="000724C6" w:rsidRPr="000724C6" w:rsidRDefault="000724C6" w:rsidP="000724C6">
            <w:r w:rsidRPr="000724C6">
              <w:t>0.0</w:t>
            </w: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14:paraId="1A144D9E" w14:textId="77777777" w:rsidR="000724C6" w:rsidRPr="000724C6" w:rsidRDefault="000724C6" w:rsidP="000724C6">
            <w:r w:rsidRPr="000724C6">
              <w:t>15</w:t>
            </w: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14:paraId="17F253CF" w14:textId="77777777" w:rsidR="000724C6" w:rsidRPr="000724C6" w:rsidRDefault="000724C6" w:rsidP="000724C6">
            <w:r w:rsidRPr="000724C6">
              <w:t>30</w:t>
            </w:r>
          </w:p>
        </w:tc>
      </w:tr>
      <w:bookmarkEnd w:id="0"/>
      <w:tr w:rsidR="000724C6" w:rsidRPr="000724C6" w14:paraId="501A9E37" w14:textId="77777777" w:rsidTr="00B95D6E">
        <w:trPr>
          <w:gridAfter w:val="1"/>
          <w:wAfter w:w="26" w:type="dxa"/>
          <w:trHeight w:val="290"/>
        </w:trPr>
        <w:tc>
          <w:tcPr>
            <w:tcW w:w="29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4FFC9C" w14:textId="77777777" w:rsidR="000724C6" w:rsidRPr="000724C6" w:rsidRDefault="000724C6" w:rsidP="000724C6">
            <w:r w:rsidRPr="000724C6">
              <w:t>Oil Transport (Fu)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C9A9C8D" w14:textId="77777777" w:rsidR="000724C6" w:rsidRPr="000724C6" w:rsidRDefault="000724C6" w:rsidP="000724C6">
            <w:r w:rsidRPr="000724C6">
              <w:t>5.4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74A9AF" w14:textId="77777777" w:rsidR="000724C6" w:rsidRPr="000724C6" w:rsidRDefault="000724C6" w:rsidP="000724C6">
            <w:r w:rsidRPr="000724C6">
              <w:t>5.4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9E7DF6" w14:textId="77777777" w:rsidR="000724C6" w:rsidRPr="000724C6" w:rsidRDefault="000724C6" w:rsidP="000724C6">
            <w:r w:rsidRPr="000724C6">
              <w:t>100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53029C" w14:textId="77777777" w:rsidR="000724C6" w:rsidRPr="000724C6" w:rsidRDefault="000724C6" w:rsidP="000724C6">
            <w:r w:rsidRPr="000724C6">
              <w:t>1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2A97F603" w14:textId="77777777" w:rsidR="000724C6" w:rsidRPr="000724C6" w:rsidRDefault="000724C6" w:rsidP="000724C6">
            <w:r w:rsidRPr="000724C6">
              <w:t>0.0</w:t>
            </w: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22C594AD" w14:textId="77777777" w:rsidR="000724C6" w:rsidRPr="000724C6" w:rsidRDefault="000724C6" w:rsidP="000724C6">
            <w:r w:rsidRPr="000724C6">
              <w:t>0.73</w:t>
            </w: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10E5848C" w14:textId="77777777" w:rsidR="000724C6" w:rsidRPr="000724C6" w:rsidRDefault="000724C6" w:rsidP="000724C6">
            <w:r w:rsidRPr="000724C6">
              <w:t>1.5</w:t>
            </w:r>
          </w:p>
        </w:tc>
      </w:tr>
      <w:tr w:rsidR="000724C6" w:rsidRPr="000724C6" w14:paraId="0FE7BD3F" w14:textId="77777777" w:rsidTr="00B95D6E">
        <w:trPr>
          <w:gridAfter w:val="1"/>
          <w:wAfter w:w="26" w:type="dxa"/>
          <w:trHeight w:val="290"/>
        </w:trPr>
        <w:tc>
          <w:tcPr>
            <w:tcW w:w="29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347607" w14:textId="77777777" w:rsidR="000724C6" w:rsidRPr="000724C6" w:rsidRDefault="000724C6" w:rsidP="000724C6">
            <w:r w:rsidRPr="000724C6">
              <w:t>Gas Processing (Fu)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7FA0C068" w14:textId="77777777" w:rsidR="000724C6" w:rsidRPr="000724C6" w:rsidRDefault="000724C6" w:rsidP="000724C6">
            <w:r w:rsidRPr="000724C6">
              <w:t>150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025C20" w14:textId="77777777" w:rsidR="000724C6" w:rsidRPr="000724C6" w:rsidRDefault="000724C6" w:rsidP="000724C6">
            <w:r w:rsidRPr="000724C6">
              <w:t>1030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952BB0" w14:textId="77777777" w:rsidR="000724C6" w:rsidRPr="000724C6" w:rsidRDefault="000724C6" w:rsidP="000724C6">
            <w:r w:rsidRPr="000724C6">
              <w:t>100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B9E6A4" w14:textId="77777777" w:rsidR="000724C6" w:rsidRPr="000724C6" w:rsidRDefault="000724C6" w:rsidP="000724C6">
            <w:r w:rsidRPr="000724C6">
              <w:t xml:space="preserve">2 </w:t>
            </w:r>
          </w:p>
        </w:tc>
        <w:tc>
          <w:tcPr>
            <w:tcW w:w="1021" w:type="dxa"/>
            <w:tcBorders>
              <w:top w:val="nil"/>
            </w:tcBorders>
            <w:vAlign w:val="center"/>
          </w:tcPr>
          <w:p w14:paraId="7DD1E409" w14:textId="77777777" w:rsidR="000724C6" w:rsidRPr="000724C6" w:rsidRDefault="000724C6" w:rsidP="000724C6">
            <w:r w:rsidRPr="000724C6">
              <w:t>0.0</w:t>
            </w:r>
          </w:p>
        </w:tc>
        <w:tc>
          <w:tcPr>
            <w:tcW w:w="706" w:type="dxa"/>
            <w:tcBorders>
              <w:top w:val="nil"/>
            </w:tcBorders>
            <w:vAlign w:val="center"/>
          </w:tcPr>
          <w:p w14:paraId="782631E4" w14:textId="77777777" w:rsidR="000724C6" w:rsidRPr="000724C6" w:rsidRDefault="000724C6" w:rsidP="000724C6">
            <w:r w:rsidRPr="000724C6">
              <w:t>62</w:t>
            </w:r>
          </w:p>
        </w:tc>
        <w:tc>
          <w:tcPr>
            <w:tcW w:w="706" w:type="dxa"/>
            <w:tcBorders>
              <w:top w:val="nil"/>
            </w:tcBorders>
            <w:vAlign w:val="center"/>
          </w:tcPr>
          <w:p w14:paraId="6C54E525" w14:textId="77777777" w:rsidR="000724C6" w:rsidRPr="000724C6" w:rsidRDefault="000724C6" w:rsidP="000724C6">
            <w:r w:rsidRPr="000724C6">
              <w:t>215</w:t>
            </w:r>
          </w:p>
        </w:tc>
      </w:tr>
      <w:tr w:rsidR="000724C6" w:rsidRPr="000724C6" w14:paraId="18A6030C" w14:textId="77777777" w:rsidTr="00B95D6E">
        <w:trPr>
          <w:gridAfter w:val="1"/>
          <w:wAfter w:w="26" w:type="dxa"/>
          <w:trHeight w:val="290"/>
        </w:trPr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4853D6A7" w14:textId="77777777" w:rsidR="000724C6" w:rsidRPr="000724C6" w:rsidRDefault="000724C6" w:rsidP="000724C6">
            <w:r w:rsidRPr="000724C6">
              <w:t>Gas Processing (Fl)</w:t>
            </w:r>
          </w:p>
        </w:tc>
        <w:tc>
          <w:tcPr>
            <w:tcW w:w="1080" w:type="dxa"/>
            <w:vAlign w:val="center"/>
          </w:tcPr>
          <w:p w14:paraId="535EAA6B" w14:textId="77777777" w:rsidR="000724C6" w:rsidRPr="000724C6" w:rsidRDefault="000724C6" w:rsidP="000724C6">
            <w:r w:rsidRPr="000724C6"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BCBE55" w14:textId="77777777" w:rsidR="000724C6" w:rsidRPr="000724C6" w:rsidRDefault="000724C6" w:rsidP="000724C6">
            <w:r w:rsidRPr="000724C6">
              <w:t>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0DEBF8F" w14:textId="77777777" w:rsidR="000724C6" w:rsidRPr="000724C6" w:rsidRDefault="000724C6" w:rsidP="000724C6">
            <w:r w:rsidRPr="000724C6">
              <w:t>25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C67B461" w14:textId="77777777" w:rsidR="000724C6" w:rsidRPr="000724C6" w:rsidRDefault="000724C6" w:rsidP="000724C6">
            <w:r w:rsidRPr="000724C6">
              <w:t>2</w:t>
            </w:r>
          </w:p>
        </w:tc>
        <w:tc>
          <w:tcPr>
            <w:tcW w:w="1021" w:type="dxa"/>
            <w:vAlign w:val="center"/>
          </w:tcPr>
          <w:p w14:paraId="217FC894" w14:textId="77777777" w:rsidR="000724C6" w:rsidRPr="000724C6" w:rsidRDefault="000724C6" w:rsidP="000724C6">
            <w:r w:rsidRPr="000724C6">
              <w:t>0.16</w:t>
            </w:r>
          </w:p>
        </w:tc>
        <w:tc>
          <w:tcPr>
            <w:tcW w:w="706" w:type="dxa"/>
            <w:vAlign w:val="center"/>
          </w:tcPr>
          <w:p w14:paraId="3E3E995A" w14:textId="77777777" w:rsidR="000724C6" w:rsidRPr="000724C6" w:rsidRDefault="000724C6" w:rsidP="000724C6">
            <w:r w:rsidRPr="000724C6">
              <w:t>0.21</w:t>
            </w:r>
          </w:p>
        </w:tc>
        <w:tc>
          <w:tcPr>
            <w:tcW w:w="706" w:type="dxa"/>
            <w:vAlign w:val="center"/>
          </w:tcPr>
          <w:p w14:paraId="028DE565" w14:textId="77777777" w:rsidR="000724C6" w:rsidRPr="000724C6" w:rsidRDefault="000724C6" w:rsidP="000724C6">
            <w:r w:rsidRPr="000724C6">
              <w:t>0.26</w:t>
            </w:r>
          </w:p>
        </w:tc>
      </w:tr>
      <w:tr w:rsidR="000724C6" w:rsidRPr="000724C6" w14:paraId="5D1DCDEA" w14:textId="77777777" w:rsidTr="00B95D6E">
        <w:trPr>
          <w:gridAfter w:val="1"/>
          <w:wAfter w:w="26" w:type="dxa"/>
          <w:trHeight w:val="290"/>
        </w:trPr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CFB569" w14:textId="77777777" w:rsidR="000724C6" w:rsidRPr="000724C6" w:rsidRDefault="000724C6" w:rsidP="000724C6">
            <w:r w:rsidRPr="000724C6">
              <w:t>Total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26F43A7" w14:textId="77777777" w:rsidR="000724C6" w:rsidRPr="000724C6" w:rsidRDefault="000724C6" w:rsidP="000724C6"/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1833496" w14:textId="77777777" w:rsidR="000724C6" w:rsidRPr="000724C6" w:rsidRDefault="000724C6" w:rsidP="000724C6"/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852CF1" w14:textId="77777777" w:rsidR="000724C6" w:rsidRPr="000724C6" w:rsidRDefault="000724C6" w:rsidP="000724C6"/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19FA35" w14:textId="77777777" w:rsidR="000724C6" w:rsidRPr="000724C6" w:rsidRDefault="000724C6" w:rsidP="000724C6"/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78A0A93A" w14:textId="77777777" w:rsidR="000724C6" w:rsidRPr="000724C6" w:rsidRDefault="000724C6" w:rsidP="000724C6">
            <w:r w:rsidRPr="000724C6">
              <w:t>66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14:paraId="46891E71" w14:textId="77777777" w:rsidR="000724C6" w:rsidRPr="000724C6" w:rsidRDefault="000724C6" w:rsidP="000724C6">
            <w:r w:rsidRPr="000724C6">
              <w:t>607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14:paraId="15619F02" w14:textId="77777777" w:rsidR="000724C6" w:rsidRPr="000724C6" w:rsidRDefault="000724C6" w:rsidP="000724C6">
            <w:r w:rsidRPr="000724C6">
              <w:t>1,966</w:t>
            </w:r>
          </w:p>
        </w:tc>
      </w:tr>
    </w:tbl>
    <w:p w14:paraId="5B718111" w14:textId="77777777" w:rsidR="000724C6" w:rsidRPr="000724C6" w:rsidRDefault="000724C6" w:rsidP="000724C6">
      <w:r w:rsidRPr="000724C6">
        <w:t>Sources: Canadian Association of Petroleum Producers (1999, 2004); API (2004); GRI/US EPA (1996); US EPA (1999).</w:t>
      </w:r>
    </w:p>
    <w:p w14:paraId="2C715B11" w14:textId="77777777" w:rsidR="000724C6" w:rsidRPr="000724C6" w:rsidRDefault="000724C6" w:rsidP="000724C6"/>
    <w:p w14:paraId="13BF789D" w14:textId="77777777" w:rsidR="000724C6" w:rsidRPr="000724C6" w:rsidRDefault="000724C6" w:rsidP="000724C6"/>
    <w:p w14:paraId="3382E5EB" w14:textId="77777777" w:rsidR="000724C6" w:rsidRPr="000724C6" w:rsidRDefault="000724C6" w:rsidP="000724C6">
      <w:pPr>
        <w:sectPr w:rsidR="000724C6" w:rsidRPr="000724C6" w:rsidSect="00A52A03">
          <w:footerReference w:type="default" r:id="rId4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3FBB3BC4" w14:textId="77777777" w:rsidR="000724C6" w:rsidRPr="000724C6" w:rsidRDefault="000724C6" w:rsidP="000724C6">
      <w:pPr>
        <w:pStyle w:val="Heading1"/>
      </w:pPr>
      <w:r w:rsidRPr="000724C6">
        <w:lastRenderedPageBreak/>
        <w:t xml:space="preserve">Supplementary Material Section 2 Data source of 2020 emission factors </w:t>
      </w:r>
    </w:p>
    <w:p w14:paraId="0CF0AE6A" w14:textId="77777777" w:rsidR="000724C6" w:rsidRPr="000724C6" w:rsidRDefault="000724C6" w:rsidP="000724C6">
      <w:pPr>
        <w:rPr>
          <w:i/>
          <w:iCs/>
        </w:rPr>
      </w:pPr>
      <w:r w:rsidRPr="000724C6">
        <w:rPr>
          <w:i/>
          <w:iCs/>
        </w:rPr>
        <w:t>Table S4 Data source of 2020 emission factors</w:t>
      </w:r>
    </w:p>
    <w:tbl>
      <w:tblPr>
        <w:tblStyle w:val="TableGrid"/>
        <w:tblW w:w="953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210"/>
      </w:tblGrid>
      <w:tr w:rsidR="000724C6" w:rsidRPr="000724C6" w14:paraId="3790BD0D" w14:textId="77777777" w:rsidTr="00B95D6E">
        <w:trPr>
          <w:trHeight w:val="314"/>
        </w:trPr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5FD4AE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Source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6EC537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Data source (EPA GHGRP)</w:t>
            </w:r>
          </w:p>
        </w:tc>
      </w:tr>
      <w:tr w:rsidR="000724C6" w:rsidRPr="000724C6" w14:paraId="67772E72" w14:textId="77777777" w:rsidTr="00B95D6E">
        <w:trPr>
          <w:trHeight w:val="290"/>
        </w:trPr>
        <w:tc>
          <w:tcPr>
            <w:tcW w:w="3325" w:type="dxa"/>
            <w:tcBorders>
              <w:top w:val="single" w:sz="4" w:space="0" w:color="auto"/>
            </w:tcBorders>
            <w:noWrap/>
            <w:hideMark/>
          </w:tcPr>
          <w:p w14:paraId="46B16F0B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 xml:space="preserve">Large/Small Tanks </w:t>
            </w:r>
          </w:p>
        </w:tc>
        <w:tc>
          <w:tcPr>
            <w:tcW w:w="6210" w:type="dxa"/>
            <w:tcBorders>
              <w:top w:val="single" w:sz="4" w:space="0" w:color="auto"/>
            </w:tcBorders>
            <w:noWrap/>
            <w:hideMark/>
          </w:tcPr>
          <w:p w14:paraId="1FFDD23D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2015-2020: Calculated using basin-specific and year-specific GHGRP subpart W data for each tank category (EPA, 2022).</w:t>
            </w:r>
          </w:p>
        </w:tc>
      </w:tr>
      <w:tr w:rsidR="000724C6" w:rsidRPr="000724C6" w14:paraId="7F1ACE74" w14:textId="77777777" w:rsidTr="00B95D6E">
        <w:trPr>
          <w:trHeight w:val="290"/>
        </w:trPr>
        <w:tc>
          <w:tcPr>
            <w:tcW w:w="3325" w:type="dxa"/>
            <w:noWrap/>
            <w:hideMark/>
          </w:tcPr>
          <w:p w14:paraId="623DC5C5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Malfunctioning Separator Dump Valves</w:t>
            </w:r>
          </w:p>
        </w:tc>
        <w:tc>
          <w:tcPr>
            <w:tcW w:w="6210" w:type="dxa"/>
            <w:noWrap/>
            <w:hideMark/>
          </w:tcPr>
          <w:p w14:paraId="76D90828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2015-2020: Calculated using basin-specific and year-specific GHGRP subpart W data for each tank category (EPA, 2022).</w:t>
            </w:r>
          </w:p>
        </w:tc>
      </w:tr>
      <w:tr w:rsidR="000724C6" w:rsidRPr="000724C6" w14:paraId="149E6557" w14:textId="77777777" w:rsidTr="00B95D6E">
        <w:trPr>
          <w:trHeight w:val="290"/>
        </w:trPr>
        <w:tc>
          <w:tcPr>
            <w:tcW w:w="3325" w:type="dxa"/>
            <w:noWrap/>
            <w:hideMark/>
          </w:tcPr>
          <w:p w14:paraId="426F35F2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Pneumatics</w:t>
            </w:r>
          </w:p>
        </w:tc>
        <w:tc>
          <w:tcPr>
            <w:tcW w:w="6210" w:type="dxa"/>
            <w:noWrap/>
            <w:hideMark/>
          </w:tcPr>
          <w:p w14:paraId="3F755DDB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2011-2021: calculated using basin-specific and year-specific GHGRP subpart W data for each bleed type (EPA, 2022).</w:t>
            </w:r>
          </w:p>
        </w:tc>
      </w:tr>
      <w:tr w:rsidR="000724C6" w:rsidRPr="000724C6" w14:paraId="295C38D7" w14:textId="77777777" w:rsidTr="00B95D6E">
        <w:trPr>
          <w:trHeight w:val="290"/>
        </w:trPr>
        <w:tc>
          <w:tcPr>
            <w:tcW w:w="3325" w:type="dxa"/>
            <w:noWrap/>
            <w:hideMark/>
          </w:tcPr>
          <w:p w14:paraId="1BA278B9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Chemical Injection Pumps</w:t>
            </w:r>
          </w:p>
        </w:tc>
        <w:tc>
          <w:tcPr>
            <w:tcW w:w="6210" w:type="dxa"/>
            <w:noWrap/>
            <w:hideMark/>
          </w:tcPr>
          <w:p w14:paraId="42FE1AF0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RY2014 subpart W (EPA, 2016a)</w:t>
            </w:r>
          </w:p>
        </w:tc>
      </w:tr>
      <w:tr w:rsidR="000724C6" w:rsidRPr="000724C6" w14:paraId="0B92672A" w14:textId="77777777" w:rsidTr="00B95D6E">
        <w:trPr>
          <w:trHeight w:val="290"/>
        </w:trPr>
        <w:tc>
          <w:tcPr>
            <w:tcW w:w="3325" w:type="dxa"/>
            <w:noWrap/>
            <w:hideMark/>
          </w:tcPr>
          <w:p w14:paraId="51FD46CD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Vessel Blowdowns</w:t>
            </w:r>
          </w:p>
        </w:tc>
        <w:tc>
          <w:tcPr>
            <w:tcW w:w="6210" w:type="dxa"/>
            <w:hideMark/>
          </w:tcPr>
          <w:p w14:paraId="7C92173D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GRI/EPA (1996)</w:t>
            </w:r>
          </w:p>
        </w:tc>
      </w:tr>
      <w:tr w:rsidR="000724C6" w:rsidRPr="000724C6" w14:paraId="2FE82EED" w14:textId="77777777" w:rsidTr="00B95D6E">
        <w:trPr>
          <w:trHeight w:val="290"/>
        </w:trPr>
        <w:tc>
          <w:tcPr>
            <w:tcW w:w="3325" w:type="dxa"/>
            <w:noWrap/>
            <w:hideMark/>
          </w:tcPr>
          <w:p w14:paraId="0A8C6E3C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Compressor Blowdowns</w:t>
            </w:r>
          </w:p>
        </w:tc>
        <w:tc>
          <w:tcPr>
            <w:tcW w:w="6210" w:type="dxa"/>
            <w:hideMark/>
          </w:tcPr>
          <w:p w14:paraId="486D9B35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GRI/EPA (1996)</w:t>
            </w:r>
          </w:p>
        </w:tc>
      </w:tr>
      <w:tr w:rsidR="000724C6" w:rsidRPr="000724C6" w14:paraId="50BF9683" w14:textId="77777777" w:rsidTr="00B95D6E">
        <w:trPr>
          <w:trHeight w:val="290"/>
        </w:trPr>
        <w:tc>
          <w:tcPr>
            <w:tcW w:w="3325" w:type="dxa"/>
            <w:noWrap/>
            <w:hideMark/>
          </w:tcPr>
          <w:p w14:paraId="795CF86F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Compressor Starts</w:t>
            </w:r>
          </w:p>
        </w:tc>
        <w:tc>
          <w:tcPr>
            <w:tcW w:w="6210" w:type="dxa"/>
            <w:hideMark/>
          </w:tcPr>
          <w:p w14:paraId="7EB3BF52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GRI/EPA (1996)</w:t>
            </w:r>
          </w:p>
        </w:tc>
      </w:tr>
      <w:tr w:rsidR="000724C6" w:rsidRPr="000724C6" w14:paraId="3744799F" w14:textId="77777777" w:rsidTr="00B95D6E">
        <w:trPr>
          <w:trHeight w:val="332"/>
        </w:trPr>
        <w:tc>
          <w:tcPr>
            <w:tcW w:w="3325" w:type="dxa"/>
            <w:noWrap/>
            <w:hideMark/>
          </w:tcPr>
          <w:p w14:paraId="60FE04D1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 xml:space="preserve">Associated Gas Venting </w:t>
            </w:r>
          </w:p>
        </w:tc>
        <w:tc>
          <w:tcPr>
            <w:tcW w:w="6210" w:type="dxa"/>
            <w:noWrap/>
            <w:hideMark/>
          </w:tcPr>
          <w:p w14:paraId="0C0BAEFB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Basin-specific (reported subpart W) (EPA, 2022)</w:t>
            </w:r>
          </w:p>
        </w:tc>
      </w:tr>
      <w:tr w:rsidR="000724C6" w:rsidRPr="000724C6" w14:paraId="1F24619F" w14:textId="77777777" w:rsidTr="00B95D6E">
        <w:trPr>
          <w:trHeight w:val="269"/>
        </w:trPr>
        <w:tc>
          <w:tcPr>
            <w:tcW w:w="3325" w:type="dxa"/>
            <w:noWrap/>
            <w:hideMark/>
          </w:tcPr>
          <w:p w14:paraId="58FAA991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 xml:space="preserve">Produced Water </w:t>
            </w:r>
          </w:p>
        </w:tc>
        <w:tc>
          <w:tcPr>
            <w:tcW w:w="6210" w:type="dxa"/>
            <w:hideMark/>
          </w:tcPr>
          <w:p w14:paraId="23481398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EPA's Oil &amp; Gas Tool for 2017 NEI (EPA, 2017b; EPA, 2021b)</w:t>
            </w:r>
          </w:p>
        </w:tc>
      </w:tr>
      <w:tr w:rsidR="000724C6" w:rsidRPr="000724C6" w14:paraId="389FE3E0" w14:textId="77777777" w:rsidTr="00B95D6E">
        <w:trPr>
          <w:trHeight w:val="290"/>
        </w:trPr>
        <w:tc>
          <w:tcPr>
            <w:tcW w:w="3325" w:type="dxa"/>
            <w:noWrap/>
            <w:hideMark/>
          </w:tcPr>
          <w:p w14:paraId="51C1DB77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Oil Wellheads</w:t>
            </w:r>
          </w:p>
        </w:tc>
        <w:tc>
          <w:tcPr>
            <w:tcW w:w="6210" w:type="dxa"/>
            <w:hideMark/>
          </w:tcPr>
          <w:p w14:paraId="150D41BE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1996 API workbook (API, 1996)</w:t>
            </w:r>
          </w:p>
        </w:tc>
      </w:tr>
      <w:tr w:rsidR="000724C6" w:rsidRPr="000724C6" w14:paraId="64267279" w14:textId="77777777" w:rsidTr="00B95D6E">
        <w:trPr>
          <w:trHeight w:val="290"/>
        </w:trPr>
        <w:tc>
          <w:tcPr>
            <w:tcW w:w="3325" w:type="dxa"/>
            <w:noWrap/>
            <w:hideMark/>
          </w:tcPr>
          <w:p w14:paraId="68F5D7A6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 xml:space="preserve">Separators </w:t>
            </w:r>
          </w:p>
        </w:tc>
        <w:tc>
          <w:tcPr>
            <w:tcW w:w="6210" w:type="dxa"/>
            <w:hideMark/>
          </w:tcPr>
          <w:p w14:paraId="3A5EDBE3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1996 API workbook (API, 1996)</w:t>
            </w:r>
          </w:p>
        </w:tc>
      </w:tr>
      <w:tr w:rsidR="000724C6" w:rsidRPr="000724C6" w14:paraId="732DEC1D" w14:textId="77777777" w:rsidTr="00B95D6E">
        <w:trPr>
          <w:trHeight w:val="290"/>
        </w:trPr>
        <w:tc>
          <w:tcPr>
            <w:tcW w:w="3325" w:type="dxa"/>
            <w:noWrap/>
            <w:hideMark/>
          </w:tcPr>
          <w:p w14:paraId="32027216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 xml:space="preserve">Heater/Treaters </w:t>
            </w:r>
          </w:p>
        </w:tc>
        <w:tc>
          <w:tcPr>
            <w:tcW w:w="6210" w:type="dxa"/>
            <w:hideMark/>
          </w:tcPr>
          <w:p w14:paraId="22DF7F93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1996 API workbook (API, 1996)</w:t>
            </w:r>
          </w:p>
        </w:tc>
      </w:tr>
      <w:tr w:rsidR="000724C6" w:rsidRPr="000724C6" w14:paraId="4A80DF85" w14:textId="77777777" w:rsidTr="00B95D6E">
        <w:trPr>
          <w:trHeight w:val="290"/>
        </w:trPr>
        <w:tc>
          <w:tcPr>
            <w:tcW w:w="3325" w:type="dxa"/>
            <w:noWrap/>
            <w:hideMark/>
          </w:tcPr>
          <w:p w14:paraId="43C7F9D7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Headers</w:t>
            </w:r>
          </w:p>
        </w:tc>
        <w:tc>
          <w:tcPr>
            <w:tcW w:w="6210" w:type="dxa"/>
            <w:hideMark/>
          </w:tcPr>
          <w:p w14:paraId="69C876C2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1996 API workbook (API, 1996)</w:t>
            </w:r>
          </w:p>
        </w:tc>
      </w:tr>
      <w:tr w:rsidR="000724C6" w:rsidRPr="000724C6" w14:paraId="1AE02091" w14:textId="77777777" w:rsidTr="00B95D6E">
        <w:trPr>
          <w:trHeight w:val="290"/>
        </w:trPr>
        <w:tc>
          <w:tcPr>
            <w:tcW w:w="3325" w:type="dxa"/>
            <w:noWrap/>
            <w:hideMark/>
          </w:tcPr>
          <w:p w14:paraId="4D0BD27F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Compressors</w:t>
            </w:r>
          </w:p>
        </w:tc>
        <w:tc>
          <w:tcPr>
            <w:tcW w:w="6210" w:type="dxa"/>
            <w:hideMark/>
          </w:tcPr>
          <w:p w14:paraId="59974287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Consensus of Industry Review Panel</w:t>
            </w:r>
          </w:p>
        </w:tc>
      </w:tr>
      <w:tr w:rsidR="000724C6" w:rsidRPr="000724C6" w14:paraId="4ECE05DE" w14:textId="77777777" w:rsidTr="00B95D6E">
        <w:trPr>
          <w:trHeight w:val="290"/>
        </w:trPr>
        <w:tc>
          <w:tcPr>
            <w:tcW w:w="3325" w:type="dxa"/>
            <w:noWrap/>
            <w:hideMark/>
          </w:tcPr>
          <w:p w14:paraId="234E2741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Sales Areas</w:t>
            </w:r>
          </w:p>
        </w:tc>
        <w:tc>
          <w:tcPr>
            <w:tcW w:w="6210" w:type="dxa"/>
            <w:hideMark/>
          </w:tcPr>
          <w:p w14:paraId="0844B485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Consensus of Industry Review Panel</w:t>
            </w:r>
          </w:p>
        </w:tc>
      </w:tr>
      <w:tr w:rsidR="000724C6" w:rsidRPr="000724C6" w14:paraId="225740C5" w14:textId="77777777" w:rsidTr="00B95D6E">
        <w:trPr>
          <w:trHeight w:val="290"/>
        </w:trPr>
        <w:tc>
          <w:tcPr>
            <w:tcW w:w="3325" w:type="dxa"/>
            <w:noWrap/>
            <w:hideMark/>
          </w:tcPr>
          <w:p w14:paraId="50C3EE4A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 xml:space="preserve">Pipelines </w:t>
            </w:r>
          </w:p>
        </w:tc>
        <w:tc>
          <w:tcPr>
            <w:tcW w:w="6210" w:type="dxa"/>
            <w:hideMark/>
          </w:tcPr>
          <w:p w14:paraId="07996228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Assumed to be zero due to lack of data</w:t>
            </w:r>
          </w:p>
        </w:tc>
      </w:tr>
      <w:tr w:rsidR="000724C6" w:rsidRPr="000724C6" w14:paraId="0432493A" w14:textId="77777777" w:rsidTr="00B95D6E">
        <w:trPr>
          <w:trHeight w:val="323"/>
        </w:trPr>
        <w:tc>
          <w:tcPr>
            <w:tcW w:w="3325" w:type="dxa"/>
            <w:noWrap/>
            <w:hideMark/>
          </w:tcPr>
          <w:p w14:paraId="085C8DCD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Battery Pumps</w:t>
            </w:r>
          </w:p>
        </w:tc>
        <w:tc>
          <w:tcPr>
            <w:tcW w:w="6210" w:type="dxa"/>
            <w:hideMark/>
          </w:tcPr>
          <w:p w14:paraId="61B8A8D8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API (1995)</w:t>
            </w:r>
          </w:p>
        </w:tc>
      </w:tr>
      <w:tr w:rsidR="000724C6" w:rsidRPr="000724C6" w14:paraId="6AFC7D45" w14:textId="77777777" w:rsidTr="00B95D6E">
        <w:trPr>
          <w:trHeight w:val="290"/>
        </w:trPr>
        <w:tc>
          <w:tcPr>
            <w:tcW w:w="3325" w:type="dxa"/>
            <w:noWrap/>
            <w:hideMark/>
          </w:tcPr>
          <w:p w14:paraId="182FF8FC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Gas Engines</w:t>
            </w:r>
          </w:p>
        </w:tc>
        <w:tc>
          <w:tcPr>
            <w:tcW w:w="6210" w:type="dxa"/>
            <w:hideMark/>
          </w:tcPr>
          <w:p w14:paraId="036F96E5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GRI/EPA (1996)</w:t>
            </w:r>
          </w:p>
        </w:tc>
      </w:tr>
      <w:tr w:rsidR="000724C6" w:rsidRPr="000724C6" w14:paraId="7CB19227" w14:textId="77777777" w:rsidTr="00B95D6E">
        <w:trPr>
          <w:trHeight w:val="290"/>
        </w:trPr>
        <w:tc>
          <w:tcPr>
            <w:tcW w:w="3325" w:type="dxa"/>
            <w:noWrap/>
            <w:hideMark/>
          </w:tcPr>
          <w:p w14:paraId="735EB51A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Heaters</w:t>
            </w:r>
          </w:p>
        </w:tc>
        <w:tc>
          <w:tcPr>
            <w:tcW w:w="6210" w:type="dxa"/>
            <w:hideMark/>
          </w:tcPr>
          <w:p w14:paraId="13569C29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EPA (1997)</w:t>
            </w:r>
          </w:p>
        </w:tc>
      </w:tr>
      <w:tr w:rsidR="000724C6" w:rsidRPr="000724C6" w14:paraId="623B6E81" w14:textId="77777777" w:rsidTr="00B95D6E">
        <w:trPr>
          <w:trHeight w:val="296"/>
        </w:trPr>
        <w:tc>
          <w:tcPr>
            <w:tcW w:w="3325" w:type="dxa"/>
            <w:noWrap/>
            <w:hideMark/>
          </w:tcPr>
          <w:p w14:paraId="4340EA63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Associated Gas Flaring</w:t>
            </w:r>
          </w:p>
        </w:tc>
        <w:tc>
          <w:tcPr>
            <w:tcW w:w="6210" w:type="dxa"/>
            <w:noWrap/>
            <w:hideMark/>
          </w:tcPr>
          <w:p w14:paraId="2C6CBA7F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Basin-specific (reported subpart W) (EPA, 2022).</w:t>
            </w:r>
          </w:p>
        </w:tc>
      </w:tr>
      <w:tr w:rsidR="000724C6" w:rsidRPr="000724C6" w14:paraId="123CF0AF" w14:textId="77777777" w:rsidTr="00B95D6E">
        <w:trPr>
          <w:trHeight w:val="251"/>
        </w:trPr>
        <w:tc>
          <w:tcPr>
            <w:tcW w:w="3325" w:type="dxa"/>
            <w:noWrap/>
            <w:hideMark/>
          </w:tcPr>
          <w:p w14:paraId="1D0B38EF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 xml:space="preserve">Miscellaneous Production Flaring </w:t>
            </w:r>
          </w:p>
        </w:tc>
        <w:tc>
          <w:tcPr>
            <w:tcW w:w="6210" w:type="dxa"/>
            <w:noWrap/>
            <w:hideMark/>
          </w:tcPr>
          <w:p w14:paraId="5293FC25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Basin-specific (reported subpart W) (EPA, 2022).</w:t>
            </w:r>
          </w:p>
        </w:tc>
      </w:tr>
      <w:tr w:rsidR="000724C6" w:rsidRPr="000724C6" w14:paraId="71D3B062" w14:textId="77777777" w:rsidTr="00B95D6E">
        <w:trPr>
          <w:trHeight w:val="290"/>
        </w:trPr>
        <w:tc>
          <w:tcPr>
            <w:tcW w:w="3325" w:type="dxa"/>
            <w:noWrap/>
            <w:hideMark/>
          </w:tcPr>
          <w:p w14:paraId="46EA29DD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Pressure Relief Valves</w:t>
            </w:r>
          </w:p>
        </w:tc>
        <w:tc>
          <w:tcPr>
            <w:tcW w:w="6210" w:type="dxa"/>
            <w:noWrap/>
            <w:hideMark/>
          </w:tcPr>
          <w:p w14:paraId="2054D748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GRI/EPA (1996)</w:t>
            </w:r>
          </w:p>
        </w:tc>
      </w:tr>
      <w:tr w:rsidR="000724C6" w:rsidRPr="000724C6" w14:paraId="5995F6E9" w14:textId="77777777" w:rsidTr="00B95D6E">
        <w:trPr>
          <w:trHeight w:val="290"/>
        </w:trPr>
        <w:tc>
          <w:tcPr>
            <w:tcW w:w="3325" w:type="dxa"/>
            <w:noWrap/>
            <w:hideMark/>
          </w:tcPr>
          <w:p w14:paraId="61228787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>Well Blowouts Onshore</w:t>
            </w:r>
          </w:p>
        </w:tc>
        <w:tc>
          <w:tcPr>
            <w:tcW w:w="6210" w:type="dxa"/>
            <w:hideMark/>
          </w:tcPr>
          <w:p w14:paraId="04B61D7D" w14:textId="77777777" w:rsidR="000724C6" w:rsidRPr="000724C6" w:rsidRDefault="000724C6" w:rsidP="000724C6">
            <w:pPr>
              <w:spacing w:after="160" w:line="259" w:lineRule="auto"/>
            </w:pPr>
            <w:r w:rsidRPr="000724C6">
              <w:t xml:space="preserve">Assumed 2.5 </w:t>
            </w:r>
            <w:proofErr w:type="spellStart"/>
            <w:r w:rsidRPr="000724C6">
              <w:t>MMscf</w:t>
            </w:r>
            <w:proofErr w:type="spellEnd"/>
            <w:r w:rsidRPr="000724C6">
              <w:t>/blowout</w:t>
            </w:r>
          </w:p>
        </w:tc>
      </w:tr>
    </w:tbl>
    <w:p w14:paraId="692E32D1" w14:textId="77777777" w:rsidR="000724C6" w:rsidRPr="000724C6" w:rsidRDefault="000724C6" w:rsidP="000724C6"/>
    <w:p w14:paraId="182CAA33" w14:textId="77777777" w:rsidR="006B5D61" w:rsidRDefault="006B5D61"/>
    <w:sectPr w:rsidR="006B5D61" w:rsidSect="00D32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802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606487" w14:textId="77777777" w:rsidR="00A52A03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FD5867" w14:textId="77777777" w:rsidR="00A52A03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C6"/>
    <w:rsid w:val="000724C6"/>
    <w:rsid w:val="006945B7"/>
    <w:rsid w:val="006B5D61"/>
    <w:rsid w:val="00C94C6F"/>
    <w:rsid w:val="00D3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DD6E5"/>
  <w15:chartTrackingRefBased/>
  <w15:docId w15:val="{3697A3ED-B1F3-4FFC-B4D8-5CB651DD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4C6"/>
    <w:pPr>
      <w:keepNext/>
      <w:keepLines/>
      <w:spacing w:before="240" w:after="0" w:line="360" w:lineRule="auto"/>
      <w:jc w:val="both"/>
      <w:outlineLvl w:val="0"/>
    </w:pPr>
    <w:rPr>
      <w:rFonts w:asciiTheme="majorHAnsi" w:eastAsiaTheme="majorEastAsia" w:hAnsiTheme="majorHAnsi" w:cstheme="majorBidi"/>
      <w:sz w:val="32"/>
      <w:szCs w:val="32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724C6"/>
    <w:pPr>
      <w:tabs>
        <w:tab w:val="center" w:pos="4513"/>
        <w:tab w:val="right" w:pos="9026"/>
      </w:tabs>
      <w:spacing w:after="0" w:line="240" w:lineRule="auto"/>
      <w:jc w:val="both"/>
    </w:pPr>
    <w:rPr>
      <w:rFonts w:asciiTheme="majorHAnsi" w:eastAsia="Times New Roman" w:hAnsiTheme="majorHAnsi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724C6"/>
    <w:rPr>
      <w:rFonts w:asciiTheme="majorHAnsi" w:eastAsia="Times New Roman" w:hAnsiTheme="majorHAnsi" w:cs="Times New Roman"/>
      <w:sz w:val="24"/>
      <w:szCs w:val="24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0724C6"/>
  </w:style>
  <w:style w:type="character" w:customStyle="1" w:styleId="Heading1Char">
    <w:name w:val="Heading 1 Char"/>
    <w:basedOn w:val="DefaultParagraphFont"/>
    <w:link w:val="Heading1"/>
    <w:uiPriority w:val="9"/>
    <w:rsid w:val="000724C6"/>
    <w:rPr>
      <w:rFonts w:asciiTheme="majorHAnsi" w:eastAsiaTheme="majorEastAsia" w:hAnsiTheme="majorHAnsi" w:cstheme="majorBidi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Riddick,Stuart</dc:creator>
  <cp:keywords/>
  <dc:description/>
  <cp:lastModifiedBy>Riddick,Stuart</cp:lastModifiedBy>
  <cp:revision>1</cp:revision>
  <dcterms:created xsi:type="dcterms:W3CDTF">2023-12-10T18:14:00Z</dcterms:created>
  <dcterms:modified xsi:type="dcterms:W3CDTF">2023-12-10T18:17:00Z</dcterms:modified>
</cp:coreProperties>
</file>