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A1F" w:rsidRDefault="00C52A1F" w:rsidP="00C52A1F">
      <w:pPr>
        <w:adjustRightInd w:val="0"/>
        <w:snapToGrid w:val="0"/>
        <w:spacing w:before="240" w:after="60" w:line="228" w:lineRule="auto"/>
        <w:ind w:left="2608" w:right="-1186"/>
        <w:rPr>
          <w:b/>
          <w:bCs/>
          <w:noProof w:val="0"/>
          <w:color w:val="000000" w:themeColor="text1"/>
          <w:szCs w:val="18"/>
          <w:lang w:bidi="en-US"/>
        </w:rPr>
      </w:pPr>
      <w:r>
        <w:rPr>
          <w:b/>
          <w:bCs/>
          <w:noProof w:val="0"/>
          <w:color w:val="000000" w:themeColor="text1"/>
          <w:szCs w:val="18"/>
          <w:lang w:bidi="en-US"/>
        </w:rPr>
        <w:t>Supplementary materials</w:t>
      </w:r>
    </w:p>
    <w:p w:rsidR="00F2143D" w:rsidRDefault="00F2143D" w:rsidP="00F2143D">
      <w:pPr>
        <w:pStyle w:val="MDPI43tablefooter"/>
        <w:rPr>
          <w:color w:val="000000" w:themeColor="text1"/>
          <w:vertAlign w:val="superscript"/>
        </w:rPr>
      </w:pPr>
      <w:bookmarkStart w:id="0" w:name="_GoBack"/>
      <w:bookmarkEnd w:id="0"/>
      <w:r>
        <w:rPr>
          <w:noProof/>
        </w:rPr>
        <w:drawing>
          <wp:inline distT="0" distB="0" distL="0" distR="0">
            <wp:extent cx="4432935" cy="2577465"/>
            <wp:effectExtent l="0" t="0" r="0" b="635"/>
            <wp:docPr id="3" name="Chart 3">
              <a:extLst xmlns:a="http://schemas.openxmlformats.org/drawingml/2006/main">
                <a:ext uri="{FF2B5EF4-FFF2-40B4-BE49-F238E27FC236}">
                  <a16:creationId xmlns:a16="http://schemas.microsoft.com/office/drawing/2014/main" id="{4E477E1B-D57E-BE25-765F-0663AD5489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F2143D" w:rsidRDefault="00F2143D" w:rsidP="00F2143D">
      <w:pPr>
        <w:pStyle w:val="MDPI43tablefooter"/>
        <w:rPr>
          <w:color w:val="000000" w:themeColor="text1"/>
          <w:szCs w:val="18"/>
        </w:rPr>
      </w:pPr>
      <w:r>
        <w:rPr>
          <w:color w:val="000000" w:themeColor="text1"/>
          <w:szCs w:val="18"/>
        </w:rPr>
        <w:t xml:space="preserve">Publications: Kim et al., 2021 </w:t>
      </w:r>
      <w:r>
        <w:rPr>
          <w:color w:val="000000" w:themeColor="text1"/>
          <w:szCs w:val="18"/>
        </w:rPr>
        <w:fldChar w:fldCharType="begin" w:fldLock="1"/>
      </w:r>
      <w:r>
        <w:rPr>
          <w:color w:val="000000" w:themeColor="text1"/>
          <w:szCs w:val="18"/>
        </w:rPr>
        <w:instrText>ADDIN CSL_CITATION {"citationItems":[{"id":"ITEM-1","itemData":{"DOI":"10.2141/jpsa.0200070","ISSN":"13490486","abstract":"Insects are a potential source of proteins and fats which can be incorporated into diets of broiler chickens. Accordingly, black soldier fly larvae oil (BSFLO) needs to be tested as an appropriate fat source to produce healthy chickens for consumers. Therefore, the objective of the present study was to evaluate the effects of the replacement of soybean oil (SBO) with BSFLO in broiler diets on intestinal health and blood profiles. A total of 210 one-day-old male broilers were randomly allocated to three dietary treatments (10 replicates of seven birds per group): a control diet and two experimental diets in which SBO was replaced with 50% (50 BSFLO) or 100% (100 BSFLO) BSFLO. At the end of the study (35 days), 18 birds (six broilers per treatment) were slaughtered to determine the intestinal morphology, digestibility, and volatile fatty acid (VFA) profile. Blood samples were collected from 24 randomly selected birds (eight broilers per treatment) to determine the blood profiles. BSFLO supplementation positively affected villus height but did not affect digestibility. BSFLO showed no adverse effects on the VFA and blood profiles. In conclusion, the results of this study suggest that SBO can be replaced by BSFLO without any adverse effects on broiler health.","author":[{"dropping-particle":"","family":"Kim","given":"Byeonghyeon","non-dropping-particle":"","parse-names":false,"suffix":""},{"dropping-particle":"","family":"Bang","given":"Han Tae","non-dropping-particle":"","parse-names":false,"suffix":""},{"dropping-particle":"","family":"Jeong","given":"Jin Young","non-dropping-particle":"","parse-names":false,"suffix":""},{"dropping-particle":"","family":"Kim","given":"Minji","non-dropping-particle":"","parse-names":false,"suffix":""},{"dropping-particle":"","family":"Kim","given":"Ki Hyun","non-dropping-particle":"","parse-names":false,"suffix":""},{"dropping-particle":"","family":"Chun","given":"Ju Lan","non-dropping-particle":"","parse-names":false,"suffix":""},{"dropping-particle":"","family":"Ji","given":"Sang Yun","non-dropping-particle":"","parse-names":false,"suffix":""}],"container-title":"Journal of Poultry Science","id":"ITEM-1","issue":"4","issued":{"date-parts":[["2021"]]},"note":"sem desempenho","page":"222-229","title":"Effects of dietary supplementation of black soldier fly (Hermetia illucens) larvae oil on broiler health","type":"article-journal","volume":"58"},"uris":["http://www.mendeley.com/documents/?uuid=c66bd7c0-2692-4382-b720-d77e53d0de46"]}],"mendeley":{"formattedCitation":"[46]","plainTextFormattedCitation":"[46]","previouslyFormattedCitation":"[46]"},"properties":{"noteIndex":0},"schema":"https://github.com/citation-style-language/schema/raw/master/csl-citation.json"}</w:instrText>
      </w:r>
      <w:r>
        <w:rPr>
          <w:color w:val="000000" w:themeColor="text1"/>
          <w:szCs w:val="18"/>
        </w:rPr>
        <w:fldChar w:fldCharType="separate"/>
      </w:r>
      <w:r>
        <w:rPr>
          <w:noProof/>
          <w:color w:val="000000" w:themeColor="text1"/>
          <w:szCs w:val="18"/>
        </w:rPr>
        <w:t>[46]</w:t>
      </w:r>
      <w:r>
        <w:rPr>
          <w:color w:val="000000" w:themeColor="text1"/>
          <w:szCs w:val="18"/>
        </w:rPr>
        <w:fldChar w:fldCharType="end"/>
      </w:r>
      <w:r>
        <w:rPr>
          <w:color w:val="000000" w:themeColor="text1"/>
          <w:szCs w:val="18"/>
        </w:rPr>
        <w:t xml:space="preserve">¹ defatted meal; </w:t>
      </w:r>
      <w:proofErr w:type="spellStart"/>
      <w:r>
        <w:rPr>
          <w:color w:val="000000" w:themeColor="text1"/>
          <w:szCs w:val="18"/>
        </w:rPr>
        <w:t>Hartinger</w:t>
      </w:r>
      <w:proofErr w:type="spellEnd"/>
      <w:r>
        <w:rPr>
          <w:color w:val="000000" w:themeColor="text1"/>
          <w:szCs w:val="18"/>
        </w:rPr>
        <w:t xml:space="preserve"> et al., 2022 </w:t>
      </w:r>
      <w:r>
        <w:rPr>
          <w:color w:val="000000" w:themeColor="text1"/>
          <w:szCs w:val="18"/>
        </w:rPr>
        <w:fldChar w:fldCharType="begin" w:fldLock="1"/>
      </w:r>
      <w:r>
        <w:rPr>
          <w:color w:val="000000" w:themeColor="text1"/>
          <w:szCs w:val="18"/>
        </w:rPr>
        <w:instrText>ADDIN CSL_CITATION {"citationItems":[{"id":"ITEM-1","itemData":{"DOI":"10.1186/s40104-022-00701-7","ISSN":"20491891","abstract":"Background: The possibility of partially replacing soybean meal (SBM) with Hermetia illucens (HI) defatted larvae meal in broiler nutrition has frequently been suggested. For sustainability reasons, however, the larvae fat produced during defatting should also be used and could be particularly beneficial regarding gut health due to its fatty acid composition. To evaluate the suitability of HI larvae as protein and fat source, a 2 × 3 factorial arrangement with two types of protein, i.e. SBM (S) or SBM and 15% of its crude protein replaced by HI larvae meal (L), and three levels of fat sources, namely 0 (0 L), 50% (50 L) or 100% HI larvae fat (100 L) at the expense of soybean oil was applied. Results: In the starter phase, an interaction showed higher body weight (BW), average daily gain (ADG) and improved feed conversion ratio (FCR) if 50% or 100% HI larvae fat was fed with HI larvae meal. Moreover, BW, ADG and FCR improved when feeding HI larvae meal as protein source. Additionally, we observed an increased average daily feed intake in the grower, finisher, and overall phase in the L groups and an improved FCR in 0 L compared to 50 L groups during the overall period. Regarding apparent ileal digestibility, HI larvae meal feeding increased dry matter, organic matter, and fat digestibility. Feeding HI larvae meal as protein source decreased the concentrations of agmatine, spermidine, spermine and ammonia in the caecal digesta, whereas fat source affected agmatine with higher concentrations in 50 L compared to 0 L in the colonic digesta. In contrast, caecal ethanolamine concentrations increased in HI larvae meal groups compared to SBM. Caecal butyric acid concentrations decreased with HI larvae meal feeding. An interaction was found for the jejunal villus area, being higher in L + 100 L compared to S + 100 L. Furthermore, L groups had greater villus width. Conclusions: A partial replacement of SBM with HI larvae meal and soybean oil with HI larvae fat in broiler diets without impairing animal performance or gut health seems possible. Feeding HI larvae meal affected broiler performance positively in the starter phase and improved apparent ileal digestibility.","author":[{"dropping-particle":"","family":"Hartinger","given":"Kristina","non-dropping-particle":"","parse-names":false,"suffix":""},{"dropping-particle":"","family":"Fröschl","given":"Katharina","non-dropping-particle":"","parse-names":false,"suffix":""},{"dropping-particle":"","family":"Ebbing","given":"Marco Antonio","non-dropping-particle":"","parse-names":false,"suffix":""},{"dropping-particle":"","family":"Bruschek-Pfleger","given":"Barbara","non-dropping-particle":"","parse-names":false,"suffix":""},{"dropping-particle":"","family":"Schedle","given":"Karl","non-dropping-particle":"","parse-names":false,"suffix":""},{"dropping-particle":"","family":"Schwarz","given":"Christiane","non-dropping-particle":"","parse-names":false,"suffix":""},{"dropping-particle":"","family":"Gierus","given":"Martin","non-dropping-particle":"","parse-names":false,"suffix":""}],"container-title":"Journal of Animal Science and Biotechnology","id":"ITEM-1","issue":"1","issued":{"date-parts":[["2022"]]},"page":"1-16","publisher":"Journal of Animal Science and Biotechnology","title":"Suitability of Hermetia illucens larvae meal and fat in broiler diets: effects on animal performance, apparent ileal digestibility, gut histology, and microbial metabolites","type":"article-journal","volume":"13"},"uris":["http://www.mendeley.com/documents/?uuid=b5cecd96-7839-4b0a-ba0a-3dc467783392"]}],"mendeley":{"formattedCitation":"[20]","plainTextFormattedCitation":"[20]","previouslyFormattedCitation":"[20]"},"properties":{"noteIndex":0},"schema":"https://github.com/citation-style-language/schema/raw/master/csl-citation.json"}</w:instrText>
      </w:r>
      <w:r>
        <w:rPr>
          <w:color w:val="000000" w:themeColor="text1"/>
          <w:szCs w:val="18"/>
        </w:rPr>
        <w:fldChar w:fldCharType="separate"/>
      </w:r>
      <w:r>
        <w:rPr>
          <w:noProof/>
          <w:color w:val="000000" w:themeColor="text1"/>
          <w:szCs w:val="18"/>
        </w:rPr>
        <w:t>[20]</w:t>
      </w:r>
      <w:r>
        <w:rPr>
          <w:color w:val="000000" w:themeColor="text1"/>
          <w:szCs w:val="18"/>
        </w:rPr>
        <w:fldChar w:fldCharType="end"/>
      </w:r>
      <w:r>
        <w:rPr>
          <w:color w:val="000000" w:themeColor="text1"/>
          <w:szCs w:val="18"/>
        </w:rPr>
        <w:t xml:space="preserve">; </w:t>
      </w:r>
      <w:proofErr w:type="spellStart"/>
      <w:r>
        <w:rPr>
          <w:color w:val="000000" w:themeColor="text1"/>
          <w:szCs w:val="18"/>
        </w:rPr>
        <w:t>Józefiak</w:t>
      </w:r>
      <w:proofErr w:type="spellEnd"/>
      <w:r>
        <w:rPr>
          <w:color w:val="000000" w:themeColor="text1"/>
          <w:szCs w:val="18"/>
        </w:rPr>
        <w:t xml:space="preserve"> et al., 2018 </w:t>
      </w:r>
      <w:r>
        <w:rPr>
          <w:color w:val="000000" w:themeColor="text1"/>
          <w:szCs w:val="18"/>
        </w:rPr>
        <w:fldChar w:fldCharType="begin" w:fldLock="1"/>
      </w:r>
      <w:r>
        <w:rPr>
          <w:color w:val="000000" w:themeColor="text1"/>
          <w:szCs w:val="18"/>
        </w:rPr>
        <w:instrText>ADDIN CSL_CITATION {"citationItems":[{"id":"ITEM-1","itemData":{"DOI":"10.22358/jafs/91967/2018","ISSN":"12301388","abstract":"The aim of this study was to evaluate the effect of full-fat insect meals fed ‘on top’ to broiler chickens on their performance and the microbiota composition in the gastrointestinal tract. A total of 1850 day-old Ross 308 females were used in a set of four independent experiments. The insects Gryllodes sigillatus, Shelfordella lateralis, Gryllus assimilis, Tenebrio molitor and Hermetia illucens were applied in amounts that varied from 0.05 to 0.2%. In general, the application of insect meals to the diets of broilers did not affect their growth performance over the experimental period. However, the 0.2% additions of T. molitor and H. illucens increased feed intake at days 15–35 (P = 0.011) and the entire period of feeding (days 1–35; P = 0.018) (Experiment 3). Moreover, in Experiment 4 the supplementation of 0.2% of S. lateralis improved body weight gain (days 11–21 and 1–21), feed intake (days 1–10 and 1–21) and feed conversion ratio (days 1–21). The addition of insect meals reduced the pH value of digesta in the crop (Experiments 1 and 2) and in the caeca (Experiment 2). Supplementation with H. illucens caused the most significant effect on the microbiota populations in the crop, ileum and caeca (Experiment 3). However, at the higher levels of S. lateralis addition to the diets of broilers, the counts of selected microbiota in the crop and ileum increased (Experiment 4). These results indicate that the application of the insect full-fat meals in relatively small amounts can affect the microbiota composition in the gastrointestinal tract of broiler chickens.","author":[{"dropping-particle":"","family":"Józefiak","given":"A.","non-dropping-particle":"","parse-names":false,"suffix":""},{"dropping-particle":"","family":"Kierończyk","given":"B.","non-dropping-particle":"","parse-names":false,"suffix":""},{"dropping-particle":"","family":"Rawski","given":"M.","non-dropping-particle":"","parse-names":false,"suffix":""},{"dropping-particle":"","family":"Mazurkiewicz","given":"J.","non-dropping-particle":"","parse-names":false,"suffix":""},{"dropping-particle":"","family":"Benzertiha","given":"A.","non-dropping-particle":"","parse-names":false,"suffix":""},{"dropping-particle":"","family":"Gobbi","given":"P.","non-dropping-particle":"","parse-names":false,"suffix":""},{"dropping-particle":"","family":"Nogales-Mérida","given":"S.","non-dropping-particle":"","parse-names":false,"suffix":""},{"dropping-particle":"","family":"Świątkiewicz","given":"S.","non-dropping-particle":"","parse-names":false,"suffix":""},{"dropping-particle":"","family":"Józefiak","given":"D.","non-dropping-particle":"","parse-names":false,"suffix":""}],"container-title":"Journal of Animal and Feed Sciences","id":"ITEM-1","issue":"2","issued":{"date-parts":[["2018"]]},"page":"131-139","title":"Full-fat insect meals as feed additive – the effect on broiler chicken growth performance and gastrointestinal tract microbiota","type":"article-journal","volume":"27"},"uris":["http://www.mendeley.com/documents/?uuid=3bcb5bdb-a17d-4638-a6b2-e5ff63863112"]}],"mendeley":{"formattedCitation":"[37]","plainTextFormattedCitation":"[37]","previouslyFormattedCitation":"[37]"},"properties":{"noteIndex":0},"schema":"https://github.com/citation-style-language/schema/raw/master/csl-citation.json"}</w:instrText>
      </w:r>
      <w:r>
        <w:rPr>
          <w:color w:val="000000" w:themeColor="text1"/>
          <w:szCs w:val="18"/>
        </w:rPr>
        <w:fldChar w:fldCharType="separate"/>
      </w:r>
      <w:r>
        <w:rPr>
          <w:noProof/>
          <w:color w:val="000000" w:themeColor="text1"/>
          <w:szCs w:val="18"/>
        </w:rPr>
        <w:t>[37]</w:t>
      </w:r>
      <w:r>
        <w:rPr>
          <w:color w:val="000000" w:themeColor="text1"/>
          <w:szCs w:val="18"/>
        </w:rPr>
        <w:fldChar w:fldCharType="end"/>
      </w:r>
      <w:r>
        <w:rPr>
          <w:color w:val="000000" w:themeColor="text1"/>
          <w:szCs w:val="18"/>
        </w:rPr>
        <w:t xml:space="preserve">; </w:t>
      </w:r>
      <w:proofErr w:type="spellStart"/>
      <w:r>
        <w:rPr>
          <w:color w:val="000000" w:themeColor="text1"/>
          <w:szCs w:val="18"/>
        </w:rPr>
        <w:t>Onsongo</w:t>
      </w:r>
      <w:proofErr w:type="spellEnd"/>
      <w:r>
        <w:rPr>
          <w:color w:val="000000" w:themeColor="text1"/>
          <w:szCs w:val="18"/>
        </w:rPr>
        <w:t xml:space="preserve"> et al., 2018 </w:t>
      </w:r>
      <w:r>
        <w:rPr>
          <w:color w:val="000000" w:themeColor="text1"/>
          <w:szCs w:val="18"/>
        </w:rPr>
        <w:fldChar w:fldCharType="begin" w:fldLock="1"/>
      </w:r>
      <w:r>
        <w:rPr>
          <w:color w:val="000000" w:themeColor="text1"/>
          <w:szCs w:val="18"/>
        </w:rPr>
        <w:instrText>ADDIN CSL_CITATION {"citationItems":[{"id":"ITEM-1","itemData":{"DOI":"10.1093/jee/toy118","ISSN":"1938291X","PMID":"29757415","abstract":"The ever-increasing animal feed costs are driving many vulnerable communities involved in animal husbandry out of business. The high cost is mainly driven by the protein source, which represents the most expensive component in animal feed. In conventional feed, protein is obtained mainly from soybean and fish meal (SFM). The present study explored potential of partially replacing this SFM with black soldier fly prepupae meal (BSFPM) in Cobb 500 broiler chicken diets. A SFM-based diet was compared to three experimental diets formulated by partially substituting SFM with BSFPM at 13.8, 27.4, and 42.0% of the crude protein (CP) in the starter feed and 11.0, 37.2, and 55.5% of the CP in the finisher feed of diets D1, D2, and D3, respectively. Dietary effects on average daily feed intake, average daily body weight gain, feed conversion ratio, carcass characteristics, breast meat sensory attributes, and the economic implication of their use in broiler production were evaluated. Replacement of SFM with BSFPM did not affect daily feed intake, daily body weight gain, feed conversion ratio, aroma or taste of cooked breast meat. A 16.0% higher Cost Benefit Ratio and 25.0% better Return on Investment was recorded when the birds were reared on the highest concentration of black soldier fly (D3) compared to the conventional diet which was 19.0% more expensive. The implication of these findings for the promotion of insect mass production enterprises for animal feed protein, and their potential for income generation and job creation particularly in developing countries is discussed.","author":[{"dropping-particle":"","family":"Onsongo","given":"V. O.","non-dropping-particle":"","parse-names":false,"suffix":""},{"dropping-particle":"","family":"Osuga","given":"I. M.","non-dropping-particle":"","parse-names":false,"suffix":""},{"dropping-particle":"","family":"Gachuiri","given":"C. K.","non-dropping-particle":"","parse-names":false,"suffix":""},{"dropping-particle":"","family":"Wachira","given":"A. M.","non-dropping-particle":"","parse-names":false,"suffix":""},{"dropping-particle":"","family":"Miano","given":"D. M.","non-dropping-particle":"","parse-names":false,"suffix":""},{"dropping-particle":"","family":"Tanga","given":"C. M.","non-dropping-particle":"","parse-names":false,"suffix":""},{"dropping-particle":"","family":"Ekesi","given":"S.","non-dropping-particle":"","parse-names":false,"suffix":""},{"dropping-particle":"","family":"Nakimbugwe","given":"D.","non-dropping-particle":"","parse-names":false,"suffix":""},{"dropping-particle":"","family":"Fiaboe","given":"K. K.M.","non-dropping-particle":"","parse-names":false,"suffix":""}],"container-title":"Journal of Economic Entomology","id":"ITEM-1","issue":"4","issued":{"date-parts":[["2018"]]},"page":"1966-1973","title":"Insects for income generation through animal feed: Effect of dietary replacement of soybean and fish meal with black soldier fly meal on broiler growth and economic performance","type":"article-journal","volume":"111"},"uris":["http://www.mendeley.com/documents/?uuid=36fd966f-90bf-486b-b30a-241e0211a514"]}],"mendeley":{"formattedCitation":"[33]","plainTextFormattedCitation":"[33]","previouslyFormattedCitation":"[33]"},"properties":{"noteIndex":0},"schema":"https://github.com/citation-style-language/schema/raw/master/csl-citation.json"}</w:instrText>
      </w:r>
      <w:r>
        <w:rPr>
          <w:color w:val="000000" w:themeColor="text1"/>
          <w:szCs w:val="18"/>
        </w:rPr>
        <w:fldChar w:fldCharType="separate"/>
      </w:r>
      <w:r>
        <w:rPr>
          <w:noProof/>
          <w:color w:val="000000" w:themeColor="text1"/>
          <w:szCs w:val="18"/>
        </w:rPr>
        <w:t>[33]</w:t>
      </w:r>
      <w:r>
        <w:rPr>
          <w:color w:val="000000" w:themeColor="text1"/>
          <w:szCs w:val="18"/>
        </w:rPr>
        <w:fldChar w:fldCharType="end"/>
      </w:r>
      <w:r>
        <w:rPr>
          <w:color w:val="000000" w:themeColor="text1"/>
          <w:szCs w:val="18"/>
        </w:rPr>
        <w:t xml:space="preserve">; </w:t>
      </w:r>
      <w:proofErr w:type="spellStart"/>
      <w:r>
        <w:rPr>
          <w:color w:val="000000" w:themeColor="text1"/>
          <w:szCs w:val="18"/>
        </w:rPr>
        <w:t>Vilela</w:t>
      </w:r>
      <w:proofErr w:type="spellEnd"/>
      <w:r>
        <w:rPr>
          <w:color w:val="000000" w:themeColor="text1"/>
          <w:szCs w:val="18"/>
        </w:rPr>
        <w:t xml:space="preserve"> et al., 2021 </w:t>
      </w:r>
      <w:r>
        <w:rPr>
          <w:color w:val="000000" w:themeColor="text1"/>
          <w:szCs w:val="18"/>
        </w:rPr>
        <w:fldChar w:fldCharType="begin" w:fldLock="1"/>
      </w:r>
      <w:r>
        <w:rPr>
          <w:color w:val="000000" w:themeColor="text1"/>
          <w:szCs w:val="18"/>
        </w:rPr>
        <w:instrText>ADDIN CSL_CITATION {"citationItems":[{"id":"ITEM-1","itemData":{"DOI":"10.1016/j.aninu.2020.08.014","ISSN":"24056383","abstract":"Non-conventional feed ingredients are receiving more interest in their ability to increase farming efficiency, sustainability and animal performance. The objective of this study was to determine the optimal rate of inclusion level of the full-fat black soldier fly larvae (BSFL) in broiler diets and to evaluate their impact on performance, nutrient digestibility, and the immune system (blood cells and intraepithelial lymphocytes). A total of 400 male day-old Ross 308 broilers were randomly assigned to 5 treatment groups with 8 replicates each. Five inclusion levels of full-fat BSFL were investigated across starter (0, 2.5%, 5%, 7.5% and 10%), grower and finisher diets (0, 5%, 10%, 15% and 20%). All diets were formulated based on digestible amino acid values according to the Aviagen (2016) recommendations. A polynomial regression at different degrees was performed to analyse broiler performance parameters (body weight, body weight gain, feed intake, and feed conversion ratio), nutrient digestibility, and blood cell count. Intraepithelial lymphocyte population data was analysed performing univariate linear regression. During the entire experimental period (from 2 to 42 d), BSFL inclusion levels decreased the feed conversion ratio by 10% in broilers that received 20% BSFL in their diets (P &lt; 0.05). Lymphocytes and white blood cell count decreased linearly by 47.7% and 35.9%, respectively, with up to 20% BSFL inclusion (P &lt; 0.001). A 4-fold decrease in CD3+ T lymphocytes and a 9.7-fold decrease of CD3+CD8+ intestinal cytotoxic T lymphocytes occurred in broilers fed 20% BSFL compared to the control group. These findings suggest that the inclusion of BSFL can improve broiler performance and potentially reduce immune response energy expenditure in birds fed 20% BSFL for 42 d.","author":[{"dropping-particle":"","family":"Souza Vilela","given":"Jessica","non-dropping-particle":"de","parse-names":false,"suffix":""},{"dropping-particle":"","family":"Andronicos","given":"Nicholas M.","non-dropping-particle":"","parse-names":false,"suffix":""},{"dropping-particle":"","family":"Kolakshyapati","given":"Manisha","non-dropping-particle":"","parse-names":false,"suffix":""},{"dropping-particle":"","family":"Hilliar","given":"Matthew","non-dropping-particle":"","parse-names":false,"suffix":""},{"dropping-particle":"","family":"Sibanda","given":"Terence Z.","non-dropping-particle":"","parse-names":false,"suffix":""},{"dropping-particle":"","family":"Andrew","given":"Nigel R.","non-dropping-particle":"","parse-names":false,"suffix":""},{"dropping-particle":"","family":"Swick","given":"Robert A.","non-dropping-particle":"","parse-names":false,"suffix":""},{"dropping-particle":"","family":"Wilkinson","given":"Stuart","non-dropping-particle":"","parse-names":false,"suffix":""},{"dropping-particle":"","family":"Ruhnke","given":"Isabelle","non-dropping-particle":"","parse-names":false,"suffix":""}],"container-title":"Animal Nutrition","id":"ITEM-1","issue":"3","issued":{"date-parts":[["2021"]]},"page":"695-706","publisher":"Elsevier Inc","title":"Black soldier fly larvae in broiler diets improve broiler performance and modulate the immune system","type":"article-journal","volume":"7"},"uris":["http://www.mendeley.com/documents/?uuid=d7810c0a-0d93-40d3-a19f-56f275f87529"]}],"mendeley":{"formattedCitation":"[45]","plainTextFormattedCitation":"[45]","previouslyFormattedCitation":"[45]"},"properties":{"noteIndex":0},"schema":"https://github.com/citation-style-language/schema/raw/master/csl-citation.json"}</w:instrText>
      </w:r>
      <w:r>
        <w:rPr>
          <w:color w:val="000000" w:themeColor="text1"/>
          <w:szCs w:val="18"/>
        </w:rPr>
        <w:fldChar w:fldCharType="separate"/>
      </w:r>
      <w:r>
        <w:rPr>
          <w:noProof/>
          <w:color w:val="000000" w:themeColor="text1"/>
          <w:szCs w:val="18"/>
        </w:rPr>
        <w:t>[45]</w:t>
      </w:r>
      <w:r>
        <w:rPr>
          <w:color w:val="000000" w:themeColor="text1"/>
          <w:szCs w:val="18"/>
        </w:rPr>
        <w:fldChar w:fldCharType="end"/>
      </w:r>
      <w:r>
        <w:rPr>
          <w:color w:val="000000" w:themeColor="text1"/>
          <w:szCs w:val="18"/>
        </w:rPr>
        <w:t xml:space="preserve"> Mahmoud et al., 2022 </w:t>
      </w:r>
      <w:r>
        <w:rPr>
          <w:color w:val="000000" w:themeColor="text1"/>
          <w:szCs w:val="18"/>
        </w:rPr>
        <w:fldChar w:fldCharType="begin" w:fldLock="1"/>
      </w:r>
      <w:r>
        <w:rPr>
          <w:color w:val="000000" w:themeColor="text1"/>
          <w:szCs w:val="18"/>
        </w:rPr>
        <w:instrText>ADDIN CSL_CITATION {"citationItems":[{"id":"ITEM-1","itemData":{"DOI":"10.1080/00071668.2022.2161873","abstract":"Two experiments were conducted to determine the apparent metabolisable energy (AME) and standardised amino acid digestibility coefficients (SIDC) of black soldier fly larvae (BSFL) for broiler chickens. 2. The BSFL contained486 g/kg crude protein, 320 g/kg crude fat, 58.5 g/kg ash, 181 g/kg neutral detergent fibre, 6.8 g/kg calcium and 9.1 g/kg phosphorus. 3. In Experiment 1, an AME assay was performed wherein broilers were fed two experimental diets (a maize-soy basal diet and a test diet containing 250 g/kg BSFL) for 4 d from d 18 post-hatch. The AME of BSFL was calculated based on the difference between the AME values of basal and test diets. The AME andnitrogen-corrected AME were determined to be 19.1 and 18.0 MJ/kg of dry matter, respectively. 4. In Experiment 2, the ileal amino acid (AA) digestibility of BSFL was determined using 22-d-old broilers by the direct method and the digesta was collected on d 25. The ratios between the AA and titanium in the diet and digesta were used to calculate the apparent digestibility and then standardised using previously published endogenous losses to estimate the SIDC of AA. The SIDC of Lys, Met, Thr, Val and average SIDC of AA in our BSFL sample were 0.85, 0.90, 0.91, 0.87 and 0.84, respectively. 5.The results showed that the BSFL meal is a good source of available energy and digestible AA, and could be a potential substitute for soybean meal in broiler diets.","author":[{"dropping-particle":"","family":"Mahmoud","given":"A E","non-dropping-particle":"","parse-names":false,"suffix":""},{"dropping-particle":"","family":"Morel","given":"P C H","non-dropping-particle":"","parse-names":false,"suffix":""},{"dropping-particle":"","family":"Potter","given":"M A","non-dropping-particle":"","parse-names":false,"suffix":""},{"dropping-particle":"","family":"Ravindran","given":"V","non-dropping-particle":"","parse-names":false,"suffix":""}],"id":"ITEM-1","issued":{"date-parts":[["2023"]]},"title":"The apparent metabolisable energy and ileal amino digestibility of black soldier fly ( Hermetia illucens ) larvae meal for broiler chickens","type":"article-journal"},"uris":["http://www.mendeley.com/documents/?uuid=bc7b6a49-bb3f-42e6-931e-a7f8325cb646"]}],"mendeley":{"formattedCitation":"[82]","plainTextFormattedCitation":"[82]","previouslyFormattedCitation":"[81]"},"properties":{"noteIndex":0},"schema":"https://github.com/citation-style-language/schema/raw/master/csl-citation.json"}</w:instrText>
      </w:r>
      <w:r>
        <w:rPr>
          <w:color w:val="000000" w:themeColor="text1"/>
          <w:szCs w:val="18"/>
        </w:rPr>
        <w:fldChar w:fldCharType="separate"/>
      </w:r>
      <w:r>
        <w:rPr>
          <w:noProof/>
          <w:color w:val="000000" w:themeColor="text1"/>
          <w:szCs w:val="18"/>
        </w:rPr>
        <w:t>[82]</w:t>
      </w:r>
      <w:r>
        <w:rPr>
          <w:color w:val="000000" w:themeColor="text1"/>
          <w:szCs w:val="18"/>
        </w:rPr>
        <w:fldChar w:fldCharType="end"/>
      </w:r>
      <w:r>
        <w:rPr>
          <w:color w:val="000000" w:themeColor="text1"/>
          <w:szCs w:val="18"/>
        </w:rPr>
        <w:t xml:space="preserve">; </w:t>
      </w:r>
      <w:proofErr w:type="spellStart"/>
      <w:r>
        <w:rPr>
          <w:color w:val="000000" w:themeColor="text1"/>
          <w:szCs w:val="18"/>
        </w:rPr>
        <w:t>Mutisya</w:t>
      </w:r>
      <w:proofErr w:type="spellEnd"/>
      <w:r>
        <w:rPr>
          <w:color w:val="000000" w:themeColor="text1"/>
          <w:szCs w:val="18"/>
        </w:rPr>
        <w:t xml:space="preserve"> et al., 2021 [</w:t>
      </w:r>
      <w:r>
        <w:rPr>
          <w:rFonts w:cs="Times New Roman"/>
          <w:noProof/>
          <w:color w:val="000000" w:themeColor="text1"/>
          <w:szCs w:val="18"/>
        </w:rPr>
        <w:t>74];</w:t>
      </w:r>
      <w:r>
        <w:rPr>
          <w:color w:val="000000" w:themeColor="text1"/>
        </w:rPr>
        <w:t xml:space="preserve"> </w:t>
      </w:r>
      <w:proofErr w:type="spellStart"/>
      <w:r>
        <w:rPr>
          <w:color w:val="000000" w:themeColor="text1"/>
        </w:rPr>
        <w:t>Elangovan</w:t>
      </w:r>
      <w:proofErr w:type="spellEnd"/>
      <w:r>
        <w:rPr>
          <w:color w:val="000000" w:themeColor="text1"/>
        </w:rPr>
        <w:t xml:space="preserve"> et al., 2021 </w:t>
      </w:r>
      <w:r>
        <w:rPr>
          <w:color w:val="000000" w:themeColor="text1"/>
        </w:rPr>
        <w:fldChar w:fldCharType="begin" w:fldLock="1"/>
      </w:r>
      <w:r>
        <w:rPr>
          <w:color w:val="000000" w:themeColor="text1"/>
        </w:rPr>
        <w:instrText>ADDIN CSL_CITATION {"citationItems":[{"id":"ITEM-1","itemData":{"DOI":"10.1007/s42690-020-00377-4","ISSN":"17427592","abstract":"An experiment was conducted to explore the suitability of black soldier fly (BSF) Hermetia illucens (Linnaeus) prepupae as poultry feed. Ninety day old, unsexed, Cobb chicks were distributed into 2 treatment groups, with 5 replicates, having 9 birds in each replicate, in a completely randomized design. The two dietary treatments consisted of corn-soy control diet and 5% supplemented insect meal-based diet. Results indicated similar (P &gt; 0.05) body weight gain, feed intake or feed conversion ratio in chicks fed either insect meal or control diet during the experimental period. There was also no significant difference (P &gt; 0.05) in the crude protein digestibility, cellular immunity as well as the length or weight of duodenum, jejunum, ileum and caecum between the treatments. It could be concluded that the black soldier fly prepupae meal can be incorporated at 5% in broiler diet. Thus, BSF can play a significant role in converting waste into feed and add to the feed basket in future.","author":[{"dropping-particle":"","family":"Elangovan","given":"Arumbackam Vijayarangam","non-dropping-particle":"","parse-names":false,"suffix":""},{"dropping-particle":"","family":"Udayakumar","given":"Amala","non-dropping-particle":"","parse-names":false,"suffix":""},{"dropping-particle":"","family":"Saravanakumar","given":"Manimaran","non-dropping-particle":"","parse-names":false,"suffix":""},{"dropping-particle":"","family":"Awachat","given":"Vaibhav Bhagwan","non-dropping-particle":"","parse-names":false,"suffix":""},{"dropping-particle":"","family":"Mohan","given":"Muthugounder","non-dropping-particle":"","parse-names":false,"suffix":""},{"dropping-particle":"","family":"Yandigeri","given":"Mahesh Shankarappa","non-dropping-particle":"","parse-names":false,"suffix":""},{"dropping-particle":"","family":"Krishnan","given":"Selvaraj","non-dropping-particle":"","parse-names":false,"suffix":""},{"dropping-particle":"","family":"Mech","given":"Anjumoni","non-dropping-particle":"","parse-names":false,"suffix":""},{"dropping-particle":"","family":"Rao","given":"Somu Bala Nageswara","non-dropping-particle":"","parse-names":false,"suffix":""},{"dropping-particle":"","family":"Giridhar","given":"Kandalam","non-dropping-particle":"","parse-names":false,"suffix":""},{"dropping-particle":"","family":"Bhatta","given":"Raghavendra","non-dropping-particle":"","parse-names":false,"suffix":""}],"container-title":"International Journal of Tropical Insect Science","id":"ITEM-1","issue":"3","issued":{"date-parts":[["2021"]]},"page":"2077-2082","publisher":"International Journal of Tropical Insect Science","title":"Effect of black soldier fly, Hermetia illucens (Linnaeus) prepupae meal on growth performance and gut development in broiler chicken","type":"article-journal","volume":"41"},"uris":["http://www.mendeley.com/documents/?uuid=fd6d8e40-f5ec-4f58-a6d7-6e5f63f81983"]}],"mendeley":{"formattedCitation":"[23]","plainTextFormattedCitation":"[23]","previouslyFormattedCitation":"[23]"},"properties":{"noteIndex":0},"schema":"https://github.com/citation-style-language/schema/raw/master/csl-citation.json"}</w:instrText>
      </w:r>
      <w:r>
        <w:rPr>
          <w:color w:val="000000" w:themeColor="text1"/>
        </w:rPr>
        <w:fldChar w:fldCharType="separate"/>
      </w:r>
      <w:r>
        <w:rPr>
          <w:noProof/>
          <w:color w:val="000000" w:themeColor="text1"/>
        </w:rPr>
        <w:t>[23]</w:t>
      </w:r>
      <w:r>
        <w:rPr>
          <w:color w:val="000000" w:themeColor="text1"/>
        </w:rPr>
        <w:fldChar w:fldCharType="end"/>
      </w:r>
      <w:r>
        <w:rPr>
          <w:color w:val="000000" w:themeColor="text1"/>
        </w:rPr>
        <w:t>.</w:t>
      </w:r>
    </w:p>
    <w:p w:rsidR="00F2143D" w:rsidRDefault="00F2143D" w:rsidP="00F2143D">
      <w:pPr>
        <w:pStyle w:val="MDPI51figurecaption"/>
        <w:rPr>
          <w:color w:val="000000" w:themeColor="text1"/>
        </w:rPr>
      </w:pPr>
      <w:r>
        <w:rPr>
          <w:b/>
          <w:color w:val="000000" w:themeColor="text1"/>
        </w:rPr>
        <w:t xml:space="preserve">Figure S1. </w:t>
      </w:r>
      <w:r>
        <w:rPr>
          <w:color w:val="000000" w:themeColor="text1"/>
        </w:rPr>
        <w:t xml:space="preserve">Nutritional composition of different </w:t>
      </w:r>
      <w:proofErr w:type="spellStart"/>
      <w:r>
        <w:rPr>
          <w:i/>
          <w:iCs/>
          <w:color w:val="000000" w:themeColor="text1"/>
        </w:rPr>
        <w:t>Hermetia</w:t>
      </w:r>
      <w:proofErr w:type="spellEnd"/>
      <w:r>
        <w:rPr>
          <w:i/>
          <w:iCs/>
          <w:color w:val="000000" w:themeColor="text1"/>
        </w:rPr>
        <w:t xml:space="preserve"> </w:t>
      </w:r>
      <w:proofErr w:type="spellStart"/>
      <w:r>
        <w:rPr>
          <w:i/>
          <w:iCs/>
          <w:color w:val="000000" w:themeColor="text1"/>
        </w:rPr>
        <w:t>illucens</w:t>
      </w:r>
      <w:proofErr w:type="spellEnd"/>
      <w:r>
        <w:rPr>
          <w:i/>
          <w:iCs/>
          <w:color w:val="000000" w:themeColor="text1"/>
        </w:rPr>
        <w:t xml:space="preserve"> </w:t>
      </w:r>
      <w:r>
        <w:rPr>
          <w:color w:val="000000" w:themeColor="text1"/>
        </w:rPr>
        <w:t>meal.</w:t>
      </w:r>
    </w:p>
    <w:p w:rsidR="00F2143D" w:rsidRDefault="00F2143D" w:rsidP="00F2143D">
      <w:pPr>
        <w:pStyle w:val="MDPI43tablefooter"/>
        <w:rPr>
          <w:color w:val="000000" w:themeColor="text1"/>
          <w:vertAlign w:val="superscript"/>
        </w:rPr>
      </w:pPr>
      <w:r>
        <w:rPr>
          <w:noProof/>
        </w:rPr>
        <w:drawing>
          <wp:inline distT="0" distB="0" distL="0" distR="0">
            <wp:extent cx="4498975" cy="2604135"/>
            <wp:effectExtent l="0" t="0" r="0" b="0"/>
            <wp:docPr id="2" name="Chart 2">
              <a:extLst xmlns:a="http://schemas.openxmlformats.org/drawingml/2006/main">
                <a:ext uri="{FF2B5EF4-FFF2-40B4-BE49-F238E27FC236}">
                  <a16:creationId xmlns:a16="http://schemas.microsoft.com/office/drawing/2014/main" id="{BDE5B9D2-346E-4ECC-8A81-9F174A834D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2143D" w:rsidRDefault="00F2143D" w:rsidP="00F2143D">
      <w:pPr>
        <w:pStyle w:val="MDPI43tablefooter"/>
        <w:rPr>
          <w:color w:val="000000" w:themeColor="text1"/>
        </w:rPr>
      </w:pPr>
      <w:r>
        <w:rPr>
          <w:color w:val="000000" w:themeColor="text1"/>
        </w:rPr>
        <w:t xml:space="preserve">Publications: Elahi et al., 2020 </w:t>
      </w:r>
      <w:r>
        <w:rPr>
          <w:color w:val="000000" w:themeColor="text1"/>
        </w:rPr>
        <w:fldChar w:fldCharType="begin" w:fldLock="1"/>
      </w:r>
      <w:r>
        <w:rPr>
          <w:color w:val="000000" w:themeColor="text1"/>
        </w:rPr>
        <w:instrText>ADDIN CSL_CITATION {"citationItems":[{"id":"ITEM-1","itemData":{"DOI":"10.3390/ani10020224","ISSN":"20762615","abstract":"Yellow mealworm meal (MWM) as a protein feedstuff in the broiler diet was investigated based on the growth performance, hematological characteristics, carcass, and meat quality of broiler chicks. A total of 700 one-day-old Ross 308 male broiler chicks were assigned to five dietary MWM treatments containing 0%, 2%, 4%, and 8% dried MWM or 10.48% fresh mealworm (corresponding to 4% dried MWM). For each treatment, there were seven pens with 20 chicks each. The nutritional profile of dried MWM is comparable to all conventional protein feedstuffs. MWM significantly increased BW and ADG (linear and quadratic, p &lt; 0.05), and FCR was best at 4% MWM inclusion level (quadratic, p &lt; 0.10) for broiler chicks during the starter phase. The predicted MWM levels for optimal starter BW and ADG were 4.13% and 3.84%. Hematological characteristics of broiler chicks fed on the MWM diet did not differ or showed small change within the physiological range. A fresh 10.48% mealworm diet significantly reduced the blood LZM for the grower. Broiler Chicks fed on fresh 10.48% mealworm had a significantly reduced abdominal fat percentage compared to the 4% dried MWM counterparts. MWM did not significantly affect meat quality. Taken together, MWM inclusion in broiler diet is acceptable as a protein feedstuff, and a 4% level could stimulate early growth in the starter phase.","author":[{"dropping-particle":"","family":"Elahi","given":"Usman","non-dropping-particle":"","parse-names":false,"suffix":""},{"dropping-particle":"","family":"Wang","given":"Jing","non-dropping-particle":"","parse-names":false,"suffix":""},{"dropping-particle":"","family":"Ma","given":"You Biao","non-dropping-particle":"","parse-names":false,"suffix":""},{"dropping-particle":"","family":"Wu","given":"Shu Geng","non-dropping-particle":"","parse-names":false,"suffix":""},{"dropping-particle":"","family":"Wu","given":"Jinlong","non-dropping-particle":"","parse-names":false,"suffix":""},{"dropping-particle":"","family":"Qi","given":"Guang Hai","non-dropping-particle":"","parse-names":false,"suffix":""},{"dropping-particle":"","family":"Zhang","given":"Hai Jun","non-dropping-particle":"","parse-names":false,"suffix":""}],"container-title":"Animals","id":"ITEM-1","issue":"2","issued":{"date-parts":[["2020"]]},"page":"1-15","title":"Evaluation of yellow mealworm meal as a protein feedstuff in the diet of broiler chicks","type":"article-journal","volume":"10"},"uris":["http://www.mendeley.com/documents/?uuid=2d80b9d7-32ed-4b8e-a9a4-0fae5dca0988"]}],"mendeley":{"formattedCitation":"[28]","plainTextFormattedCitation":"[28]","previouslyFormattedCitation":"[28]"},"properties":{"noteIndex":0},"schema":"https://github.com/citation-style-language/schema/raw/master/csl-citation.json"}</w:instrText>
      </w:r>
      <w:r>
        <w:rPr>
          <w:color w:val="000000" w:themeColor="text1"/>
        </w:rPr>
        <w:fldChar w:fldCharType="separate"/>
      </w:r>
      <w:r>
        <w:rPr>
          <w:noProof/>
          <w:color w:val="000000" w:themeColor="text1"/>
        </w:rPr>
        <w:t>[28]</w:t>
      </w:r>
      <w:r>
        <w:rPr>
          <w:color w:val="000000" w:themeColor="text1"/>
        </w:rPr>
        <w:fldChar w:fldCharType="end"/>
      </w:r>
      <w:r>
        <w:rPr>
          <w:color w:val="000000" w:themeColor="text1"/>
        </w:rPr>
        <w:t xml:space="preserve">¹ no data for ash composition; </w:t>
      </w:r>
      <w:proofErr w:type="spellStart"/>
      <w:r>
        <w:rPr>
          <w:color w:val="000000" w:themeColor="text1"/>
        </w:rPr>
        <w:t>Józefiak</w:t>
      </w:r>
      <w:proofErr w:type="spellEnd"/>
      <w:r>
        <w:rPr>
          <w:color w:val="000000" w:themeColor="text1"/>
        </w:rPr>
        <w:t xml:space="preserve"> et al., 2018 </w:t>
      </w:r>
      <w:r>
        <w:rPr>
          <w:color w:val="000000" w:themeColor="text1"/>
        </w:rPr>
        <w:fldChar w:fldCharType="begin" w:fldLock="1"/>
      </w:r>
      <w:r>
        <w:rPr>
          <w:color w:val="000000" w:themeColor="text1"/>
        </w:rPr>
        <w:instrText>ADDIN CSL_CITATION {"citationItems":[{"id":"ITEM-1","itemData":{"DOI":"10.22358/jafs/91967/2018","ISSN":"12301388","abstract":"The aim of this study was to evaluate the effect of full-fat insect meals fed ‘on top’ to broiler chickens on their performance and the microbiota composition in the gastrointestinal tract. A total of 1850 day-old Ross 308 females were used in a set of four independent experiments. The insects Gryllodes sigillatus, Shelfordella lateralis, Gryllus assimilis, Tenebrio molitor and Hermetia illucens were applied in amounts that varied from 0.05 to 0.2%. In general, the application of insect meals to the diets of broilers did not affect their growth performance over the experimental period. However, the 0.2% additions of T. molitor and H. illucens increased feed intake at days 15–35 (P = 0.011) and the entire period of feeding (days 1–35; P = 0.018) (Experiment 3). Moreover, in Experiment 4 the supplementation of 0.2% of S. lateralis improved body weight gain (days 11–21 and 1–21), feed intake (days 1–10 and 1–21) and feed conversion ratio (days 1–21). The addition of insect meals reduced the pH value of digesta in the crop (Experiments 1 and 2) and in the caeca (Experiment 2). Supplementation with H. illucens caused the most significant effect on the microbiota populations in the crop, ileum and caeca (Experiment 3). However, at the higher levels of S. lateralis addition to the diets of broilers, the counts of selected microbiota in the crop and ileum increased (Experiment 4). These results indicate that the application of the insect full-fat meals in relatively small amounts can affect the microbiota composition in the gastrointestinal tract of broiler chickens.","author":[{"dropping-particle":"","family":"Józefiak","given":"A.","non-dropping-particle":"","parse-names":false,"suffix":""},{"dropping-particle":"","family":"Kierończyk","given":"B.","non-dropping-particle":"","parse-names":false,"suffix":""},{"dropping-particle":"","family":"Rawski","given":"M.","non-dropping-particle":"","parse-names":false,"suffix":""},{"dropping-particle":"","family":"Mazurkiewicz","given":"J.","non-dropping-particle":"","parse-names":false,"suffix":""},{"dropping-particle":"","family":"Benzertiha","given":"A.","non-dropping-particle":"","parse-names":false,"suffix":""},{"dropping-particle":"","family":"Gobbi","given":"P.","non-dropping-particle":"","parse-names":false,"suffix":""},{"dropping-particle":"","family":"Nogales-Mérida","given":"S.","non-dropping-particle":"","parse-names":false,"suffix":""},{"dropping-particle":"","family":"Świątkiewicz","given":"S.","non-dropping-particle":"","parse-names":false,"suffix":""},{"dropping-particle":"","family":"Józefiak","given":"D.","non-dropping-particle":"","parse-names":false,"suffix":""}],"container-title":"Journal of Animal and Feed Sciences","id":"ITEM-1","issue":"2","issued":{"date-parts":[["2018"]]},"page":"131-139","title":"Full-fat insect meals as feed additive – the effect on broiler chicken growth performance and gastrointestinal tract microbiota","type":"article-journal","volume":"27"},"uris":["http://www.mendeley.com/documents/?uuid=3bcb5bdb-a17d-4638-a6b2-e5ff63863112"]}],"mendeley":{"formattedCitation":"[37]","plainTextFormattedCitation":"[37]","previouslyFormattedCitation":"[37]"},"properties":{"noteIndex":0},"schema":"https://github.com/citation-style-language/schema/raw/master/csl-citation.json"}</w:instrText>
      </w:r>
      <w:r>
        <w:rPr>
          <w:color w:val="000000" w:themeColor="text1"/>
        </w:rPr>
        <w:fldChar w:fldCharType="separate"/>
      </w:r>
      <w:r>
        <w:rPr>
          <w:noProof/>
          <w:color w:val="000000" w:themeColor="text1"/>
        </w:rPr>
        <w:t>[37]</w:t>
      </w:r>
      <w:r>
        <w:rPr>
          <w:color w:val="000000" w:themeColor="text1"/>
        </w:rPr>
        <w:fldChar w:fldCharType="end"/>
      </w:r>
      <w:r>
        <w:rPr>
          <w:color w:val="000000" w:themeColor="text1"/>
        </w:rPr>
        <w:t xml:space="preserve">; </w:t>
      </w:r>
      <w:proofErr w:type="spellStart"/>
      <w:r>
        <w:rPr>
          <w:color w:val="000000" w:themeColor="text1"/>
        </w:rPr>
        <w:t>Bovera</w:t>
      </w:r>
      <w:proofErr w:type="spellEnd"/>
      <w:r>
        <w:rPr>
          <w:color w:val="000000" w:themeColor="text1"/>
        </w:rPr>
        <w:t xml:space="preserve"> et al., 2016 </w:t>
      </w:r>
      <w:r>
        <w:rPr>
          <w:color w:val="000000" w:themeColor="text1"/>
        </w:rPr>
        <w:fldChar w:fldCharType="begin" w:fldLock="1"/>
      </w:r>
      <w:r>
        <w:rPr>
          <w:color w:val="000000" w:themeColor="text1"/>
        </w:rPr>
        <w:instrText>ADDIN CSL_CITATION {"citationItems":[{"id":"ITEM-1","itemData":{"DOI":"10.2527/jas.2015-9201","ISSN":"15253163","abstract":"The aim of this research was to study the effect of insect meal from Tenebrio molitor larvae (Tenebrio molitor larvae meal [TML]) as complete replacement of soybean meal (SBM) on growth performance, nutrient digestibility, and carcass and meat traits of broilers. A total of eighty 30-d-old male Shaver brown broilers were homogenously divided into 2 groups (each consisting of 8 replicates of 5 birds). Up to 62 d of age, the groups were fed 2 isoproteic and isoenergetic diets differing for the ingredient used as the main protein source: the control group was fed a corn–SBM–based diet, whereas in the TML group, the SBM was completely replaced by TML. Broiler growth performance was measured during the trial. At 62 d of age, 2 broilers per replicate (16 per group) were slaughtered and apparent ileal digestibility coefficients and carcass and meat traits were determined. The use of TML as the main protein source in the broiler diet had no significant effect on most growth performance and carcass traits and chemical and physical properties of meat, the latter being important for marketing purposes. The feed conversion ratio in the entire experimental period (from 30 to 62 d) was improved in the TML group compared with the SBM group (P &lt; 0.05). The apparent ileal digestibility coefficients of DM, OM, and CP in broilers fed the SBM diet were greater (P &lt; 0.01) than the other group. The full digestive system in broilers fed SBM had a lower (P &lt; 0.05) absolute and relative weight than that of broilers fed TML. Also, the weight and the percentage of the spleen in the SBM group were lower (P &lt; 0.05) than those in the TML group. The length of the entire intestine in the group fed TML was greater (P &lt; 0.05) than the other group and the same happened when intestinal length was expressed as percentage of broiler BW (P &lt; 0.05). Among the different intestinal tracts, the ileum and ceca of broilers fed TML had a greater (P &lt; 0.05) length than that of broilers fed SBM. Also, ceca weight (as an absolute value or percentage on live weight) in broilers fed TML was greater (P &lt; 0.05) than that of broilers fed SBM. Breast pH and cooking losses in broilers fed TML were greater (P &lt; 0.05) than those of broilers fed SBM. Chemical characteristic of meat obtained from right breast of slaughtered broilers were unaffected by dietary treatments. Tenebrio molitor larvae meal can be a suitable alternative protein source for growing broilers and also when used as principal protein contribu…","author":[{"dropping-particle":"","family":"Bovera","given":"F.","non-dropping-particle":"","parse-names":false,"suffix":""},{"dropping-particle":"","family":"Loponte","given":"R.","non-dropping-particle":"","parse-names":false,"suffix":""},{"dropping-particle":"","family":"Marono","given":"S.","non-dropping-particle":"","parse-names":false,"suffix":""},{"dropping-particle":"","family":"Piccolo","given":"G.","non-dropping-particle":"","parse-names":false,"suffix":""},{"dropping-particle":"","family":"Parisi","given":"G.","non-dropping-particle":"","parse-names":false,"suffix":""},{"dropping-particle":"","family":"Iaconisi","given":"V.","non-dropping-particle":"","parse-names":false,"suffix":""},{"dropping-particle":"","family":"Gasco","given":"L.","non-dropping-particle":"","parse-names":false,"suffix":""},{"dropping-particle":"","family":"Nizza","given":"A.","non-dropping-particle":"","parse-names":false,"suffix":""}],"container-title":"Journal of Animal Science","id":"ITEM-1","issue":"2","issued":{"date-parts":[["2016"]]},"page":"639-647","title":"Use of Tenebrio molitor larvae meal as protein source in broiler diet: Effect on growth performance, nutrient digestibility, and carcass and meat traits","type":"article-journal","volume":"94"},"uris":["http://www.mendeley.com/documents/?uuid=5b304912-4c9a-4b70-8209-f7b1ab24dacc"]}],"mendeley":{"formattedCitation":"[36]","plainTextFormattedCitation":"[36]","previouslyFormattedCitation":"[36]"},"properties":{"noteIndex":0},"schema":"https://github.com/citation-style-language/schema/raw/master/csl-citation.json"}</w:instrText>
      </w:r>
      <w:r>
        <w:rPr>
          <w:color w:val="000000" w:themeColor="text1"/>
        </w:rPr>
        <w:fldChar w:fldCharType="separate"/>
      </w:r>
      <w:r>
        <w:rPr>
          <w:noProof/>
          <w:color w:val="000000" w:themeColor="text1"/>
        </w:rPr>
        <w:t>[36]</w:t>
      </w:r>
      <w:r>
        <w:rPr>
          <w:color w:val="000000" w:themeColor="text1"/>
        </w:rPr>
        <w:fldChar w:fldCharType="end"/>
      </w:r>
      <w:r>
        <w:rPr>
          <w:color w:val="000000" w:themeColor="text1"/>
        </w:rPr>
        <w:t xml:space="preserve">; Khan et al., 2018 </w:t>
      </w:r>
      <w:r>
        <w:rPr>
          <w:color w:val="000000" w:themeColor="text1"/>
        </w:rPr>
        <w:fldChar w:fldCharType="begin" w:fldLock="1"/>
      </w:r>
      <w:r>
        <w:rPr>
          <w:color w:val="000000" w:themeColor="text1"/>
        </w:rPr>
        <w:instrText>ADDIN CSL_CITATION {"citationItems":[{"id":"ITEM-1","itemData":{"DOI":"10.1111/jpn.12809","ISSN":"14390396","PMID":"29098730","abstract":"This study was conducted to evaluate the comparative effect of maggot meal, silkworm meal and mealworm as dietary protein source on the production performance and some aspects of meat quality in broilers. In this regard, maggot meal was reared on chicken offal and poultry waste. Silkworm meal was obtained from silk industry, while mealworm was developed through beetles rearing. A total of 120-day-old broiler chicks were randomly divided into four groups where soya bean meal (M0) was replaced with maggot meal (M1), silkworm meal (M2) and mealworm (M3) respectively. Each group was further divided into three replicates. The study was carried out for a period of 5 weeks. Diets containing mealworm significantly reduced overall feed consumption and resulted into higher weight gain (p &lt;.05). Lowest feed conversion ratio (FCR) was recorded for birds fed with mealworm diet (p &lt;.05). Tenderness and juiciness of meat were higher (p &lt;.05) in M3 compared to the control and other treatments. Mortality did not vary between the control and the treated groups. Therefore, it is concluded that insect meal is rich in essential nutrients and could be successfully used in broiler ration without compromising acceptability. In the light of this study, mealworm is the best choice in broiler ration, in comparison with maggot and silkworm.","author":[{"dropping-particle":"","family":"Khan","given":"S.","non-dropping-particle":"","parse-names":false,"suffix":""},{"dropping-particle":"","family":"Khan","given":"R. U.","non-dropping-particle":"","parse-names":false,"suffix":""},{"dropping-particle":"","family":"Alam","given":"W.","non-dropping-particle":"","parse-names":false,"suffix":""},{"dropping-particle":"","family":"Sultan","given":"A.","non-dropping-particle":"","parse-names":false,"suffix":""}],"container-title":"Journal of Animal Physiology and Animal Nutrition","id":"ITEM-1","issue":"2","issued":{"date-parts":[["2018"]]},"page":"e662-e668","title":"Evaluating the nutritive profile of three insect meals and their effects to replace soya bean in broiler diet","type":"article-journal","volume":"102"},"uris":["http://www.mendeley.com/documents/?uuid=bda5dac9-24f8-47ae-99cf-71dac6b07e3c"]}],"mendeley":{"formattedCitation":"[31]","plainTextFormattedCitation":"[31]","previouslyFormattedCitation":"[31]"},"properties":{"noteIndex":0},"schema":"https://github.com/citation-style-language/schema/raw/master/csl-citation.json"}</w:instrText>
      </w:r>
      <w:r>
        <w:rPr>
          <w:color w:val="000000" w:themeColor="text1"/>
        </w:rPr>
        <w:fldChar w:fldCharType="separate"/>
      </w:r>
      <w:r>
        <w:rPr>
          <w:noProof/>
          <w:color w:val="000000" w:themeColor="text1"/>
        </w:rPr>
        <w:t>[31]</w:t>
      </w:r>
      <w:r>
        <w:rPr>
          <w:color w:val="000000" w:themeColor="text1"/>
        </w:rPr>
        <w:fldChar w:fldCharType="end"/>
      </w:r>
      <w:r>
        <w:rPr>
          <w:color w:val="000000" w:themeColor="text1"/>
        </w:rPr>
        <w:t xml:space="preserve">; </w:t>
      </w:r>
      <w:proofErr w:type="spellStart"/>
      <w:r>
        <w:rPr>
          <w:color w:val="000000" w:themeColor="text1"/>
        </w:rPr>
        <w:t>Benzertiha</w:t>
      </w:r>
      <w:proofErr w:type="spellEnd"/>
      <w:r>
        <w:rPr>
          <w:color w:val="000000" w:themeColor="text1"/>
        </w:rPr>
        <w:t xml:space="preserve"> et al., 2020 </w:t>
      </w:r>
      <w:r>
        <w:rPr>
          <w:color w:val="000000" w:themeColor="text1"/>
        </w:rPr>
        <w:fldChar w:fldCharType="begin" w:fldLock="1"/>
      </w:r>
      <w:r>
        <w:rPr>
          <w:color w:val="000000" w:themeColor="text1"/>
        </w:rPr>
        <w:instrText>ADDIN CSL_CITATION {"citationItems":[{"id":"ITEM-1","itemData":{"DOI":"10.3382/ps/pez450","ISSN":"15253171","PMID":"32416801","abstract":"This study was conducted to investigate the effect of insect full-fat meals (Tenebrio molitor and Zophobas morio larvae), added “on top” of a complete diet or calculated into diets, on the growth performance, selected blood, and immune system traits of broiler chickens. 1,000 one-day-old female Ross 308 broiler chicks were used in 2 independent experiments. In the first trial, the birds were randomly assigned to 6 treatments, 10 replicate pens per treatment, and 10 birds per pen, i.e., negative control; positive control with salinomycin addition (60 mg/kg diet), and addition of 0.2% and 0.3% of T. molitor and Z. morio full-fat meals “on top”. In the second experiment, 4 treatments, 10 replicate pens per treatment, and 10 birds per pen were set, i.e., negative control, positive control with salinomycin addition (60 mg/kg diet), and 0.3% of T. molitor and Z. morio full-fat meals calculated in the diets. In both trials the supplementation of insects increased the BWG (Exp. 1: P = 0.024; Exp. 2: P = 0.046) and FI (Exp. 1: P = 0.022; Exp. 2: P = 0.026), and no negative effect on the FCR was recorded in experiment one (P = 0.514), however in second trial insects addition increased FCR values (P = 0.011). In addition, in the first trial, groups fed insects and PC comparing to NC decreased the IgY (P = 0.045) and IgM, (P &lt; 0.001) levels. In the second experiment, IgM levels were also decreased (P &lt; 0.001) in groups fed insects comparing to NC. Moreover, in first trial the IgM levels were negatively correlated to the BWG (r = –0.4845) and FI (r = –0.4986), with statistically significant values (P &lt; 0.001). In conclusion, the current results confirmed that small amount addition (0.2% and 0.3%) of T. molitor and Z. morio full-fat meals to the diet of broiler chickens can improve growth performance and change selected the immune system traits.","author":[{"dropping-particle":"","family":"Benzertiha","given":"A.","non-dropping-particle":"","parse-names":false,"suffix":""},{"dropping-particle":"","family":"Kierończyk","given":"B.","non-dropping-particle":"","parse-names":false,"suffix":""},{"dropping-particle":"","family":"Kołodziejski","given":"P.","non-dropping-particle":"","parse-names":false,"suffix":""},{"dropping-particle":"","family":"Pruszyńska–Oszmałek","given":"E.","non-dropping-particle":"","parse-names":false,"suffix":""},{"dropping-particle":"","family":"Rawski","given":"M.","non-dropping-particle":"","parse-names":false,"suffix":""},{"dropping-particle":"","family":"Józefiak","given":"D.","non-dropping-particle":"","parse-names":false,"suffix":""},{"dropping-particle":"","family":"Józefiak","given":"A.","non-dropping-particle":"","parse-names":false,"suffix":""}],"container-title":"Poultry Science","id":"ITEM-1","issue":"1","issued":{"date-parts":[["2020"]]},"page":"196-206","title":"Tenebrio molitor and Zophobas morio full-fat meals as functional feed additives affect broiler chickens' growth performance and immune system traits","type":"article-journal","volume":"99"},"uris":["http://www.mendeley.com/documents/?uuid=6458e26c-84da-402e-abab-e3783e03d04c"]}],"mendeley":{"formattedCitation":"[29]","plainTextFormattedCitation":"[29]","previouslyFormattedCitation":"[29]"},"properties":{"noteIndex":0},"schema":"https://github.com/citation-style-language/schema/raw/master/csl-citation.json"}</w:instrText>
      </w:r>
      <w:r>
        <w:rPr>
          <w:color w:val="000000" w:themeColor="text1"/>
        </w:rPr>
        <w:fldChar w:fldCharType="separate"/>
      </w:r>
      <w:r>
        <w:rPr>
          <w:noProof/>
          <w:color w:val="000000" w:themeColor="text1"/>
        </w:rPr>
        <w:t>[29]</w:t>
      </w:r>
      <w:r>
        <w:rPr>
          <w:color w:val="000000" w:themeColor="text1"/>
        </w:rPr>
        <w:fldChar w:fldCharType="end"/>
      </w:r>
      <w:r>
        <w:rPr>
          <w:color w:val="000000" w:themeColor="text1"/>
        </w:rPr>
        <w:t xml:space="preserve">; </w:t>
      </w:r>
      <w:proofErr w:type="spellStart"/>
      <w:r>
        <w:rPr>
          <w:color w:val="000000" w:themeColor="text1"/>
        </w:rPr>
        <w:t>Dalmoro</w:t>
      </w:r>
      <w:proofErr w:type="spellEnd"/>
      <w:r>
        <w:rPr>
          <w:color w:val="000000" w:themeColor="text1"/>
        </w:rPr>
        <w:t xml:space="preserve"> et al., 2021 </w:t>
      </w:r>
      <w:r>
        <w:rPr>
          <w:color w:val="000000" w:themeColor="text1"/>
        </w:rPr>
        <w:fldChar w:fldCharType="begin" w:fldLock="1"/>
      </w:r>
      <w:r>
        <w:rPr>
          <w:color w:val="000000" w:themeColor="text1"/>
        </w:rPr>
        <w:instrText>ADDIN CSL_CITATION {"citationItems":[{"id":"ITEM-1","itemData":{"DOI":"10.1016/j.anifeedsci.2020.114784","ISSN":"03778401","abstract":"A study was conducted to determine ileal digestible energy (IDE), metabolizable energy (ME), and nitrogen-corrected ME (MEn) of Tenebrio molitor larvae meal and Nile tilapia byproduct meal for broiler chickens using the regression method. A total of 315 slow feathering Cobb 500 male broilers were fed 5 experimental diets with 9 replicate cages of 7 birds each, in a completely randomized design. Broilers were fed a maize-soybean meal reference diet (RD) and 4 test diets (TD) from d 14 to 21 posthatch. The TD consisted of Tenebrio molitor larvae meal and tilapia byproduct meal that partly replaced the energy sources in the reference diet at 100 or 200 g/kg and 75 or 150 g/kg, respectively, such that equal ratios were maintained for all energy containing ingredients across all experimental diets. Excreta samples were collected twice daily from d 19 to 21, and ileal digesta were collected on d 21. Apparent ileal digestibility of DM, N, amino acids as well as metabolizability coefficients of DM, N, and energy were calculated. Addition of Tenebrio molitor larvae meal to the RD linearly increased (P &lt; 0.05) ileal and total tract of DM and N digestibilities as well as IDE, ME, and MEn. For diets with Tenebrio molitor larvae meal substitution, regression equations were IDE = 21.52x – 0.0234, ME = 21.93x – 0.0189, and MEn = 20.62x – 0.0241. Addition of tilapia byproduct meal to the RD linearly decreased (P &lt; 0.05) ileal and total tract coefficients of DM and IDE, ME, and MEn, as well as ileal digestibility of amino acids (P &lt; 0.001). The equations for the tilapia byproduct meal diets were IDE = 12.49x – 0.0264, ME = 14.29x – 0.0152, and MEn = 11.94x – 0.0129. In conclusion, the current study showed that broiler chickens can utilize a considerable amount of energy and amino acids from insect meal or fish meal. The IDE, ME, MEn values (MJ/kg of DM) were 21.52, 21.93 and 20.62 for Tenebrio molitor larvae meal, and 12.49, 14.29 and 11.94 for tilapia byproduct meal, respectively.","author":[{"dropping-particle":"","family":"Dalmoro","given":"Y. K.","non-dropping-particle":"","parse-names":false,"suffix":""},{"dropping-particle":"","family":"Adams","given":"C. B.","non-dropping-particle":"","parse-names":false,"suffix":""},{"dropping-particle":"","family":"Haetinger","given":"V. S.","non-dropping-particle":"","parse-names":false,"suffix":""},{"dropping-particle":"","family":"Bairros","given":"L.","non-dropping-particle":"","parse-names":false,"suffix":""},{"dropping-particle":"","family":"Yacoubi","given":"N.","non-dropping-particle":"","parse-names":false,"suffix":""},{"dropping-particle":"","family":"Stefanello","given":"C.","non-dropping-particle":"","parse-names":false,"suffix":""}],"container-title":"Animal Feed Science and Technology","id":"ITEM-1","issue":"October 2020","issued":{"date-parts":[["2021"]]},"page":"114784","publisher":"Elsevier B.V.","title":"Energy values of Tenebrio molitor larvae meal and tilapia byproduct meal for broiler chickens determined using the regression method","type":"article-journal","volume":"272"},"uris":["http://www.mendeley.com/documents/?uuid=6e2df2be-925e-4258-84ed-42693fe429a5"]}],"mendeley":{"formattedCitation":"[83]","plainTextFormattedCitation":"[83]","previouslyFormattedCitation":"[82]"},"properties":{"noteIndex":0},"schema":"https://github.com/citation-style-language/schema/raw/master/csl-citation.json"}</w:instrText>
      </w:r>
      <w:r>
        <w:rPr>
          <w:color w:val="000000" w:themeColor="text1"/>
        </w:rPr>
        <w:fldChar w:fldCharType="separate"/>
      </w:r>
      <w:r>
        <w:rPr>
          <w:noProof/>
          <w:color w:val="000000" w:themeColor="text1"/>
        </w:rPr>
        <w:t>[83]</w:t>
      </w:r>
      <w:r>
        <w:rPr>
          <w:color w:val="000000" w:themeColor="text1"/>
        </w:rPr>
        <w:fldChar w:fldCharType="end"/>
      </w:r>
      <w:r>
        <w:rPr>
          <w:color w:val="000000" w:themeColor="text1"/>
        </w:rPr>
        <w:t xml:space="preserve">; </w:t>
      </w:r>
      <w:proofErr w:type="spellStart"/>
      <w:r>
        <w:rPr>
          <w:color w:val="000000" w:themeColor="text1"/>
        </w:rPr>
        <w:t>Sedgh-Gooya</w:t>
      </w:r>
      <w:proofErr w:type="spellEnd"/>
      <w:r>
        <w:rPr>
          <w:color w:val="000000" w:themeColor="text1"/>
        </w:rPr>
        <w:t xml:space="preserve"> et al., 2022 </w:t>
      </w:r>
      <w:r>
        <w:rPr>
          <w:color w:val="000000" w:themeColor="text1"/>
        </w:rPr>
        <w:fldChar w:fldCharType="begin" w:fldLock="1"/>
      </w:r>
      <w:r>
        <w:rPr>
          <w:color w:val="000000" w:themeColor="text1"/>
        </w:rPr>
        <w:instrText>ADDIN CSL_CITATION {"citationItems":[{"id":"ITEM-1","itemData":{"DOI":"10.1002/vms3.881","ISSN":"20531095","PMID":"35840325","abstract":"Background: Climate change and the lack of conventional feed ingredients have made edible insects a highly nutritious alternative to feed production. The use of insects as food may help solve socio-economic and environmental problems around the world and be in line with the United Nations Sustainable Development Goals. Objective: In this study, the growth performance and intestinal morphology of broiler chickens were evaluated under the influence of adding different levels of Tenebrio molitor larvae meal (TM meal) to their diets. Methods: One hundred and eighty one-day-old broiler chickens were divided into three treatments and five replications (12 chickens/pen). The experimental diets included a control diet and treatments containing 2.5% and 5% TM meal, which were fed to birds in the starter (0–10 days) and grower (11–25 days) stages, and during the final period (26–42 days), all birds were fed a regular finisher diet. Results: The results showed that the diet containing TM meal had no remarkable effect on the mortality rate and feed intake of broilers (p &gt; 0.05). In the starter period, the addition of 2.5% TM meal to broilers’ diet increased body weight gain than the control group (p ≤ 0.05). Also, the use of 2.5% TM meal in the starter period showed a significant effect on reducing the feed conversion ratio, compared to the birds fed by the control diet (p ≤ 0.05). Besides, the height of the villus, the depth of the crypt and their ratio were not altered among the different treatments (p &gt; 0.05). Conclusions: Overall, it can be concluded that TM meal could improve growth performance in the starter period and had no negative effects on broilers' performance and intestinal morphology in all the periods of the experiment.","author":[{"dropping-particle":"","family":"Sedgh-Gooya","given":"Shadi","non-dropping-particle":"","parse-names":false,"suffix":""},{"dropping-particle":"","family":"Torki","given":"Mehran","non-dropping-particle":"","parse-names":false,"suffix":""},{"dropping-particle":"","family":"Darbemamieh","given":"Maryam","non-dropping-particle":"","parse-names":false,"suffix":""},{"dropping-particle":"","family":"Khamisabadi","given":"Hassan","non-dropping-particle":"","parse-names":false,"suffix":""},{"dropping-particle":"","family":"Abdolmohamadi","given":"Alireza","non-dropping-particle":"","parse-names":false,"suffix":""}],"container-title":"Veterinary Medicine and Science","id":"ITEM-1","issued":{"date-parts":[["2022"]]},"page":"2050-2058","title":"Growth performance and intestinal morphometric features of broiler chickens fed on dietary inclusion of yellow mealworm (Tenebrio molitor) larvae powder","type":"article-journal"},"uris":["http://www.mendeley.com/documents/?uuid=65cb707e-1d5a-43aa-b3c0-cfc12a8bd59e"]}],"mendeley":{"formattedCitation":"[18]","plainTextFormattedCitation":"[18]","previouslyFormattedCitation":"[18]"},"properties":{"noteIndex":0},"schema":"https://github.com/citation-style-language/schema/raw/master/csl-citation.json"}</w:instrText>
      </w:r>
      <w:r>
        <w:rPr>
          <w:color w:val="000000" w:themeColor="text1"/>
        </w:rPr>
        <w:fldChar w:fldCharType="separate"/>
      </w:r>
      <w:r>
        <w:rPr>
          <w:noProof/>
          <w:color w:val="000000" w:themeColor="text1"/>
        </w:rPr>
        <w:t>[18]</w:t>
      </w:r>
      <w:r>
        <w:rPr>
          <w:color w:val="000000" w:themeColor="text1"/>
        </w:rPr>
        <w:fldChar w:fldCharType="end"/>
      </w:r>
      <w:r>
        <w:rPr>
          <w:color w:val="000000" w:themeColor="text1"/>
        </w:rPr>
        <w:t>.</w:t>
      </w:r>
    </w:p>
    <w:p w:rsidR="00F2143D" w:rsidRDefault="00F2143D" w:rsidP="00F2143D">
      <w:pPr>
        <w:pStyle w:val="MDPI51figurecaption"/>
        <w:rPr>
          <w:color w:val="000000" w:themeColor="text1"/>
        </w:rPr>
      </w:pPr>
      <w:r>
        <w:rPr>
          <w:b/>
          <w:color w:val="000000" w:themeColor="text1"/>
        </w:rPr>
        <w:t xml:space="preserve">Figure S2. </w:t>
      </w:r>
      <w:r>
        <w:rPr>
          <w:color w:val="000000" w:themeColor="text1"/>
        </w:rPr>
        <w:t xml:space="preserve">Nutritional composition of different </w:t>
      </w:r>
      <w:r>
        <w:rPr>
          <w:i/>
          <w:iCs/>
          <w:color w:val="000000" w:themeColor="text1"/>
        </w:rPr>
        <w:t xml:space="preserve">Tenebrio </w:t>
      </w:r>
      <w:proofErr w:type="spellStart"/>
      <w:r>
        <w:rPr>
          <w:i/>
          <w:iCs/>
          <w:color w:val="000000" w:themeColor="text1"/>
        </w:rPr>
        <w:t>molitor</w:t>
      </w:r>
      <w:proofErr w:type="spellEnd"/>
      <w:r>
        <w:rPr>
          <w:color w:val="000000" w:themeColor="text1"/>
        </w:rPr>
        <w:t xml:space="preserve"> meal.</w:t>
      </w:r>
    </w:p>
    <w:p w:rsidR="00F2143D" w:rsidRDefault="00F2143D" w:rsidP="00F2143D">
      <w:pPr>
        <w:pStyle w:val="MDPI43tablefooter"/>
        <w:rPr>
          <w:color w:val="000000" w:themeColor="text1"/>
          <w:vertAlign w:val="superscript"/>
        </w:rPr>
      </w:pPr>
      <w:r>
        <w:rPr>
          <w:noProof/>
        </w:rPr>
        <w:lastRenderedPageBreak/>
        <w:drawing>
          <wp:inline distT="0" distB="0" distL="0" distR="0">
            <wp:extent cx="4903470" cy="2855595"/>
            <wp:effectExtent l="0" t="0" r="0" b="1905"/>
            <wp:docPr id="5" name="Chart 5">
              <a:extLst xmlns:a="http://schemas.openxmlformats.org/drawingml/2006/main">
                <a:ext uri="{FF2B5EF4-FFF2-40B4-BE49-F238E27FC236}">
                  <a16:creationId xmlns:a16="http://schemas.microsoft.com/office/drawing/2014/main" id="{E246D1D7-A6E0-BE8B-22BF-B65E4A3D00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2143D" w:rsidRDefault="00F2143D" w:rsidP="00F2143D">
      <w:pPr>
        <w:pStyle w:val="MDPI43tablefooter"/>
        <w:rPr>
          <w:color w:val="000000" w:themeColor="text1"/>
        </w:rPr>
      </w:pPr>
      <w:r>
        <w:rPr>
          <w:color w:val="000000" w:themeColor="text1"/>
        </w:rPr>
        <w:t xml:space="preserve">Publications: </w:t>
      </w:r>
      <w:proofErr w:type="spellStart"/>
      <w:r>
        <w:rPr>
          <w:color w:val="000000" w:themeColor="text1"/>
        </w:rPr>
        <w:t>Vilela</w:t>
      </w:r>
      <w:proofErr w:type="spellEnd"/>
      <w:r>
        <w:rPr>
          <w:color w:val="000000" w:themeColor="text1"/>
        </w:rPr>
        <w:t xml:space="preserve"> et al., 2021 </w:t>
      </w:r>
      <w:r>
        <w:rPr>
          <w:color w:val="000000" w:themeColor="text1"/>
        </w:rPr>
        <w:fldChar w:fldCharType="begin" w:fldLock="1"/>
      </w:r>
      <w:r>
        <w:rPr>
          <w:color w:val="000000" w:themeColor="text1"/>
        </w:rPr>
        <w:instrText>ADDIN CSL_CITATION {"citationItems":[{"id":"ITEM-1","itemData":{"DOI":"10.1016/j.aninu.2020.08.014","ISSN":"24056383","abstract":"Non-conventional feed ingredients are receiving more interest in their ability to increase farming efficiency, sustainability and animal performance. The objective of this study was to determine the optimal rate of inclusion level of the full-fat black soldier fly larvae (BSFL) in broiler diets and to evaluate their impact on performance, nutrient digestibility, and the immune system (blood cells and intraepithelial lymphocytes). A total of 400 male day-old Ross 308 broilers were randomly assigned to 5 treatment groups with 8 replicates each. Five inclusion levels of full-fat BSFL were investigated across starter (0, 2.5%, 5%, 7.5% and 10%), grower and finisher diets (0, 5%, 10%, 15% and 20%). All diets were formulated based on digestible amino acid values according to the Aviagen (2016) recommendations. A polynomial regression at different degrees was performed to analyse broiler performance parameters (body weight, body weight gain, feed intake, and feed conversion ratio), nutrient digestibility, and blood cell count. Intraepithelial lymphocyte population data was analysed performing univariate linear regression. During the entire experimental period (from 2 to 42 d), BSFL inclusion levels decreased the feed conversion ratio by 10% in broilers that received 20% BSFL in their diets (P &lt; 0.05). Lymphocytes and white blood cell count decreased linearly by 47.7% and 35.9%, respectively, with up to 20% BSFL inclusion (P &lt; 0.001). A 4-fold decrease in CD3+ T lymphocytes and a 9.7-fold decrease of CD3+CD8+ intestinal cytotoxic T lymphocytes occurred in broilers fed 20% BSFL compared to the control group. These findings suggest that the inclusion of BSFL can improve broiler performance and potentially reduce immune response energy expenditure in birds fed 20% BSFL for 42 d.","author":[{"dropping-particle":"","family":"Souza Vilela","given":"Jessica","non-dropping-particle":"de","parse-names":false,"suffix":""},{"dropping-particle":"","family":"Andronicos","given":"Nicholas M.","non-dropping-particle":"","parse-names":false,"suffix":""},{"dropping-particle":"","family":"Kolakshyapati","given":"Manisha","non-dropping-particle":"","parse-names":false,"suffix":""},{"dropping-particle":"","family":"Hilliar","given":"Matthew","non-dropping-particle":"","parse-names":false,"suffix":""},{"dropping-particle":"","family":"Sibanda","given":"Terence Z.","non-dropping-particle":"","parse-names":false,"suffix":""},{"dropping-particle":"","family":"Andrew","given":"Nigel R.","non-dropping-particle":"","parse-names":false,"suffix":""},{"dropping-particle":"","family":"Swick","given":"Robert A.","non-dropping-particle":"","parse-names":false,"suffix":""},{"dropping-particle":"","family":"Wilkinson","given":"Stuart","non-dropping-particle":"","parse-names":false,"suffix":""},{"dropping-particle":"","family":"Ruhnke","given":"Isabelle","non-dropping-particle":"","parse-names":false,"suffix":""}],"container-title":"Animal Nutrition","id":"ITEM-1","issue":"3","issued":{"date-parts":[["2021"]]},"page":"695-706","publisher":"Elsevier Inc","title":"Black soldier fly larvae in broiler diets improve broiler performance and modulate the immune system","type":"article-journal","volume":"7"},"uris":["http://www.mendeley.com/documents/?uuid=d7810c0a-0d93-40d3-a19f-56f275f87529"]}],"mendeley":{"formattedCitation":"[45]","plainTextFormattedCitation":"[45]","previouslyFormattedCitation":"[45]"},"properties":{"noteIndex":0},"schema":"https://github.com/citation-style-language/schema/raw/master/csl-citation.json"}</w:instrText>
      </w:r>
      <w:r>
        <w:rPr>
          <w:color w:val="000000" w:themeColor="text1"/>
        </w:rPr>
        <w:fldChar w:fldCharType="separate"/>
      </w:r>
      <w:r>
        <w:rPr>
          <w:noProof/>
          <w:color w:val="000000" w:themeColor="text1"/>
        </w:rPr>
        <w:t>[45]</w:t>
      </w:r>
      <w:r>
        <w:rPr>
          <w:color w:val="000000" w:themeColor="text1"/>
        </w:rPr>
        <w:fldChar w:fldCharType="end"/>
      </w:r>
      <w:r>
        <w:rPr>
          <w:color w:val="000000" w:themeColor="text1"/>
        </w:rPr>
        <w:t xml:space="preserve">¹, no data for cysteine; </w:t>
      </w:r>
      <w:proofErr w:type="spellStart"/>
      <w:r>
        <w:rPr>
          <w:color w:val="000000" w:themeColor="text1"/>
        </w:rPr>
        <w:t>Osongo</w:t>
      </w:r>
      <w:proofErr w:type="spellEnd"/>
      <w:r>
        <w:rPr>
          <w:color w:val="000000" w:themeColor="text1"/>
        </w:rPr>
        <w:t xml:space="preserve"> et al., 2018 </w:t>
      </w:r>
      <w:r>
        <w:rPr>
          <w:color w:val="000000" w:themeColor="text1"/>
        </w:rPr>
        <w:fldChar w:fldCharType="begin" w:fldLock="1"/>
      </w:r>
      <w:r>
        <w:rPr>
          <w:color w:val="000000" w:themeColor="text1"/>
        </w:rPr>
        <w:instrText>ADDIN CSL_CITATION {"citationItems":[{"id":"ITEM-1","itemData":{"DOI":"10.1093/jee/toy118","ISSN":"1938291X","PMID":"29757415","abstract":"The ever-increasing animal feed costs are driving many vulnerable communities involved in animal husbandry out of business. The high cost is mainly driven by the protein source, which represents the most expensive component in animal feed. In conventional feed, protein is obtained mainly from soybean and fish meal (SFM). The present study explored potential of partially replacing this SFM with black soldier fly prepupae meal (BSFPM) in Cobb 500 broiler chicken diets. A SFM-based diet was compared to three experimental diets formulated by partially substituting SFM with BSFPM at 13.8, 27.4, and 42.0% of the crude protein (CP) in the starter feed and 11.0, 37.2, and 55.5% of the CP in the finisher feed of diets D1, D2, and D3, respectively. Dietary effects on average daily feed intake, average daily body weight gain, feed conversion ratio, carcass characteristics, breast meat sensory attributes, and the economic implication of their use in broiler production were evaluated. Replacement of SFM with BSFPM did not affect daily feed intake, daily body weight gain, feed conversion ratio, aroma or taste of cooked breast meat. A 16.0% higher Cost Benefit Ratio and 25.0% better Return on Investment was recorded when the birds were reared on the highest concentration of black soldier fly (D3) compared to the conventional diet which was 19.0% more expensive. The implication of these findings for the promotion of insect mass production enterprises for animal feed protein, and their potential for income generation and job creation particularly in developing countries is discussed.","author":[{"dropping-particle":"","family":"Onsongo","given":"V. O.","non-dropping-particle":"","parse-names":false,"suffix":""},{"dropping-particle":"","family":"Osuga","given":"I. M.","non-dropping-particle":"","parse-names":false,"suffix":""},{"dropping-particle":"","family":"Gachuiri","given":"C. K.","non-dropping-particle":"","parse-names":false,"suffix":""},{"dropping-particle":"","family":"Wachira","given":"A. M.","non-dropping-particle":"","parse-names":false,"suffix":""},{"dropping-particle":"","family":"Miano","given":"D. M.","non-dropping-particle":"","parse-names":false,"suffix":""},{"dropping-particle":"","family":"Tanga","given":"C. M.","non-dropping-particle":"","parse-names":false,"suffix":""},{"dropping-particle":"","family":"Ekesi","given":"S.","non-dropping-particle":"","parse-names":false,"suffix":""},{"dropping-particle":"","family":"Nakimbugwe","given":"D.","non-dropping-particle":"","parse-names":false,"suffix":""},{"dropping-particle":"","family":"Fiaboe","given":"K. K.M.","non-dropping-particle":"","parse-names":false,"suffix":""}],"container-title":"Journal of Economic Entomology","id":"ITEM-1","issue":"4","issued":{"date-parts":[["2018"]]},"page":"1966-1973","title":"Insects for income generation through animal feed: Effect of dietary replacement of soybean and fish meal with black soldier fly meal on broiler growth and economic performance","type":"article-journal","volume":"111"},"uris":["http://www.mendeley.com/documents/?uuid=36fd966f-90bf-486b-b30a-241e0211a514"]}],"mendeley":{"formattedCitation":"[33]","plainTextFormattedCitation":"[33]","previouslyFormattedCitation":"[33]"},"properties":{"noteIndex":0},"schema":"https://github.com/citation-style-language/schema/raw/master/csl-citation.json"}</w:instrText>
      </w:r>
      <w:r>
        <w:rPr>
          <w:color w:val="000000" w:themeColor="text1"/>
        </w:rPr>
        <w:fldChar w:fldCharType="separate"/>
      </w:r>
      <w:r>
        <w:rPr>
          <w:noProof/>
          <w:color w:val="000000" w:themeColor="text1"/>
        </w:rPr>
        <w:t>[33]</w:t>
      </w:r>
      <w:r>
        <w:rPr>
          <w:color w:val="000000" w:themeColor="text1"/>
        </w:rPr>
        <w:fldChar w:fldCharType="end"/>
      </w:r>
      <w:r>
        <w:rPr>
          <w:color w:val="000000" w:themeColor="text1"/>
        </w:rPr>
        <w:t xml:space="preserve">² no data for tyrosine; </w:t>
      </w:r>
      <w:proofErr w:type="spellStart"/>
      <w:r>
        <w:rPr>
          <w:color w:val="000000" w:themeColor="text1"/>
        </w:rPr>
        <w:t>Mutisya</w:t>
      </w:r>
      <w:proofErr w:type="spellEnd"/>
      <w:r>
        <w:rPr>
          <w:color w:val="000000" w:themeColor="text1"/>
        </w:rPr>
        <w:t xml:space="preserve"> et al., 2021 </w:t>
      </w:r>
      <w:r>
        <w:rPr>
          <w:color w:val="000000" w:themeColor="text1"/>
        </w:rPr>
        <w:fldChar w:fldCharType="begin" w:fldLock="1"/>
      </w:r>
      <w:r>
        <w:rPr>
          <w:color w:val="000000" w:themeColor="text1"/>
        </w:rPr>
        <w:instrText>ADDIN CSL_CITATION {"citationItems":[{"id":"ITEM-1","itemData":{"DOI":"10.1016/j.psj.2020.11.021","ISSN":"15253171","PMID":"33518093","abstract":"This study aimed to evaluate the performance of broiler chickens fed on 3 black soldier fly larvae (BSFL) (Hermetia illucens) and Greenleaf desmodium (Desmodium intortum)-based meals. We evaluated growth performance, carcass quality, and profitability under various commercial pathways (doorstep, retail, whole, and assorted). Desmodium and BSFL powders were formulated into 3 ratios: T1 25:75, T2 50:50, and T3 75:25. A commercial feed was used as a control. One hundred and twenty mixed-sex 1-day-old broiler chicks (Cobb) were reared in pens for 42 d in a completely randomized design. The chickens were weighed weekly to monitor their growth rate. After the 42-day rearing period, they were slaughtered for carcass quality evaluation and recording of the weights of internal organs. During the initial growth phase (7–21 d), significant effects of fish meal replacement were found on the chickens' average weight (P &lt; 0.001), average daily body weight gain (P &lt; 0.001), average daily feed intake (P &lt; 0.001), and feed conversion ratio (P &lt; 0.001). However, during the second phase (21–42 d), no significant effect of the replacement was detected except on average daily feed intake (P = 0.003). No significant differences were found in terms of the relative weights of internal organs. It was found that Desmodium-BSFL-based feeds were more profitable than the control feed, and the assorted and retail modes of sale generated more revenue compared to when the chickens were sold at doorstep and on whole-chicken basis. The return on investment was higher for a push-pull adopter compared to a non-adopter. The study found that a BSFL-Desmodium mixture can be a valuable replacement for the protein component in conventional feed and would provide a new impetus for the adoption of push-pull.","author":[{"dropping-particle":"","family":"Mutisya","given":"Mary M.","non-dropping-particle":"","parse-names":false,"suffix":""},{"dropping-particle":"","family":"Agbodzavu","given":"Mawufe K.","non-dropping-particle":"","parse-names":false,"suffix":""},{"dropping-particle":"","family":"Kinyuru","given":"John N.","non-dropping-particle":"","parse-names":false,"suffix":""},{"dropping-particle":"","family":"Tanga","given":"Chrysantus M.","non-dropping-particle":"","parse-names":false,"suffix":""},{"dropping-particle":"","family":"Gicheha","given":"Mathew","non-dropping-particle":"","parse-names":false,"suffix":""},{"dropping-particle":"","family":"Hailu","given":"Girma","non-dropping-particle":"","parse-names":false,"suffix":""},{"dropping-particle":"","family":"Salifu","given":"Daisy","non-dropping-particle":"","parse-names":false,"suffix":""},{"dropping-particle":"","family":"Khan","given":"Zeyaur","non-dropping-particle":"","parse-names":false,"suffix":""},{"dropping-particle":"","family":"Niassy","given":"Saliou","non-dropping-particle":"","parse-names":false,"suffix":""}],"container-title":"Poultry Science","id":"ITEM-1","issue":"2","issued":{"date-parts":[["2021"]]},"page":"420-430","publisher":"Elsevier Inc.","title":"Can black soldier fly Desmodium intortum larvae-based diets enhance the performance of Cobb500 broiler chickens and smallholder farmers' profit in Kenya?","type":"article-journal","volume":"100"},"uris":["http://www.mendeley.com/documents/?uuid=8db49d3e-1392-4b95-b7dc-adc40ad36a23"]}],"mendeley":{"formattedCitation":"[27]","plainTextFormattedCitation":"[27]","previouslyFormattedCitation":"[27]"},"properties":{"noteIndex":0},"schema":"https://github.com/citation-style-language/schema/raw/master/csl-citation.json"}</w:instrText>
      </w:r>
      <w:r>
        <w:rPr>
          <w:color w:val="000000" w:themeColor="text1"/>
        </w:rPr>
        <w:fldChar w:fldCharType="separate"/>
      </w:r>
      <w:r>
        <w:rPr>
          <w:noProof/>
          <w:color w:val="000000" w:themeColor="text1"/>
        </w:rPr>
        <w:t>[27]</w:t>
      </w:r>
      <w:r>
        <w:rPr>
          <w:color w:val="000000" w:themeColor="text1"/>
        </w:rPr>
        <w:fldChar w:fldCharType="end"/>
      </w:r>
      <w:r>
        <w:rPr>
          <w:color w:val="000000" w:themeColor="text1"/>
        </w:rPr>
        <w:t xml:space="preserve">³ no data for valine, alanine, cysteine, glycine, glutamine, proline, serine, and tyrosine; Mahmoud et al., 2022 </w:t>
      </w:r>
      <w:r>
        <w:rPr>
          <w:color w:val="000000" w:themeColor="text1"/>
        </w:rPr>
        <w:fldChar w:fldCharType="begin" w:fldLock="1"/>
      </w:r>
      <w:r>
        <w:rPr>
          <w:color w:val="000000" w:themeColor="text1"/>
        </w:rPr>
        <w:instrText>ADDIN CSL_CITATION {"citationItems":[{"id":"ITEM-1","itemData":{"DOI":"10.1080/00071668.2022.2161873","abstract":"Two experiments were conducted to determine the apparent metabolisable energy (AME) and standardised amino acid digestibility coefficients (SIDC) of black soldier fly larvae (BSFL) for broiler chickens. 2. The BSFL contained486 g/kg crude protein, 320 g/kg crude fat, 58.5 g/kg ash, 181 g/kg neutral detergent fibre, 6.8 g/kg calcium and 9.1 g/kg phosphorus. 3. In Experiment 1, an AME assay was performed wherein broilers were fed two experimental diets (a maize-soy basal diet and a test diet containing 250 g/kg BSFL) for 4 d from d 18 post-hatch. The AME of BSFL was calculated based on the difference between the AME values of basal and test diets. The AME andnitrogen-corrected AME were determined to be 19.1 and 18.0 MJ/kg of dry matter, respectively. 4. In Experiment 2, the ileal amino acid (AA) digestibility of BSFL was determined using 22-d-old broilers by the direct method and the digesta was collected on d 25. The ratios between the AA and titanium in the diet and digesta were used to calculate the apparent digestibility and then standardised using previously published endogenous losses to estimate the SIDC of AA. The SIDC of Lys, Met, Thr, Val and average SIDC of AA in our BSFL sample were 0.85, 0.90, 0.91, 0.87 and 0.84, respectively. 5.The results showed that the BSFL meal is a good source of available energy and digestible AA, and could be a potential substitute for soybean meal in broiler diets.","author":[{"dropping-particle":"","family":"Mahmoud","given":"A E","non-dropping-particle":"","parse-names":false,"suffix":""},{"dropping-particle":"","family":"Morel","given":"P C H","non-dropping-particle":"","parse-names":false,"suffix":""},{"dropping-particle":"","family":"Potter","given":"M A","non-dropping-particle":"","parse-names":false,"suffix":""},{"dropping-particle":"","family":"Ravindran","given":"V","non-dropping-particle":"","parse-names":false,"suffix":""}],"id":"ITEM-1","issued":{"date-parts":[["2023"]]},"title":"The apparent metabolisable energy and ileal amino digestibility of black soldier fly ( Hermetia illucens ) larvae meal for broiler chickens","type":"article-journal"},"uris":["http://www.mendeley.com/documents/?uuid=bc7b6a49-bb3f-42e6-931e-a7f8325cb646"]}],"mendeley":{"formattedCitation":"[82]","plainTextFormattedCitation":"[82]","previouslyFormattedCitation":"[81]"},"properties":{"noteIndex":0},"schema":"https://github.com/citation-style-language/schema/raw/master/csl-citation.json"}</w:instrText>
      </w:r>
      <w:r>
        <w:rPr>
          <w:color w:val="000000" w:themeColor="text1"/>
        </w:rPr>
        <w:fldChar w:fldCharType="separate"/>
      </w:r>
      <w:r>
        <w:rPr>
          <w:noProof/>
          <w:color w:val="000000" w:themeColor="text1"/>
        </w:rPr>
        <w:t>[82]</w:t>
      </w:r>
      <w:r>
        <w:rPr>
          <w:color w:val="000000" w:themeColor="text1"/>
        </w:rPr>
        <w:fldChar w:fldCharType="end"/>
      </w:r>
      <w:r>
        <w:rPr>
          <w:color w:val="000000" w:themeColor="text1"/>
        </w:rPr>
        <w:t xml:space="preserve">; </w:t>
      </w:r>
      <w:proofErr w:type="spellStart"/>
      <w:r>
        <w:rPr>
          <w:color w:val="000000" w:themeColor="text1"/>
        </w:rPr>
        <w:t>Elangovan</w:t>
      </w:r>
      <w:proofErr w:type="spellEnd"/>
      <w:r>
        <w:rPr>
          <w:color w:val="000000" w:themeColor="text1"/>
        </w:rPr>
        <w:t xml:space="preserve"> et al., 2021 </w:t>
      </w:r>
      <w:r>
        <w:rPr>
          <w:color w:val="000000" w:themeColor="text1"/>
        </w:rPr>
        <w:fldChar w:fldCharType="begin" w:fldLock="1"/>
      </w:r>
      <w:r>
        <w:rPr>
          <w:color w:val="000000" w:themeColor="text1"/>
        </w:rPr>
        <w:instrText>ADDIN CSL_CITATION {"citationItems":[{"id":"ITEM-1","itemData":{"DOI":"10.1007/s42690-020-00377-4","ISSN":"17427592","abstract":"An experiment was conducted to explore the suitability of black soldier fly (BSF) Hermetia illucens (Linnaeus) prepupae as poultry feed. Ninety day old, unsexed, Cobb chicks were distributed into 2 treatment groups, with 5 replicates, having 9 birds in each replicate, in a completely randomized design. The two dietary treatments consisted of corn-soy control diet and 5% supplemented insect meal-based diet. Results indicated similar (P &gt; 0.05) body weight gain, feed intake or feed conversion ratio in chicks fed either insect meal or control diet during the experimental period. There was also no significant difference (P &gt; 0.05) in the crude protein digestibility, cellular immunity as well as the length or weight of duodenum, jejunum, ileum and caecum between the treatments. It could be concluded that the black soldier fly prepupae meal can be incorporated at 5% in broiler diet. Thus, BSF can play a significant role in converting waste into feed and add to the feed basket in future.","author":[{"dropping-particle":"","family":"Elangovan","given":"Arumbackam Vijayarangam","non-dropping-particle":"","parse-names":false,"suffix":""},{"dropping-particle":"","family":"Udayakumar","given":"Amala","non-dropping-particle":"","parse-names":false,"suffix":""},{"dropping-particle":"","family":"Saravanakumar","given":"Manimaran","non-dropping-particle":"","parse-names":false,"suffix":""},{"dropping-particle":"","family":"Awachat","given":"Vaibhav Bhagwan","non-dropping-particle":"","parse-names":false,"suffix":""},{"dropping-particle":"","family":"Mohan","given":"Muthugounder","non-dropping-particle":"","parse-names":false,"suffix":""},{"dropping-particle":"","family":"Yandigeri","given":"Mahesh Shankarappa","non-dropping-particle":"","parse-names":false,"suffix":""},{"dropping-particle":"","family":"Krishnan","given":"Selvaraj","non-dropping-particle":"","parse-names":false,"suffix":""},{"dropping-particle":"","family":"Mech","given":"Anjumoni","non-dropping-particle":"","parse-names":false,"suffix":""},{"dropping-particle":"","family":"Rao","given":"Somu Bala Nageswara","non-dropping-particle":"","parse-names":false,"suffix":""},{"dropping-particle":"","family":"Giridhar","given":"Kandalam","non-dropping-particle":"","parse-names":false,"suffix":""},{"dropping-particle":"","family":"Bhatta","given":"Raghavendra","non-dropping-particle":"","parse-names":false,"suffix":""}],"container-title":"International Journal of Tropical Insect Science","id":"ITEM-1","issue":"3","issued":{"date-parts":[["2021"]]},"page":"2077-2082","publisher":"International Journal of Tropical Insect Science","title":"Effect of black soldier fly, Hermetia illucens (Linnaeus) prepupae meal on growth performance and gut development in broiler chicken","type":"article-journal","volume":"41"},"uris":["http://www.mendeley.com/documents/?uuid=fd6d8e40-f5ec-4f58-a6d7-6e5f63f81983"]}],"mendeley":{"formattedCitation":"[23]","plainTextFormattedCitation":"[23]","previouslyFormattedCitation":"[23]"},"properties":{"noteIndex":0},"schema":"https://github.com/citation-style-language/schema/raw/master/csl-citation.json"}</w:instrText>
      </w:r>
      <w:r>
        <w:rPr>
          <w:color w:val="000000" w:themeColor="text1"/>
        </w:rPr>
        <w:fldChar w:fldCharType="separate"/>
      </w:r>
      <w:r>
        <w:rPr>
          <w:noProof/>
          <w:color w:val="000000" w:themeColor="text1"/>
        </w:rPr>
        <w:t>[23]</w:t>
      </w:r>
      <w:r>
        <w:rPr>
          <w:color w:val="000000" w:themeColor="text1"/>
        </w:rPr>
        <w:fldChar w:fldCharType="end"/>
      </w:r>
      <w:r>
        <w:rPr>
          <w:color w:val="000000" w:themeColor="text1"/>
          <w:vertAlign w:val="superscript"/>
        </w:rPr>
        <w:t>5</w:t>
      </w:r>
      <w:r>
        <w:rPr>
          <w:color w:val="000000" w:themeColor="text1"/>
        </w:rPr>
        <w:t xml:space="preserve"> no data for alanine.</w:t>
      </w:r>
    </w:p>
    <w:p w:rsidR="00F2143D" w:rsidRDefault="00F2143D" w:rsidP="00F2143D">
      <w:pPr>
        <w:pStyle w:val="MDPI51figurecaption"/>
        <w:rPr>
          <w:color w:val="000000" w:themeColor="text1"/>
        </w:rPr>
      </w:pPr>
      <w:r>
        <w:rPr>
          <w:b/>
          <w:color w:val="000000" w:themeColor="text1"/>
        </w:rPr>
        <w:t xml:space="preserve">Figure S3. </w:t>
      </w:r>
      <w:r>
        <w:rPr>
          <w:color w:val="000000" w:themeColor="text1"/>
        </w:rPr>
        <w:t xml:space="preserve">Total amino acids (%) of </w:t>
      </w:r>
      <w:proofErr w:type="spellStart"/>
      <w:r>
        <w:rPr>
          <w:i/>
          <w:iCs/>
          <w:color w:val="000000" w:themeColor="text1"/>
        </w:rPr>
        <w:t>Hermetia</w:t>
      </w:r>
      <w:proofErr w:type="spellEnd"/>
      <w:r>
        <w:rPr>
          <w:i/>
          <w:iCs/>
          <w:color w:val="000000" w:themeColor="text1"/>
        </w:rPr>
        <w:t xml:space="preserve"> </w:t>
      </w:r>
      <w:proofErr w:type="spellStart"/>
      <w:r>
        <w:rPr>
          <w:i/>
          <w:iCs/>
          <w:color w:val="000000" w:themeColor="text1"/>
        </w:rPr>
        <w:t>illucens</w:t>
      </w:r>
      <w:proofErr w:type="spellEnd"/>
      <w:r>
        <w:rPr>
          <w:color w:val="000000" w:themeColor="text1"/>
        </w:rPr>
        <w:t xml:space="preserve"> larvae meal.</w:t>
      </w:r>
    </w:p>
    <w:p w:rsidR="00F2143D" w:rsidRDefault="00F2143D" w:rsidP="00F2143D">
      <w:pPr>
        <w:pStyle w:val="MDPI43tablefooter"/>
        <w:rPr>
          <w:color w:val="000000" w:themeColor="text1"/>
          <w:vertAlign w:val="superscript"/>
        </w:rPr>
      </w:pPr>
      <w:r>
        <w:rPr>
          <w:noProof/>
          <w:color w:val="auto"/>
        </w:rPr>
        <w:drawing>
          <wp:inline distT="0" distB="0" distL="0" distR="0">
            <wp:extent cx="4876800" cy="2743200"/>
            <wp:effectExtent l="0" t="0" r="0" b="0"/>
            <wp:docPr id="1" name="Chart 1">
              <a:extLst xmlns:a="http://schemas.openxmlformats.org/drawingml/2006/main">
                <a:ext uri="{FF2B5EF4-FFF2-40B4-BE49-F238E27FC236}">
                  <a16:creationId xmlns:a16="http://schemas.microsoft.com/office/drawing/2014/main" id="{7EF8FB08-9ABB-4270-9D7D-AA8C88861E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2143D" w:rsidRDefault="00F2143D" w:rsidP="00F2143D">
      <w:pPr>
        <w:pStyle w:val="MDPI43tablefooter"/>
        <w:rPr>
          <w:color w:val="000000" w:themeColor="text1"/>
        </w:rPr>
      </w:pPr>
      <w:r>
        <w:rPr>
          <w:color w:val="000000" w:themeColor="text1"/>
        </w:rPr>
        <w:t xml:space="preserve">Publications: Khan et al., 2018 </w:t>
      </w:r>
      <w:r>
        <w:rPr>
          <w:color w:val="000000" w:themeColor="text1"/>
        </w:rPr>
        <w:fldChar w:fldCharType="begin" w:fldLock="1"/>
      </w:r>
      <w:r>
        <w:rPr>
          <w:color w:val="000000" w:themeColor="text1"/>
        </w:rPr>
        <w:instrText>ADDIN CSL_CITATION {"citationItems":[{"id":"ITEM-1","itemData":{"DOI":"10.1111/jpn.12809","ISSN":"14390396","PMID":"29098730","abstract":"This study was conducted to evaluate the comparative effect of maggot meal, silkworm meal and mealworm as dietary protein source on the production performance and some aspects of meat quality in broilers. In this regard, maggot meal was reared on chicken offal and poultry waste. Silkworm meal was obtained from silk industry, while mealworm was developed through beetles rearing. A total of 120-day-old broiler chicks were randomly divided into four groups where soya bean meal (M0) was replaced with maggot meal (M1), silkworm meal (M2) and mealworm (M3) respectively. Each group was further divided into three replicates. The study was carried out for a period of 5 weeks. Diets containing mealworm significantly reduced overall feed consumption and resulted into higher weight gain (p &lt;.05). Lowest feed conversion ratio (FCR) was recorded for birds fed with mealworm diet (p &lt;.05). Tenderness and juiciness of meat were higher (p &lt;.05) in M3 compared to the control and other treatments. Mortality did not vary between the control and the treated groups. Therefore, it is concluded that insect meal is rich in essential nutrients and could be successfully used in broiler ration without compromising acceptability. In the light of this study, mealworm is the best choice in broiler ration, in comparison with maggot and silkworm.","author":[{"dropping-particle":"","family":"Khan","given":"S.","non-dropping-particle":"","parse-names":false,"suffix":""},{"dropping-particle":"","family":"Khan","given":"R. U.","non-dropping-particle":"","parse-names":false,"suffix":""},{"dropping-particle":"","family":"Alam","given":"W.","non-dropping-particle":"","parse-names":false,"suffix":""},{"dropping-particle":"","family":"Sultan","given":"A.","non-dropping-particle":"","parse-names":false,"suffix":""}],"container-title":"Journal of Animal Physiology and Animal Nutrition","id":"ITEM-1","issue":"2","issued":{"date-parts":[["2018"]]},"page":"e662-e668","title":"Evaluating the nutritive profile of three insect meals and their effects to replace soya bean in broiler diet","type":"article-journal","volume":"102"},"uris":["http://www.mendeley.com/documents/?uuid=bda5dac9-24f8-47ae-99cf-71dac6b07e3c"]}],"mendeley":{"formattedCitation":"[31]","plainTextFormattedCitation":"[31]","previouslyFormattedCitation":"[31]"},"properties":{"noteIndex":0},"schema":"https://github.com/citation-style-language/schema/raw/master/csl-citation.json"}</w:instrText>
      </w:r>
      <w:r>
        <w:rPr>
          <w:color w:val="000000" w:themeColor="text1"/>
        </w:rPr>
        <w:fldChar w:fldCharType="separate"/>
      </w:r>
      <w:r>
        <w:rPr>
          <w:noProof/>
          <w:color w:val="000000" w:themeColor="text1"/>
        </w:rPr>
        <w:t>[31]</w:t>
      </w:r>
      <w:r>
        <w:rPr>
          <w:color w:val="000000" w:themeColor="text1"/>
        </w:rPr>
        <w:fldChar w:fldCharType="end"/>
      </w:r>
      <w:r>
        <w:rPr>
          <w:color w:val="000000" w:themeColor="text1"/>
        </w:rPr>
        <w:t xml:space="preserve">¹ no data for arginine; </w:t>
      </w:r>
      <w:proofErr w:type="spellStart"/>
      <w:r>
        <w:rPr>
          <w:color w:val="000000" w:themeColor="text1"/>
        </w:rPr>
        <w:t>Dalmoro</w:t>
      </w:r>
      <w:proofErr w:type="spellEnd"/>
      <w:r>
        <w:rPr>
          <w:color w:val="000000" w:themeColor="text1"/>
        </w:rPr>
        <w:t xml:space="preserve"> et al., 2021 </w:t>
      </w:r>
      <w:r>
        <w:rPr>
          <w:color w:val="000000" w:themeColor="text1"/>
        </w:rPr>
        <w:fldChar w:fldCharType="begin" w:fldLock="1"/>
      </w:r>
      <w:r>
        <w:rPr>
          <w:color w:val="000000" w:themeColor="text1"/>
        </w:rPr>
        <w:instrText>ADDIN CSL_CITATION {"citationItems":[{"id":"ITEM-1","itemData":{"DOI":"10.1016/j.anifeedsci.2020.114784","ISSN":"03778401","abstract":"A study was conducted to determine ileal digestible energy (IDE), metabolizable energy (ME), and nitrogen-corrected ME (MEn) of Tenebrio molitor larvae meal and Nile tilapia byproduct meal for broiler chickens using the regression method. A total of 315 slow feathering Cobb 500 male broilers were fed 5 experimental diets with 9 replicate cages of 7 birds each, in a completely randomized design. Broilers were fed a maize-soybean meal reference diet (RD) and 4 test diets (TD) from d 14 to 21 posthatch. The TD consisted of Tenebrio molitor larvae meal and tilapia byproduct meal that partly replaced the energy sources in the reference diet at 100 or 200 g/kg and 75 or 150 g/kg, respectively, such that equal ratios were maintained for all energy containing ingredients across all experimental diets. Excreta samples were collected twice daily from d 19 to 21, and ileal digesta were collected on d 21. Apparent ileal digestibility of DM, N, amino acids as well as metabolizability coefficients of DM, N, and energy were calculated. Addition of Tenebrio molitor larvae meal to the RD linearly increased (P &lt; 0.05) ileal and total tract of DM and N digestibilities as well as IDE, ME, and MEn. For diets with Tenebrio molitor larvae meal substitution, regression equations were IDE = 21.52x – 0.0234, ME = 21.93x – 0.0189, and MEn = 20.62x – 0.0241. Addition of tilapia byproduct meal to the RD linearly decreased (P &lt; 0.05) ileal and total tract coefficients of DM and IDE, ME, and MEn, as well as ileal digestibility of amino acids (P &lt; 0.001). The equations for the tilapia byproduct meal diets were IDE = 12.49x – 0.0264, ME = 14.29x – 0.0152, and MEn = 11.94x – 0.0129. In conclusion, the current study showed that broiler chickens can utilize a considerable amount of energy and amino acids from insect meal or fish meal. The IDE, ME, MEn values (MJ/kg of DM) were 21.52, 21.93 and 20.62 for Tenebrio molitor larvae meal, and 12.49, 14.29 and 11.94 for tilapia byproduct meal, respectively.","author":[{"dropping-particle":"","family":"Dalmoro","given":"Y. K.","non-dropping-particle":"","parse-names":false,"suffix":""},{"dropping-particle":"","family":"Adams","given":"C. B.","non-dropping-particle":"","parse-names":false,"suffix":""},{"dropping-particle":"","family":"Haetinger","given":"V. S.","non-dropping-particle":"","parse-names":false,"suffix":""},{"dropping-particle":"","family":"Bairros","given":"L.","non-dropping-particle":"","parse-names":false,"suffix":""},{"dropping-particle":"","family":"Yacoubi","given":"N.","non-dropping-particle":"","parse-names":false,"suffix":""},{"dropping-particle":"","family":"Stefanello","given":"C.","non-dropping-particle":"","parse-names":false,"suffix":""}],"container-title":"Animal Feed Science and Technology","id":"ITEM-1","issue":"October 2020","issued":{"date-parts":[["2021"]]},"page":"114784","publisher":"Elsevier B.V.","title":"Energy values of Tenebrio molitor larvae meal and tilapia byproduct meal for broiler chickens determined using the regression method","type":"article-journal","volume":"272"},"uris":["http://www.mendeley.com/documents/?uuid=6e2df2be-925e-4258-84ed-42693fe429a5"]}],"mendeley":{"formattedCitation":"[83]","plainTextFormattedCitation":"[83]","previouslyFormattedCitation":"[82]"},"properties":{"noteIndex":0},"schema":"https://github.com/citation-style-language/schema/raw/master/csl-citation.json"}</w:instrText>
      </w:r>
      <w:r>
        <w:rPr>
          <w:color w:val="000000" w:themeColor="text1"/>
        </w:rPr>
        <w:fldChar w:fldCharType="separate"/>
      </w:r>
      <w:r>
        <w:rPr>
          <w:noProof/>
          <w:color w:val="000000" w:themeColor="text1"/>
        </w:rPr>
        <w:t>[83]</w:t>
      </w:r>
      <w:r>
        <w:rPr>
          <w:color w:val="000000" w:themeColor="text1"/>
        </w:rPr>
        <w:fldChar w:fldCharType="end"/>
      </w:r>
      <w:r>
        <w:rPr>
          <w:color w:val="000000" w:themeColor="text1"/>
        </w:rPr>
        <w:t xml:space="preserve">² no data for arginine and tyrosine; </w:t>
      </w:r>
      <w:proofErr w:type="spellStart"/>
      <w:r>
        <w:rPr>
          <w:color w:val="000000" w:themeColor="text1"/>
        </w:rPr>
        <w:t>Bovera</w:t>
      </w:r>
      <w:proofErr w:type="spellEnd"/>
      <w:r>
        <w:rPr>
          <w:color w:val="000000" w:themeColor="text1"/>
        </w:rPr>
        <w:t xml:space="preserve"> et al., 2016 </w:t>
      </w:r>
      <w:r>
        <w:rPr>
          <w:color w:val="000000" w:themeColor="text1"/>
        </w:rPr>
        <w:fldChar w:fldCharType="begin" w:fldLock="1"/>
      </w:r>
      <w:r>
        <w:rPr>
          <w:color w:val="000000" w:themeColor="text1"/>
        </w:rPr>
        <w:instrText>ADDIN CSL_CITATION {"citationItems":[{"id":"ITEM-1","itemData":{"DOI":"10.2527/jas.2015-9201","ISSN":"15253163","abstract":"The aim of this research was to study the effect of insect meal from Tenebrio molitor larvae (Tenebrio molitor larvae meal [TML]) as complete replacement of soybean meal (SBM) on growth performance, nutrient digestibility, and carcass and meat traits of broilers. A total of eighty 30-d-old male Shaver brown broilers were homogenously divided into 2 groups (each consisting of 8 replicates of 5 birds). Up to 62 d of age, the groups were fed 2 isoproteic and isoenergetic diets differing for the ingredient used as the main protein source: the control group was fed a corn–SBM–based diet, whereas in the TML group, the SBM was completely replaced by TML. Broiler growth performance was measured during the trial. At 62 d of age, 2 broilers per replicate (16 per group) were slaughtered and apparent ileal digestibility coefficients and carcass and meat traits were determined. The use of TML as the main protein source in the broiler diet had no significant effect on most growth performance and carcass traits and chemical and physical properties of meat, the latter being important for marketing purposes. The feed conversion ratio in the entire experimental period (from 30 to 62 d) was improved in the TML group compared with the SBM group (P &lt; 0.05). The apparent ileal digestibility coefficients of DM, OM, and CP in broilers fed the SBM diet were greater (P &lt; 0.01) than the other group. The full digestive system in broilers fed SBM had a lower (P &lt; 0.05) absolute and relative weight than that of broilers fed TML. Also, the weight and the percentage of the spleen in the SBM group were lower (P &lt; 0.05) than those in the TML group. The length of the entire intestine in the group fed TML was greater (P &lt; 0.05) than the other group and the same happened when intestinal length was expressed as percentage of broiler BW (P &lt; 0.05). Among the different intestinal tracts, the ileum and ceca of broilers fed TML had a greater (P &lt; 0.05) length than that of broilers fed SBM. Also, ceca weight (as an absolute value or percentage on live weight) in broilers fed TML was greater (P &lt; 0.05) than that of broilers fed SBM. Breast pH and cooking losses in broilers fed TML were greater (P &lt; 0.05) than those of broilers fed SBM. Chemical characteristic of meat obtained from right breast of slaughtered broilers were unaffected by dietary treatments. Tenebrio molitor larvae meal can be a suitable alternative protein source for growing broilers and also when used as principal protein contribu…","author":[{"dropping-particle":"","family":"Bovera","given":"F.","non-dropping-particle":"","parse-names":false,"suffix":""},{"dropping-particle":"","family":"Loponte","given":"R.","non-dropping-particle":"","parse-names":false,"suffix":""},{"dropping-particle":"","family":"Marono","given":"S.","non-dropping-particle":"","parse-names":false,"suffix":""},{"dropping-particle":"","family":"Piccolo","given":"G.","non-dropping-particle":"","parse-names":false,"suffix":""},{"dropping-particle":"","family":"Parisi","given":"G.","non-dropping-particle":"","parse-names":false,"suffix":""},{"dropping-particle":"","family":"Iaconisi","given":"V.","non-dropping-particle":"","parse-names":false,"suffix":""},{"dropping-particle":"","family":"Gasco","given":"L.","non-dropping-particle":"","parse-names":false,"suffix":""},{"dropping-particle":"","family":"Nizza","given":"A.","non-dropping-particle":"","parse-names":false,"suffix":""}],"container-title":"Journal of Animal Science","id":"ITEM-1","issue":"2","issued":{"date-parts":[["2016"]]},"page":"639-647","title":"Use of Tenebrio molitor larvae meal as protein source in broiler diet: Effect on growth performance, nutrient digestibility, and carcass and meat traits","type":"article-journal","volume":"94"},"uris":["http://www.mendeley.com/documents/?uuid=5b304912-4c9a-4b70-8209-f7b1ab24dacc"]}],"mendeley":{"formattedCitation":"[36]","plainTextFormattedCitation":"[36]","previouslyFormattedCitation":"[36]"},"properties":{"noteIndex":0},"schema":"https://github.com/citation-style-language/schema/raw/master/csl-citation.json"}</w:instrText>
      </w:r>
      <w:r>
        <w:rPr>
          <w:color w:val="000000" w:themeColor="text1"/>
        </w:rPr>
        <w:fldChar w:fldCharType="separate"/>
      </w:r>
      <w:r>
        <w:rPr>
          <w:noProof/>
          <w:color w:val="000000" w:themeColor="text1"/>
        </w:rPr>
        <w:t>[36]</w:t>
      </w:r>
      <w:r>
        <w:rPr>
          <w:color w:val="000000" w:themeColor="text1"/>
        </w:rPr>
        <w:fldChar w:fldCharType="end"/>
      </w:r>
      <w:r>
        <w:rPr>
          <w:color w:val="000000" w:themeColor="text1"/>
        </w:rPr>
        <w:t xml:space="preserve">³ no data for phenylalanine, aspartic acid, cysteine, glycine, glutamine, proline, serine, and tyrosine; </w:t>
      </w:r>
      <w:proofErr w:type="spellStart"/>
      <w:r>
        <w:rPr>
          <w:color w:val="000000" w:themeColor="text1"/>
        </w:rPr>
        <w:t>Sedhgh-Gooya</w:t>
      </w:r>
      <w:proofErr w:type="spellEnd"/>
      <w:r>
        <w:rPr>
          <w:color w:val="000000" w:themeColor="text1"/>
        </w:rPr>
        <w:t xml:space="preserve"> et al., 2021 </w:t>
      </w:r>
      <w:r>
        <w:rPr>
          <w:color w:val="000000" w:themeColor="text1"/>
        </w:rPr>
        <w:fldChar w:fldCharType="begin" w:fldLock="1"/>
      </w:r>
      <w:r>
        <w:rPr>
          <w:color w:val="000000" w:themeColor="text1"/>
        </w:rPr>
        <w:instrText>ADDIN CSL_CITATION {"citationItems":[{"id":"ITEM-1","itemData":{"DOI":"10.1111/jpn.13434","ISSN":"14390396","PMID":"32812683","abstract":"This study was conducted to evaluate the effects of dietary Tenebrio molitor larvae meal (TM meal) inclusion on the performance, carcass traits, caecum microbiota and blood parameters of broiler chickens. A total of 180-day-old chickens were allocated to three dietary groups with five replicate pens (12 birds/pen). Experimental diets were included a corn-soybean basal diet, and two diets with 2.5% and 5% TM. TM-included diets have been administered for periods of starter (1–10 days) and grower (11–25 days). A regular finisher diet was given to all groups during the 26–42 days of age. Diets containing TM meal did not influence feed intake and mortality percentage. Feed conversion ratio was lower with the 2.5% TM meal diet compared with the control group at starter period (p &lt;.05). Besides, broiler chickens fed TM meal included diet had a higher body weight gain than the control group during 1–10 days of age (p &lt;.05). The carcass characteristics and length and weight of different parts of small and large intestines were not influenced by diets. TM meal inclusion decreased the albumin-to-globulin ratio compared with the control group (p &lt;.05). Additionally, lower total count of aerobic and Escherichia coli bacteria was observed in response to diet inclusion of 5% TM meal. Overall, the inclusion of TM meal in broilers' diet improved body weight gain and feed conversion ratio in the starting period, decreased albumin-to-globulin ratio and E. coli bacteria content.","author":[{"dropping-particle":"","family":"Sedgh-Gooya","given":"Shadi","non-dropping-particle":"","parse-names":false,"suffix":""},{"dropping-particle":"","family":"Torki","given":"Mehran","non-dropping-particle":"","parse-names":false,"suffix":""},{"dropping-particle":"","family":"Darbemamieh","given":"Maryam","non-dropping-particle":"","parse-names":false,"suffix":""},{"dropping-particle":"","family":"Khamisabadi","given":"Hassan","non-dropping-particle":"","parse-names":false,"suffix":""},{"dropping-particle":"","family":"Karimi Torshizi","given":"Mohammad Amir","non-dropping-particle":"","parse-names":false,"suffix":""},{"dropping-particle":"","family":"Abdolmohamadi","given":"Alireza","non-dropping-particle":"","parse-names":false,"suffix":""}],"container-title":"Journal of Animal Physiology and Animal Nutrition","id":"ITEM-1","issue":"1","issued":{"date-parts":[["2021"]]},"note":"com mesmos dados Mesmo artigo de 2022","page":"119-128","title":"Yellow mealworm, Tenebrio molitor (Col: Tenebrionidae), larvae powder as dietary protein sources for broiler chickens: Effects on growth performance, carcass traits, selected intestinal microbiota and blood parameters","type":"article-journal","volume":"105"},"uris":["http://www.mendeley.com/documents/?uuid=5300d8a2-fea8-41df-8352-387821b28ab9"]}],"mendeley":{"formattedCitation":"[51]","plainTextFormattedCitation":"[51]","previouslyFormattedCitation":"[51]"},"properties":{"noteIndex":0},"schema":"https://github.com/citation-style-language/schema/raw/master/csl-citation.json"}</w:instrText>
      </w:r>
      <w:r>
        <w:rPr>
          <w:color w:val="000000" w:themeColor="text1"/>
        </w:rPr>
        <w:fldChar w:fldCharType="separate"/>
      </w:r>
      <w:r>
        <w:rPr>
          <w:noProof/>
          <w:color w:val="000000" w:themeColor="text1"/>
        </w:rPr>
        <w:t>[51]</w:t>
      </w:r>
      <w:r>
        <w:rPr>
          <w:color w:val="000000" w:themeColor="text1"/>
        </w:rPr>
        <w:fldChar w:fldCharType="end"/>
      </w:r>
      <w:r>
        <w:rPr>
          <w:color w:val="000000" w:themeColor="text1"/>
          <w:vertAlign w:val="superscript"/>
        </w:rPr>
        <w:t>4</w:t>
      </w:r>
      <w:r>
        <w:rPr>
          <w:color w:val="000000" w:themeColor="text1"/>
        </w:rPr>
        <w:t xml:space="preserve"> no data for tyrosine;, aspartic acid, glycine, glutamine, proline, serine, and tyrosine; Elahi et al., 2020 </w:t>
      </w:r>
      <w:r>
        <w:rPr>
          <w:color w:val="000000" w:themeColor="text1"/>
        </w:rPr>
        <w:fldChar w:fldCharType="begin" w:fldLock="1"/>
      </w:r>
      <w:r>
        <w:rPr>
          <w:color w:val="000000" w:themeColor="text1"/>
        </w:rPr>
        <w:instrText>ADDIN CSL_CITATION {"citationItems":[{"id":"ITEM-1","itemData":{"DOI":"10.3390/ani10020224","ISSN":"20762615","abstract":"Yellow mealworm meal (MWM) as a protein feedstuff in the broiler diet was investigated based on the growth performance, hematological characteristics, carcass, and meat quality of broiler chicks. A total of 700 one-day-old Ross 308 male broiler chicks were assigned to five dietary MWM treatments containing 0%, 2%, 4%, and 8% dried MWM or 10.48% fresh mealworm (corresponding to 4% dried MWM). For each treatment, there were seven pens with 20 chicks each. The nutritional profile of dried MWM is comparable to all conventional protein feedstuffs. MWM significantly increased BW and ADG (linear and quadratic, p &lt; 0.05), and FCR was best at 4% MWM inclusion level (quadratic, p &lt; 0.10) for broiler chicks during the starter phase. The predicted MWM levels for optimal starter BW and ADG were 4.13% and 3.84%. Hematological characteristics of broiler chicks fed on the MWM diet did not differ or showed small change within the physiological range. A fresh 10.48% mealworm diet significantly reduced the blood LZM for the grower. Broiler Chicks fed on fresh 10.48% mealworm had a significantly reduced abdominal fat percentage compared to the 4% dried MWM counterparts. MWM did not significantly affect meat quality. Taken together, MWM inclusion in broiler diet is acceptable as a protein feedstuff, and a 4% level could stimulate early growth in the starter phase.","author":[{"dropping-particle":"","family":"Elahi","given":"Usman","non-dropping-particle":"","parse-names":false,"suffix":""},{"dropping-particle":"","family":"Wang","given":"Jing","non-dropping-particle":"","parse-names":false,"suffix":""},{"dropping-particle":"","family":"Ma","given":"You Biao","non-dropping-particle":"","parse-names":false,"suffix":""},{"dropping-particle":"","family":"Wu","given":"Shu Geng","non-dropping-particle":"","parse-names":false,"suffix":""},{"dropping-particle":"","family":"Wu","given":"Jinlong","non-dropping-particle":"","parse-names":false,"suffix":""},{"dropping-particle":"","family":"Qi","given":"Guang Hai","non-dropping-particle":"","parse-names":false,"suffix":""},{"dropping-particle":"","family":"Zhang","given":"Hai Jun","non-dropping-particle":"","parse-names":false,"suffix":""}],"container-title":"Animals","id":"ITEM-1","issue":"2","issued":{"date-parts":[["2020"]]},"page":"1-15","title":"Evaluation of yellow mealworm meal as a protein feedstuff in the diet of broiler chicks","type":"article-journal","volume":"10"},"uris":["http://www.mendeley.com/documents/?uuid=2d80b9d7-32ed-4b8e-a9a4-0fae5dca0988"]}],"mendeley":{"formattedCitation":"[28]","plainTextFormattedCitation":"[28]","previouslyFormattedCitation":"[28]"},"properties":{"noteIndex":0},"schema":"https://github.com/citation-style-language/schema/raw/master/csl-citation.json"}</w:instrText>
      </w:r>
      <w:r>
        <w:rPr>
          <w:color w:val="000000" w:themeColor="text1"/>
        </w:rPr>
        <w:fldChar w:fldCharType="separate"/>
      </w:r>
      <w:r>
        <w:rPr>
          <w:noProof/>
          <w:color w:val="000000" w:themeColor="text1"/>
        </w:rPr>
        <w:t>[28]</w:t>
      </w:r>
      <w:r>
        <w:rPr>
          <w:color w:val="000000" w:themeColor="text1"/>
        </w:rPr>
        <w:fldChar w:fldCharType="end"/>
      </w:r>
      <w:r>
        <w:rPr>
          <w:color w:val="000000" w:themeColor="text1"/>
        </w:rPr>
        <w:t xml:space="preserve">; </w:t>
      </w:r>
      <w:proofErr w:type="spellStart"/>
      <w:r>
        <w:rPr>
          <w:color w:val="000000" w:themeColor="text1"/>
        </w:rPr>
        <w:t>Benzertiha</w:t>
      </w:r>
      <w:proofErr w:type="spellEnd"/>
      <w:r>
        <w:rPr>
          <w:color w:val="000000" w:themeColor="text1"/>
        </w:rPr>
        <w:t xml:space="preserve"> et al., 2020 </w:t>
      </w:r>
      <w:r>
        <w:rPr>
          <w:color w:val="000000" w:themeColor="text1"/>
        </w:rPr>
        <w:fldChar w:fldCharType="begin" w:fldLock="1"/>
      </w:r>
      <w:r>
        <w:rPr>
          <w:color w:val="000000" w:themeColor="text1"/>
        </w:rPr>
        <w:instrText>ADDIN CSL_CITATION {"citationItems":[{"id":"ITEM-1","itemData":{"DOI":"10.3382/ps/pez450","ISSN":"15253171","PMID":"32416801","abstract":"This study was conducted to investigate the effect of insect full-fat meals (Tenebrio molitor and Zophobas morio larvae), added “on top” of a complete diet or calculated into diets, on the growth performance, selected blood, and immune system traits of broiler chickens. 1,000 one-day-old female Ross 308 broiler chicks were used in 2 independent experiments. In the first trial, the birds were randomly assigned to 6 treatments, 10 replicate pens per treatment, and 10 birds per pen, i.e., negative control; positive control with salinomycin addition (60 mg/kg diet), and addition of 0.2% and 0.3% of T. molitor and Z. morio full-fat meals “on top”. In the second experiment, 4 treatments, 10 replicate pens per treatment, and 10 birds per pen were set, i.e., negative control, positive control with salinomycin addition (60 mg/kg diet), and 0.3% of T. molitor and Z. morio full-fat meals calculated in the diets. In both trials the supplementation of insects increased the BWG (Exp. 1: P = 0.024; Exp. 2: P = 0.046) and FI (Exp. 1: P = 0.022; Exp. 2: P = 0.026), and no negative effect on the FCR was recorded in experiment one (P = 0.514), however in second trial insects addition increased FCR values (P = 0.011). In addition, in the first trial, groups fed insects and PC comparing to NC decreased the IgY (P = 0.045) and IgM, (P &lt; 0.001) levels. In the second experiment, IgM levels were also decreased (P &lt; 0.001) in groups fed insects comparing to NC. Moreover, in first trial the IgM levels were negatively correlated to the BWG (r = –0.4845) and FI (r = –0.4986), with statistically significant values (P &lt; 0.001). In conclusion, the current results confirmed that small amount addition (0.2% and 0.3%) of T. molitor and Z. morio full-fat meals to the diet of broiler chickens can improve growth performance and change selected the immune system traits.","author":[{"dropping-particle":"","family":"Benzertiha","given":"A.","non-dropping-particle":"","parse-names":false,"suffix":""},{"dropping-particle":"","family":"Kierończyk","given":"B.","non-dropping-particle":"","parse-names":false,"suffix":""},{"dropping-particle":"","family":"Kołodziejski","given":"P.","non-dropping-particle":"","parse-names":false,"suffix":""},{"dropping-particle":"","family":"Pruszyńska–Oszmałek","given":"E.","non-dropping-particle":"","parse-names":false,"suffix":""},{"dropping-particle":"","family":"Rawski","given":"M.","non-dropping-particle":"","parse-names":false,"suffix":""},{"dropping-particle":"","family":"Józefiak","given":"D.","non-dropping-particle":"","parse-names":false,"suffix":""},{"dropping-particle":"","family":"Józefiak","given":"A.","non-dropping-particle":"","parse-names":false,"suffix":""}],"container-title":"Poultry Science","id":"ITEM-1","issue":"1","issued":{"date-parts":[["2020"]]},"page":"196-206","title":"Tenebrio molitor and Zophobas morio full-fat meals as functional feed additives affect broiler chickens' growth performance and immune system traits","type":"article-journal","volume":"99"},"uris":["http://www.mendeley.com/documents/?uuid=6458e26c-84da-402e-abab-e3783e03d04c"]}],"mendeley":{"formattedCitation":"[29]","plainTextFormattedCitation":"[29]","previouslyFormattedCitation":"[29]"},"properties":{"noteIndex":0},"schema":"https://github.com/citation-style-language/schema/raw/master/csl-citation.json"}</w:instrText>
      </w:r>
      <w:r>
        <w:rPr>
          <w:color w:val="000000" w:themeColor="text1"/>
        </w:rPr>
        <w:fldChar w:fldCharType="separate"/>
      </w:r>
      <w:r>
        <w:rPr>
          <w:noProof/>
          <w:color w:val="000000" w:themeColor="text1"/>
        </w:rPr>
        <w:t>[29]</w:t>
      </w:r>
      <w:r>
        <w:rPr>
          <w:color w:val="000000" w:themeColor="text1"/>
        </w:rPr>
        <w:fldChar w:fldCharType="end"/>
      </w:r>
      <w:r>
        <w:rPr>
          <w:color w:val="000000" w:themeColor="text1"/>
        </w:rPr>
        <w:t>.</w:t>
      </w:r>
    </w:p>
    <w:p w:rsidR="00F2143D" w:rsidRDefault="00F2143D" w:rsidP="00F2143D">
      <w:pPr>
        <w:pStyle w:val="MDPI51figurecaption"/>
        <w:rPr>
          <w:color w:val="000000" w:themeColor="text1"/>
        </w:rPr>
      </w:pPr>
      <w:r>
        <w:rPr>
          <w:b/>
          <w:color w:val="000000" w:themeColor="text1"/>
        </w:rPr>
        <w:t xml:space="preserve">Figure S4. </w:t>
      </w:r>
      <w:r>
        <w:rPr>
          <w:color w:val="000000" w:themeColor="text1"/>
        </w:rPr>
        <w:t xml:space="preserve">Total amino acids (%) of </w:t>
      </w:r>
      <w:r>
        <w:rPr>
          <w:i/>
          <w:iCs/>
          <w:color w:val="000000" w:themeColor="text1"/>
        </w:rPr>
        <w:t xml:space="preserve">Tenebrio </w:t>
      </w:r>
      <w:proofErr w:type="spellStart"/>
      <w:r>
        <w:rPr>
          <w:i/>
          <w:iCs/>
          <w:color w:val="000000" w:themeColor="text1"/>
        </w:rPr>
        <w:t>molitor</w:t>
      </w:r>
      <w:proofErr w:type="spellEnd"/>
      <w:r>
        <w:rPr>
          <w:i/>
          <w:iCs/>
          <w:color w:val="000000" w:themeColor="text1"/>
        </w:rPr>
        <w:t xml:space="preserve"> </w:t>
      </w:r>
      <w:r>
        <w:rPr>
          <w:iCs/>
          <w:color w:val="000000" w:themeColor="text1"/>
        </w:rPr>
        <w:t>larvae meal</w:t>
      </w:r>
      <w:r>
        <w:rPr>
          <w:color w:val="000000" w:themeColor="text1"/>
        </w:rPr>
        <w:t>.</w:t>
      </w:r>
    </w:p>
    <w:p w:rsidR="00AA6AFA" w:rsidRDefault="00AA6AFA" w:rsidP="00F2143D">
      <w:pPr>
        <w:pStyle w:val="MDPI43tablefooter"/>
        <w:ind w:left="0"/>
      </w:pPr>
    </w:p>
    <w:sectPr w:rsidR="00AA6AFA" w:rsidSect="00C52A1F">
      <w:pgSz w:w="11900" w:h="16840"/>
      <w:pgMar w:top="1418" w:right="720" w:bottom="107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1F"/>
    <w:rsid w:val="000142F6"/>
    <w:rsid w:val="00014D7D"/>
    <w:rsid w:val="00023AC1"/>
    <w:rsid w:val="000D1EEA"/>
    <w:rsid w:val="001463EA"/>
    <w:rsid w:val="00156F6A"/>
    <w:rsid w:val="00157F5F"/>
    <w:rsid w:val="00172DA5"/>
    <w:rsid w:val="001D5938"/>
    <w:rsid w:val="002048EC"/>
    <w:rsid w:val="002260AA"/>
    <w:rsid w:val="002417D3"/>
    <w:rsid w:val="002D40BE"/>
    <w:rsid w:val="002E3CC3"/>
    <w:rsid w:val="002E66D7"/>
    <w:rsid w:val="002E67BA"/>
    <w:rsid w:val="002F5317"/>
    <w:rsid w:val="0030288D"/>
    <w:rsid w:val="003465EF"/>
    <w:rsid w:val="00404045"/>
    <w:rsid w:val="004C37C8"/>
    <w:rsid w:val="004C5F00"/>
    <w:rsid w:val="004D5467"/>
    <w:rsid w:val="00533D23"/>
    <w:rsid w:val="00590F41"/>
    <w:rsid w:val="005B29D6"/>
    <w:rsid w:val="005B3E98"/>
    <w:rsid w:val="005B630C"/>
    <w:rsid w:val="005D53A3"/>
    <w:rsid w:val="005E46DC"/>
    <w:rsid w:val="005F54B3"/>
    <w:rsid w:val="00601DD0"/>
    <w:rsid w:val="00635D2A"/>
    <w:rsid w:val="00636E41"/>
    <w:rsid w:val="00655361"/>
    <w:rsid w:val="006E3534"/>
    <w:rsid w:val="006F3551"/>
    <w:rsid w:val="00754F4D"/>
    <w:rsid w:val="007A31F7"/>
    <w:rsid w:val="008670B3"/>
    <w:rsid w:val="00882468"/>
    <w:rsid w:val="00895F59"/>
    <w:rsid w:val="008B580D"/>
    <w:rsid w:val="008E4648"/>
    <w:rsid w:val="009A4171"/>
    <w:rsid w:val="009D10AD"/>
    <w:rsid w:val="009D1140"/>
    <w:rsid w:val="00A35337"/>
    <w:rsid w:val="00A40C3F"/>
    <w:rsid w:val="00AA6AFA"/>
    <w:rsid w:val="00AC5A67"/>
    <w:rsid w:val="00B32DC1"/>
    <w:rsid w:val="00B90291"/>
    <w:rsid w:val="00BB100D"/>
    <w:rsid w:val="00BC13E9"/>
    <w:rsid w:val="00BE37E1"/>
    <w:rsid w:val="00C05344"/>
    <w:rsid w:val="00C52A1F"/>
    <w:rsid w:val="00C725C8"/>
    <w:rsid w:val="00CE07C1"/>
    <w:rsid w:val="00CE457E"/>
    <w:rsid w:val="00D224DC"/>
    <w:rsid w:val="00D674F6"/>
    <w:rsid w:val="00DD028C"/>
    <w:rsid w:val="00DE6146"/>
    <w:rsid w:val="00E01D8E"/>
    <w:rsid w:val="00E05BC9"/>
    <w:rsid w:val="00E233B0"/>
    <w:rsid w:val="00E80BE9"/>
    <w:rsid w:val="00E827DE"/>
    <w:rsid w:val="00EF079D"/>
    <w:rsid w:val="00F2143D"/>
    <w:rsid w:val="00F9122E"/>
    <w:rsid w:val="00F97F0D"/>
    <w:rsid w:val="00FA269A"/>
    <w:rsid w:val="00FA432C"/>
    <w:rsid w:val="00FD7FC7"/>
    <w:rsid w:val="00FF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035A"/>
  <w15:chartTrackingRefBased/>
  <w15:docId w15:val="{08865C58-4986-124C-B1EB-BC14D85C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A1F"/>
    <w:pPr>
      <w:spacing w:line="260" w:lineRule="atLeast"/>
      <w:jc w:val="both"/>
    </w:pPr>
    <w:rPr>
      <w:rFonts w:ascii="Palatino Linotype" w:eastAsia="SimSun" w:hAnsi="Palatino Linotype" w:cs="Times New Roman"/>
      <w:noProof/>
      <w:color w:val="000000"/>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31text">
    <w:name w:val="MDPI_3.1_text"/>
    <w:qFormat/>
    <w:rsid w:val="00C52A1F"/>
    <w:pPr>
      <w:adjustRightInd w:val="0"/>
      <w:snapToGrid w:val="0"/>
      <w:spacing w:line="228" w:lineRule="auto"/>
      <w:ind w:left="2608" w:firstLine="425"/>
      <w:jc w:val="both"/>
    </w:pPr>
    <w:rPr>
      <w:rFonts w:ascii="Palatino Linotype" w:eastAsia="Times New Roman" w:hAnsi="Palatino Linotype" w:cs="Times New Roman"/>
      <w:color w:val="000000"/>
      <w:sz w:val="20"/>
      <w:szCs w:val="22"/>
      <w:lang w:eastAsia="de-DE" w:bidi="en-US"/>
    </w:rPr>
  </w:style>
  <w:style w:type="paragraph" w:customStyle="1" w:styleId="MDPI43tablefooter">
    <w:name w:val="MDPI_4.3_table_footer"/>
    <w:next w:val="MDPI31text"/>
    <w:qFormat/>
    <w:rsid w:val="00C52A1F"/>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C52A1F"/>
    <w:pPr>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eastAsia="de-DE" w:bidi="en-US"/>
    </w:rPr>
  </w:style>
  <w:style w:type="paragraph" w:customStyle="1" w:styleId="MDPI62BackMatter">
    <w:name w:val="MDPI_6.2_BackMatter"/>
    <w:qFormat/>
    <w:rsid w:val="00F2143D"/>
    <w:pPr>
      <w:adjustRightInd w:val="0"/>
      <w:snapToGrid w:val="0"/>
      <w:spacing w:after="120" w:line="228" w:lineRule="auto"/>
      <w:ind w:left="2608"/>
      <w:jc w:val="both"/>
    </w:pPr>
    <w:rPr>
      <w:rFonts w:ascii="Palatino Linotype" w:eastAsia="Times New Roman" w:hAnsi="Palatino Linotype" w:cs="Times New Roman"/>
      <w:color w:val="000000"/>
      <w:sz w:val="18"/>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008141">
      <w:bodyDiv w:val="1"/>
      <w:marLeft w:val="0"/>
      <w:marRight w:val="0"/>
      <w:marTop w:val="0"/>
      <w:marBottom w:val="0"/>
      <w:divBdr>
        <w:top w:val="none" w:sz="0" w:space="0" w:color="auto"/>
        <w:left w:val="none" w:sz="0" w:space="0" w:color="auto"/>
        <w:bottom w:val="none" w:sz="0" w:space="0" w:color="auto"/>
        <w:right w:val="none" w:sz="0" w:space="0" w:color="auto"/>
      </w:divBdr>
    </w:div>
    <w:div w:id="192087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yuri_\Desktop\Yuri\Doutorado\Revis&#227;o%20Sistematica%20Hermetia%20e%20Tenebrio\Yuri%20dados%20insetos%20desempenho%20gk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yuri_\Desktop\Yuri\Doutorado\Revis&#227;o%20Sistematica%20Hermetia%20e%20Tenebrio\Yuri%20dados%20insetos%20desempenho%20gkg.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yuri_\Desktop\Yuri\Doutorado\Revis&#227;o%20Sistematica%20Hermetia%20e%20Tenebrio\Yuri%20dados%20insetos%20desempenho%20gkg.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yuri_\Desktop\Yuri\Doutorado\Revis&#227;o%20Sistematica%20Hermetia%20e%20Tenebrio\Yuri%20dados%20insetos%20desempenho%20gkg.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'CP EE ASH'!$B$1</c:f>
              <c:strCache>
                <c:ptCount val="1"/>
                <c:pt idx="0">
                  <c:v>Crude Protein, %</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'CP EE ASH'!$A$2:$A$9</c:f>
              <c:strCache>
                <c:ptCount val="8"/>
                <c:pt idx="0">
                  <c:v>Mahmoud et al. [82]</c:v>
                </c:pt>
                <c:pt idx="1">
                  <c:v>Vilela et al. [45]</c:v>
                </c:pt>
                <c:pt idx="2">
                  <c:v>Hartinger et al. [20]</c:v>
                </c:pt>
                <c:pt idx="3">
                  <c:v>Kim et al. [46]</c:v>
                </c:pt>
                <c:pt idx="4">
                  <c:v>Mutisya et al. [74]</c:v>
                </c:pt>
                <c:pt idx="5">
                  <c:v>Elangovan et al. [23]</c:v>
                </c:pt>
                <c:pt idx="6">
                  <c:v>Osongo et al. [33]</c:v>
                </c:pt>
                <c:pt idx="7">
                  <c:v>Józefiak et al. [37]</c:v>
                </c:pt>
              </c:strCache>
            </c:strRef>
          </c:cat>
          <c:val>
            <c:numRef>
              <c:f>'CP EE ASH'!$B$2:$B$9</c:f>
              <c:numCache>
                <c:formatCode>0.0</c:formatCode>
                <c:ptCount val="8"/>
                <c:pt idx="0">
                  <c:v>48.63</c:v>
                </c:pt>
                <c:pt idx="1">
                  <c:v>42.593182542210897</c:v>
                </c:pt>
                <c:pt idx="2">
                  <c:v>67.599999999999994</c:v>
                </c:pt>
                <c:pt idx="3">
                  <c:v>62.153658784126662</c:v>
                </c:pt>
                <c:pt idx="4">
                  <c:v>43.8</c:v>
                </c:pt>
                <c:pt idx="5">
                  <c:v>48.432432432432435</c:v>
                </c:pt>
                <c:pt idx="6">
                  <c:v>43.9</c:v>
                </c:pt>
                <c:pt idx="7">
                  <c:v>40.4</c:v>
                </c:pt>
              </c:numCache>
            </c:numRef>
          </c:val>
          <c:extLst>
            <c:ext xmlns:c16="http://schemas.microsoft.com/office/drawing/2014/chart" uri="{C3380CC4-5D6E-409C-BE32-E72D297353CC}">
              <c16:uniqueId val="{00000000-9AC0-C34D-BD0E-3A9CF123325A}"/>
            </c:ext>
          </c:extLst>
        </c:ser>
        <c:ser>
          <c:idx val="1"/>
          <c:order val="1"/>
          <c:tx>
            <c:strRef>
              <c:f>'CP EE ASH'!$C$1</c:f>
              <c:strCache>
                <c:ptCount val="1"/>
                <c:pt idx="0">
                  <c:v>Ether extract, %</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'CP EE ASH'!$A$2:$A$9</c:f>
              <c:strCache>
                <c:ptCount val="8"/>
                <c:pt idx="0">
                  <c:v>Mahmoud et al. [82]</c:v>
                </c:pt>
                <c:pt idx="1">
                  <c:v>Vilela et al. [45]</c:v>
                </c:pt>
                <c:pt idx="2">
                  <c:v>Hartinger et al. [20]</c:v>
                </c:pt>
                <c:pt idx="3">
                  <c:v>Kim et al. [46]</c:v>
                </c:pt>
                <c:pt idx="4">
                  <c:v>Mutisya et al. [74]</c:v>
                </c:pt>
                <c:pt idx="5">
                  <c:v>Elangovan et al. [23]</c:v>
                </c:pt>
                <c:pt idx="6">
                  <c:v>Osongo et al. [33]</c:v>
                </c:pt>
                <c:pt idx="7">
                  <c:v>Józefiak et al. [37]</c:v>
                </c:pt>
              </c:strCache>
            </c:strRef>
          </c:cat>
          <c:val>
            <c:numRef>
              <c:f>'CP EE ASH'!$C$2:$C$9</c:f>
              <c:numCache>
                <c:formatCode>0.0</c:formatCode>
                <c:ptCount val="8"/>
                <c:pt idx="0">
                  <c:v>32</c:v>
                </c:pt>
                <c:pt idx="1">
                  <c:v>34.554529043219709</c:v>
                </c:pt>
                <c:pt idx="2">
                  <c:v>9.52</c:v>
                </c:pt>
                <c:pt idx="3">
                  <c:v>6.2519029737135901</c:v>
                </c:pt>
                <c:pt idx="4">
                  <c:v>28.3</c:v>
                </c:pt>
                <c:pt idx="5">
                  <c:v>22.918918918918919</c:v>
                </c:pt>
                <c:pt idx="6">
                  <c:v>29.4</c:v>
                </c:pt>
                <c:pt idx="7">
                  <c:v>33.5</c:v>
                </c:pt>
              </c:numCache>
            </c:numRef>
          </c:val>
          <c:extLst>
            <c:ext xmlns:c16="http://schemas.microsoft.com/office/drawing/2014/chart" uri="{C3380CC4-5D6E-409C-BE32-E72D297353CC}">
              <c16:uniqueId val="{00000001-9AC0-C34D-BD0E-3A9CF123325A}"/>
            </c:ext>
          </c:extLst>
        </c:ser>
        <c:ser>
          <c:idx val="2"/>
          <c:order val="2"/>
          <c:tx>
            <c:strRef>
              <c:f>'CP EE ASH'!$D$1</c:f>
              <c:strCache>
                <c:ptCount val="1"/>
                <c:pt idx="0">
                  <c:v>Ash, %</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'CP EE ASH'!$A$2:$A$9</c:f>
              <c:strCache>
                <c:ptCount val="8"/>
                <c:pt idx="0">
                  <c:v>Mahmoud et al. [82]</c:v>
                </c:pt>
                <c:pt idx="1">
                  <c:v>Vilela et al. [45]</c:v>
                </c:pt>
                <c:pt idx="2">
                  <c:v>Hartinger et al. [20]</c:v>
                </c:pt>
                <c:pt idx="3">
                  <c:v>Kim et al. [46]</c:v>
                </c:pt>
                <c:pt idx="4">
                  <c:v>Mutisya et al. [74]</c:v>
                </c:pt>
                <c:pt idx="5">
                  <c:v>Elangovan et al. [23]</c:v>
                </c:pt>
                <c:pt idx="6">
                  <c:v>Osongo et al. [33]</c:v>
                </c:pt>
                <c:pt idx="7">
                  <c:v>Józefiak et al. [37]</c:v>
                </c:pt>
              </c:strCache>
            </c:strRef>
          </c:cat>
          <c:val>
            <c:numRef>
              <c:f>'CP EE ASH'!$D$2:$D$9</c:f>
              <c:numCache>
                <c:formatCode>0.0</c:formatCode>
                <c:ptCount val="8"/>
                <c:pt idx="0">
                  <c:v>5.85</c:v>
                </c:pt>
                <c:pt idx="1">
                  <c:v>14.887968567484336</c:v>
                </c:pt>
                <c:pt idx="2">
                  <c:v>8.7899999999999991</c:v>
                </c:pt>
                <c:pt idx="3">
                  <c:v>15.203491322439866</c:v>
                </c:pt>
                <c:pt idx="4">
                  <c:v>12.9</c:v>
                </c:pt>
                <c:pt idx="5">
                  <c:v>11.243243243243244</c:v>
                </c:pt>
                <c:pt idx="6">
                  <c:v>13.2</c:v>
                </c:pt>
                <c:pt idx="7">
                  <c:v>7.13</c:v>
                </c:pt>
              </c:numCache>
            </c:numRef>
          </c:val>
          <c:extLst>
            <c:ext xmlns:c16="http://schemas.microsoft.com/office/drawing/2014/chart" uri="{C3380CC4-5D6E-409C-BE32-E72D297353CC}">
              <c16:uniqueId val="{00000002-9AC0-C34D-BD0E-3A9CF123325A}"/>
            </c:ext>
          </c:extLst>
        </c:ser>
        <c:dLbls>
          <c:dLblPos val="ctr"/>
          <c:showLegendKey val="0"/>
          <c:showVal val="1"/>
          <c:showCatName val="0"/>
          <c:showSerName val="0"/>
          <c:showPercent val="0"/>
          <c:showBubbleSize val="0"/>
        </c:dLbls>
        <c:gapWidth val="79"/>
        <c:overlap val="100"/>
        <c:axId val="1038338592"/>
        <c:axId val="1038339072"/>
      </c:barChart>
      <c:catAx>
        <c:axId val="1038338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120" normalizeH="0" baseline="0">
                <a:solidFill>
                  <a:sysClr val="windowText" lastClr="000000"/>
                </a:solidFill>
                <a:latin typeface="Palatino Linotype" panose="02040502050505030304" pitchFamily="18" charset="0"/>
                <a:ea typeface="+mn-ea"/>
                <a:cs typeface="+mn-cs"/>
              </a:defRPr>
            </a:pPr>
            <a:endParaRPr lang="en-US"/>
          </a:p>
        </c:txPr>
        <c:crossAx val="1038339072"/>
        <c:crosses val="autoZero"/>
        <c:auto val="1"/>
        <c:lblAlgn val="ctr"/>
        <c:lblOffset val="100"/>
        <c:noMultiLvlLbl val="0"/>
      </c:catAx>
      <c:valAx>
        <c:axId val="1038339072"/>
        <c:scaling>
          <c:orientation val="minMax"/>
          <c:max val="100"/>
        </c:scaling>
        <c:delete val="1"/>
        <c:axPos val="b"/>
        <c:numFmt formatCode="0.0" sourceLinked="1"/>
        <c:majorTickMark val="none"/>
        <c:minorTickMark val="none"/>
        <c:tickLblPos val="nextTo"/>
        <c:crossAx val="1038338592"/>
        <c:crosses val="autoZero"/>
        <c:crossBetween val="between"/>
        <c:majorUnit val="10"/>
      </c:valAx>
      <c:spPr>
        <a:noFill/>
        <a:ln>
          <a:noFill/>
        </a:ln>
        <a:effectLst/>
      </c:spPr>
    </c:plotArea>
    <c:legend>
      <c:legendPos val="t"/>
      <c:legendEntry>
        <c:idx val="0"/>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legendEntry>
      <c:legendEntry>
        <c:idx val="2"/>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solidFill>
            <a:sysClr val="windowText" lastClr="000000"/>
          </a:solidFill>
          <a:latin typeface="Palatino Linotype" panose="0204050205050503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'CP EE ASH'!$B$1</c:f>
              <c:strCache>
                <c:ptCount val="1"/>
                <c:pt idx="0">
                  <c:v>Crude Protein, %</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'CP EE ASH'!$A$11:$A$17</c:f>
              <c:strCache>
                <c:ptCount val="7"/>
                <c:pt idx="0">
                  <c:v>Sedgh-Gooya et al. [18]</c:v>
                </c:pt>
                <c:pt idx="1">
                  <c:v>Elahi et al. [28]¹</c:v>
                </c:pt>
                <c:pt idx="2">
                  <c:v>Dalmoro et al. [83]</c:v>
                </c:pt>
                <c:pt idx="3">
                  <c:v>Benzertiha et al. [29]</c:v>
                </c:pt>
                <c:pt idx="4">
                  <c:v>Khan et al. [31]</c:v>
                </c:pt>
                <c:pt idx="5">
                  <c:v>Bovera et al. [36]</c:v>
                </c:pt>
                <c:pt idx="6">
                  <c:v>Józefiak et al. [37]</c:v>
                </c:pt>
              </c:strCache>
            </c:strRef>
          </c:cat>
          <c:val>
            <c:numRef>
              <c:f>'CP EE ASH'!$B$11:$B$17</c:f>
              <c:numCache>
                <c:formatCode>0.0</c:formatCode>
                <c:ptCount val="7"/>
                <c:pt idx="0">
                  <c:v>55.452484023912596</c:v>
                </c:pt>
                <c:pt idx="1">
                  <c:v>55.440251572327043</c:v>
                </c:pt>
                <c:pt idx="2">
                  <c:v>50.990615224191863</c:v>
                </c:pt>
                <c:pt idx="3">
                  <c:v>47</c:v>
                </c:pt>
                <c:pt idx="4">
                  <c:v>53</c:v>
                </c:pt>
                <c:pt idx="5">
                  <c:v>55.303514376996802</c:v>
                </c:pt>
                <c:pt idx="6">
                  <c:v>56.3</c:v>
                </c:pt>
              </c:numCache>
            </c:numRef>
          </c:val>
          <c:extLst>
            <c:ext xmlns:c16="http://schemas.microsoft.com/office/drawing/2014/chart" uri="{C3380CC4-5D6E-409C-BE32-E72D297353CC}">
              <c16:uniqueId val="{00000000-01B6-F849-AC76-80FEE7C0AE51}"/>
            </c:ext>
          </c:extLst>
        </c:ser>
        <c:ser>
          <c:idx val="1"/>
          <c:order val="1"/>
          <c:tx>
            <c:strRef>
              <c:f>'CP EE ASH'!$C$1</c:f>
              <c:strCache>
                <c:ptCount val="1"/>
                <c:pt idx="0">
                  <c:v>Ether extract, %</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'CP EE ASH'!$A$11:$A$17</c:f>
              <c:strCache>
                <c:ptCount val="7"/>
                <c:pt idx="0">
                  <c:v>Sedgh-Gooya et al. [18]</c:v>
                </c:pt>
                <c:pt idx="1">
                  <c:v>Elahi et al. [28]¹</c:v>
                </c:pt>
                <c:pt idx="2">
                  <c:v>Dalmoro et al. [83]</c:v>
                </c:pt>
                <c:pt idx="3">
                  <c:v>Benzertiha et al. [29]</c:v>
                </c:pt>
                <c:pt idx="4">
                  <c:v>Khan et al. [31]</c:v>
                </c:pt>
                <c:pt idx="5">
                  <c:v>Bovera et al. [36]</c:v>
                </c:pt>
                <c:pt idx="6">
                  <c:v>Józefiak et al. [37]</c:v>
                </c:pt>
              </c:strCache>
            </c:strRef>
          </c:cat>
          <c:val>
            <c:numRef>
              <c:f>'CP EE ASH'!$C$11:$C$17</c:f>
              <c:numCache>
                <c:formatCode>0.0</c:formatCode>
                <c:ptCount val="7"/>
                <c:pt idx="0">
                  <c:v>28.89095031952175</c:v>
                </c:pt>
                <c:pt idx="1">
                  <c:v>30.5</c:v>
                </c:pt>
                <c:pt idx="2">
                  <c:v>34.932221063607926</c:v>
                </c:pt>
                <c:pt idx="3">
                  <c:v>29.6</c:v>
                </c:pt>
                <c:pt idx="4">
                  <c:v>26.8</c:v>
                </c:pt>
                <c:pt idx="5">
                  <c:v>22.971246006389777</c:v>
                </c:pt>
                <c:pt idx="6">
                  <c:v>25.3</c:v>
                </c:pt>
              </c:numCache>
            </c:numRef>
          </c:val>
          <c:extLst>
            <c:ext xmlns:c16="http://schemas.microsoft.com/office/drawing/2014/chart" uri="{C3380CC4-5D6E-409C-BE32-E72D297353CC}">
              <c16:uniqueId val="{00000001-01B6-F849-AC76-80FEE7C0AE51}"/>
            </c:ext>
          </c:extLst>
        </c:ser>
        <c:ser>
          <c:idx val="2"/>
          <c:order val="2"/>
          <c:tx>
            <c:strRef>
              <c:f>'CP EE ASH'!$D$1</c:f>
              <c:strCache>
                <c:ptCount val="1"/>
                <c:pt idx="0">
                  <c:v>Ash, %</c:v>
                </c:pt>
              </c:strCache>
            </c:strRef>
          </c:tx>
          <c:spPr>
            <a:solidFill>
              <a:schemeClr val="accent3"/>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2-01B6-F849-AC76-80FEE7C0AE51}"/>
                </c:ext>
              </c:extLst>
            </c:dLbl>
            <c:spPr>
              <a:solidFill>
                <a:schemeClr val="bg2">
                  <a:lumMod val="90000"/>
                </a:schemeClr>
              </a:solidFill>
              <a:ln>
                <a:noFill/>
              </a:ln>
              <a:effectLst/>
            </c:spPr>
            <c:txPr>
              <a:bodyPr rot="0" spcFirstLastPara="1" vertOverflow="ellipsis" horzOverflow="clip" vert="horz" wrap="square" lIns="36000" tIns="3600" rIns="36000" bIns="18288" anchor="ctr" anchorCtr="1">
                <a:spAutoFit/>
              </a:bodyPr>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lumMod val="35000"/>
                          <a:lumOff val="65000"/>
                        </a:schemeClr>
                      </a:solidFill>
                    </a:ln>
                    <a:effectLst/>
                  </c:spPr>
                </c15:leaderLines>
              </c:ext>
            </c:extLst>
          </c:dLbls>
          <c:cat>
            <c:strRef>
              <c:f>'CP EE ASH'!$A$11:$A$17</c:f>
              <c:strCache>
                <c:ptCount val="7"/>
                <c:pt idx="0">
                  <c:v>Sedgh-Gooya et al. [18]</c:v>
                </c:pt>
                <c:pt idx="1">
                  <c:v>Elahi et al. [28]¹</c:v>
                </c:pt>
                <c:pt idx="2">
                  <c:v>Dalmoro et al. [83]</c:v>
                </c:pt>
                <c:pt idx="3">
                  <c:v>Benzertiha et al. [29]</c:v>
                </c:pt>
                <c:pt idx="4">
                  <c:v>Khan et al. [31]</c:v>
                </c:pt>
                <c:pt idx="5">
                  <c:v>Bovera et al. [36]</c:v>
                </c:pt>
                <c:pt idx="6">
                  <c:v>Józefiak et al. [37]</c:v>
                </c:pt>
              </c:strCache>
            </c:strRef>
          </c:cat>
          <c:val>
            <c:numRef>
              <c:f>'CP EE ASH'!$D$11:$D$17</c:f>
              <c:numCache>
                <c:formatCode>0.0</c:formatCode>
                <c:ptCount val="7"/>
                <c:pt idx="0">
                  <c:v>7.2047000618429191</c:v>
                </c:pt>
                <c:pt idx="1">
                  <c:v>0</c:v>
                </c:pt>
                <c:pt idx="2">
                  <c:v>4.2127215849843589</c:v>
                </c:pt>
                <c:pt idx="3">
                  <c:v>2.56</c:v>
                </c:pt>
                <c:pt idx="4">
                  <c:v>3.6</c:v>
                </c:pt>
                <c:pt idx="5">
                  <c:v>4.9946751863684771</c:v>
                </c:pt>
                <c:pt idx="6">
                  <c:v>4.53</c:v>
                </c:pt>
              </c:numCache>
            </c:numRef>
          </c:val>
          <c:extLst>
            <c:ext xmlns:c16="http://schemas.microsoft.com/office/drawing/2014/chart" uri="{C3380CC4-5D6E-409C-BE32-E72D297353CC}">
              <c16:uniqueId val="{00000003-01B6-F849-AC76-80FEE7C0AE51}"/>
            </c:ext>
          </c:extLst>
        </c:ser>
        <c:dLbls>
          <c:dLblPos val="ctr"/>
          <c:showLegendKey val="0"/>
          <c:showVal val="1"/>
          <c:showCatName val="0"/>
          <c:showSerName val="0"/>
          <c:showPercent val="0"/>
          <c:showBubbleSize val="0"/>
        </c:dLbls>
        <c:gapWidth val="79"/>
        <c:overlap val="100"/>
        <c:axId val="1038338592"/>
        <c:axId val="1038339072"/>
      </c:barChart>
      <c:catAx>
        <c:axId val="1038338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120" normalizeH="0" baseline="0">
                <a:solidFill>
                  <a:sysClr val="windowText" lastClr="000000"/>
                </a:solidFill>
                <a:latin typeface="Palatino Linotype" panose="02040502050505030304" pitchFamily="18" charset="0"/>
                <a:ea typeface="+mn-ea"/>
                <a:cs typeface="+mn-cs"/>
              </a:defRPr>
            </a:pPr>
            <a:endParaRPr lang="en-US"/>
          </a:p>
        </c:txPr>
        <c:crossAx val="1038339072"/>
        <c:crosses val="autoZero"/>
        <c:auto val="1"/>
        <c:lblAlgn val="ctr"/>
        <c:lblOffset val="100"/>
        <c:noMultiLvlLbl val="0"/>
      </c:catAx>
      <c:valAx>
        <c:axId val="1038339072"/>
        <c:scaling>
          <c:orientation val="minMax"/>
        </c:scaling>
        <c:delete val="1"/>
        <c:axPos val="b"/>
        <c:numFmt formatCode="0.0" sourceLinked="1"/>
        <c:majorTickMark val="none"/>
        <c:minorTickMark val="none"/>
        <c:tickLblPos val="nextTo"/>
        <c:crossAx val="1038338592"/>
        <c:crosses val="autoZero"/>
        <c:crossBetween val="between"/>
        <c:majorUnit val="10"/>
      </c:valAx>
      <c:spPr>
        <a:noFill/>
        <a:ln>
          <a:noFill/>
        </a:ln>
        <a:effectLst/>
      </c:spPr>
    </c:plotArea>
    <c:legend>
      <c:legendPos val="t"/>
      <c:legendEntry>
        <c:idx val="0"/>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legendEntry>
      <c:legendEntry>
        <c:idx val="2"/>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solidFill>
            <a:sysClr val="windowText" lastClr="000000"/>
          </a:solidFill>
          <a:latin typeface="Palatino Linotype" panose="0204050205050503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533476584657689E-2"/>
          <c:y val="0.15358178053830229"/>
          <c:w val="0.93620400815282701"/>
          <c:h val="0.65563815392641134"/>
        </c:manualLayout>
      </c:layout>
      <c:barChart>
        <c:barDir val="col"/>
        <c:grouping val="clustered"/>
        <c:varyColors val="0"/>
        <c:ser>
          <c:idx val="0"/>
          <c:order val="0"/>
          <c:tx>
            <c:strRef>
              <c:f>AAS!$A$2</c:f>
              <c:strCache>
                <c:ptCount val="1"/>
                <c:pt idx="0">
                  <c:v>Mahmoud et al. [82]</c:v>
                </c:pt>
              </c:strCache>
            </c:strRef>
          </c:tx>
          <c:spPr>
            <a:solidFill>
              <a:schemeClr val="accent1"/>
            </a:solidFill>
            <a:ln>
              <a:noFill/>
            </a:ln>
            <a:effectLst/>
          </c:spPr>
          <c:invertIfNegative val="0"/>
          <c:cat>
            <c:strRef>
              <c:f>AAS!$B$1:$R$1</c:f>
              <c:strCache>
                <c:ptCount val="17"/>
                <c:pt idx="0">
                  <c:v>Arg</c:v>
                </c:pt>
                <c:pt idx="1">
                  <c:v>His</c:v>
                </c:pt>
                <c:pt idx="2">
                  <c:v>Ile </c:v>
                </c:pt>
                <c:pt idx="3">
                  <c:v>Leu </c:v>
                </c:pt>
                <c:pt idx="4">
                  <c:v>Lys </c:v>
                </c:pt>
                <c:pt idx="5">
                  <c:v>Met </c:v>
                </c:pt>
                <c:pt idx="6">
                  <c:v>Phe </c:v>
                </c:pt>
                <c:pt idx="7">
                  <c:v>Thr </c:v>
                </c:pt>
                <c:pt idx="8">
                  <c:v>Val </c:v>
                </c:pt>
                <c:pt idx="9">
                  <c:v>Ala </c:v>
                </c:pt>
                <c:pt idx="10">
                  <c:v>Asp </c:v>
                </c:pt>
                <c:pt idx="11">
                  <c:v>Cys </c:v>
                </c:pt>
                <c:pt idx="12">
                  <c:v>Gly </c:v>
                </c:pt>
                <c:pt idx="13">
                  <c:v>Glu </c:v>
                </c:pt>
                <c:pt idx="14">
                  <c:v>Pro </c:v>
                </c:pt>
                <c:pt idx="15">
                  <c:v>Ser </c:v>
                </c:pt>
                <c:pt idx="16">
                  <c:v>Tyr </c:v>
                </c:pt>
              </c:strCache>
            </c:strRef>
          </c:cat>
          <c:val>
            <c:numRef>
              <c:f>AAS!$B$2:$R$2</c:f>
              <c:numCache>
                <c:formatCode>0.00</c:formatCode>
                <c:ptCount val="17"/>
                <c:pt idx="0">
                  <c:v>2.2000000000000002</c:v>
                </c:pt>
                <c:pt idx="1">
                  <c:v>1.34</c:v>
                </c:pt>
                <c:pt idx="2">
                  <c:v>1.93</c:v>
                </c:pt>
                <c:pt idx="3">
                  <c:v>3</c:v>
                </c:pt>
                <c:pt idx="4">
                  <c:v>2.77</c:v>
                </c:pt>
                <c:pt idx="5">
                  <c:v>0.76</c:v>
                </c:pt>
                <c:pt idx="6">
                  <c:v>1.71</c:v>
                </c:pt>
                <c:pt idx="7">
                  <c:v>1.84</c:v>
                </c:pt>
                <c:pt idx="8">
                  <c:v>2.94</c:v>
                </c:pt>
                <c:pt idx="9">
                  <c:v>3.69</c:v>
                </c:pt>
                <c:pt idx="10">
                  <c:v>4.25</c:v>
                </c:pt>
                <c:pt idx="11">
                  <c:v>0.33</c:v>
                </c:pt>
                <c:pt idx="12">
                  <c:v>2.6</c:v>
                </c:pt>
                <c:pt idx="13">
                  <c:v>4.8899999999999997</c:v>
                </c:pt>
                <c:pt idx="14">
                  <c:v>2.73</c:v>
                </c:pt>
                <c:pt idx="15">
                  <c:v>2.0299999999999998</c:v>
                </c:pt>
                <c:pt idx="16">
                  <c:v>2.65</c:v>
                </c:pt>
              </c:numCache>
            </c:numRef>
          </c:val>
          <c:extLst>
            <c:ext xmlns:c16="http://schemas.microsoft.com/office/drawing/2014/chart" uri="{C3380CC4-5D6E-409C-BE32-E72D297353CC}">
              <c16:uniqueId val="{00000000-6F3C-A54B-B277-B74FED64761F}"/>
            </c:ext>
          </c:extLst>
        </c:ser>
        <c:ser>
          <c:idx val="1"/>
          <c:order val="1"/>
          <c:tx>
            <c:strRef>
              <c:f>AAS!$A$3</c:f>
              <c:strCache>
                <c:ptCount val="1"/>
                <c:pt idx="0">
                  <c:v>Vilela et al. [45]</c:v>
                </c:pt>
              </c:strCache>
            </c:strRef>
          </c:tx>
          <c:spPr>
            <a:solidFill>
              <a:schemeClr val="accent2"/>
            </a:solidFill>
            <a:ln>
              <a:noFill/>
            </a:ln>
            <a:effectLst/>
          </c:spPr>
          <c:invertIfNegative val="0"/>
          <c:cat>
            <c:strRef>
              <c:f>AAS!$B$1:$R$1</c:f>
              <c:strCache>
                <c:ptCount val="17"/>
                <c:pt idx="0">
                  <c:v>Arg</c:v>
                </c:pt>
                <c:pt idx="1">
                  <c:v>His</c:v>
                </c:pt>
                <c:pt idx="2">
                  <c:v>Ile </c:v>
                </c:pt>
                <c:pt idx="3">
                  <c:v>Leu </c:v>
                </c:pt>
                <c:pt idx="4">
                  <c:v>Lys </c:v>
                </c:pt>
                <c:pt idx="5">
                  <c:v>Met </c:v>
                </c:pt>
                <c:pt idx="6">
                  <c:v>Phe </c:v>
                </c:pt>
                <c:pt idx="7">
                  <c:v>Thr </c:v>
                </c:pt>
                <c:pt idx="8">
                  <c:v>Val </c:v>
                </c:pt>
                <c:pt idx="9">
                  <c:v>Ala </c:v>
                </c:pt>
                <c:pt idx="10">
                  <c:v>Asp </c:v>
                </c:pt>
                <c:pt idx="11">
                  <c:v>Cys </c:v>
                </c:pt>
                <c:pt idx="12">
                  <c:v>Gly </c:v>
                </c:pt>
                <c:pt idx="13">
                  <c:v>Glu </c:v>
                </c:pt>
                <c:pt idx="14">
                  <c:v>Pro </c:v>
                </c:pt>
                <c:pt idx="15">
                  <c:v>Ser </c:v>
                </c:pt>
                <c:pt idx="16">
                  <c:v>Tyr </c:v>
                </c:pt>
              </c:strCache>
            </c:strRef>
          </c:cat>
          <c:val>
            <c:numRef>
              <c:f>AAS!$B$3:$R$3</c:f>
              <c:numCache>
                <c:formatCode>0.00</c:formatCode>
                <c:ptCount val="17"/>
                <c:pt idx="0">
                  <c:v>1.9539131358182011</c:v>
                </c:pt>
                <c:pt idx="1">
                  <c:v>1.1787193373685889</c:v>
                </c:pt>
                <c:pt idx="2">
                  <c:v>1.8264840182648401</c:v>
                </c:pt>
                <c:pt idx="3">
                  <c:v>2.8883933312095147</c:v>
                </c:pt>
                <c:pt idx="4">
                  <c:v>2.3892959541255174</c:v>
                </c:pt>
                <c:pt idx="5">
                  <c:v>0.74333651906127218</c:v>
                </c:pt>
                <c:pt idx="6">
                  <c:v>1.7946267388764998</c:v>
                </c:pt>
                <c:pt idx="7">
                  <c:v>1.667197621323139</c:v>
                </c:pt>
                <c:pt idx="8">
                  <c:v>2.453010512902198</c:v>
                </c:pt>
                <c:pt idx="9">
                  <c:v>2.9308697037273017</c:v>
                </c:pt>
                <c:pt idx="10">
                  <c:v>3.4724434533290855</c:v>
                </c:pt>
                <c:pt idx="12">
                  <c:v>2.1131995327599022</c:v>
                </c:pt>
                <c:pt idx="13">
                  <c:v>4.6299246044387816</c:v>
                </c:pt>
                <c:pt idx="14">
                  <c:v>2.2193904640543698</c:v>
                </c:pt>
                <c:pt idx="15">
                  <c:v>1.709673993840926</c:v>
                </c:pt>
                <c:pt idx="16">
                  <c:v>2.2300095571838163</c:v>
                </c:pt>
              </c:numCache>
            </c:numRef>
          </c:val>
          <c:extLst>
            <c:ext xmlns:c16="http://schemas.microsoft.com/office/drawing/2014/chart" uri="{C3380CC4-5D6E-409C-BE32-E72D297353CC}">
              <c16:uniqueId val="{00000001-6F3C-A54B-B277-B74FED64761F}"/>
            </c:ext>
          </c:extLst>
        </c:ser>
        <c:ser>
          <c:idx val="2"/>
          <c:order val="2"/>
          <c:tx>
            <c:strRef>
              <c:f>AAS!$A$4</c:f>
              <c:strCache>
                <c:ptCount val="1"/>
                <c:pt idx="0">
                  <c:v>Osongo et al. [33]</c:v>
                </c:pt>
              </c:strCache>
            </c:strRef>
          </c:tx>
          <c:spPr>
            <a:solidFill>
              <a:schemeClr val="accent3"/>
            </a:solidFill>
            <a:ln>
              <a:noFill/>
            </a:ln>
            <a:effectLst/>
          </c:spPr>
          <c:invertIfNegative val="0"/>
          <c:cat>
            <c:strRef>
              <c:f>AAS!$B$1:$R$1</c:f>
              <c:strCache>
                <c:ptCount val="17"/>
                <c:pt idx="0">
                  <c:v>Arg</c:v>
                </c:pt>
                <c:pt idx="1">
                  <c:v>His</c:v>
                </c:pt>
                <c:pt idx="2">
                  <c:v>Ile </c:v>
                </c:pt>
                <c:pt idx="3">
                  <c:v>Leu </c:v>
                </c:pt>
                <c:pt idx="4">
                  <c:v>Lys </c:v>
                </c:pt>
                <c:pt idx="5">
                  <c:v>Met </c:v>
                </c:pt>
                <c:pt idx="6">
                  <c:v>Phe </c:v>
                </c:pt>
                <c:pt idx="7">
                  <c:v>Thr </c:v>
                </c:pt>
                <c:pt idx="8">
                  <c:v>Val </c:v>
                </c:pt>
                <c:pt idx="9">
                  <c:v>Ala </c:v>
                </c:pt>
                <c:pt idx="10">
                  <c:v>Asp </c:v>
                </c:pt>
                <c:pt idx="11">
                  <c:v>Cys </c:v>
                </c:pt>
                <c:pt idx="12">
                  <c:v>Gly </c:v>
                </c:pt>
                <c:pt idx="13">
                  <c:v>Glu </c:v>
                </c:pt>
                <c:pt idx="14">
                  <c:v>Pro </c:v>
                </c:pt>
                <c:pt idx="15">
                  <c:v>Ser </c:v>
                </c:pt>
                <c:pt idx="16">
                  <c:v>Tyr </c:v>
                </c:pt>
              </c:strCache>
            </c:strRef>
          </c:cat>
          <c:val>
            <c:numRef>
              <c:f>AAS!$B$4:$R$4</c:f>
              <c:numCache>
                <c:formatCode>0.00</c:formatCode>
                <c:ptCount val="17"/>
                <c:pt idx="0">
                  <c:v>2.11</c:v>
                </c:pt>
                <c:pt idx="1">
                  <c:v>1.35</c:v>
                </c:pt>
                <c:pt idx="2">
                  <c:v>1.77</c:v>
                </c:pt>
                <c:pt idx="3">
                  <c:v>2.78</c:v>
                </c:pt>
                <c:pt idx="4">
                  <c:v>2.81</c:v>
                </c:pt>
                <c:pt idx="5">
                  <c:v>0.8</c:v>
                </c:pt>
                <c:pt idx="6">
                  <c:v>1.64</c:v>
                </c:pt>
                <c:pt idx="7">
                  <c:v>1.63</c:v>
                </c:pt>
                <c:pt idx="8">
                  <c:v>2.5</c:v>
                </c:pt>
                <c:pt idx="9">
                  <c:v>2.56</c:v>
                </c:pt>
                <c:pt idx="10">
                  <c:v>3.87</c:v>
                </c:pt>
                <c:pt idx="11">
                  <c:v>0.35</c:v>
                </c:pt>
                <c:pt idx="12">
                  <c:v>2.46</c:v>
                </c:pt>
                <c:pt idx="13">
                  <c:v>4.6100000000000003</c:v>
                </c:pt>
                <c:pt idx="14">
                  <c:v>2.36</c:v>
                </c:pt>
                <c:pt idx="15">
                  <c:v>1.76</c:v>
                </c:pt>
              </c:numCache>
            </c:numRef>
          </c:val>
          <c:extLst>
            <c:ext xmlns:c16="http://schemas.microsoft.com/office/drawing/2014/chart" uri="{C3380CC4-5D6E-409C-BE32-E72D297353CC}">
              <c16:uniqueId val="{00000002-6F3C-A54B-B277-B74FED64761F}"/>
            </c:ext>
          </c:extLst>
        </c:ser>
        <c:ser>
          <c:idx val="3"/>
          <c:order val="3"/>
          <c:tx>
            <c:strRef>
              <c:f>AAS!$A$5</c:f>
              <c:strCache>
                <c:ptCount val="1"/>
                <c:pt idx="0">
                  <c:v>Mutisya et al. [27]</c:v>
                </c:pt>
              </c:strCache>
            </c:strRef>
          </c:tx>
          <c:spPr>
            <a:solidFill>
              <a:schemeClr val="accent4"/>
            </a:solidFill>
            <a:ln>
              <a:noFill/>
            </a:ln>
            <a:effectLst/>
          </c:spPr>
          <c:invertIfNegative val="0"/>
          <c:cat>
            <c:strRef>
              <c:f>AAS!$B$1:$R$1</c:f>
              <c:strCache>
                <c:ptCount val="17"/>
                <c:pt idx="0">
                  <c:v>Arg</c:v>
                </c:pt>
                <c:pt idx="1">
                  <c:v>His</c:v>
                </c:pt>
                <c:pt idx="2">
                  <c:v>Ile </c:v>
                </c:pt>
                <c:pt idx="3">
                  <c:v>Leu </c:v>
                </c:pt>
                <c:pt idx="4">
                  <c:v>Lys </c:v>
                </c:pt>
                <c:pt idx="5">
                  <c:v>Met </c:v>
                </c:pt>
                <c:pt idx="6">
                  <c:v>Phe </c:v>
                </c:pt>
                <c:pt idx="7">
                  <c:v>Thr </c:v>
                </c:pt>
                <c:pt idx="8">
                  <c:v>Val </c:v>
                </c:pt>
                <c:pt idx="9">
                  <c:v>Ala </c:v>
                </c:pt>
                <c:pt idx="10">
                  <c:v>Asp </c:v>
                </c:pt>
                <c:pt idx="11">
                  <c:v>Cys </c:v>
                </c:pt>
                <c:pt idx="12">
                  <c:v>Gly </c:v>
                </c:pt>
                <c:pt idx="13">
                  <c:v>Glu </c:v>
                </c:pt>
                <c:pt idx="14">
                  <c:v>Pro </c:v>
                </c:pt>
                <c:pt idx="15">
                  <c:v>Ser </c:v>
                </c:pt>
                <c:pt idx="16">
                  <c:v>Tyr </c:v>
                </c:pt>
              </c:strCache>
            </c:strRef>
          </c:cat>
          <c:val>
            <c:numRef>
              <c:f>AAS!$B$5:$R$5</c:f>
              <c:numCache>
                <c:formatCode>0.00</c:formatCode>
                <c:ptCount val="17"/>
                <c:pt idx="0">
                  <c:v>2.2000000000000002</c:v>
                </c:pt>
                <c:pt idx="1">
                  <c:v>1.3</c:v>
                </c:pt>
                <c:pt idx="2">
                  <c:v>1.8</c:v>
                </c:pt>
                <c:pt idx="3">
                  <c:v>2.8</c:v>
                </c:pt>
                <c:pt idx="4">
                  <c:v>2.9</c:v>
                </c:pt>
                <c:pt idx="5">
                  <c:v>0.8</c:v>
                </c:pt>
                <c:pt idx="6">
                  <c:v>1.9</c:v>
                </c:pt>
                <c:pt idx="7">
                  <c:v>1.7</c:v>
                </c:pt>
              </c:numCache>
            </c:numRef>
          </c:val>
          <c:extLst>
            <c:ext xmlns:c16="http://schemas.microsoft.com/office/drawing/2014/chart" uri="{C3380CC4-5D6E-409C-BE32-E72D297353CC}">
              <c16:uniqueId val="{00000003-6F3C-A54B-B277-B74FED64761F}"/>
            </c:ext>
          </c:extLst>
        </c:ser>
        <c:ser>
          <c:idx val="4"/>
          <c:order val="4"/>
          <c:tx>
            <c:strRef>
              <c:f>AAS!$A$6</c:f>
              <c:strCache>
                <c:ptCount val="1"/>
                <c:pt idx="0">
                  <c:v>Elangovan et al. [23]</c:v>
                </c:pt>
              </c:strCache>
            </c:strRef>
          </c:tx>
          <c:spPr>
            <a:solidFill>
              <a:schemeClr val="accent5"/>
            </a:solidFill>
            <a:ln>
              <a:noFill/>
            </a:ln>
            <a:effectLst/>
          </c:spPr>
          <c:invertIfNegative val="0"/>
          <c:cat>
            <c:strRef>
              <c:f>AAS!$B$1:$R$1</c:f>
              <c:strCache>
                <c:ptCount val="17"/>
                <c:pt idx="0">
                  <c:v>Arg</c:v>
                </c:pt>
                <c:pt idx="1">
                  <c:v>His</c:v>
                </c:pt>
                <c:pt idx="2">
                  <c:v>Ile </c:v>
                </c:pt>
                <c:pt idx="3">
                  <c:v>Leu </c:v>
                </c:pt>
                <c:pt idx="4">
                  <c:v>Lys </c:v>
                </c:pt>
                <c:pt idx="5">
                  <c:v>Met </c:v>
                </c:pt>
                <c:pt idx="6">
                  <c:v>Phe </c:v>
                </c:pt>
                <c:pt idx="7">
                  <c:v>Thr </c:v>
                </c:pt>
                <c:pt idx="8">
                  <c:v>Val </c:v>
                </c:pt>
                <c:pt idx="9">
                  <c:v>Ala </c:v>
                </c:pt>
                <c:pt idx="10">
                  <c:v>Asp </c:v>
                </c:pt>
                <c:pt idx="11">
                  <c:v>Cys </c:v>
                </c:pt>
                <c:pt idx="12">
                  <c:v>Gly </c:v>
                </c:pt>
                <c:pt idx="13">
                  <c:v>Glu </c:v>
                </c:pt>
                <c:pt idx="14">
                  <c:v>Pro </c:v>
                </c:pt>
                <c:pt idx="15">
                  <c:v>Ser </c:v>
                </c:pt>
                <c:pt idx="16">
                  <c:v>Tyr </c:v>
                </c:pt>
              </c:strCache>
            </c:strRef>
          </c:cat>
          <c:val>
            <c:numRef>
              <c:f>AAS!$B$6:$R$6</c:f>
              <c:numCache>
                <c:formatCode>0.00</c:formatCode>
                <c:ptCount val="17"/>
                <c:pt idx="0">
                  <c:v>1.9135135135135135</c:v>
                </c:pt>
                <c:pt idx="1">
                  <c:v>1.1567567567567567</c:v>
                </c:pt>
                <c:pt idx="2">
                  <c:v>2.0108108108108107</c:v>
                </c:pt>
                <c:pt idx="3">
                  <c:v>3.1135135135135137</c:v>
                </c:pt>
                <c:pt idx="4">
                  <c:v>2.4972972972972971</c:v>
                </c:pt>
                <c:pt idx="5">
                  <c:v>0.8</c:v>
                </c:pt>
                <c:pt idx="6">
                  <c:v>1.7297297297297298</c:v>
                </c:pt>
                <c:pt idx="7">
                  <c:v>1.7081081081081082</c:v>
                </c:pt>
                <c:pt idx="8">
                  <c:v>2.8864864864864863</c:v>
                </c:pt>
                <c:pt idx="11">
                  <c:v>0.30270270270270272</c:v>
                </c:pt>
              </c:numCache>
            </c:numRef>
          </c:val>
          <c:extLst>
            <c:ext xmlns:c16="http://schemas.microsoft.com/office/drawing/2014/chart" uri="{C3380CC4-5D6E-409C-BE32-E72D297353CC}">
              <c16:uniqueId val="{00000004-6F3C-A54B-B277-B74FED64761F}"/>
            </c:ext>
          </c:extLst>
        </c:ser>
        <c:dLbls>
          <c:showLegendKey val="0"/>
          <c:showVal val="0"/>
          <c:showCatName val="0"/>
          <c:showSerName val="0"/>
          <c:showPercent val="0"/>
          <c:showBubbleSize val="0"/>
        </c:dLbls>
        <c:gapWidth val="219"/>
        <c:overlap val="-27"/>
        <c:axId val="1316912351"/>
        <c:axId val="1316913311"/>
      </c:barChart>
      <c:catAx>
        <c:axId val="1316912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1316913311"/>
        <c:crosses val="autoZero"/>
        <c:auto val="1"/>
        <c:lblAlgn val="ctr"/>
        <c:lblOffset val="100"/>
        <c:noMultiLvlLbl val="0"/>
      </c:catAx>
      <c:valAx>
        <c:axId val="1316913311"/>
        <c:scaling>
          <c:orientation val="minMax"/>
          <c:max val="5"/>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1316912351"/>
        <c:crosses val="autoZero"/>
        <c:crossBetween val="between"/>
        <c:majorUnit val="1"/>
      </c:valAx>
      <c:spPr>
        <a:noFill/>
        <a:ln>
          <a:noFill/>
        </a:ln>
        <a:effectLst/>
      </c:spPr>
    </c:plotArea>
    <c:legend>
      <c:legendPos val="b"/>
      <c:layout>
        <c:manualLayout>
          <c:xMode val="edge"/>
          <c:yMode val="edge"/>
          <c:x val="8.225833906683995E-2"/>
          <c:y val="0.89222117235345599"/>
          <c:w val="0.85878429274010648"/>
          <c:h val="9.444549431321085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Palatino Linotype" panose="0204050205050503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AAS!$A$9</c:f>
              <c:strCache>
                <c:ptCount val="1"/>
                <c:pt idx="0">
                  <c:v>Elahi et al. [38]</c:v>
                </c:pt>
              </c:strCache>
            </c:strRef>
          </c:tx>
          <c:spPr>
            <a:solidFill>
              <a:schemeClr val="accent1"/>
            </a:solidFill>
            <a:ln>
              <a:noFill/>
            </a:ln>
            <a:effectLst/>
          </c:spPr>
          <c:invertIfNegative val="0"/>
          <c:cat>
            <c:strRef>
              <c:f>AAS!$B$1:$R$1</c:f>
              <c:strCache>
                <c:ptCount val="17"/>
                <c:pt idx="0">
                  <c:v>Arg</c:v>
                </c:pt>
                <c:pt idx="1">
                  <c:v>His</c:v>
                </c:pt>
                <c:pt idx="2">
                  <c:v>Ile </c:v>
                </c:pt>
                <c:pt idx="3">
                  <c:v>Leu </c:v>
                </c:pt>
                <c:pt idx="4">
                  <c:v>Lys </c:v>
                </c:pt>
                <c:pt idx="5">
                  <c:v>Met </c:v>
                </c:pt>
                <c:pt idx="6">
                  <c:v>Phe </c:v>
                </c:pt>
                <c:pt idx="7">
                  <c:v>Thr </c:v>
                </c:pt>
                <c:pt idx="8">
                  <c:v>Val </c:v>
                </c:pt>
                <c:pt idx="9">
                  <c:v>Ala </c:v>
                </c:pt>
                <c:pt idx="10">
                  <c:v>Asp </c:v>
                </c:pt>
                <c:pt idx="11">
                  <c:v>Cys </c:v>
                </c:pt>
                <c:pt idx="12">
                  <c:v>Gly </c:v>
                </c:pt>
                <c:pt idx="13">
                  <c:v>Glu </c:v>
                </c:pt>
                <c:pt idx="14">
                  <c:v>Pro </c:v>
                </c:pt>
                <c:pt idx="15">
                  <c:v>Ser </c:v>
                </c:pt>
                <c:pt idx="16">
                  <c:v>Tyr </c:v>
                </c:pt>
              </c:strCache>
            </c:strRef>
          </c:cat>
          <c:val>
            <c:numRef>
              <c:f>AAS!$B$9:$R$9</c:f>
              <c:numCache>
                <c:formatCode>0.00</c:formatCode>
                <c:ptCount val="17"/>
                <c:pt idx="0">
                  <c:v>2.8616352201257862</c:v>
                </c:pt>
                <c:pt idx="1">
                  <c:v>1.1425576519916143</c:v>
                </c:pt>
                <c:pt idx="2">
                  <c:v>2.4109014675052407</c:v>
                </c:pt>
                <c:pt idx="3">
                  <c:v>4.0356394129979032</c:v>
                </c:pt>
                <c:pt idx="4">
                  <c:v>2.93</c:v>
                </c:pt>
                <c:pt idx="5">
                  <c:v>0.660377358490566</c:v>
                </c:pt>
                <c:pt idx="6">
                  <c:v>1.8553459119496853</c:v>
                </c:pt>
                <c:pt idx="7">
                  <c:v>2.1069182389937104</c:v>
                </c:pt>
                <c:pt idx="8">
                  <c:v>3.1341719077568131</c:v>
                </c:pt>
                <c:pt idx="9">
                  <c:v>4.88</c:v>
                </c:pt>
                <c:pt idx="10">
                  <c:v>4.4025157232704402</c:v>
                </c:pt>
                <c:pt idx="11">
                  <c:v>0.73375262054507329</c:v>
                </c:pt>
                <c:pt idx="12">
                  <c:v>2.8301886792452828</c:v>
                </c:pt>
                <c:pt idx="13">
                  <c:v>6.4989517819706499</c:v>
                </c:pt>
                <c:pt idx="14">
                  <c:v>1.6981132075471697</c:v>
                </c:pt>
                <c:pt idx="15">
                  <c:v>2.3689727463312367</c:v>
                </c:pt>
                <c:pt idx="16">
                  <c:v>3.6058700209643604</c:v>
                </c:pt>
              </c:numCache>
            </c:numRef>
          </c:val>
          <c:extLst>
            <c:ext xmlns:c16="http://schemas.microsoft.com/office/drawing/2014/chart" uri="{C3380CC4-5D6E-409C-BE32-E72D297353CC}">
              <c16:uniqueId val="{00000000-D0F1-5B42-A47F-E00D09766AFF}"/>
            </c:ext>
          </c:extLst>
        </c:ser>
        <c:ser>
          <c:idx val="1"/>
          <c:order val="1"/>
          <c:tx>
            <c:strRef>
              <c:f>AAS!$A$10</c:f>
              <c:strCache>
                <c:ptCount val="1"/>
                <c:pt idx="0">
                  <c:v>Benzertiha et al. [36]</c:v>
                </c:pt>
              </c:strCache>
            </c:strRef>
          </c:tx>
          <c:spPr>
            <a:solidFill>
              <a:schemeClr val="accent2"/>
            </a:solidFill>
            <a:ln>
              <a:noFill/>
            </a:ln>
            <a:effectLst/>
          </c:spPr>
          <c:invertIfNegative val="0"/>
          <c:cat>
            <c:strRef>
              <c:f>AAS!$B$1:$R$1</c:f>
              <c:strCache>
                <c:ptCount val="17"/>
                <c:pt idx="0">
                  <c:v>Arg</c:v>
                </c:pt>
                <c:pt idx="1">
                  <c:v>His</c:v>
                </c:pt>
                <c:pt idx="2">
                  <c:v>Ile </c:v>
                </c:pt>
                <c:pt idx="3">
                  <c:v>Leu </c:v>
                </c:pt>
                <c:pt idx="4">
                  <c:v>Lys </c:v>
                </c:pt>
                <c:pt idx="5">
                  <c:v>Met </c:v>
                </c:pt>
                <c:pt idx="6">
                  <c:v>Phe </c:v>
                </c:pt>
                <c:pt idx="7">
                  <c:v>Thr </c:v>
                </c:pt>
                <c:pt idx="8">
                  <c:v>Val </c:v>
                </c:pt>
                <c:pt idx="9">
                  <c:v>Ala </c:v>
                </c:pt>
                <c:pt idx="10">
                  <c:v>Asp </c:v>
                </c:pt>
                <c:pt idx="11">
                  <c:v>Cys </c:v>
                </c:pt>
                <c:pt idx="12">
                  <c:v>Gly </c:v>
                </c:pt>
                <c:pt idx="13">
                  <c:v>Glu </c:v>
                </c:pt>
                <c:pt idx="14">
                  <c:v>Pro </c:v>
                </c:pt>
                <c:pt idx="15">
                  <c:v>Ser </c:v>
                </c:pt>
                <c:pt idx="16">
                  <c:v>Tyr </c:v>
                </c:pt>
              </c:strCache>
            </c:strRef>
          </c:cat>
          <c:val>
            <c:numRef>
              <c:f>AAS!$B$10:$R$10</c:f>
              <c:numCache>
                <c:formatCode>0.00</c:formatCode>
                <c:ptCount val="17"/>
                <c:pt idx="0">
                  <c:v>2.5099999999999998</c:v>
                </c:pt>
                <c:pt idx="1">
                  <c:v>1.41</c:v>
                </c:pt>
                <c:pt idx="2">
                  <c:v>2.08</c:v>
                </c:pt>
                <c:pt idx="3">
                  <c:v>3.7</c:v>
                </c:pt>
                <c:pt idx="4">
                  <c:v>2.65</c:v>
                </c:pt>
                <c:pt idx="5">
                  <c:v>0.73</c:v>
                </c:pt>
                <c:pt idx="6">
                  <c:v>1.92</c:v>
                </c:pt>
                <c:pt idx="7">
                  <c:v>2.5099999999999998</c:v>
                </c:pt>
                <c:pt idx="8">
                  <c:v>3.33</c:v>
                </c:pt>
                <c:pt idx="9">
                  <c:v>4.17</c:v>
                </c:pt>
                <c:pt idx="10">
                  <c:v>3.82</c:v>
                </c:pt>
                <c:pt idx="11">
                  <c:v>0.57999999999999996</c:v>
                </c:pt>
                <c:pt idx="12">
                  <c:v>2.65</c:v>
                </c:pt>
                <c:pt idx="13">
                  <c:v>6.03</c:v>
                </c:pt>
                <c:pt idx="14">
                  <c:v>3.13</c:v>
                </c:pt>
                <c:pt idx="15">
                  <c:v>2.2799999999999998</c:v>
                </c:pt>
                <c:pt idx="16">
                  <c:v>3.14</c:v>
                </c:pt>
              </c:numCache>
            </c:numRef>
          </c:val>
          <c:extLst>
            <c:ext xmlns:c16="http://schemas.microsoft.com/office/drawing/2014/chart" uri="{C3380CC4-5D6E-409C-BE32-E72D297353CC}">
              <c16:uniqueId val="{00000001-D0F1-5B42-A47F-E00D09766AFF}"/>
            </c:ext>
          </c:extLst>
        </c:ser>
        <c:ser>
          <c:idx val="2"/>
          <c:order val="2"/>
          <c:tx>
            <c:strRef>
              <c:f>AAS!$A$11</c:f>
              <c:strCache>
                <c:ptCount val="1"/>
                <c:pt idx="0">
                  <c:v>Khan et al. [51]</c:v>
                </c:pt>
              </c:strCache>
            </c:strRef>
          </c:tx>
          <c:spPr>
            <a:solidFill>
              <a:schemeClr val="accent3"/>
            </a:solidFill>
            <a:ln>
              <a:noFill/>
            </a:ln>
            <a:effectLst/>
          </c:spPr>
          <c:invertIfNegative val="0"/>
          <c:cat>
            <c:strRef>
              <c:f>AAS!$B$1:$R$1</c:f>
              <c:strCache>
                <c:ptCount val="17"/>
                <c:pt idx="0">
                  <c:v>Arg</c:v>
                </c:pt>
                <c:pt idx="1">
                  <c:v>His</c:v>
                </c:pt>
                <c:pt idx="2">
                  <c:v>Ile </c:v>
                </c:pt>
                <c:pt idx="3">
                  <c:v>Leu </c:v>
                </c:pt>
                <c:pt idx="4">
                  <c:v>Lys </c:v>
                </c:pt>
                <c:pt idx="5">
                  <c:v>Met </c:v>
                </c:pt>
                <c:pt idx="6">
                  <c:v>Phe </c:v>
                </c:pt>
                <c:pt idx="7">
                  <c:v>Thr </c:v>
                </c:pt>
                <c:pt idx="8">
                  <c:v>Val </c:v>
                </c:pt>
                <c:pt idx="9">
                  <c:v>Ala </c:v>
                </c:pt>
                <c:pt idx="10">
                  <c:v>Asp </c:v>
                </c:pt>
                <c:pt idx="11">
                  <c:v>Cys </c:v>
                </c:pt>
                <c:pt idx="12">
                  <c:v>Gly </c:v>
                </c:pt>
                <c:pt idx="13">
                  <c:v>Glu </c:v>
                </c:pt>
                <c:pt idx="14">
                  <c:v>Pro </c:v>
                </c:pt>
                <c:pt idx="15">
                  <c:v>Ser </c:v>
                </c:pt>
                <c:pt idx="16">
                  <c:v>Tyr </c:v>
                </c:pt>
              </c:strCache>
            </c:strRef>
          </c:cat>
          <c:val>
            <c:numRef>
              <c:f>AAS!$B$11:$R$11</c:f>
              <c:numCache>
                <c:formatCode>0.00</c:formatCode>
                <c:ptCount val="17"/>
                <c:pt idx="1">
                  <c:v>1.8122</c:v>
                </c:pt>
                <c:pt idx="2">
                  <c:v>2.4518</c:v>
                </c:pt>
                <c:pt idx="3">
                  <c:v>4.5837999999999992</c:v>
                </c:pt>
                <c:pt idx="4">
                  <c:v>2.8782000000000001</c:v>
                </c:pt>
                <c:pt idx="5">
                  <c:v>0.79949999999999988</c:v>
                </c:pt>
                <c:pt idx="6">
                  <c:v>2.1319999999999997</c:v>
                </c:pt>
                <c:pt idx="7">
                  <c:v>2.1319999999999997</c:v>
                </c:pt>
                <c:pt idx="8">
                  <c:v>3.1979999999999995</c:v>
                </c:pt>
                <c:pt idx="9">
                  <c:v>3.8908999999999998</c:v>
                </c:pt>
                <c:pt idx="10">
                  <c:v>3.9975000000000001</c:v>
                </c:pt>
                <c:pt idx="11">
                  <c:v>0.4264</c:v>
                </c:pt>
                <c:pt idx="12">
                  <c:v>2.6117000000000004</c:v>
                </c:pt>
                <c:pt idx="13">
                  <c:v>6.0228999999999999</c:v>
                </c:pt>
                <c:pt idx="14">
                  <c:v>3.6244000000000001</c:v>
                </c:pt>
                <c:pt idx="15">
                  <c:v>3.7309999999999999</c:v>
                </c:pt>
                <c:pt idx="16">
                  <c:v>3.9442000000000004</c:v>
                </c:pt>
              </c:numCache>
            </c:numRef>
          </c:val>
          <c:extLst>
            <c:ext xmlns:c16="http://schemas.microsoft.com/office/drawing/2014/chart" uri="{C3380CC4-5D6E-409C-BE32-E72D297353CC}">
              <c16:uniqueId val="{00000002-D0F1-5B42-A47F-E00D09766AFF}"/>
            </c:ext>
          </c:extLst>
        </c:ser>
        <c:ser>
          <c:idx val="3"/>
          <c:order val="3"/>
          <c:tx>
            <c:strRef>
              <c:f>AAS!$A$12</c:f>
              <c:strCache>
                <c:ptCount val="1"/>
                <c:pt idx="0">
                  <c:v>Dalmoro et al. [81]</c:v>
                </c:pt>
              </c:strCache>
            </c:strRef>
          </c:tx>
          <c:spPr>
            <a:solidFill>
              <a:schemeClr val="accent4"/>
            </a:solidFill>
            <a:ln>
              <a:noFill/>
            </a:ln>
            <a:effectLst/>
          </c:spPr>
          <c:invertIfNegative val="0"/>
          <c:cat>
            <c:strRef>
              <c:f>AAS!$B$1:$R$1</c:f>
              <c:strCache>
                <c:ptCount val="17"/>
                <c:pt idx="0">
                  <c:v>Arg</c:v>
                </c:pt>
                <c:pt idx="1">
                  <c:v>His</c:v>
                </c:pt>
                <c:pt idx="2">
                  <c:v>Ile </c:v>
                </c:pt>
                <c:pt idx="3">
                  <c:v>Leu </c:v>
                </c:pt>
                <c:pt idx="4">
                  <c:v>Lys </c:v>
                </c:pt>
                <c:pt idx="5">
                  <c:v>Met </c:v>
                </c:pt>
                <c:pt idx="6">
                  <c:v>Phe </c:v>
                </c:pt>
                <c:pt idx="7">
                  <c:v>Thr </c:v>
                </c:pt>
                <c:pt idx="8">
                  <c:v>Val </c:v>
                </c:pt>
                <c:pt idx="9">
                  <c:v>Ala </c:v>
                </c:pt>
                <c:pt idx="10">
                  <c:v>Asp </c:v>
                </c:pt>
                <c:pt idx="11">
                  <c:v>Cys </c:v>
                </c:pt>
                <c:pt idx="12">
                  <c:v>Gly </c:v>
                </c:pt>
                <c:pt idx="13">
                  <c:v>Glu </c:v>
                </c:pt>
                <c:pt idx="14">
                  <c:v>Pro </c:v>
                </c:pt>
                <c:pt idx="15">
                  <c:v>Ser </c:v>
                </c:pt>
                <c:pt idx="16">
                  <c:v>Tyr </c:v>
                </c:pt>
              </c:strCache>
            </c:strRef>
          </c:cat>
          <c:val>
            <c:numRef>
              <c:f>AAS!$B$12:$R$12</c:f>
              <c:numCache>
                <c:formatCode>0.00</c:formatCode>
                <c:ptCount val="17"/>
                <c:pt idx="1">
                  <c:v>1.4285714285714284</c:v>
                </c:pt>
                <c:pt idx="2">
                  <c:v>2.8467153284671531</c:v>
                </c:pt>
                <c:pt idx="3">
                  <c:v>3.9624608967674657</c:v>
                </c:pt>
                <c:pt idx="4">
                  <c:v>3.0135557872784147</c:v>
                </c:pt>
                <c:pt idx="5">
                  <c:v>0.63607924921793535</c:v>
                </c:pt>
                <c:pt idx="6">
                  <c:v>1.8456725755995829</c:v>
                </c:pt>
                <c:pt idx="7">
                  <c:v>1.9916579770594367</c:v>
                </c:pt>
                <c:pt idx="8">
                  <c:v>3.0865484880083418</c:v>
                </c:pt>
                <c:pt idx="9">
                  <c:v>3.6496350364963503</c:v>
                </c:pt>
                <c:pt idx="10">
                  <c:v>4.2544316996871743</c:v>
                </c:pt>
                <c:pt idx="11">
                  <c:v>0.50052137643378514</c:v>
                </c:pt>
                <c:pt idx="12">
                  <c:v>2.4191866527632948</c:v>
                </c:pt>
                <c:pt idx="13">
                  <c:v>6.4025026068821687</c:v>
                </c:pt>
                <c:pt idx="14">
                  <c:v>2.992700729927007</c:v>
                </c:pt>
                <c:pt idx="15">
                  <c:v>2.1167883211678826</c:v>
                </c:pt>
              </c:numCache>
            </c:numRef>
          </c:val>
          <c:extLst>
            <c:ext xmlns:c16="http://schemas.microsoft.com/office/drawing/2014/chart" uri="{C3380CC4-5D6E-409C-BE32-E72D297353CC}">
              <c16:uniqueId val="{00000003-D0F1-5B42-A47F-E00D09766AFF}"/>
            </c:ext>
          </c:extLst>
        </c:ser>
        <c:ser>
          <c:idx val="4"/>
          <c:order val="4"/>
          <c:tx>
            <c:strRef>
              <c:f>AAS!$A$13</c:f>
              <c:strCache>
                <c:ptCount val="1"/>
                <c:pt idx="0">
                  <c:v>Sedgh-Gooya et al. [35]</c:v>
                </c:pt>
              </c:strCache>
            </c:strRef>
          </c:tx>
          <c:spPr>
            <a:solidFill>
              <a:schemeClr val="accent5"/>
            </a:solidFill>
            <a:ln>
              <a:noFill/>
            </a:ln>
            <a:effectLst/>
          </c:spPr>
          <c:invertIfNegative val="0"/>
          <c:cat>
            <c:strRef>
              <c:f>AAS!$B$1:$R$1</c:f>
              <c:strCache>
                <c:ptCount val="17"/>
                <c:pt idx="0">
                  <c:v>Arg</c:v>
                </c:pt>
                <c:pt idx="1">
                  <c:v>His</c:v>
                </c:pt>
                <c:pt idx="2">
                  <c:v>Ile </c:v>
                </c:pt>
                <c:pt idx="3">
                  <c:v>Leu </c:v>
                </c:pt>
                <c:pt idx="4">
                  <c:v>Lys </c:v>
                </c:pt>
                <c:pt idx="5">
                  <c:v>Met </c:v>
                </c:pt>
                <c:pt idx="6">
                  <c:v>Phe </c:v>
                </c:pt>
                <c:pt idx="7">
                  <c:v>Thr </c:v>
                </c:pt>
                <c:pt idx="8">
                  <c:v>Val </c:v>
                </c:pt>
                <c:pt idx="9">
                  <c:v>Ala </c:v>
                </c:pt>
                <c:pt idx="10">
                  <c:v>Asp </c:v>
                </c:pt>
                <c:pt idx="11">
                  <c:v>Cys </c:v>
                </c:pt>
                <c:pt idx="12">
                  <c:v>Gly </c:v>
                </c:pt>
                <c:pt idx="13">
                  <c:v>Glu </c:v>
                </c:pt>
                <c:pt idx="14">
                  <c:v>Pro </c:v>
                </c:pt>
                <c:pt idx="15">
                  <c:v>Ser </c:v>
                </c:pt>
                <c:pt idx="16">
                  <c:v>Tyr </c:v>
                </c:pt>
              </c:strCache>
            </c:strRef>
          </c:cat>
          <c:val>
            <c:numRef>
              <c:f>AAS!$B$13:$R$13</c:f>
              <c:numCache>
                <c:formatCode>0.00</c:formatCode>
                <c:ptCount val="17"/>
                <c:pt idx="0">
                  <c:v>2.6695526695526697</c:v>
                </c:pt>
                <c:pt idx="1">
                  <c:v>1.4945372088229232</c:v>
                </c:pt>
                <c:pt idx="2">
                  <c:v>2.8756957328385901</c:v>
                </c:pt>
                <c:pt idx="3">
                  <c:v>4.0507111935683362</c:v>
                </c:pt>
                <c:pt idx="4">
                  <c:v>2.8241599670171098</c:v>
                </c:pt>
                <c:pt idx="5">
                  <c:v>0.68027210884353739</c:v>
                </c:pt>
                <c:pt idx="6">
                  <c:v>1.7934446505875079</c:v>
                </c:pt>
                <c:pt idx="7">
                  <c:v>1.948051948051948</c:v>
                </c:pt>
                <c:pt idx="8">
                  <c:v>3.0612244897959187</c:v>
                </c:pt>
                <c:pt idx="9">
                  <c:v>3.329210472067615</c:v>
                </c:pt>
                <c:pt idx="10">
                  <c:v>4.091939806225521</c:v>
                </c:pt>
                <c:pt idx="11">
                  <c:v>0.44320758606472893</c:v>
                </c:pt>
                <c:pt idx="12">
                  <c:v>2.5974025974025974</c:v>
                </c:pt>
                <c:pt idx="13">
                  <c:v>0.95856524427953005</c:v>
                </c:pt>
                <c:pt idx="14">
                  <c:v>3.329210472067615</c:v>
                </c:pt>
                <c:pt idx="15">
                  <c:v>2.2263450834879408</c:v>
                </c:pt>
              </c:numCache>
            </c:numRef>
          </c:val>
          <c:extLst>
            <c:ext xmlns:c16="http://schemas.microsoft.com/office/drawing/2014/chart" uri="{C3380CC4-5D6E-409C-BE32-E72D297353CC}">
              <c16:uniqueId val="{00000004-D0F1-5B42-A47F-E00D09766AFF}"/>
            </c:ext>
          </c:extLst>
        </c:ser>
        <c:ser>
          <c:idx val="5"/>
          <c:order val="5"/>
          <c:tx>
            <c:strRef>
              <c:f>AAS!$A$14</c:f>
              <c:strCache>
                <c:ptCount val="1"/>
                <c:pt idx="0">
                  <c:v>Bovera et al. [78]</c:v>
                </c:pt>
              </c:strCache>
            </c:strRef>
          </c:tx>
          <c:spPr>
            <a:solidFill>
              <a:schemeClr val="accent6"/>
            </a:solidFill>
            <a:ln>
              <a:noFill/>
            </a:ln>
            <a:effectLst/>
          </c:spPr>
          <c:invertIfNegative val="0"/>
          <c:cat>
            <c:strRef>
              <c:f>AAS!$B$1:$R$1</c:f>
              <c:strCache>
                <c:ptCount val="17"/>
                <c:pt idx="0">
                  <c:v>Arg</c:v>
                </c:pt>
                <c:pt idx="1">
                  <c:v>His</c:v>
                </c:pt>
                <c:pt idx="2">
                  <c:v>Ile </c:v>
                </c:pt>
                <c:pt idx="3">
                  <c:v>Leu </c:v>
                </c:pt>
                <c:pt idx="4">
                  <c:v>Lys </c:v>
                </c:pt>
                <c:pt idx="5">
                  <c:v>Met </c:v>
                </c:pt>
                <c:pt idx="6">
                  <c:v>Phe </c:v>
                </c:pt>
                <c:pt idx="7">
                  <c:v>Thr </c:v>
                </c:pt>
                <c:pt idx="8">
                  <c:v>Val </c:v>
                </c:pt>
                <c:pt idx="9">
                  <c:v>Ala </c:v>
                </c:pt>
                <c:pt idx="10">
                  <c:v>Asp </c:v>
                </c:pt>
                <c:pt idx="11">
                  <c:v>Cys </c:v>
                </c:pt>
                <c:pt idx="12">
                  <c:v>Gly </c:v>
                </c:pt>
                <c:pt idx="13">
                  <c:v>Glu </c:v>
                </c:pt>
                <c:pt idx="14">
                  <c:v>Pro </c:v>
                </c:pt>
                <c:pt idx="15">
                  <c:v>Ser </c:v>
                </c:pt>
                <c:pt idx="16">
                  <c:v>Tyr </c:v>
                </c:pt>
              </c:strCache>
            </c:strRef>
          </c:cat>
          <c:val>
            <c:numRef>
              <c:f>AAS!$B$14:$R$14</c:f>
              <c:numCache>
                <c:formatCode>0.00</c:formatCode>
                <c:ptCount val="17"/>
                <c:pt idx="0">
                  <c:v>2.1337060702875394</c:v>
                </c:pt>
                <c:pt idx="1">
                  <c:v>1.2471246006389776</c:v>
                </c:pt>
                <c:pt idx="2">
                  <c:v>1.5544728434504793</c:v>
                </c:pt>
                <c:pt idx="3">
                  <c:v>2.6715654952076671</c:v>
                </c:pt>
                <c:pt idx="4">
                  <c:v>0.99297124600638975</c:v>
                </c:pt>
                <c:pt idx="5">
                  <c:v>0.47875399361022358</c:v>
                </c:pt>
                <c:pt idx="7">
                  <c:v>1.6017571884984023</c:v>
                </c:pt>
                <c:pt idx="8">
                  <c:v>2.1987220447284344</c:v>
                </c:pt>
                <c:pt idx="9">
                  <c:v>1.0343450479233227</c:v>
                </c:pt>
              </c:numCache>
            </c:numRef>
          </c:val>
          <c:extLst>
            <c:ext xmlns:c16="http://schemas.microsoft.com/office/drawing/2014/chart" uri="{C3380CC4-5D6E-409C-BE32-E72D297353CC}">
              <c16:uniqueId val="{00000005-D0F1-5B42-A47F-E00D09766AFF}"/>
            </c:ext>
          </c:extLst>
        </c:ser>
        <c:dLbls>
          <c:showLegendKey val="0"/>
          <c:showVal val="0"/>
          <c:showCatName val="0"/>
          <c:showSerName val="0"/>
          <c:showPercent val="0"/>
          <c:showBubbleSize val="0"/>
        </c:dLbls>
        <c:gapWidth val="219"/>
        <c:overlap val="-27"/>
        <c:axId val="1316912351"/>
        <c:axId val="1316913311"/>
      </c:barChart>
      <c:catAx>
        <c:axId val="1316912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1316913311"/>
        <c:crosses val="autoZero"/>
        <c:auto val="1"/>
        <c:lblAlgn val="ctr"/>
        <c:lblOffset val="100"/>
        <c:noMultiLvlLbl val="0"/>
      </c:catAx>
      <c:valAx>
        <c:axId val="1316913311"/>
        <c:scaling>
          <c:orientation val="minMax"/>
          <c:max val="7"/>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13169123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900">
          <a:solidFill>
            <a:sysClr val="windowText" lastClr="000000"/>
          </a:solidFill>
          <a:latin typeface="Palatino Linotype" panose="0204050205050503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12623</Words>
  <Characters>71956</Characters>
  <Application>Microsoft Office Word</Application>
  <DocSecurity>0</DocSecurity>
  <Lines>599</Lines>
  <Paragraphs>168</Paragraphs>
  <ScaleCrop>false</ScaleCrop>
  <Company/>
  <LinksUpToDate>false</LinksUpToDate>
  <CharactersWithSpaces>84411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2023-11-23T17:27:00Z</dcterms:created>
  <dcterms:modified xsi:type="dcterms:W3CDTF">2023-11-29T18:00:00Z</dcterms:modified>
</cp:coreProperties>
</file>