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CE2" w:rsidRPr="00AD1CE2" w:rsidRDefault="00AD1CE2" w:rsidP="002E6A7C">
      <w:pPr>
        <w:jc w:val="center"/>
      </w:pPr>
      <w:r w:rsidRPr="00AD1CE2">
        <w:rPr>
          <w:noProof/>
        </w:rPr>
        <w:drawing>
          <wp:inline distT="0" distB="0" distL="0" distR="0" wp14:anchorId="11F13701" wp14:editId="6DD7CC25">
            <wp:extent cx="2382130" cy="6585115"/>
            <wp:effectExtent l="0" t="0" r="0" b="6185"/>
            <wp:docPr id="1058330015" name="Imagem 1" descr="Uma imagem com texto, captura de ecrã, Tipo de letra, 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2130" cy="6585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D1CE2" w:rsidRPr="00AD1CE2" w:rsidRDefault="00AD1CE2" w:rsidP="002E6A7C">
      <w:pPr>
        <w:jc w:val="both"/>
        <w:rPr>
          <w:b/>
          <w:sz w:val="20"/>
          <w:szCs w:val="20"/>
          <w:lang w:bidi="en-US"/>
        </w:rPr>
      </w:pPr>
      <w:r w:rsidRPr="002E6A7C">
        <w:rPr>
          <w:b/>
          <w:sz w:val="20"/>
          <w:szCs w:val="20"/>
          <w:lang w:bidi="en-US"/>
        </w:rPr>
        <w:t xml:space="preserve">Supplementary </w:t>
      </w:r>
      <w:r w:rsidRPr="00AD1CE2">
        <w:rPr>
          <w:b/>
          <w:sz w:val="20"/>
          <w:szCs w:val="20"/>
          <w:lang w:bidi="en-US"/>
        </w:rPr>
        <w:t xml:space="preserve">Figure 1. </w:t>
      </w:r>
      <w:r w:rsidRPr="00AD1CE2">
        <w:rPr>
          <w:bCs/>
          <w:sz w:val="20"/>
          <w:szCs w:val="20"/>
          <w:lang w:bidi="en-US"/>
        </w:rPr>
        <w:t>Pipeline for data analysis</w:t>
      </w:r>
      <w:r w:rsidR="00EE1278" w:rsidRPr="00EE1278">
        <w:rPr>
          <w:bCs/>
          <w:sz w:val="20"/>
          <w:szCs w:val="20"/>
          <w:lang w:bidi="en-US"/>
        </w:rPr>
        <w:t xml:space="preserve"> where</w:t>
      </w:r>
      <w:r w:rsidRPr="00AD1CE2">
        <w:rPr>
          <w:bCs/>
          <w:sz w:val="20"/>
          <w:szCs w:val="20"/>
          <w:lang w:bidi="en-US"/>
        </w:rPr>
        <w:t xml:space="preserve"> different steps </w:t>
      </w:r>
      <w:proofErr w:type="gramStart"/>
      <w:r w:rsidRPr="00AD1CE2">
        <w:rPr>
          <w:bCs/>
          <w:sz w:val="20"/>
          <w:szCs w:val="20"/>
          <w:lang w:bidi="en-US"/>
        </w:rPr>
        <w:t>are</w:t>
      </w:r>
      <w:proofErr w:type="gramEnd"/>
      <w:r w:rsidRPr="00AD1CE2">
        <w:rPr>
          <w:bCs/>
          <w:sz w:val="20"/>
          <w:szCs w:val="20"/>
          <w:lang w:bidi="en-US"/>
        </w:rPr>
        <w:t xml:space="preserve"> </w:t>
      </w:r>
      <w:r w:rsidR="002E6A7C" w:rsidRPr="00EE1278">
        <w:rPr>
          <w:bCs/>
          <w:sz w:val="20"/>
          <w:szCs w:val="20"/>
          <w:lang w:bidi="en-US"/>
        </w:rPr>
        <w:t>shown</w:t>
      </w:r>
      <w:r w:rsidRPr="00AD1CE2">
        <w:rPr>
          <w:bCs/>
          <w:sz w:val="20"/>
          <w:szCs w:val="20"/>
          <w:lang w:bidi="en-US"/>
        </w:rPr>
        <w:t xml:space="preserve"> </w:t>
      </w:r>
      <w:r w:rsidR="002E6A7C" w:rsidRPr="00EE1278">
        <w:rPr>
          <w:bCs/>
          <w:sz w:val="20"/>
          <w:szCs w:val="20"/>
          <w:lang w:bidi="en-US"/>
        </w:rPr>
        <w:t>in</w:t>
      </w:r>
      <w:r w:rsidRPr="00AD1CE2">
        <w:rPr>
          <w:bCs/>
          <w:sz w:val="20"/>
          <w:szCs w:val="20"/>
          <w:lang w:bidi="en-US"/>
        </w:rPr>
        <w:t xml:space="preserve"> the flowchart using distinct </w:t>
      </w:r>
      <w:proofErr w:type="spellStart"/>
      <w:r w:rsidRPr="00AD1CE2">
        <w:rPr>
          <w:bCs/>
          <w:sz w:val="20"/>
          <w:szCs w:val="20"/>
          <w:lang w:bidi="en-US"/>
        </w:rPr>
        <w:t>coloured</w:t>
      </w:r>
      <w:proofErr w:type="spellEnd"/>
      <w:r w:rsidRPr="00AD1CE2">
        <w:rPr>
          <w:bCs/>
          <w:sz w:val="20"/>
          <w:szCs w:val="20"/>
          <w:lang w:bidi="en-US"/>
        </w:rPr>
        <w:t xml:space="preserve"> shapes. Green refers to the Random Forest step, where two-thousand and five-hundred Random Forest runs </w:t>
      </w:r>
      <w:proofErr w:type="gramStart"/>
      <w:r w:rsidRPr="00AD1CE2">
        <w:rPr>
          <w:bCs/>
          <w:sz w:val="20"/>
          <w:szCs w:val="20"/>
          <w:lang w:bidi="en-US"/>
        </w:rPr>
        <w:t>were conducted</w:t>
      </w:r>
      <w:proofErr w:type="gramEnd"/>
      <w:r w:rsidRPr="00AD1CE2">
        <w:rPr>
          <w:bCs/>
          <w:sz w:val="20"/>
          <w:szCs w:val="20"/>
          <w:lang w:bidi="en-US"/>
        </w:rPr>
        <w:t xml:space="preserve"> while changing the model hyperparameters. The average antibody importance </w:t>
      </w:r>
      <w:proofErr w:type="gramStart"/>
      <w:r w:rsidRPr="00AD1CE2">
        <w:rPr>
          <w:bCs/>
          <w:sz w:val="20"/>
          <w:szCs w:val="20"/>
          <w:lang w:bidi="en-US"/>
        </w:rPr>
        <w:t>was then obtained</w:t>
      </w:r>
      <w:proofErr w:type="gramEnd"/>
      <w:r w:rsidRPr="00AD1CE2">
        <w:rPr>
          <w:bCs/>
          <w:sz w:val="20"/>
          <w:szCs w:val="20"/>
          <w:lang w:bidi="en-US"/>
        </w:rPr>
        <w:t xml:space="preserve">, and antibodies were sorted according to their average importance. Light orange refers to the steps concerning the classifier construction and assessment of its train and test predictive accuracies using the </w:t>
      </w:r>
      <w:proofErr w:type="spellStart"/>
      <w:r w:rsidRPr="00AD1CE2">
        <w:rPr>
          <w:bCs/>
          <w:sz w:val="20"/>
          <w:szCs w:val="20"/>
          <w:lang w:bidi="en-US"/>
        </w:rPr>
        <w:t>SuperLearner</w:t>
      </w:r>
      <w:proofErr w:type="spellEnd"/>
      <w:r w:rsidRPr="00AD1CE2">
        <w:rPr>
          <w:bCs/>
          <w:sz w:val="20"/>
          <w:szCs w:val="20"/>
          <w:lang w:bidi="en-US"/>
        </w:rPr>
        <w:t xml:space="preserve">. The process of creating a classifier and assessing its predictive performance through the </w:t>
      </w:r>
      <w:proofErr w:type="spellStart"/>
      <w:r w:rsidRPr="00AD1CE2">
        <w:rPr>
          <w:bCs/>
          <w:sz w:val="20"/>
          <w:szCs w:val="20"/>
          <w:lang w:bidi="en-US"/>
        </w:rPr>
        <w:t>SuperLearner</w:t>
      </w:r>
      <w:proofErr w:type="spellEnd"/>
      <w:r w:rsidRPr="00AD1CE2">
        <w:rPr>
          <w:bCs/>
          <w:sz w:val="20"/>
          <w:szCs w:val="20"/>
          <w:lang w:bidi="en-US"/>
        </w:rPr>
        <w:t xml:space="preserve"> </w:t>
      </w:r>
      <w:proofErr w:type="gramStart"/>
      <w:r w:rsidRPr="00AD1CE2">
        <w:rPr>
          <w:bCs/>
          <w:sz w:val="20"/>
          <w:szCs w:val="20"/>
          <w:lang w:bidi="en-US"/>
        </w:rPr>
        <w:t>was repeated</w:t>
      </w:r>
      <w:proofErr w:type="gramEnd"/>
      <w:r w:rsidRPr="00AD1CE2">
        <w:rPr>
          <w:bCs/>
          <w:sz w:val="20"/>
          <w:szCs w:val="20"/>
          <w:lang w:bidi="en-US"/>
        </w:rPr>
        <w:t xml:space="preserve">, each time adding a new feature, until the stopping criterium (octagonal shape) was verified. Once a new feature </w:t>
      </w:r>
      <w:proofErr w:type="gramStart"/>
      <w:r w:rsidRPr="00AD1CE2">
        <w:rPr>
          <w:bCs/>
          <w:sz w:val="20"/>
          <w:szCs w:val="20"/>
          <w:lang w:bidi="en-US"/>
        </w:rPr>
        <w:t>was added</w:t>
      </w:r>
      <w:proofErr w:type="gramEnd"/>
      <w:r w:rsidRPr="00AD1CE2">
        <w:rPr>
          <w:bCs/>
          <w:sz w:val="20"/>
          <w:szCs w:val="20"/>
          <w:lang w:bidi="en-US"/>
        </w:rPr>
        <w:t xml:space="preserve"> to the construct, the Spearman coefficient was obtained to remove highly correlated features. The flowchart ended by selecting the optimal classifier, the one with the minimum number of antibody responses (</w:t>
      </w:r>
      <w:proofErr w:type="spellStart"/>
      <w:r w:rsidRPr="00AD1CE2">
        <w:rPr>
          <w:bCs/>
          <w:sz w:val="20"/>
          <w:szCs w:val="20"/>
          <w:lang w:bidi="en-US"/>
        </w:rPr>
        <w:t>k</w:t>
      </w:r>
      <w:r w:rsidRPr="00AD1CE2">
        <w:rPr>
          <w:bCs/>
          <w:sz w:val="20"/>
          <w:szCs w:val="20"/>
          <w:vertAlign w:val="subscript"/>
          <w:lang w:bidi="en-US"/>
        </w:rPr>
        <w:t>min</w:t>
      </w:r>
      <w:proofErr w:type="spellEnd"/>
      <w:r w:rsidRPr="00AD1CE2">
        <w:rPr>
          <w:bCs/>
          <w:sz w:val="20"/>
          <w:szCs w:val="20"/>
          <w:lang w:bidi="en-US"/>
        </w:rPr>
        <w:t xml:space="preserve">), while simultaneously achieving a train and test accuracy above or equal to 0.85. If the accuracy of 0.85 </w:t>
      </w:r>
      <w:proofErr w:type="gramStart"/>
      <w:r w:rsidRPr="00AD1CE2">
        <w:rPr>
          <w:bCs/>
          <w:sz w:val="20"/>
          <w:szCs w:val="20"/>
          <w:lang w:bidi="en-US"/>
        </w:rPr>
        <w:t>was not met</w:t>
      </w:r>
      <w:proofErr w:type="gramEnd"/>
      <w:r w:rsidRPr="00AD1CE2">
        <w:rPr>
          <w:bCs/>
          <w:sz w:val="20"/>
          <w:szCs w:val="20"/>
          <w:lang w:bidi="en-US"/>
        </w:rPr>
        <w:t>, the classifier with the minimum number of antibody responses and highest accuracy would be considered the best classifier.</w:t>
      </w:r>
    </w:p>
    <w:p w:rsidR="002E6A7C" w:rsidRDefault="002E6A7C">
      <w:r>
        <w:br w:type="page"/>
      </w:r>
    </w:p>
    <w:p w:rsidR="00F57F62" w:rsidRDefault="00201DCD" w:rsidP="002E6A7C">
      <w:pPr>
        <w:jc w:val="both"/>
        <w:rPr>
          <w:b/>
          <w:sz w:val="20"/>
          <w:szCs w:val="20"/>
          <w:lang w:bidi="en-US"/>
        </w:rPr>
      </w:pPr>
      <w:r>
        <w:rPr>
          <w:b/>
          <w:noProof/>
          <w:sz w:val="20"/>
          <w:szCs w:val="20"/>
          <w:lang w:bidi="en-US"/>
        </w:rPr>
        <w:lastRenderedPageBreak/>
        <w:drawing>
          <wp:inline distT="0" distB="0" distL="0" distR="0">
            <wp:extent cx="5727700" cy="3535680"/>
            <wp:effectExtent l="0" t="0" r="0" b="0"/>
            <wp:docPr id="40976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6716" name="Picture 409767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7C" w:rsidRDefault="002E6A7C" w:rsidP="002E6A7C">
      <w:pPr>
        <w:jc w:val="both"/>
        <w:rPr>
          <w:bCs/>
          <w:sz w:val="20"/>
          <w:szCs w:val="20"/>
          <w:lang w:bidi="en-US"/>
        </w:rPr>
      </w:pPr>
      <w:r w:rsidRPr="002E6A7C">
        <w:rPr>
          <w:b/>
          <w:sz w:val="20"/>
          <w:szCs w:val="20"/>
          <w:lang w:bidi="en-US"/>
        </w:rPr>
        <w:t xml:space="preserve">Supplementary </w:t>
      </w:r>
      <w:r w:rsidRPr="00AD1CE2">
        <w:rPr>
          <w:b/>
          <w:sz w:val="20"/>
          <w:szCs w:val="20"/>
          <w:lang w:bidi="en-US"/>
        </w:rPr>
        <w:t xml:space="preserve">Figure </w:t>
      </w:r>
      <w:r>
        <w:rPr>
          <w:b/>
          <w:sz w:val="20"/>
          <w:szCs w:val="20"/>
          <w:lang w:bidi="en-US"/>
        </w:rPr>
        <w:t>2</w:t>
      </w:r>
      <w:r w:rsidRPr="00AD1CE2">
        <w:rPr>
          <w:b/>
          <w:sz w:val="20"/>
          <w:szCs w:val="20"/>
          <w:lang w:bidi="en-US"/>
        </w:rPr>
        <w:t xml:space="preserve">. </w:t>
      </w:r>
      <w:r w:rsidR="00F57F62" w:rsidRPr="00F57F62">
        <w:rPr>
          <w:bCs/>
          <w:sz w:val="20"/>
          <w:szCs w:val="20"/>
          <w:lang w:bidi="en-US"/>
        </w:rPr>
        <w:t>Boxplot</w:t>
      </w:r>
      <w:r w:rsidRPr="00F57F62">
        <w:rPr>
          <w:bCs/>
          <w:sz w:val="20"/>
          <w:szCs w:val="20"/>
          <w:lang w:bidi="en-US"/>
        </w:rPr>
        <w:t xml:space="preserve"> of </w:t>
      </w:r>
      <w:r w:rsidR="00F57F62" w:rsidRPr="00F57F62">
        <w:rPr>
          <w:bCs/>
          <w:sz w:val="20"/>
          <w:szCs w:val="20"/>
          <w:lang w:bidi="en-US"/>
        </w:rPr>
        <w:t xml:space="preserve">data related to </w:t>
      </w:r>
      <w:r w:rsidRPr="00F57F62">
        <w:rPr>
          <w:bCs/>
          <w:sz w:val="20"/>
          <w:szCs w:val="20"/>
          <w:lang w:bidi="en-US"/>
        </w:rPr>
        <w:t>IgG antibod</w:t>
      </w:r>
      <w:r w:rsidR="00F57F62" w:rsidRPr="00F57F62">
        <w:rPr>
          <w:bCs/>
          <w:sz w:val="20"/>
          <w:szCs w:val="20"/>
          <w:lang w:bidi="en-US"/>
        </w:rPr>
        <w:t>y</w:t>
      </w:r>
      <w:r w:rsidRPr="00F57F62">
        <w:rPr>
          <w:bCs/>
          <w:sz w:val="20"/>
          <w:szCs w:val="20"/>
          <w:lang w:bidi="en-US"/>
        </w:rPr>
        <w:t xml:space="preserve"> against EBNA1_0430</w:t>
      </w:r>
      <w:r w:rsidR="00EE1278" w:rsidRPr="00F57F62">
        <w:rPr>
          <w:bCs/>
          <w:sz w:val="20"/>
          <w:szCs w:val="20"/>
          <w:lang w:bidi="en-US"/>
        </w:rPr>
        <w:t xml:space="preserve"> </w:t>
      </w:r>
      <w:r w:rsidR="00F57F62" w:rsidRPr="00F57F62">
        <w:rPr>
          <w:bCs/>
          <w:sz w:val="20"/>
          <w:szCs w:val="20"/>
          <w:lang w:bidi="en-US"/>
        </w:rPr>
        <w:t>in</w:t>
      </w:r>
      <w:r w:rsidR="00EE1278" w:rsidRPr="00F57F62">
        <w:rPr>
          <w:bCs/>
          <w:sz w:val="20"/>
          <w:szCs w:val="20"/>
          <w:lang w:bidi="en-US"/>
        </w:rPr>
        <w:t xml:space="preserve"> </w:t>
      </w:r>
      <w:r w:rsidR="00F57F62" w:rsidRPr="00F57F62">
        <w:rPr>
          <w:bCs/>
          <w:sz w:val="20"/>
          <w:szCs w:val="20"/>
          <w:lang w:bidi="en-US"/>
        </w:rPr>
        <w:t>the whole ME/CFS group (</w:t>
      </w:r>
      <w:r w:rsidR="00661E03">
        <w:rPr>
          <w:bCs/>
          <w:sz w:val="20"/>
          <w:szCs w:val="20"/>
          <w:lang w:bidi="en-US"/>
        </w:rPr>
        <w:t xml:space="preserve">All </w:t>
      </w:r>
      <w:r w:rsidR="00F57F62" w:rsidRPr="00F57F62">
        <w:rPr>
          <w:bCs/>
          <w:sz w:val="20"/>
          <w:szCs w:val="20"/>
          <w:lang w:bidi="en-US"/>
        </w:rPr>
        <w:t>ME/CFS), the ME/CFS subgroup whose patients reported an infectious disease trigger (ME/CFS</w:t>
      </w:r>
      <w:r w:rsidR="00661E03">
        <w:rPr>
          <w:bCs/>
          <w:sz w:val="20"/>
          <w:szCs w:val="20"/>
          <w:lang w:bidi="en-US"/>
        </w:rPr>
        <w:t xml:space="preserve"> </w:t>
      </w:r>
      <w:r w:rsidR="00F57F62" w:rsidRPr="00F57F62">
        <w:rPr>
          <w:bCs/>
          <w:sz w:val="20"/>
          <w:szCs w:val="20"/>
          <w:lang w:bidi="en-US"/>
        </w:rPr>
        <w:t>I</w:t>
      </w:r>
      <w:r w:rsidR="00661E03">
        <w:rPr>
          <w:bCs/>
          <w:sz w:val="20"/>
          <w:szCs w:val="20"/>
          <w:lang w:bidi="en-US"/>
        </w:rPr>
        <w:t>nfection</w:t>
      </w:r>
      <w:r w:rsidR="00F57F62" w:rsidRPr="00F57F62">
        <w:rPr>
          <w:bCs/>
          <w:sz w:val="20"/>
          <w:szCs w:val="20"/>
          <w:lang w:bidi="en-US"/>
        </w:rPr>
        <w:t>),</w:t>
      </w:r>
      <w:r w:rsidRPr="00AD1CE2">
        <w:rPr>
          <w:bCs/>
          <w:sz w:val="20"/>
          <w:szCs w:val="20"/>
          <w:lang w:bidi="en-US"/>
        </w:rPr>
        <w:t xml:space="preserve"> </w:t>
      </w:r>
      <w:r w:rsidR="00F57F62" w:rsidRPr="00F57F62">
        <w:rPr>
          <w:bCs/>
          <w:sz w:val="20"/>
          <w:szCs w:val="20"/>
          <w:lang w:bidi="en-US"/>
        </w:rPr>
        <w:t>the ME/CFS subgroup whose patients reported a non-infectious disease trigger or did not know their disease trigger (ME/CFS</w:t>
      </w:r>
      <w:r w:rsidR="00661E03">
        <w:rPr>
          <w:bCs/>
          <w:sz w:val="20"/>
          <w:szCs w:val="20"/>
          <w:lang w:bidi="en-US"/>
        </w:rPr>
        <w:t xml:space="preserve"> Other</w:t>
      </w:r>
      <w:r w:rsidR="00F57F62" w:rsidRPr="00F57F62">
        <w:rPr>
          <w:bCs/>
          <w:sz w:val="20"/>
          <w:szCs w:val="20"/>
          <w:lang w:bidi="en-US"/>
        </w:rPr>
        <w:t>), and their healthy controls.</w:t>
      </w:r>
      <w:r w:rsidR="00661E03">
        <w:rPr>
          <w:bCs/>
          <w:sz w:val="20"/>
          <w:szCs w:val="20"/>
          <w:lang w:bidi="en-US"/>
        </w:rPr>
        <w:t xml:space="preserve"> Differences in antibody distributions between ME/CFS group/subgroups and healthy controls were not statistically significant according to the Mann-Whitney-Wilcoxon test  with continuity correction (</w:t>
      </w:r>
      <w:r w:rsidR="00661E03">
        <w:rPr>
          <w:bCs/>
          <w:sz w:val="20"/>
          <w:szCs w:val="20"/>
          <w:lang w:bidi="en-US"/>
        </w:rPr>
        <w:t>All ME/CFS versus HC</w:t>
      </w:r>
      <w:r w:rsidR="00661E03">
        <w:rPr>
          <w:bCs/>
          <w:sz w:val="20"/>
          <w:szCs w:val="20"/>
          <w:lang w:bidi="en-US"/>
        </w:rPr>
        <w:t xml:space="preserve">, p-value = </w:t>
      </w:r>
      <w:r w:rsidR="00661E03" w:rsidRPr="00661E03">
        <w:rPr>
          <w:bCs/>
          <w:sz w:val="20"/>
          <w:szCs w:val="20"/>
          <w:lang w:bidi="en-US"/>
        </w:rPr>
        <w:t>0.4</w:t>
      </w:r>
      <w:r w:rsidR="00661E03">
        <w:rPr>
          <w:bCs/>
          <w:sz w:val="20"/>
          <w:szCs w:val="20"/>
          <w:lang w:bidi="en-US"/>
        </w:rPr>
        <w:t xml:space="preserve">10; </w:t>
      </w:r>
      <w:r w:rsidR="00661E03">
        <w:rPr>
          <w:bCs/>
          <w:sz w:val="20"/>
          <w:szCs w:val="20"/>
          <w:lang w:bidi="en-US"/>
        </w:rPr>
        <w:t>ME/CFS Infection versus HC</w:t>
      </w:r>
      <w:r w:rsidR="00661E03">
        <w:rPr>
          <w:bCs/>
          <w:sz w:val="20"/>
          <w:szCs w:val="20"/>
          <w:lang w:bidi="en-US"/>
        </w:rPr>
        <w:t xml:space="preserve">, </w:t>
      </w:r>
      <w:r w:rsidR="00661E03">
        <w:rPr>
          <w:bCs/>
          <w:sz w:val="20"/>
          <w:szCs w:val="20"/>
          <w:lang w:bidi="en-US"/>
        </w:rPr>
        <w:t>p-value =</w:t>
      </w:r>
      <w:r w:rsidR="00661E03" w:rsidRPr="00661E03">
        <w:t xml:space="preserve"> </w:t>
      </w:r>
      <w:r w:rsidR="00661E03" w:rsidRPr="00661E03">
        <w:rPr>
          <w:bCs/>
          <w:sz w:val="20"/>
          <w:szCs w:val="20"/>
          <w:lang w:bidi="en-US"/>
        </w:rPr>
        <w:t>0.62</w:t>
      </w:r>
      <w:r w:rsidR="00661E03">
        <w:rPr>
          <w:bCs/>
          <w:sz w:val="20"/>
          <w:szCs w:val="20"/>
          <w:lang w:bidi="en-US"/>
        </w:rPr>
        <w:t xml:space="preserve">6; </w:t>
      </w:r>
      <w:r w:rsidR="00661E03">
        <w:rPr>
          <w:bCs/>
          <w:sz w:val="20"/>
          <w:szCs w:val="20"/>
          <w:lang w:bidi="en-US"/>
        </w:rPr>
        <w:t xml:space="preserve"> ME/CFS Infection versus HC, p-value =</w:t>
      </w:r>
      <w:r w:rsidR="00661E03" w:rsidRPr="00661E03">
        <w:t xml:space="preserve"> </w:t>
      </w:r>
      <w:r w:rsidR="00661E03" w:rsidRPr="00661E03">
        <w:rPr>
          <w:bCs/>
          <w:sz w:val="20"/>
          <w:szCs w:val="20"/>
          <w:lang w:bidi="en-US"/>
        </w:rPr>
        <w:t>0.322</w:t>
      </w:r>
      <w:r w:rsidR="00661E03">
        <w:rPr>
          <w:bCs/>
          <w:sz w:val="20"/>
          <w:szCs w:val="20"/>
          <w:lang w:bidi="en-US"/>
        </w:rPr>
        <w:t>).</w:t>
      </w:r>
    </w:p>
    <w:p w:rsidR="002E6A7C" w:rsidRDefault="002E6A7C">
      <w:pPr>
        <w:rPr>
          <w:bCs/>
          <w:sz w:val="20"/>
          <w:szCs w:val="20"/>
          <w:lang w:bidi="en-US"/>
        </w:rPr>
      </w:pPr>
      <w:r>
        <w:rPr>
          <w:bCs/>
          <w:sz w:val="20"/>
          <w:szCs w:val="20"/>
          <w:lang w:bidi="en-US"/>
        </w:rPr>
        <w:br w:type="page"/>
      </w:r>
    </w:p>
    <w:p w:rsidR="002E6A7C" w:rsidRDefault="00AE59D8" w:rsidP="002E6A7C">
      <w:pPr>
        <w:jc w:val="both"/>
        <w:rPr>
          <w:b/>
          <w:sz w:val="20"/>
          <w:szCs w:val="20"/>
          <w:lang w:bidi="en-US"/>
        </w:rPr>
      </w:pPr>
      <w:r>
        <w:rPr>
          <w:b/>
          <w:noProof/>
          <w:sz w:val="20"/>
          <w:szCs w:val="20"/>
          <w:lang w:bidi="en-US"/>
        </w:rPr>
        <w:lastRenderedPageBreak/>
        <w:drawing>
          <wp:inline distT="0" distB="0" distL="0" distR="0">
            <wp:extent cx="5727700" cy="3491865"/>
            <wp:effectExtent l="0" t="0" r="0" b="635"/>
            <wp:docPr id="820125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25697" name="Picture 8201256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A7C" w:rsidRPr="002E6A7C" w:rsidRDefault="002E6A7C" w:rsidP="002E6A7C">
      <w:pPr>
        <w:jc w:val="both"/>
        <w:rPr>
          <w:sz w:val="20"/>
          <w:szCs w:val="20"/>
          <w:lang w:bidi="en-US"/>
        </w:rPr>
      </w:pPr>
      <w:r w:rsidRPr="002E6A7C">
        <w:rPr>
          <w:b/>
          <w:sz w:val="20"/>
          <w:szCs w:val="20"/>
          <w:lang w:bidi="en-US"/>
        </w:rPr>
        <w:t xml:space="preserve">Supplementary </w:t>
      </w:r>
      <w:r w:rsidRPr="00AD1CE2">
        <w:rPr>
          <w:b/>
          <w:sz w:val="20"/>
          <w:szCs w:val="20"/>
          <w:lang w:bidi="en-US"/>
        </w:rPr>
        <w:t xml:space="preserve">Figure </w:t>
      </w:r>
      <w:r>
        <w:rPr>
          <w:b/>
          <w:sz w:val="20"/>
          <w:szCs w:val="20"/>
          <w:lang w:bidi="en-US"/>
        </w:rPr>
        <w:t>3</w:t>
      </w:r>
      <w:r w:rsidRPr="00AD1CE2">
        <w:rPr>
          <w:b/>
          <w:sz w:val="20"/>
          <w:szCs w:val="20"/>
          <w:lang w:bidi="en-US"/>
        </w:rPr>
        <w:t xml:space="preserve">. </w:t>
      </w:r>
      <w:r w:rsidRPr="002E6A7C">
        <w:rPr>
          <w:sz w:val="20"/>
          <w:szCs w:val="20"/>
          <w:lang w:bidi="en-US"/>
        </w:rPr>
        <w:t xml:space="preserve">Scatterplot between the average importance of each EBV </w:t>
      </w:r>
      <w:r w:rsidR="00EE1278">
        <w:rPr>
          <w:sz w:val="20"/>
          <w:szCs w:val="20"/>
          <w:lang w:bidi="en-US"/>
        </w:rPr>
        <w:t>peptide</w:t>
      </w:r>
      <w:r w:rsidRPr="002E6A7C">
        <w:rPr>
          <w:sz w:val="20"/>
          <w:szCs w:val="20"/>
          <w:lang w:bidi="en-US"/>
        </w:rPr>
        <w:t xml:space="preserve"> associated with the 26 selected antibodies and the maximum E-score alignment score with human proteins using the nr protein database where R is the Spearman’s correlation coefficient with the respective 95% confidence interval in brackets. </w:t>
      </w:r>
    </w:p>
    <w:p w:rsidR="002E6A7C" w:rsidRPr="00AD1CE2" w:rsidRDefault="002E6A7C" w:rsidP="002E6A7C">
      <w:pPr>
        <w:jc w:val="both"/>
        <w:rPr>
          <w:b/>
          <w:sz w:val="20"/>
          <w:szCs w:val="20"/>
          <w:lang w:bidi="en-US"/>
        </w:rPr>
      </w:pPr>
    </w:p>
    <w:p w:rsidR="00E941E0" w:rsidRDefault="00000000"/>
    <w:sectPr w:rsidR="00E941E0" w:rsidSect="005839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E2"/>
    <w:rsid w:val="0008337B"/>
    <w:rsid w:val="00086B70"/>
    <w:rsid w:val="0009144E"/>
    <w:rsid w:val="00107FE7"/>
    <w:rsid w:val="00201DCD"/>
    <w:rsid w:val="00233E52"/>
    <w:rsid w:val="002E6A7C"/>
    <w:rsid w:val="0037236C"/>
    <w:rsid w:val="00423A80"/>
    <w:rsid w:val="005776E9"/>
    <w:rsid w:val="0058394F"/>
    <w:rsid w:val="00587E48"/>
    <w:rsid w:val="00661E03"/>
    <w:rsid w:val="007775C7"/>
    <w:rsid w:val="007C2640"/>
    <w:rsid w:val="00907558"/>
    <w:rsid w:val="009252EF"/>
    <w:rsid w:val="00927442"/>
    <w:rsid w:val="00AD1CE2"/>
    <w:rsid w:val="00AE59D8"/>
    <w:rsid w:val="00BA49E0"/>
    <w:rsid w:val="00E012F6"/>
    <w:rsid w:val="00EE1278"/>
    <w:rsid w:val="00F37F1D"/>
    <w:rsid w:val="00F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0900A"/>
  <w15:chartTrackingRefBased/>
  <w15:docId w15:val="{0CD1B826-AE8C-DB4A-8408-2E1BB31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Sepulveda</dc:creator>
  <cp:keywords/>
  <dc:description/>
  <cp:lastModifiedBy>Nuno Sepulveda</cp:lastModifiedBy>
  <cp:revision>6</cp:revision>
  <dcterms:created xsi:type="dcterms:W3CDTF">2023-11-21T20:17:00Z</dcterms:created>
  <dcterms:modified xsi:type="dcterms:W3CDTF">2023-11-22T14:21:00Z</dcterms:modified>
</cp:coreProperties>
</file>