
<file path=[Content_Types].xml><?xml version="1.0" encoding="utf-8"?>
<Types xmlns="http://schemas.openxmlformats.org/package/2006/content-types">
  <Default Extension="xml" ContentType="application/xml"/>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both"/>
        <w:rPr>
          <w:b/>
          <w:color w:val="auto"/>
          <w:sz w:val="32"/>
          <w:szCs w:val="32"/>
          <w:lang w:val="en-US"/>
        </w:rPr>
      </w:pPr>
      <w:bookmarkStart w:id="0" w:name="_Hlk60360785"/>
      <w:bookmarkStart w:id="1" w:name="_Hlk139015736"/>
      <w:r>
        <w:rPr>
          <w:rFonts w:hint="default" w:ascii="Palatino Linotype" w:hAnsi="Palatino Linotype" w:cs="Palatino Linotype"/>
          <w:b/>
          <w:color w:val="auto"/>
          <w:sz w:val="22"/>
          <w:szCs w:val="22"/>
          <w:lang w:val="en-US"/>
        </w:rPr>
        <w:t>Grapevine trunk diseases in Greece: Disease incidence and fungi involved</w:t>
      </w:r>
      <w:bookmarkEnd w:id="0"/>
      <w:r>
        <w:rPr>
          <w:rFonts w:hint="default" w:ascii="Palatino Linotype" w:hAnsi="Palatino Linotype" w:cs="Palatino Linotype"/>
          <w:b/>
          <w:color w:val="auto"/>
          <w:sz w:val="22"/>
          <w:szCs w:val="22"/>
          <w:lang w:val="en-US"/>
        </w:rPr>
        <w:t xml:space="preserve"> in discrete geographical zones and varieties</w:t>
      </w:r>
    </w:p>
    <w:p>
      <w:pPr>
        <w:autoSpaceDE w:val="0"/>
        <w:autoSpaceDN w:val="0"/>
        <w:adjustRightInd w:val="0"/>
        <w:spacing w:line="480" w:lineRule="auto"/>
        <w:jc w:val="both"/>
        <w:rPr>
          <w:b/>
          <w:color w:val="auto"/>
          <w:lang w:val="en-US"/>
        </w:rPr>
      </w:pPr>
    </w:p>
    <w:p>
      <w:pPr>
        <w:spacing w:line="240" w:lineRule="auto"/>
        <w:jc w:val="both"/>
        <w:rPr>
          <w:rFonts w:hint="default" w:ascii="Palatino Linotype" w:hAnsi="Palatino Linotype" w:cs="Palatino Linotype"/>
          <w:color w:val="auto"/>
          <w:sz w:val="20"/>
          <w:szCs w:val="20"/>
          <w:lang w:val="en-US"/>
        </w:rPr>
      </w:pPr>
      <w:r>
        <w:rPr>
          <w:rFonts w:hint="default" w:ascii="Palatino Linotype" w:hAnsi="Palatino Linotype" w:cs="Palatino Linotype"/>
          <w:color w:val="auto"/>
          <w:sz w:val="20"/>
          <w:szCs w:val="20"/>
          <w:lang w:val="en-US"/>
        </w:rPr>
        <w:t>Stefanos I. Testempasis</w:t>
      </w:r>
      <w:r>
        <w:rPr>
          <w:rFonts w:hint="default" w:ascii="Palatino Linotype" w:hAnsi="Palatino Linotype" w:cs="Palatino Linotype"/>
          <w:color w:val="auto"/>
          <w:sz w:val="20"/>
          <w:szCs w:val="20"/>
          <w:vertAlign w:val="superscript"/>
          <w:lang w:val="en-US"/>
        </w:rPr>
        <w:t>1</w:t>
      </w:r>
      <w:r>
        <w:rPr>
          <w:rFonts w:hint="default" w:ascii="Palatino Linotype" w:hAnsi="Palatino Linotype" w:cs="Palatino Linotype"/>
          <w:color w:val="auto"/>
          <w:sz w:val="20"/>
          <w:szCs w:val="20"/>
          <w:lang w:val="en-US"/>
        </w:rPr>
        <w:t>, Emmanouil A. Markakis</w:t>
      </w:r>
      <w:r>
        <w:rPr>
          <w:rFonts w:hint="default" w:ascii="Palatino Linotype" w:hAnsi="Palatino Linotype" w:cs="Palatino Linotype"/>
          <w:color w:val="auto"/>
          <w:sz w:val="20"/>
          <w:szCs w:val="20"/>
          <w:vertAlign w:val="superscript"/>
          <w:lang w:val="en-US"/>
        </w:rPr>
        <w:t>2,3*</w:t>
      </w:r>
      <w:r>
        <w:rPr>
          <w:rFonts w:hint="default" w:ascii="Palatino Linotype" w:hAnsi="Palatino Linotype" w:cs="Palatino Linotype"/>
          <w:color w:val="auto"/>
          <w:sz w:val="20"/>
          <w:szCs w:val="20"/>
          <w:lang w:val="en-US"/>
        </w:rPr>
        <w:t>, Georgia, I. Tavlaki</w:t>
      </w:r>
      <w:r>
        <w:rPr>
          <w:rFonts w:hint="default" w:ascii="Palatino Linotype" w:hAnsi="Palatino Linotype" w:cs="Palatino Linotype"/>
          <w:color w:val="auto"/>
          <w:sz w:val="20"/>
          <w:szCs w:val="20"/>
          <w:vertAlign w:val="superscript"/>
          <w:lang w:val="en-US"/>
        </w:rPr>
        <w:t>2</w:t>
      </w:r>
      <w:r>
        <w:rPr>
          <w:rFonts w:hint="default" w:ascii="Palatino Linotype" w:hAnsi="Palatino Linotype" w:cs="Palatino Linotype"/>
          <w:color w:val="auto"/>
          <w:sz w:val="20"/>
          <w:szCs w:val="20"/>
          <w:lang w:val="en-US"/>
        </w:rPr>
        <w:t>, Stefanos K. Soultatos</w:t>
      </w:r>
      <w:r>
        <w:rPr>
          <w:rFonts w:hint="default" w:ascii="Palatino Linotype" w:hAnsi="Palatino Linotype" w:cs="Palatino Linotype"/>
          <w:color w:val="auto"/>
          <w:sz w:val="20"/>
          <w:szCs w:val="20"/>
          <w:vertAlign w:val="superscript"/>
          <w:lang w:val="en-US"/>
        </w:rPr>
        <w:t>2,3</w:t>
      </w:r>
      <w:r>
        <w:rPr>
          <w:rFonts w:hint="default" w:ascii="Palatino Linotype" w:hAnsi="Palatino Linotype" w:cs="Palatino Linotype"/>
          <w:color w:val="auto"/>
          <w:sz w:val="20"/>
          <w:szCs w:val="20"/>
          <w:lang w:val="en-US"/>
        </w:rPr>
        <w:t>, Christos Tsoukas</w:t>
      </w:r>
      <w:r>
        <w:rPr>
          <w:rFonts w:hint="default" w:ascii="Palatino Linotype" w:hAnsi="Palatino Linotype" w:cs="Palatino Linotype"/>
          <w:color w:val="auto"/>
          <w:sz w:val="20"/>
          <w:szCs w:val="20"/>
          <w:vertAlign w:val="superscript"/>
          <w:lang w:val="en-US"/>
        </w:rPr>
        <w:t>4</w:t>
      </w:r>
      <w:r>
        <w:rPr>
          <w:rFonts w:hint="default" w:ascii="Palatino Linotype" w:hAnsi="Palatino Linotype" w:cs="Palatino Linotype"/>
          <w:color w:val="auto"/>
          <w:sz w:val="20"/>
          <w:szCs w:val="20"/>
          <w:lang w:val="en-US"/>
        </w:rPr>
        <w:t>, Danai Gkizi</w:t>
      </w:r>
      <w:r>
        <w:rPr>
          <w:rFonts w:hint="default" w:ascii="Palatino Linotype" w:hAnsi="Palatino Linotype" w:cs="Palatino Linotype"/>
          <w:color w:val="auto"/>
          <w:sz w:val="20"/>
          <w:szCs w:val="20"/>
          <w:vertAlign w:val="superscript"/>
          <w:lang w:val="en-US"/>
        </w:rPr>
        <w:t>5</w:t>
      </w:r>
      <w:r>
        <w:rPr>
          <w:rFonts w:hint="default" w:ascii="Palatino Linotype" w:hAnsi="Palatino Linotype" w:cs="Palatino Linotype"/>
          <w:color w:val="auto"/>
          <w:sz w:val="20"/>
          <w:szCs w:val="20"/>
          <w:lang w:val="en-US"/>
        </w:rPr>
        <w:t>, Aliki K. Tzima</w:t>
      </w:r>
      <w:r>
        <w:rPr>
          <w:rFonts w:hint="default" w:ascii="Palatino Linotype" w:hAnsi="Palatino Linotype" w:cs="Palatino Linotype"/>
          <w:color w:val="auto"/>
          <w:sz w:val="20"/>
          <w:szCs w:val="20"/>
          <w:vertAlign w:val="superscript"/>
          <w:lang w:val="en-US"/>
        </w:rPr>
        <w:t>4</w:t>
      </w:r>
      <w:r>
        <w:rPr>
          <w:rFonts w:hint="default" w:ascii="Palatino Linotype" w:hAnsi="Palatino Linotype" w:cs="Palatino Linotype"/>
          <w:color w:val="auto"/>
          <w:sz w:val="20"/>
          <w:szCs w:val="20"/>
          <w:lang w:val="en-US"/>
        </w:rPr>
        <w:t>, Epameinondas Paplomatas</w:t>
      </w:r>
      <w:r>
        <w:rPr>
          <w:rFonts w:hint="default" w:ascii="Palatino Linotype" w:hAnsi="Palatino Linotype" w:cs="Palatino Linotype"/>
          <w:color w:val="auto"/>
          <w:sz w:val="20"/>
          <w:szCs w:val="20"/>
          <w:vertAlign w:val="superscript"/>
          <w:lang w:val="en-US"/>
        </w:rPr>
        <w:t>4</w:t>
      </w:r>
      <w:r>
        <w:rPr>
          <w:rFonts w:hint="default" w:ascii="Palatino Linotype" w:hAnsi="Palatino Linotype" w:cs="Palatino Linotype"/>
          <w:color w:val="auto"/>
          <w:sz w:val="20"/>
          <w:szCs w:val="20"/>
          <w:lang w:val="en-US"/>
        </w:rPr>
        <w:t>, Georgios S. Karaoglanidis</w:t>
      </w:r>
      <w:r>
        <w:rPr>
          <w:rFonts w:hint="default" w:ascii="Palatino Linotype" w:hAnsi="Palatino Linotype" w:cs="Palatino Linotype"/>
          <w:color w:val="auto"/>
          <w:sz w:val="20"/>
          <w:szCs w:val="20"/>
          <w:vertAlign w:val="superscript"/>
          <w:lang w:val="en-US"/>
        </w:rPr>
        <w:t>1</w:t>
      </w:r>
    </w:p>
    <w:p>
      <w:pPr>
        <w:spacing w:line="240" w:lineRule="auto"/>
        <w:jc w:val="both"/>
        <w:rPr>
          <w:rFonts w:hint="default" w:ascii="Palatino Linotype" w:hAnsi="Palatino Linotype" w:cs="Palatino Linotype"/>
          <w:color w:val="auto"/>
          <w:sz w:val="20"/>
          <w:szCs w:val="20"/>
          <w:vertAlign w:val="superscript"/>
          <w:lang w:val="en-US"/>
        </w:rPr>
      </w:pPr>
    </w:p>
    <w:p>
      <w:pPr>
        <w:spacing w:line="240" w:lineRule="auto"/>
        <w:jc w:val="both"/>
        <w:rPr>
          <w:rFonts w:hint="default" w:ascii="Palatino Linotype" w:hAnsi="Palatino Linotype" w:cs="Palatino Linotype"/>
          <w:color w:val="auto"/>
          <w:sz w:val="20"/>
          <w:szCs w:val="20"/>
          <w:lang w:val="en-US"/>
        </w:rPr>
      </w:pPr>
      <w:r>
        <w:rPr>
          <w:rFonts w:hint="default" w:ascii="Palatino Linotype" w:hAnsi="Palatino Linotype" w:cs="Palatino Linotype"/>
          <w:color w:val="auto"/>
          <w:sz w:val="20"/>
          <w:szCs w:val="20"/>
          <w:vertAlign w:val="superscript"/>
          <w:lang w:val="en-US"/>
        </w:rPr>
        <w:t xml:space="preserve">1 </w:t>
      </w:r>
      <w:r>
        <w:rPr>
          <w:rFonts w:hint="default" w:ascii="Palatino Linotype" w:hAnsi="Palatino Linotype" w:cs="Palatino Linotype"/>
          <w:color w:val="auto"/>
          <w:sz w:val="20"/>
          <w:szCs w:val="20"/>
          <w:lang w:val="en-US"/>
        </w:rPr>
        <w:t>Laboratory of Plant Pathology, School of Agriculture, Faculty of Agriculture, Forestry and Natural Environment, Aristotle University of Thessaloniki, 54124 Thessaloniki, Greece</w:t>
      </w:r>
    </w:p>
    <w:p>
      <w:pPr>
        <w:spacing w:line="240" w:lineRule="auto"/>
        <w:jc w:val="both"/>
        <w:rPr>
          <w:rFonts w:hint="default" w:ascii="Palatino Linotype" w:hAnsi="Palatino Linotype" w:cs="Palatino Linotype"/>
          <w:color w:val="auto"/>
          <w:sz w:val="20"/>
          <w:szCs w:val="20"/>
          <w:lang w:val="en-US"/>
        </w:rPr>
      </w:pPr>
      <w:r>
        <w:rPr>
          <w:rFonts w:hint="default" w:ascii="Palatino Linotype" w:hAnsi="Palatino Linotype" w:cs="Palatino Linotype"/>
          <w:color w:val="auto"/>
          <w:sz w:val="20"/>
          <w:szCs w:val="20"/>
          <w:vertAlign w:val="superscript"/>
          <w:lang w:val="en-US"/>
        </w:rPr>
        <w:t xml:space="preserve">2 </w:t>
      </w:r>
      <w:r>
        <w:rPr>
          <w:rFonts w:hint="default" w:ascii="Palatino Linotype" w:hAnsi="Palatino Linotype" w:cs="Palatino Linotype"/>
          <w:color w:val="auto"/>
          <w:sz w:val="20"/>
          <w:szCs w:val="20"/>
          <w:lang w:val="en-US"/>
        </w:rPr>
        <w:t>Laboratory of Mycology, Department of Viticulture, Vegetable Crops, Floriculture and Plant Protection,</w:t>
      </w:r>
      <w:r>
        <w:rPr>
          <w:rFonts w:hint="default" w:ascii="Palatino Linotype" w:hAnsi="Palatino Linotype" w:cs="Palatino Linotype"/>
          <w:color w:val="auto"/>
          <w:sz w:val="20"/>
          <w:szCs w:val="20"/>
          <w:lang w:val="en-GB"/>
        </w:rPr>
        <w:t xml:space="preserve"> </w:t>
      </w:r>
      <w:bookmarkStart w:id="2" w:name="_Hlk105151672"/>
      <w:r>
        <w:rPr>
          <w:rFonts w:hint="default" w:ascii="Palatino Linotype" w:hAnsi="Palatino Linotype" w:cs="Palatino Linotype"/>
          <w:color w:val="auto"/>
          <w:sz w:val="20"/>
          <w:szCs w:val="20"/>
          <w:lang w:val="en-GB"/>
        </w:rPr>
        <w:t>Institute of Olive Tree, Subtropical Crops and Viticulture, Hellenic Agricultural Organization - DIMITRA</w:t>
      </w:r>
      <w:bookmarkEnd w:id="2"/>
      <w:r>
        <w:rPr>
          <w:rFonts w:hint="default" w:ascii="Palatino Linotype" w:hAnsi="Palatino Linotype" w:cs="Palatino Linotype"/>
          <w:color w:val="auto"/>
          <w:sz w:val="20"/>
          <w:szCs w:val="20"/>
          <w:lang w:val="en-GB"/>
        </w:rPr>
        <w:t>,</w:t>
      </w:r>
      <w:r>
        <w:rPr>
          <w:rFonts w:hint="default" w:ascii="Palatino Linotype" w:hAnsi="Palatino Linotype" w:cs="Palatino Linotype"/>
          <w:color w:val="auto"/>
          <w:sz w:val="20"/>
          <w:szCs w:val="20"/>
          <w:lang w:val="en-US"/>
        </w:rPr>
        <w:t xml:space="preserve"> 32</w:t>
      </w:r>
      <w:r>
        <w:rPr>
          <w:rFonts w:hint="default" w:ascii="Palatino Linotype" w:hAnsi="Palatino Linotype" w:cs="Palatino Linotype"/>
          <w:color w:val="auto"/>
          <w:sz w:val="20"/>
          <w:szCs w:val="20"/>
          <w:vertAlign w:val="superscript"/>
          <w:lang w:val="en-US"/>
        </w:rPr>
        <w:t>A</w:t>
      </w:r>
      <w:r>
        <w:rPr>
          <w:rFonts w:hint="default" w:ascii="Palatino Linotype" w:hAnsi="Palatino Linotype" w:cs="Palatino Linotype"/>
          <w:color w:val="auto"/>
          <w:sz w:val="20"/>
          <w:szCs w:val="20"/>
          <w:lang w:val="en-US"/>
        </w:rPr>
        <w:t xml:space="preserve"> Kastorias street, Mesa Katsabas 71307, Heraklion, Crete, Greece</w:t>
      </w:r>
    </w:p>
    <w:p>
      <w:pPr>
        <w:spacing w:line="240" w:lineRule="auto"/>
        <w:jc w:val="both"/>
        <w:rPr>
          <w:rFonts w:hint="default" w:ascii="Palatino Linotype" w:hAnsi="Palatino Linotype" w:cs="Palatino Linotype"/>
          <w:color w:val="auto"/>
          <w:sz w:val="20"/>
          <w:szCs w:val="20"/>
          <w:lang w:val="en-GB"/>
        </w:rPr>
      </w:pPr>
      <w:r>
        <w:rPr>
          <w:rFonts w:hint="default" w:ascii="Palatino Linotype" w:hAnsi="Palatino Linotype" w:cs="Palatino Linotype"/>
          <w:color w:val="auto"/>
          <w:sz w:val="20"/>
          <w:szCs w:val="20"/>
          <w:vertAlign w:val="superscript"/>
          <w:lang w:val="en-US"/>
        </w:rPr>
        <w:t xml:space="preserve">3 </w:t>
      </w:r>
      <w:r>
        <w:rPr>
          <w:rFonts w:hint="default" w:ascii="Palatino Linotype" w:hAnsi="Palatino Linotype" w:cs="Palatino Linotype"/>
          <w:color w:val="auto"/>
          <w:sz w:val="20"/>
          <w:szCs w:val="20"/>
          <w:lang w:val="en-US"/>
        </w:rPr>
        <w:t>Laboratory of Plant Pathology, Department of Agriculture, School of Agricultural Sciences, Hellenic Mediterranean University‎, Stavromenos 71004, Heraklion, Crete, Greece</w:t>
      </w:r>
    </w:p>
    <w:p>
      <w:pPr>
        <w:spacing w:line="240" w:lineRule="auto"/>
        <w:jc w:val="both"/>
        <w:rPr>
          <w:rFonts w:hint="default" w:ascii="Palatino Linotype" w:hAnsi="Palatino Linotype" w:cs="Palatino Linotype"/>
          <w:color w:val="auto"/>
          <w:sz w:val="20"/>
          <w:szCs w:val="20"/>
          <w:lang w:val="en-US"/>
        </w:rPr>
      </w:pPr>
      <w:r>
        <w:rPr>
          <w:rFonts w:hint="default" w:ascii="Palatino Linotype" w:hAnsi="Palatino Linotype" w:cs="Palatino Linotype"/>
          <w:color w:val="auto"/>
          <w:sz w:val="20"/>
          <w:szCs w:val="20"/>
          <w:vertAlign w:val="superscript"/>
          <w:lang w:val="en-US"/>
        </w:rPr>
        <w:t xml:space="preserve">4 </w:t>
      </w:r>
      <w:r>
        <w:rPr>
          <w:rFonts w:hint="default" w:ascii="Palatino Linotype" w:hAnsi="Palatino Linotype" w:cs="Palatino Linotype"/>
          <w:color w:val="auto"/>
          <w:sz w:val="20"/>
          <w:szCs w:val="20"/>
          <w:lang w:val="en-US"/>
        </w:rPr>
        <w:t>Laboratory of Plant Pathology, Department of Crop Science, School of Plant Sciences, Agricultural University of Athens, Iera Odos 75, Votanikos 11855, Athens, Greece</w:t>
      </w:r>
    </w:p>
    <w:p>
      <w:pPr>
        <w:spacing w:line="240" w:lineRule="auto"/>
        <w:jc w:val="both"/>
        <w:rPr>
          <w:rFonts w:hint="default" w:ascii="Palatino Linotype" w:hAnsi="Palatino Linotype" w:cs="Palatino Linotype"/>
          <w:color w:val="auto"/>
          <w:sz w:val="20"/>
          <w:szCs w:val="20"/>
          <w:lang w:val="en-US"/>
        </w:rPr>
      </w:pPr>
      <w:r>
        <w:rPr>
          <w:rFonts w:hint="default" w:ascii="Palatino Linotype" w:hAnsi="Palatino Linotype" w:cs="Palatino Linotype"/>
          <w:color w:val="auto"/>
          <w:sz w:val="20"/>
          <w:szCs w:val="20"/>
          <w:vertAlign w:val="superscript"/>
          <w:lang w:val="en-US"/>
        </w:rPr>
        <w:t xml:space="preserve">5 </w:t>
      </w:r>
      <w:r>
        <w:rPr>
          <w:rFonts w:hint="default" w:ascii="Palatino Linotype" w:hAnsi="Palatino Linotype" w:cs="Palatino Linotype"/>
          <w:color w:val="auto"/>
          <w:sz w:val="20"/>
          <w:szCs w:val="20"/>
          <w:lang w:val="en-US"/>
        </w:rPr>
        <w:t>Department of Wine, Vine and Beverage Sciences, University of West Attica, Ag. Spyridonos 28, 12243, Athens, Greece</w:t>
      </w:r>
    </w:p>
    <w:p>
      <w:pPr>
        <w:spacing w:line="240" w:lineRule="auto"/>
        <w:jc w:val="both"/>
        <w:rPr>
          <w:rFonts w:hint="default" w:ascii="Palatino Linotype" w:hAnsi="Palatino Linotype" w:cs="Palatino Linotype"/>
          <w:color w:val="auto"/>
          <w:sz w:val="20"/>
          <w:szCs w:val="20"/>
          <w:lang w:val="en-US"/>
        </w:rPr>
      </w:pPr>
    </w:p>
    <w:p>
      <w:pPr>
        <w:spacing w:line="240" w:lineRule="auto"/>
        <w:jc w:val="both"/>
        <w:rPr>
          <w:rFonts w:hint="default" w:ascii="Palatino Linotype" w:hAnsi="Palatino Linotype" w:cs="Palatino Linotype"/>
          <w:color w:val="auto"/>
          <w:sz w:val="20"/>
          <w:szCs w:val="20"/>
          <w:lang w:val="en-US"/>
        </w:rPr>
      </w:pPr>
      <w:r>
        <w:rPr>
          <w:rFonts w:hint="default" w:ascii="Palatino Linotype" w:hAnsi="Palatino Linotype" w:cs="Palatino Linotype"/>
          <w:color w:val="auto"/>
          <w:sz w:val="20"/>
          <w:szCs w:val="20"/>
          <w:lang w:val="en-US"/>
        </w:rPr>
        <w:t>*Corresponding author: Emmanouil A. Markakis</w:t>
      </w:r>
    </w:p>
    <w:p>
      <w:pPr>
        <w:spacing w:line="240" w:lineRule="auto"/>
        <w:jc w:val="both"/>
        <w:rPr>
          <w:rFonts w:hint="default" w:ascii="Palatino Linotype" w:hAnsi="Palatino Linotype" w:cs="Palatino Linotype"/>
          <w:color w:val="auto"/>
          <w:sz w:val="20"/>
          <w:szCs w:val="20"/>
          <w:lang w:val="en-US"/>
        </w:rPr>
      </w:pPr>
      <w:r>
        <w:rPr>
          <w:rFonts w:hint="default" w:ascii="Palatino Linotype" w:hAnsi="Palatino Linotype" w:cs="Palatino Linotype"/>
          <w:color w:val="auto"/>
          <w:sz w:val="20"/>
          <w:szCs w:val="20"/>
          <w:lang w:val="en-US"/>
        </w:rPr>
        <w:t xml:space="preserve">E-mail: </w:t>
      </w:r>
      <w:r>
        <w:rPr>
          <w:rFonts w:hint="default" w:ascii="Palatino Linotype" w:hAnsi="Palatino Linotype" w:cs="Palatino Linotype"/>
          <w:color w:val="auto"/>
          <w:sz w:val="20"/>
          <w:szCs w:val="20"/>
        </w:rPr>
        <w:fldChar w:fldCharType="begin"/>
      </w:r>
      <w:r>
        <w:rPr>
          <w:rFonts w:hint="default" w:ascii="Palatino Linotype" w:hAnsi="Palatino Linotype" w:cs="Palatino Linotype"/>
          <w:color w:val="auto"/>
          <w:sz w:val="20"/>
          <w:szCs w:val="20"/>
        </w:rPr>
        <w:instrText xml:space="preserve"> HYPERLINK "mailto:markakis@elgo.gr" </w:instrText>
      </w:r>
      <w:r>
        <w:rPr>
          <w:rFonts w:hint="default" w:ascii="Palatino Linotype" w:hAnsi="Palatino Linotype" w:cs="Palatino Linotype"/>
          <w:color w:val="auto"/>
          <w:sz w:val="20"/>
          <w:szCs w:val="20"/>
        </w:rPr>
        <w:fldChar w:fldCharType="separate"/>
      </w:r>
      <w:r>
        <w:rPr>
          <w:rStyle w:val="15"/>
          <w:rFonts w:hint="default" w:ascii="Palatino Linotype" w:hAnsi="Palatino Linotype" w:cs="Palatino Linotype"/>
          <w:color w:val="auto"/>
          <w:sz w:val="20"/>
          <w:szCs w:val="20"/>
          <w:lang w:val="en-US"/>
        </w:rPr>
        <w:t>markakis@elgo.gr</w:t>
      </w:r>
      <w:r>
        <w:rPr>
          <w:rStyle w:val="15"/>
          <w:rFonts w:hint="default" w:ascii="Palatino Linotype" w:hAnsi="Palatino Linotype" w:cs="Palatino Linotype"/>
          <w:color w:val="auto"/>
          <w:sz w:val="20"/>
          <w:szCs w:val="20"/>
          <w:lang w:val="en-US"/>
        </w:rPr>
        <w:fldChar w:fldCharType="end"/>
      </w:r>
    </w:p>
    <w:p>
      <w:pPr>
        <w:spacing w:line="480" w:lineRule="auto"/>
        <w:jc w:val="both"/>
        <w:rPr>
          <w:color w:val="auto"/>
          <w:lang w:val="en-US"/>
        </w:rPr>
      </w:pPr>
      <w:r>
        <w:rPr>
          <w:color w:val="auto"/>
          <w:lang w:val="en-US"/>
        </w:rPr>
        <w:br w:type="page"/>
      </w:r>
      <w:bookmarkEnd w:id="1"/>
    </w:p>
    <w:p>
      <w:pPr>
        <w:autoSpaceDE w:val="0"/>
        <w:autoSpaceDN w:val="0"/>
        <w:adjustRightInd w:val="0"/>
        <w:spacing w:line="480" w:lineRule="auto"/>
        <w:jc w:val="both"/>
        <w:rPr>
          <w:color w:val="auto"/>
          <w:lang w:val="en-US"/>
        </w:rPr>
        <w:sectPr>
          <w:headerReference r:id="rId3" w:type="default"/>
          <w:footerReference r:id="rId5" w:type="default"/>
          <w:headerReference r:id="rId4" w:type="even"/>
          <w:footerReference r:id="rId6" w:type="even"/>
          <w:type w:val="continuous"/>
          <w:pgSz w:w="11906" w:h="16838"/>
          <w:pgMar w:top="1440" w:right="1797" w:bottom="1440" w:left="1644" w:header="709" w:footer="709" w:gutter="0"/>
          <w:lnNumType w:countBy="1" w:restart="continuous"/>
          <w:cols w:space="708" w:num="1"/>
          <w:docGrid w:linePitch="360" w:charSpace="0"/>
        </w:sectPr>
      </w:pPr>
    </w:p>
    <w:p>
      <w:pPr>
        <w:autoSpaceDE w:val="0"/>
        <w:autoSpaceDN w:val="0"/>
        <w:adjustRightInd w:val="0"/>
        <w:spacing w:line="480" w:lineRule="auto"/>
        <w:jc w:val="both"/>
        <w:rPr>
          <w:b/>
          <w:bCs/>
          <w:color w:val="auto"/>
          <w:lang w:val="en-US" w:eastAsia="en-US"/>
        </w:rPr>
      </w:pPr>
      <w:r>
        <w:rPr>
          <w:b/>
          <w:bCs/>
          <w:color w:val="auto"/>
          <w:lang w:val="en-US" w:eastAsia="en-US"/>
        </w:rPr>
        <w:drawing>
          <wp:inline distT="0" distB="0" distL="0" distR="0">
            <wp:extent cx="5375275" cy="3800475"/>
            <wp:effectExtent l="0" t="0" r="0" b="952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5275" cy="3800475"/>
                    </a:xfrm>
                    <a:prstGeom prst="rect">
                      <a:avLst/>
                    </a:prstGeom>
                  </pic:spPr>
                </pic:pic>
              </a:graphicData>
            </a:graphic>
          </wp:inline>
        </w:drawing>
      </w:r>
    </w:p>
    <w:p>
      <w:pPr>
        <w:autoSpaceDE w:val="0"/>
        <w:autoSpaceDN w:val="0"/>
        <w:adjustRightInd w:val="0"/>
        <w:spacing w:line="240" w:lineRule="auto"/>
        <w:jc w:val="both"/>
        <w:rPr>
          <w:rFonts w:hint="default" w:ascii="Palatino Linotype" w:hAnsi="Palatino Linotype" w:cs="Palatino Linotype"/>
          <w:b/>
          <w:bCs/>
          <w:color w:val="auto"/>
          <w:sz w:val="18"/>
          <w:szCs w:val="18"/>
          <w:highlight w:val="none"/>
          <w:lang w:val="en-US" w:eastAsia="en-US"/>
        </w:rPr>
      </w:pPr>
      <w:r>
        <w:rPr>
          <w:rFonts w:hint="default" w:ascii="Palatino Linotype" w:hAnsi="Palatino Linotype" w:cs="Palatino Linotype"/>
          <w:b/>
          <w:bCs/>
          <w:color w:val="auto"/>
          <w:sz w:val="18"/>
          <w:szCs w:val="18"/>
          <w:highlight w:val="none"/>
          <w:lang w:val="en-US" w:eastAsia="en-US"/>
        </w:rPr>
        <w:t xml:space="preserve">Supplementary Figure S1. </w:t>
      </w:r>
      <w:r>
        <w:rPr>
          <w:rFonts w:hint="default" w:ascii="Palatino Linotype" w:hAnsi="Palatino Linotype" w:cs="Palatino Linotype"/>
          <w:bCs/>
          <w:color w:val="auto"/>
          <w:sz w:val="18"/>
          <w:szCs w:val="18"/>
          <w:highlight w:val="none"/>
          <w:lang w:val="en-US" w:eastAsia="en-US"/>
        </w:rPr>
        <w:t>Map illustrating the</w:t>
      </w:r>
      <w:r>
        <w:rPr>
          <w:rFonts w:hint="default" w:ascii="Palatino Linotype" w:hAnsi="Palatino Linotype" w:cs="Palatino Linotype"/>
          <w:b/>
          <w:bCs/>
          <w:color w:val="auto"/>
          <w:sz w:val="18"/>
          <w:szCs w:val="18"/>
          <w:highlight w:val="none"/>
          <w:lang w:val="en-US" w:eastAsia="en-US"/>
        </w:rPr>
        <w:t xml:space="preserve"> </w:t>
      </w:r>
      <w:r>
        <w:rPr>
          <w:rFonts w:hint="default" w:ascii="Palatino Linotype" w:hAnsi="Palatino Linotype" w:cs="Palatino Linotype"/>
          <w:bCs/>
          <w:color w:val="auto"/>
          <w:sz w:val="18"/>
          <w:szCs w:val="18"/>
          <w:highlight w:val="none"/>
          <w:lang w:val="en-US" w:eastAsia="en-US"/>
        </w:rPr>
        <w:t>geographical distribution of the surveyed regions across Greece (Northern, Central, and Southern), providing the number of vineyards of the study area's regional coverage.</w:t>
      </w:r>
    </w:p>
    <w:p>
      <w:pPr>
        <w:autoSpaceDE w:val="0"/>
        <w:autoSpaceDN w:val="0"/>
        <w:adjustRightInd w:val="0"/>
        <w:spacing w:line="480" w:lineRule="auto"/>
        <w:jc w:val="both"/>
        <w:rPr>
          <w:b/>
          <w:bCs/>
          <w:color w:val="auto"/>
          <w:lang w:val="en-US" w:eastAsia="en-US"/>
        </w:rPr>
      </w:pPr>
    </w:p>
    <w:p>
      <w:pPr>
        <w:autoSpaceDE w:val="0"/>
        <w:autoSpaceDN w:val="0"/>
        <w:adjustRightInd w:val="0"/>
        <w:spacing w:line="480" w:lineRule="auto"/>
        <w:jc w:val="both"/>
        <w:rPr>
          <w:b/>
          <w:bCs/>
          <w:color w:val="auto"/>
          <w:lang w:val="en-US" w:eastAsia="en-US"/>
        </w:rPr>
      </w:pPr>
    </w:p>
    <w:p>
      <w:pPr>
        <w:autoSpaceDE w:val="0"/>
        <w:autoSpaceDN w:val="0"/>
        <w:adjustRightInd w:val="0"/>
        <w:spacing w:line="480" w:lineRule="auto"/>
        <w:jc w:val="both"/>
        <w:rPr>
          <w:b/>
          <w:bCs/>
          <w:color w:val="auto"/>
          <w:lang w:val="en-US" w:eastAsia="en-US"/>
        </w:rPr>
      </w:pPr>
    </w:p>
    <w:p>
      <w:pPr>
        <w:autoSpaceDE w:val="0"/>
        <w:autoSpaceDN w:val="0"/>
        <w:adjustRightInd w:val="0"/>
        <w:spacing w:line="480" w:lineRule="auto"/>
        <w:jc w:val="both"/>
        <w:rPr>
          <w:b/>
          <w:color w:val="auto"/>
          <w:lang w:val="en-US"/>
        </w:rPr>
      </w:pPr>
    </w:p>
    <w:p>
      <w:pPr>
        <w:autoSpaceDE w:val="0"/>
        <w:autoSpaceDN w:val="0"/>
        <w:adjustRightInd w:val="0"/>
        <w:spacing w:line="480" w:lineRule="auto"/>
        <w:jc w:val="both"/>
        <w:rPr>
          <w:b/>
          <w:color w:val="auto"/>
          <w:lang w:val="en-US"/>
        </w:rPr>
      </w:pPr>
    </w:p>
    <w:p>
      <w:pPr>
        <w:autoSpaceDE w:val="0"/>
        <w:autoSpaceDN w:val="0"/>
        <w:adjustRightInd w:val="0"/>
        <w:spacing w:line="480" w:lineRule="auto"/>
        <w:jc w:val="both"/>
        <w:rPr>
          <w:b/>
          <w:color w:val="auto"/>
          <w:lang w:val="en-US"/>
        </w:rPr>
      </w:pPr>
    </w:p>
    <w:p>
      <w:pPr>
        <w:autoSpaceDE w:val="0"/>
        <w:autoSpaceDN w:val="0"/>
        <w:adjustRightInd w:val="0"/>
        <w:spacing w:line="480" w:lineRule="auto"/>
        <w:jc w:val="both"/>
        <w:rPr>
          <w:b/>
          <w:color w:val="auto"/>
          <w:lang w:val="en-US"/>
        </w:rPr>
      </w:pPr>
    </w:p>
    <w:p>
      <w:pPr>
        <w:autoSpaceDE w:val="0"/>
        <w:autoSpaceDN w:val="0"/>
        <w:adjustRightInd w:val="0"/>
        <w:spacing w:line="480" w:lineRule="auto"/>
        <w:jc w:val="both"/>
        <w:rPr>
          <w:b/>
          <w:color w:val="auto"/>
          <w:lang w:val="en-US"/>
        </w:rPr>
      </w:pPr>
    </w:p>
    <w:p>
      <w:pPr>
        <w:autoSpaceDE w:val="0"/>
        <w:autoSpaceDN w:val="0"/>
        <w:adjustRightInd w:val="0"/>
        <w:spacing w:line="480" w:lineRule="auto"/>
        <w:jc w:val="both"/>
        <w:rPr>
          <w:b/>
          <w:color w:val="auto"/>
          <w:lang w:val="en-US"/>
        </w:rPr>
        <w:sectPr>
          <w:type w:val="continuous"/>
          <w:pgSz w:w="11906" w:h="16838"/>
          <w:pgMar w:top="1440" w:right="1797" w:bottom="1440" w:left="1644" w:header="709" w:footer="709" w:gutter="0"/>
          <w:lnNumType w:countBy="1" w:restart="continuous"/>
          <w:cols w:space="708" w:num="1"/>
          <w:docGrid w:linePitch="360" w:charSpace="0"/>
        </w:sectPr>
      </w:pPr>
    </w:p>
    <w:p>
      <w:pPr>
        <w:autoSpaceDE w:val="0"/>
        <w:autoSpaceDN w:val="0"/>
        <w:adjustRightInd w:val="0"/>
        <w:spacing w:line="240" w:lineRule="auto"/>
        <w:jc w:val="both"/>
        <w:rPr>
          <w:rFonts w:hint="default" w:ascii="Palatino Linotype" w:hAnsi="Palatino Linotype" w:cs="Palatino Linotype"/>
          <w:color w:val="auto"/>
          <w:sz w:val="18"/>
          <w:szCs w:val="18"/>
          <w:lang w:val="en-US"/>
        </w:rPr>
      </w:pPr>
      <w:r>
        <w:rPr>
          <w:rFonts w:hint="default" w:ascii="Palatino Linotype" w:hAnsi="Palatino Linotype" w:cs="Palatino Linotype"/>
          <w:b/>
          <w:color w:val="auto"/>
          <w:sz w:val="18"/>
          <w:szCs w:val="18"/>
          <w:lang w:val="en-US"/>
        </w:rPr>
        <w:t>Supplementary T</w:t>
      </w:r>
      <w:bookmarkStart w:id="9" w:name="_GoBack"/>
      <w:bookmarkEnd w:id="9"/>
      <w:r>
        <w:rPr>
          <w:rFonts w:hint="default" w:ascii="Palatino Linotype" w:hAnsi="Palatino Linotype" w:cs="Palatino Linotype"/>
          <w:b/>
          <w:color w:val="auto"/>
          <w:sz w:val="18"/>
          <w:szCs w:val="18"/>
          <w:lang w:val="en-US"/>
        </w:rPr>
        <w:t>able S1.</w:t>
      </w:r>
      <w:r>
        <w:rPr>
          <w:rFonts w:hint="default" w:ascii="Palatino Linotype" w:hAnsi="Palatino Linotype" w:cs="Palatino Linotype"/>
          <w:color w:val="auto"/>
          <w:sz w:val="18"/>
          <w:szCs w:val="18"/>
          <w:lang w:val="en-US"/>
        </w:rPr>
        <w:t xml:space="preserve"> Morphological and physiological features of the fungal isolates (mean ± standard error) analyzed in the present study, along with their geographic origin, the plant tissue they were isolated and the GenBank accession numbers determined by the analyses of </w:t>
      </w:r>
      <w:r>
        <w:rPr>
          <w:rStyle w:val="11"/>
          <w:rFonts w:hint="default" w:ascii="Palatino Linotype" w:hAnsi="Palatino Linotype" w:cs="Palatino Linotype"/>
          <w:color w:val="auto"/>
          <w:sz w:val="18"/>
          <w:szCs w:val="18"/>
          <w:lang w:val="en-GB"/>
        </w:rPr>
        <w:t>internal transcribed spacer</w:t>
      </w:r>
      <w:r>
        <w:rPr>
          <w:rStyle w:val="11"/>
          <w:rFonts w:hint="default" w:ascii="Palatino Linotype" w:hAnsi="Palatino Linotype" w:cs="Palatino Linotype"/>
          <w:i w:val="0"/>
          <w:iCs w:val="0"/>
          <w:color w:val="auto"/>
          <w:sz w:val="18"/>
          <w:szCs w:val="18"/>
          <w:lang w:val="en-GB"/>
        </w:rPr>
        <w:t xml:space="preserve"> </w:t>
      </w:r>
      <w:r>
        <w:rPr>
          <w:rStyle w:val="11"/>
          <w:rFonts w:hint="default" w:ascii="Palatino Linotype" w:hAnsi="Palatino Linotype" w:cs="Palatino Linotype"/>
          <w:color w:val="auto"/>
          <w:sz w:val="18"/>
          <w:szCs w:val="18"/>
          <w:lang w:val="en-GB"/>
        </w:rPr>
        <w:t>regions of ribosomal DNA</w:t>
      </w:r>
      <w:r>
        <w:rPr>
          <w:rFonts w:hint="default" w:ascii="Palatino Linotype" w:hAnsi="Palatino Linotype" w:cs="Palatino Linotype"/>
          <w:color w:val="auto"/>
          <w:sz w:val="18"/>
          <w:szCs w:val="18"/>
          <w:lang w:val="en-US"/>
        </w:rPr>
        <w:t xml:space="preserve"> </w:t>
      </w:r>
      <w:r>
        <w:rPr>
          <w:rFonts w:hint="default" w:ascii="Palatino Linotype" w:hAnsi="Palatino Linotype" w:cs="Palatino Linotype"/>
          <w:i/>
          <w:iCs/>
          <w:color w:val="auto"/>
          <w:sz w:val="18"/>
          <w:szCs w:val="18"/>
          <w:lang w:val="en-US"/>
        </w:rPr>
        <w:t>(</w:t>
      </w:r>
      <w:r>
        <w:rPr>
          <w:rStyle w:val="11"/>
          <w:rFonts w:hint="default" w:ascii="Palatino Linotype" w:hAnsi="Palatino Linotype" w:cs="Palatino Linotype"/>
          <w:color w:val="auto"/>
          <w:sz w:val="18"/>
          <w:szCs w:val="18"/>
          <w:lang w:val="en-GB"/>
        </w:rPr>
        <w:t>rDNA-ITS)</w:t>
      </w:r>
      <w:r>
        <w:rPr>
          <w:rStyle w:val="11"/>
          <w:rFonts w:hint="default" w:ascii="Palatino Linotype" w:hAnsi="Palatino Linotype" w:cs="Palatino Linotype"/>
          <w:i w:val="0"/>
          <w:iCs w:val="0"/>
          <w:color w:val="auto"/>
          <w:sz w:val="18"/>
          <w:szCs w:val="18"/>
          <w:lang w:val="en-GB"/>
        </w:rPr>
        <w:t>,</w:t>
      </w:r>
      <w:r>
        <w:rPr>
          <w:rStyle w:val="11"/>
          <w:rFonts w:hint="default" w:ascii="Palatino Linotype" w:hAnsi="Palatino Linotype" w:cs="Palatino Linotype"/>
          <w:color w:val="auto"/>
          <w:sz w:val="18"/>
          <w:szCs w:val="18"/>
          <w:lang w:val="en-GB"/>
        </w:rPr>
        <w:t xml:space="preserve"> rDNA large subunit (LSU)</w:t>
      </w:r>
      <w:r>
        <w:rPr>
          <w:rStyle w:val="11"/>
          <w:rFonts w:hint="default" w:ascii="Palatino Linotype" w:hAnsi="Palatino Linotype" w:cs="Palatino Linotype"/>
          <w:i w:val="0"/>
          <w:iCs w:val="0"/>
          <w:color w:val="auto"/>
          <w:sz w:val="18"/>
          <w:szCs w:val="18"/>
          <w:lang w:val="en-GB"/>
        </w:rPr>
        <w:t xml:space="preserve">, </w:t>
      </w:r>
      <w:r>
        <w:rPr>
          <w:rStyle w:val="11"/>
          <w:rFonts w:hint="default" w:ascii="Palatino Linotype" w:hAnsi="Palatino Linotype" w:cs="Palatino Linotype"/>
          <w:color w:val="auto"/>
          <w:sz w:val="18"/>
          <w:szCs w:val="18"/>
          <w:lang w:val="en-US"/>
        </w:rPr>
        <w:t>translation elongation factor 1-alpha (tef1-</w:t>
      </w:r>
      <w:r>
        <w:rPr>
          <w:rStyle w:val="11"/>
          <w:rFonts w:hint="default" w:ascii="Palatino Linotype" w:hAnsi="Palatino Linotype" w:cs="Palatino Linotype"/>
          <w:color w:val="auto"/>
          <w:sz w:val="18"/>
          <w:szCs w:val="18"/>
        </w:rPr>
        <w:t>α</w:t>
      </w:r>
      <w:r>
        <w:rPr>
          <w:rStyle w:val="11"/>
          <w:rFonts w:hint="default" w:ascii="Palatino Linotype" w:hAnsi="Palatino Linotype" w:cs="Palatino Linotype"/>
          <w:color w:val="auto"/>
          <w:sz w:val="18"/>
          <w:szCs w:val="18"/>
          <w:lang w:val="en-US"/>
        </w:rPr>
        <w:t>)</w:t>
      </w:r>
      <w:r>
        <w:rPr>
          <w:rStyle w:val="11"/>
          <w:rFonts w:hint="default" w:ascii="Palatino Linotype" w:hAnsi="Palatino Linotype" w:cs="Palatino Linotype"/>
          <w:i w:val="0"/>
          <w:iCs w:val="0"/>
          <w:color w:val="auto"/>
          <w:sz w:val="18"/>
          <w:szCs w:val="18"/>
          <w:lang w:val="en-US"/>
        </w:rPr>
        <w:t>,</w:t>
      </w:r>
      <w:r>
        <w:rPr>
          <w:rStyle w:val="11"/>
          <w:rFonts w:hint="default" w:ascii="Palatino Linotype" w:hAnsi="Palatino Linotype" w:cs="Palatino Linotype"/>
          <w:color w:val="auto"/>
          <w:sz w:val="18"/>
          <w:szCs w:val="18"/>
          <w:lang w:val="en-US"/>
        </w:rPr>
        <w:t xml:space="preserve"> β-tubulin (tub2) </w:t>
      </w:r>
      <w:r>
        <w:rPr>
          <w:rStyle w:val="11"/>
          <w:rFonts w:hint="default" w:ascii="Palatino Linotype" w:hAnsi="Palatino Linotype" w:cs="Palatino Linotype"/>
          <w:i w:val="0"/>
          <w:iCs w:val="0"/>
          <w:color w:val="auto"/>
          <w:sz w:val="18"/>
          <w:szCs w:val="18"/>
          <w:lang w:val="en-US"/>
        </w:rPr>
        <w:t>and</w:t>
      </w:r>
      <w:r>
        <w:rPr>
          <w:rStyle w:val="11"/>
          <w:rFonts w:hint="default" w:ascii="Palatino Linotype" w:hAnsi="Palatino Linotype" w:cs="Palatino Linotype"/>
          <w:color w:val="auto"/>
          <w:sz w:val="18"/>
          <w:szCs w:val="18"/>
          <w:lang w:val="en-US"/>
        </w:rPr>
        <w:t xml:space="preserve"> actin (act) </w:t>
      </w:r>
      <w:r>
        <w:rPr>
          <w:rFonts w:hint="default" w:ascii="Palatino Linotype" w:hAnsi="Palatino Linotype" w:cs="Palatino Linotype"/>
          <w:color w:val="auto"/>
          <w:sz w:val="18"/>
          <w:szCs w:val="18"/>
          <w:lang w:val="en-US"/>
        </w:rPr>
        <w:t>gene sequences</w:t>
      </w:r>
    </w:p>
    <w:tbl>
      <w:tblPr>
        <w:tblStyle w:val="4"/>
        <w:tblW w:w="15593" w:type="dxa"/>
        <w:tblInd w:w="-601"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1147"/>
        <w:gridCol w:w="1486"/>
        <w:gridCol w:w="576"/>
        <w:gridCol w:w="1158"/>
        <w:gridCol w:w="1469"/>
        <w:gridCol w:w="988"/>
        <w:gridCol w:w="1685"/>
        <w:gridCol w:w="840"/>
        <w:gridCol w:w="1213"/>
        <w:gridCol w:w="1213"/>
        <w:gridCol w:w="1321"/>
        <w:gridCol w:w="1217"/>
        <w:gridCol w:w="1218"/>
        <w:gridCol w:w="6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9" w:hRule="atLeast"/>
        </w:trPr>
        <w:tc>
          <w:tcPr>
            <w:tcW w:w="1147" w:type="dxa"/>
            <w:tcBorders>
              <w:left w:val="nil"/>
              <w:bottom w:val="nil"/>
              <w:right w:val="nil"/>
            </w:tcBorders>
            <w:shd w:val="clear" w:color="auto" w:fill="auto"/>
          </w:tcPr>
          <w:p>
            <w:pPr>
              <w:autoSpaceDE w:val="0"/>
              <w:autoSpaceDN w:val="0"/>
              <w:adjustRightInd w:val="0"/>
              <w:spacing w:line="480" w:lineRule="auto"/>
              <w:rPr>
                <w:b/>
                <w:bCs/>
                <w:color w:val="auto"/>
                <w:sz w:val="12"/>
                <w:szCs w:val="12"/>
                <w:lang w:val="en-GB"/>
              </w:rPr>
            </w:pPr>
            <w:r>
              <w:rPr>
                <w:b/>
                <w:bCs/>
                <w:color w:val="auto"/>
                <w:sz w:val="12"/>
                <w:szCs w:val="12"/>
                <w:lang w:val="en-GB"/>
              </w:rPr>
              <w:t>Isolate</w:t>
            </w:r>
            <w:r>
              <w:rPr>
                <w:b/>
                <w:bCs/>
                <w:color w:val="auto"/>
                <w:sz w:val="12"/>
                <w:szCs w:val="12"/>
                <w:vertAlign w:val="superscript"/>
                <w:lang w:val="en-GB"/>
              </w:rPr>
              <w:t>a</w:t>
            </w:r>
          </w:p>
        </w:tc>
        <w:tc>
          <w:tcPr>
            <w:tcW w:w="1496" w:type="dxa"/>
            <w:tcBorders>
              <w:left w:val="nil"/>
              <w:bottom w:val="nil"/>
              <w:right w:val="nil"/>
            </w:tcBorders>
            <w:shd w:val="clear" w:color="auto" w:fill="auto"/>
          </w:tcPr>
          <w:p>
            <w:pPr>
              <w:autoSpaceDE w:val="0"/>
              <w:autoSpaceDN w:val="0"/>
              <w:adjustRightInd w:val="0"/>
              <w:spacing w:line="480" w:lineRule="auto"/>
              <w:rPr>
                <w:b/>
                <w:bCs/>
                <w:color w:val="auto"/>
                <w:sz w:val="12"/>
                <w:szCs w:val="12"/>
                <w:lang w:val="en-GB"/>
              </w:rPr>
            </w:pPr>
            <w:r>
              <w:rPr>
                <w:b/>
                <w:bCs/>
                <w:color w:val="auto"/>
                <w:sz w:val="12"/>
                <w:szCs w:val="12"/>
                <w:lang w:val="en-GB"/>
              </w:rPr>
              <w:t>Fungal species</w:t>
            </w:r>
            <w:r>
              <w:rPr>
                <w:b/>
                <w:bCs/>
                <w:color w:val="auto"/>
                <w:sz w:val="12"/>
                <w:szCs w:val="12"/>
                <w:vertAlign w:val="superscript"/>
                <w:lang w:val="en-GB"/>
              </w:rPr>
              <w:t>b</w:t>
            </w:r>
          </w:p>
        </w:tc>
        <w:tc>
          <w:tcPr>
            <w:tcW w:w="510" w:type="dxa"/>
            <w:tcBorders>
              <w:left w:val="nil"/>
              <w:bottom w:val="nil"/>
              <w:right w:val="nil"/>
            </w:tcBorders>
            <w:shd w:val="clear" w:color="auto" w:fill="auto"/>
          </w:tcPr>
          <w:p>
            <w:pPr>
              <w:autoSpaceDE w:val="0"/>
              <w:autoSpaceDN w:val="0"/>
              <w:adjustRightInd w:val="0"/>
              <w:spacing w:line="480" w:lineRule="auto"/>
              <w:rPr>
                <w:b/>
                <w:bCs/>
                <w:color w:val="auto"/>
                <w:sz w:val="12"/>
                <w:szCs w:val="12"/>
                <w:lang w:val="en-GB"/>
              </w:rPr>
            </w:pPr>
            <w:r>
              <w:rPr>
                <w:b/>
                <w:bCs/>
                <w:color w:val="auto"/>
                <w:sz w:val="12"/>
                <w:szCs w:val="12"/>
                <w:lang w:val="en-GB"/>
              </w:rPr>
              <w:t>Vine part</w:t>
            </w:r>
            <w:r>
              <w:rPr>
                <w:b/>
                <w:bCs/>
                <w:color w:val="auto"/>
                <w:sz w:val="12"/>
                <w:szCs w:val="12"/>
                <w:vertAlign w:val="superscript"/>
                <w:lang w:val="en-GB"/>
              </w:rPr>
              <w:t>c</w:t>
            </w:r>
          </w:p>
        </w:tc>
        <w:tc>
          <w:tcPr>
            <w:tcW w:w="1168" w:type="dxa"/>
            <w:tcBorders>
              <w:left w:val="nil"/>
              <w:bottom w:val="nil"/>
              <w:right w:val="nil"/>
            </w:tcBorders>
            <w:shd w:val="clear" w:color="auto" w:fill="auto"/>
          </w:tcPr>
          <w:p>
            <w:pPr>
              <w:autoSpaceDE w:val="0"/>
              <w:autoSpaceDN w:val="0"/>
              <w:adjustRightInd w:val="0"/>
              <w:spacing w:line="480" w:lineRule="auto"/>
              <w:rPr>
                <w:b/>
                <w:bCs/>
                <w:color w:val="auto"/>
                <w:sz w:val="12"/>
                <w:szCs w:val="12"/>
                <w:lang w:val="en-GB"/>
              </w:rPr>
            </w:pPr>
            <w:r>
              <w:rPr>
                <w:b/>
                <w:bCs/>
                <w:color w:val="auto"/>
                <w:sz w:val="12"/>
                <w:szCs w:val="12"/>
                <w:lang w:val="en-GB"/>
              </w:rPr>
              <w:t>Location</w:t>
            </w:r>
          </w:p>
        </w:tc>
        <w:tc>
          <w:tcPr>
            <w:tcW w:w="1486" w:type="dxa"/>
            <w:tcBorders>
              <w:left w:val="nil"/>
              <w:bottom w:val="nil"/>
              <w:right w:val="nil"/>
            </w:tcBorders>
          </w:tcPr>
          <w:p>
            <w:pPr>
              <w:rPr>
                <w:b/>
                <w:color w:val="auto"/>
                <w:sz w:val="12"/>
                <w:szCs w:val="12"/>
                <w:lang w:val="en-US"/>
              </w:rPr>
            </w:pPr>
            <w:r>
              <w:rPr>
                <w:b/>
                <w:color w:val="auto"/>
                <w:sz w:val="12"/>
                <w:szCs w:val="12"/>
              </w:rPr>
              <w:t>Colony color</w:t>
            </w:r>
          </w:p>
        </w:tc>
        <w:tc>
          <w:tcPr>
            <w:tcW w:w="993" w:type="dxa"/>
            <w:tcBorders>
              <w:left w:val="nil"/>
              <w:bottom w:val="nil"/>
              <w:right w:val="nil"/>
            </w:tcBorders>
          </w:tcPr>
          <w:p>
            <w:pPr>
              <w:autoSpaceDE w:val="0"/>
              <w:autoSpaceDN w:val="0"/>
              <w:adjustRightInd w:val="0"/>
              <w:spacing w:line="480" w:lineRule="auto"/>
              <w:rPr>
                <w:b/>
                <w:bCs/>
                <w:color w:val="auto"/>
                <w:sz w:val="12"/>
                <w:szCs w:val="12"/>
                <w:lang w:val="en-GB"/>
              </w:rPr>
            </w:pPr>
            <w:r>
              <w:rPr>
                <w:b/>
                <w:bCs/>
                <w:color w:val="auto"/>
                <w:sz w:val="12"/>
                <w:szCs w:val="12"/>
                <w:lang w:val="en-GB"/>
              </w:rPr>
              <w:t>Growth rate</w:t>
            </w:r>
            <w:r>
              <w:rPr>
                <w:b/>
                <w:bCs/>
                <w:color w:val="auto"/>
                <w:sz w:val="12"/>
                <w:szCs w:val="12"/>
                <w:vertAlign w:val="superscript"/>
                <w:lang w:val="en-GB"/>
              </w:rPr>
              <w:t>d</w:t>
            </w:r>
            <w:r>
              <w:rPr>
                <w:b/>
                <w:bCs/>
                <w:color w:val="auto"/>
                <w:sz w:val="12"/>
                <w:szCs w:val="12"/>
                <w:lang w:val="en-GB"/>
              </w:rPr>
              <w:t xml:space="preserve"> (mm/day)</w:t>
            </w:r>
          </w:p>
        </w:tc>
        <w:tc>
          <w:tcPr>
            <w:tcW w:w="1702" w:type="dxa"/>
            <w:tcBorders>
              <w:left w:val="nil"/>
              <w:bottom w:val="nil"/>
              <w:right w:val="nil"/>
            </w:tcBorders>
            <w:shd w:val="clear" w:color="auto" w:fill="auto"/>
          </w:tcPr>
          <w:p>
            <w:pPr>
              <w:autoSpaceDE w:val="0"/>
              <w:autoSpaceDN w:val="0"/>
              <w:adjustRightInd w:val="0"/>
              <w:spacing w:line="480" w:lineRule="auto"/>
              <w:rPr>
                <w:b/>
                <w:bCs/>
                <w:color w:val="auto"/>
                <w:sz w:val="12"/>
                <w:szCs w:val="12"/>
                <w:lang w:val="en-US"/>
              </w:rPr>
            </w:pPr>
            <w:r>
              <w:rPr>
                <w:b/>
                <w:bCs/>
                <w:color w:val="auto"/>
                <w:sz w:val="12"/>
                <w:szCs w:val="12"/>
                <w:lang w:val="en-GB"/>
              </w:rPr>
              <w:t>Conidial dimensions (</w:t>
            </w:r>
            <w:r>
              <w:rPr>
                <w:b/>
                <w:bCs/>
                <w:color w:val="auto"/>
                <w:sz w:val="12"/>
                <w:szCs w:val="12"/>
              </w:rPr>
              <w:t>μ</w:t>
            </w:r>
            <w:r>
              <w:rPr>
                <w:b/>
                <w:bCs/>
                <w:color w:val="auto"/>
                <w:sz w:val="12"/>
                <w:szCs w:val="12"/>
                <w:lang w:val="en-US"/>
              </w:rPr>
              <w:t>m)</w:t>
            </w:r>
            <w:r>
              <w:rPr>
                <w:b/>
                <w:bCs/>
                <w:color w:val="auto"/>
                <w:sz w:val="12"/>
                <w:szCs w:val="12"/>
                <w:vertAlign w:val="superscript"/>
                <w:lang w:val="en-US"/>
              </w:rPr>
              <w:t>e</w:t>
            </w:r>
          </w:p>
        </w:tc>
        <w:tc>
          <w:tcPr>
            <w:tcW w:w="844" w:type="dxa"/>
            <w:tcBorders>
              <w:left w:val="nil"/>
              <w:bottom w:val="nil"/>
              <w:right w:val="nil"/>
            </w:tcBorders>
          </w:tcPr>
          <w:p>
            <w:pPr>
              <w:autoSpaceDE w:val="0"/>
              <w:autoSpaceDN w:val="0"/>
              <w:adjustRightInd w:val="0"/>
              <w:spacing w:line="480" w:lineRule="auto"/>
              <w:rPr>
                <w:b/>
                <w:bCs/>
                <w:color w:val="auto"/>
                <w:sz w:val="12"/>
                <w:szCs w:val="12"/>
                <w:lang w:val="en-US"/>
              </w:rPr>
            </w:pPr>
            <w:r>
              <w:rPr>
                <w:b/>
                <w:bCs/>
                <w:color w:val="auto"/>
                <w:sz w:val="12"/>
                <w:szCs w:val="12"/>
                <w:lang w:val="en-GB"/>
              </w:rPr>
              <w:t>Hyphae width (</w:t>
            </w:r>
            <w:r>
              <w:rPr>
                <w:b/>
                <w:bCs/>
                <w:color w:val="auto"/>
                <w:sz w:val="12"/>
                <w:szCs w:val="12"/>
              </w:rPr>
              <w:t>μ</w:t>
            </w:r>
            <w:r>
              <w:rPr>
                <w:b/>
                <w:bCs/>
                <w:color w:val="auto"/>
                <w:sz w:val="12"/>
                <w:szCs w:val="12"/>
                <w:lang w:val="en-US"/>
              </w:rPr>
              <w:t>m)</w:t>
            </w:r>
          </w:p>
        </w:tc>
        <w:tc>
          <w:tcPr>
            <w:tcW w:w="6247" w:type="dxa"/>
            <w:gridSpan w:val="6"/>
            <w:tcBorders>
              <w:left w:val="nil"/>
              <w:bottom w:val="single" w:color="auto" w:sz="12" w:space="0"/>
              <w:right w:val="nil"/>
            </w:tcBorders>
            <w:shd w:val="clear" w:color="auto" w:fill="auto"/>
          </w:tcPr>
          <w:p>
            <w:pPr>
              <w:autoSpaceDE w:val="0"/>
              <w:autoSpaceDN w:val="0"/>
              <w:adjustRightInd w:val="0"/>
              <w:spacing w:line="480" w:lineRule="auto"/>
              <w:rPr>
                <w:b/>
                <w:bCs/>
                <w:color w:val="auto"/>
                <w:sz w:val="12"/>
                <w:szCs w:val="12"/>
                <w:lang w:val="en-GB"/>
              </w:rPr>
            </w:pPr>
            <w:bookmarkStart w:id="3" w:name="_Hlk139013826"/>
            <w:r>
              <w:rPr>
                <w:b/>
                <w:bCs/>
                <w:color w:val="auto"/>
                <w:sz w:val="12"/>
                <w:szCs w:val="12"/>
                <w:lang w:val="en-GB"/>
              </w:rPr>
              <w:t>GenBank accession No</w:t>
            </w:r>
            <w:bookmarkEnd w:id="3"/>
            <w:r>
              <w:rPr>
                <w:b/>
                <w:bCs/>
                <w:color w:val="auto"/>
                <w:sz w:val="12"/>
                <w:szCs w:val="12"/>
                <w:lang w:val="en-GB"/>
              </w:rPr>
              <w: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gridAfter w:val="1"/>
          <w:wAfter w:w="63" w:type="dxa"/>
          <w:trHeight w:val="49" w:hRule="atLeast"/>
        </w:trPr>
        <w:tc>
          <w:tcPr>
            <w:tcW w:w="1147" w:type="dxa"/>
            <w:tcBorders>
              <w:top w:val="nil"/>
              <w:left w:val="nil"/>
              <w:bottom w:val="single" w:color="auto" w:sz="12" w:space="0"/>
              <w:right w:val="nil"/>
            </w:tcBorders>
            <w:shd w:val="clear" w:color="auto" w:fill="auto"/>
          </w:tcPr>
          <w:p>
            <w:pPr>
              <w:autoSpaceDE w:val="0"/>
              <w:autoSpaceDN w:val="0"/>
              <w:adjustRightInd w:val="0"/>
              <w:spacing w:line="480" w:lineRule="auto"/>
              <w:rPr>
                <w:b/>
                <w:bCs/>
                <w:color w:val="auto"/>
                <w:sz w:val="12"/>
                <w:szCs w:val="12"/>
                <w:lang w:val="en-GB"/>
              </w:rPr>
            </w:pPr>
          </w:p>
        </w:tc>
        <w:tc>
          <w:tcPr>
            <w:tcW w:w="1496" w:type="dxa"/>
            <w:tcBorders>
              <w:top w:val="nil"/>
              <w:left w:val="nil"/>
              <w:bottom w:val="single" w:color="auto" w:sz="12" w:space="0"/>
              <w:right w:val="nil"/>
            </w:tcBorders>
            <w:shd w:val="clear" w:color="auto" w:fill="auto"/>
          </w:tcPr>
          <w:p>
            <w:pPr>
              <w:autoSpaceDE w:val="0"/>
              <w:autoSpaceDN w:val="0"/>
              <w:adjustRightInd w:val="0"/>
              <w:spacing w:line="480" w:lineRule="auto"/>
              <w:rPr>
                <w:b/>
                <w:bCs/>
                <w:color w:val="auto"/>
                <w:sz w:val="12"/>
                <w:szCs w:val="12"/>
                <w:lang w:val="en-GB"/>
              </w:rPr>
            </w:pPr>
          </w:p>
        </w:tc>
        <w:tc>
          <w:tcPr>
            <w:tcW w:w="510" w:type="dxa"/>
            <w:tcBorders>
              <w:top w:val="nil"/>
              <w:left w:val="nil"/>
              <w:bottom w:val="single" w:color="auto" w:sz="12" w:space="0"/>
              <w:right w:val="nil"/>
            </w:tcBorders>
            <w:shd w:val="clear" w:color="auto" w:fill="auto"/>
          </w:tcPr>
          <w:p>
            <w:pPr>
              <w:autoSpaceDE w:val="0"/>
              <w:autoSpaceDN w:val="0"/>
              <w:adjustRightInd w:val="0"/>
              <w:spacing w:line="480" w:lineRule="auto"/>
              <w:rPr>
                <w:b/>
                <w:bCs/>
                <w:color w:val="auto"/>
                <w:sz w:val="12"/>
                <w:szCs w:val="12"/>
                <w:lang w:val="en-GB"/>
              </w:rPr>
            </w:pPr>
          </w:p>
        </w:tc>
        <w:tc>
          <w:tcPr>
            <w:tcW w:w="1168" w:type="dxa"/>
            <w:tcBorders>
              <w:top w:val="nil"/>
              <w:left w:val="nil"/>
              <w:bottom w:val="single" w:color="auto" w:sz="12" w:space="0"/>
              <w:right w:val="nil"/>
            </w:tcBorders>
            <w:shd w:val="clear" w:color="auto" w:fill="auto"/>
          </w:tcPr>
          <w:p>
            <w:pPr>
              <w:autoSpaceDE w:val="0"/>
              <w:autoSpaceDN w:val="0"/>
              <w:adjustRightInd w:val="0"/>
              <w:spacing w:line="480" w:lineRule="auto"/>
              <w:rPr>
                <w:b/>
                <w:bCs/>
                <w:color w:val="auto"/>
                <w:sz w:val="12"/>
                <w:szCs w:val="12"/>
                <w:lang w:val="en-GB"/>
              </w:rPr>
            </w:pPr>
          </w:p>
        </w:tc>
        <w:tc>
          <w:tcPr>
            <w:tcW w:w="1486" w:type="dxa"/>
            <w:tcBorders>
              <w:top w:val="nil"/>
              <w:left w:val="nil"/>
              <w:bottom w:val="single" w:color="auto" w:sz="12" w:space="0"/>
              <w:right w:val="nil"/>
            </w:tcBorders>
          </w:tcPr>
          <w:p>
            <w:pPr>
              <w:rPr>
                <w:b/>
                <w:color w:val="auto"/>
                <w:sz w:val="12"/>
                <w:szCs w:val="12"/>
              </w:rPr>
            </w:pPr>
          </w:p>
        </w:tc>
        <w:tc>
          <w:tcPr>
            <w:tcW w:w="993" w:type="dxa"/>
            <w:tcBorders>
              <w:top w:val="nil"/>
              <w:left w:val="nil"/>
              <w:bottom w:val="single" w:color="auto" w:sz="12" w:space="0"/>
              <w:right w:val="nil"/>
            </w:tcBorders>
          </w:tcPr>
          <w:p>
            <w:pPr>
              <w:autoSpaceDE w:val="0"/>
              <w:autoSpaceDN w:val="0"/>
              <w:adjustRightInd w:val="0"/>
              <w:spacing w:line="480" w:lineRule="auto"/>
              <w:rPr>
                <w:b/>
                <w:bCs/>
                <w:color w:val="auto"/>
                <w:sz w:val="12"/>
                <w:szCs w:val="12"/>
                <w:lang w:val="en-GB"/>
              </w:rPr>
            </w:pPr>
          </w:p>
        </w:tc>
        <w:tc>
          <w:tcPr>
            <w:tcW w:w="1702" w:type="dxa"/>
            <w:tcBorders>
              <w:top w:val="nil"/>
              <w:left w:val="nil"/>
              <w:bottom w:val="single" w:color="auto" w:sz="12" w:space="0"/>
              <w:right w:val="nil"/>
            </w:tcBorders>
            <w:shd w:val="clear" w:color="auto" w:fill="auto"/>
          </w:tcPr>
          <w:p>
            <w:pPr>
              <w:autoSpaceDE w:val="0"/>
              <w:autoSpaceDN w:val="0"/>
              <w:adjustRightInd w:val="0"/>
              <w:spacing w:line="480" w:lineRule="auto"/>
              <w:rPr>
                <w:b/>
                <w:bCs/>
                <w:color w:val="auto"/>
                <w:sz w:val="12"/>
                <w:szCs w:val="12"/>
                <w:lang w:val="en-GB"/>
              </w:rPr>
            </w:pPr>
          </w:p>
        </w:tc>
        <w:tc>
          <w:tcPr>
            <w:tcW w:w="844" w:type="dxa"/>
            <w:tcBorders>
              <w:top w:val="nil"/>
              <w:left w:val="nil"/>
              <w:bottom w:val="single" w:color="auto" w:sz="12" w:space="0"/>
              <w:right w:val="nil"/>
            </w:tcBorders>
          </w:tcPr>
          <w:p>
            <w:pPr>
              <w:autoSpaceDE w:val="0"/>
              <w:autoSpaceDN w:val="0"/>
              <w:adjustRightInd w:val="0"/>
              <w:spacing w:line="480" w:lineRule="auto"/>
              <w:rPr>
                <w:b/>
                <w:bCs/>
                <w:color w:val="auto"/>
                <w:sz w:val="12"/>
                <w:szCs w:val="12"/>
                <w:lang w:val="en-GB"/>
              </w:rPr>
            </w:pPr>
          </w:p>
        </w:tc>
        <w:tc>
          <w:tcPr>
            <w:tcW w:w="1213" w:type="dxa"/>
            <w:tcBorders>
              <w:left w:val="nil"/>
              <w:bottom w:val="single" w:color="auto" w:sz="12" w:space="0"/>
              <w:right w:val="nil"/>
            </w:tcBorders>
            <w:shd w:val="clear" w:color="auto" w:fill="auto"/>
            <w:vAlign w:val="center"/>
          </w:tcPr>
          <w:p>
            <w:pPr>
              <w:autoSpaceDE w:val="0"/>
              <w:autoSpaceDN w:val="0"/>
              <w:adjustRightInd w:val="0"/>
              <w:spacing w:line="480" w:lineRule="auto"/>
              <w:rPr>
                <w:b/>
                <w:bCs/>
                <w:color w:val="auto"/>
                <w:sz w:val="12"/>
                <w:szCs w:val="12"/>
                <w:lang w:val="en-GB"/>
              </w:rPr>
            </w:pPr>
            <w:r>
              <w:rPr>
                <w:b/>
                <w:bCs/>
                <w:i/>
                <w:iCs/>
                <w:color w:val="auto"/>
                <w:sz w:val="12"/>
                <w:szCs w:val="12"/>
                <w:lang w:val="en-GB"/>
              </w:rPr>
              <w:t>ITS</w:t>
            </w:r>
            <w:r>
              <w:rPr>
                <w:b/>
                <w:bCs/>
                <w:color w:val="auto"/>
                <w:sz w:val="12"/>
                <w:szCs w:val="12"/>
                <w:vertAlign w:val="superscript"/>
                <w:lang w:val="en-GB"/>
              </w:rPr>
              <w:t>f</w:t>
            </w:r>
            <w:r>
              <w:rPr>
                <w:b/>
                <w:bCs/>
                <w:color w:val="auto"/>
                <w:sz w:val="12"/>
                <w:szCs w:val="12"/>
              </w:rPr>
              <w:t>/</w:t>
            </w:r>
            <w:r>
              <w:rPr>
                <w:b/>
                <w:bCs/>
                <w:color w:val="auto"/>
                <w:sz w:val="12"/>
                <w:szCs w:val="12"/>
                <w:lang w:val="en-US"/>
              </w:rPr>
              <w:t>Identity (%)</w:t>
            </w:r>
          </w:p>
        </w:tc>
        <w:tc>
          <w:tcPr>
            <w:tcW w:w="1213" w:type="dxa"/>
            <w:tcBorders>
              <w:left w:val="nil"/>
              <w:bottom w:val="single" w:color="auto" w:sz="12" w:space="0"/>
              <w:right w:val="nil"/>
            </w:tcBorders>
            <w:vAlign w:val="center"/>
          </w:tcPr>
          <w:p>
            <w:pPr>
              <w:autoSpaceDE w:val="0"/>
              <w:autoSpaceDN w:val="0"/>
              <w:adjustRightInd w:val="0"/>
              <w:spacing w:line="480" w:lineRule="auto"/>
              <w:rPr>
                <w:b/>
                <w:bCs/>
                <w:color w:val="auto"/>
                <w:sz w:val="12"/>
                <w:szCs w:val="12"/>
                <w:lang w:val="en-US"/>
              </w:rPr>
            </w:pPr>
            <w:r>
              <w:rPr>
                <w:b/>
                <w:bCs/>
                <w:i/>
                <w:iCs/>
                <w:color w:val="auto"/>
                <w:sz w:val="12"/>
                <w:szCs w:val="12"/>
                <w:lang w:val="en-GB"/>
              </w:rPr>
              <w:t>LSU</w:t>
            </w:r>
            <w:r>
              <w:rPr>
                <w:b/>
                <w:bCs/>
                <w:color w:val="auto"/>
                <w:sz w:val="12"/>
                <w:szCs w:val="12"/>
                <w:vertAlign w:val="superscript"/>
                <w:lang w:val="en-GB"/>
              </w:rPr>
              <w:t>g</w:t>
            </w:r>
            <w:r>
              <w:rPr>
                <w:b/>
                <w:bCs/>
                <w:color w:val="auto"/>
                <w:sz w:val="12"/>
                <w:szCs w:val="12"/>
              </w:rPr>
              <w:t>/</w:t>
            </w:r>
            <w:r>
              <w:rPr>
                <w:b/>
                <w:bCs/>
                <w:color w:val="auto"/>
                <w:sz w:val="12"/>
                <w:szCs w:val="12"/>
                <w:lang w:val="en-US"/>
              </w:rPr>
              <w:t>Identity (%)</w:t>
            </w:r>
          </w:p>
        </w:tc>
        <w:tc>
          <w:tcPr>
            <w:tcW w:w="1323" w:type="dxa"/>
            <w:tcBorders>
              <w:left w:val="nil"/>
              <w:bottom w:val="single" w:color="auto" w:sz="12" w:space="0"/>
              <w:right w:val="nil"/>
            </w:tcBorders>
            <w:vAlign w:val="center"/>
          </w:tcPr>
          <w:p>
            <w:pPr>
              <w:autoSpaceDE w:val="0"/>
              <w:autoSpaceDN w:val="0"/>
              <w:adjustRightInd w:val="0"/>
              <w:spacing w:line="480" w:lineRule="auto"/>
              <w:rPr>
                <w:b/>
                <w:bCs/>
                <w:i/>
                <w:iCs/>
                <w:color w:val="auto"/>
                <w:sz w:val="12"/>
                <w:szCs w:val="12"/>
                <w:lang w:val="en-GB"/>
              </w:rPr>
            </w:pPr>
            <w:r>
              <w:rPr>
                <w:b/>
                <w:bCs/>
                <w:i/>
                <w:iCs/>
                <w:color w:val="auto"/>
                <w:sz w:val="12"/>
                <w:szCs w:val="12"/>
                <w:lang w:val="en-GB"/>
              </w:rPr>
              <w:t>tef1-</w:t>
            </w:r>
            <w:r>
              <w:rPr>
                <w:b/>
                <w:bCs/>
                <w:i/>
                <w:iCs/>
                <w:color w:val="auto"/>
                <w:sz w:val="12"/>
                <w:szCs w:val="12"/>
              </w:rPr>
              <w:t>α</w:t>
            </w:r>
            <w:r>
              <w:rPr>
                <w:b/>
                <w:bCs/>
                <w:color w:val="auto"/>
                <w:sz w:val="12"/>
                <w:szCs w:val="12"/>
                <w:vertAlign w:val="superscript"/>
                <w:lang w:val="en-US"/>
              </w:rPr>
              <w:t>h</w:t>
            </w:r>
            <w:r>
              <w:rPr>
                <w:b/>
                <w:bCs/>
                <w:color w:val="auto"/>
                <w:sz w:val="12"/>
                <w:szCs w:val="12"/>
                <w:lang w:val="en-US"/>
              </w:rPr>
              <w:t>/Identity (%)</w:t>
            </w:r>
          </w:p>
        </w:tc>
        <w:tc>
          <w:tcPr>
            <w:tcW w:w="1217" w:type="dxa"/>
            <w:tcBorders>
              <w:left w:val="nil"/>
              <w:bottom w:val="single" w:color="auto" w:sz="12" w:space="0"/>
              <w:right w:val="nil"/>
            </w:tcBorders>
            <w:vAlign w:val="center"/>
          </w:tcPr>
          <w:p>
            <w:pPr>
              <w:autoSpaceDE w:val="0"/>
              <w:autoSpaceDN w:val="0"/>
              <w:adjustRightInd w:val="0"/>
              <w:spacing w:line="480" w:lineRule="auto"/>
              <w:rPr>
                <w:b/>
                <w:bCs/>
                <w:i/>
                <w:iCs/>
                <w:color w:val="auto"/>
                <w:sz w:val="12"/>
                <w:szCs w:val="12"/>
                <w:lang w:val="en-GB"/>
              </w:rPr>
            </w:pPr>
            <w:r>
              <w:rPr>
                <w:b/>
                <w:bCs/>
                <w:i/>
                <w:iCs/>
                <w:color w:val="auto"/>
                <w:sz w:val="12"/>
                <w:szCs w:val="12"/>
                <w:lang w:val="en-GB"/>
              </w:rPr>
              <w:t>tub2</w:t>
            </w:r>
            <w:r>
              <w:rPr>
                <w:b/>
                <w:bCs/>
                <w:color w:val="auto"/>
                <w:sz w:val="12"/>
                <w:szCs w:val="12"/>
                <w:vertAlign w:val="superscript"/>
                <w:lang w:val="en-US"/>
              </w:rPr>
              <w:t>i</w:t>
            </w:r>
            <w:r>
              <w:rPr>
                <w:b/>
                <w:bCs/>
                <w:color w:val="auto"/>
                <w:sz w:val="12"/>
                <w:szCs w:val="12"/>
                <w:lang w:val="en-US"/>
              </w:rPr>
              <w:t>/Identity (%)</w:t>
            </w:r>
          </w:p>
        </w:tc>
        <w:tc>
          <w:tcPr>
            <w:tcW w:w="1218" w:type="dxa"/>
            <w:tcBorders>
              <w:left w:val="nil"/>
              <w:bottom w:val="single" w:color="auto" w:sz="12" w:space="0"/>
              <w:right w:val="nil"/>
            </w:tcBorders>
            <w:vAlign w:val="center"/>
          </w:tcPr>
          <w:p>
            <w:pPr>
              <w:autoSpaceDE w:val="0"/>
              <w:autoSpaceDN w:val="0"/>
              <w:adjustRightInd w:val="0"/>
              <w:spacing w:line="480" w:lineRule="auto"/>
              <w:rPr>
                <w:b/>
                <w:bCs/>
                <w:i/>
                <w:iCs/>
                <w:color w:val="auto"/>
                <w:sz w:val="12"/>
                <w:szCs w:val="12"/>
                <w:lang w:val="en-GB"/>
              </w:rPr>
            </w:pPr>
            <w:r>
              <w:rPr>
                <w:b/>
                <w:bCs/>
                <w:i/>
                <w:iCs/>
                <w:color w:val="auto"/>
                <w:sz w:val="12"/>
                <w:szCs w:val="12"/>
                <w:lang w:val="en-GB"/>
              </w:rPr>
              <w:t>act</w:t>
            </w:r>
            <w:r>
              <w:rPr>
                <w:b/>
                <w:bCs/>
                <w:color w:val="auto"/>
                <w:sz w:val="12"/>
                <w:szCs w:val="12"/>
                <w:vertAlign w:val="superscript"/>
                <w:lang w:val="en-US"/>
              </w:rPr>
              <w:t>j</w:t>
            </w:r>
            <w:r>
              <w:rPr>
                <w:b/>
                <w:bCs/>
                <w:color w:val="auto"/>
                <w:sz w:val="12"/>
                <w:szCs w:val="12"/>
                <w:lang w:val="en-US"/>
              </w:rPr>
              <w:t>/Identity (%)</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9" w:hRule="atLeast"/>
        </w:trPr>
        <w:tc>
          <w:tcPr>
            <w:tcW w:w="1147" w:type="dxa"/>
            <w:tcBorders>
              <w:left w:val="nil"/>
              <w:bottom w:val="nil"/>
              <w:right w:val="nil"/>
            </w:tcBorders>
            <w:shd w:val="clear" w:color="auto" w:fill="auto"/>
          </w:tcPr>
          <w:p>
            <w:pPr>
              <w:autoSpaceDE w:val="0"/>
              <w:autoSpaceDN w:val="0"/>
              <w:adjustRightInd w:val="0"/>
              <w:spacing w:line="480" w:lineRule="auto"/>
              <w:rPr>
                <w:color w:val="auto"/>
                <w:sz w:val="12"/>
                <w:szCs w:val="12"/>
                <w:lang w:val="en-GB"/>
              </w:rPr>
            </w:pPr>
            <w:bookmarkStart w:id="4" w:name="_Hlk135215207"/>
            <w:r>
              <w:rPr>
                <w:color w:val="auto"/>
                <w:sz w:val="12"/>
                <w:szCs w:val="12"/>
                <w:lang w:val="en-GB"/>
              </w:rPr>
              <w:t>HOURD2.1AVR1</w:t>
            </w:r>
          </w:p>
        </w:tc>
        <w:tc>
          <w:tcPr>
            <w:tcW w:w="1496" w:type="dxa"/>
            <w:tcBorders>
              <w:left w:val="nil"/>
              <w:bottom w:val="nil"/>
              <w:right w:val="nil"/>
            </w:tcBorders>
            <w:shd w:val="clear" w:color="auto" w:fill="auto"/>
          </w:tcPr>
          <w:p>
            <w:pPr>
              <w:autoSpaceDE w:val="0"/>
              <w:autoSpaceDN w:val="0"/>
              <w:adjustRightInd w:val="0"/>
              <w:spacing w:line="480" w:lineRule="auto"/>
              <w:rPr>
                <w:i/>
                <w:iCs/>
                <w:color w:val="auto"/>
                <w:sz w:val="12"/>
                <w:szCs w:val="12"/>
                <w:lang w:val="en-GB"/>
              </w:rPr>
            </w:pPr>
            <w:r>
              <w:rPr>
                <w:i/>
                <w:iCs/>
                <w:color w:val="auto"/>
                <w:sz w:val="12"/>
                <w:szCs w:val="12"/>
                <w:lang w:val="en-GB"/>
              </w:rPr>
              <w:t>Kalmusia variispora</w:t>
            </w:r>
          </w:p>
        </w:tc>
        <w:tc>
          <w:tcPr>
            <w:tcW w:w="510" w:type="dxa"/>
            <w:tcBorders>
              <w:left w:val="nil"/>
              <w:bottom w:val="nil"/>
              <w:right w:val="nil"/>
            </w:tcBorders>
            <w:shd w:val="clear" w:color="auto" w:fill="auto"/>
          </w:tcPr>
          <w:p>
            <w:pPr>
              <w:autoSpaceDE w:val="0"/>
              <w:autoSpaceDN w:val="0"/>
              <w:adjustRightInd w:val="0"/>
              <w:spacing w:line="480" w:lineRule="auto"/>
              <w:rPr>
                <w:color w:val="auto"/>
                <w:sz w:val="12"/>
                <w:szCs w:val="12"/>
                <w:lang w:val="en-GB"/>
              </w:rPr>
            </w:pPr>
            <w:r>
              <w:rPr>
                <w:color w:val="auto"/>
                <w:sz w:val="12"/>
                <w:szCs w:val="12"/>
                <w:lang w:val="en-GB"/>
              </w:rPr>
              <w:t>Cordon</w:t>
            </w:r>
          </w:p>
        </w:tc>
        <w:tc>
          <w:tcPr>
            <w:tcW w:w="1168" w:type="dxa"/>
            <w:tcBorders>
              <w:left w:val="nil"/>
              <w:bottom w:val="nil"/>
              <w:right w:val="nil"/>
            </w:tcBorders>
            <w:shd w:val="clear" w:color="auto" w:fill="auto"/>
          </w:tcPr>
          <w:p>
            <w:pPr>
              <w:autoSpaceDE w:val="0"/>
              <w:autoSpaceDN w:val="0"/>
              <w:adjustRightInd w:val="0"/>
              <w:spacing w:line="480" w:lineRule="auto"/>
              <w:rPr>
                <w:color w:val="auto"/>
                <w:sz w:val="12"/>
                <w:szCs w:val="12"/>
                <w:lang w:val="en-GB"/>
              </w:rPr>
            </w:pPr>
            <w:r>
              <w:rPr>
                <w:color w:val="auto"/>
                <w:sz w:val="12"/>
                <w:szCs w:val="12"/>
                <w:lang w:val="en-GB"/>
              </w:rPr>
              <w:t>Harakas, Heraklion</w:t>
            </w:r>
          </w:p>
        </w:tc>
        <w:tc>
          <w:tcPr>
            <w:tcW w:w="1486" w:type="dxa"/>
            <w:tcBorders>
              <w:left w:val="nil"/>
              <w:bottom w:val="nil"/>
              <w:right w:val="nil"/>
            </w:tcBorders>
          </w:tcPr>
          <w:p>
            <w:pPr>
              <w:rPr>
                <w:color w:val="auto"/>
                <w:sz w:val="12"/>
                <w:szCs w:val="12"/>
                <w:lang w:val="en-US"/>
              </w:rPr>
            </w:pPr>
            <w:r>
              <w:rPr>
                <w:color w:val="auto"/>
                <w:sz w:val="12"/>
                <w:szCs w:val="12"/>
                <w:lang w:val="en-US"/>
              </w:rPr>
              <w:t>White to olive-green, grey</w:t>
            </w:r>
          </w:p>
        </w:tc>
        <w:tc>
          <w:tcPr>
            <w:tcW w:w="993" w:type="dxa"/>
            <w:tcBorders>
              <w:left w:val="nil"/>
              <w:bottom w:val="nil"/>
              <w:right w:val="nil"/>
            </w:tcBorders>
          </w:tcPr>
          <w:p>
            <w:pPr>
              <w:autoSpaceDE w:val="0"/>
              <w:autoSpaceDN w:val="0"/>
              <w:adjustRightInd w:val="0"/>
              <w:spacing w:line="480" w:lineRule="auto"/>
              <w:rPr>
                <w:color w:val="auto"/>
                <w:sz w:val="12"/>
                <w:szCs w:val="12"/>
                <w:lang w:val="en-GB"/>
              </w:rPr>
            </w:pPr>
            <w:r>
              <w:rPr>
                <w:color w:val="auto"/>
                <w:sz w:val="12"/>
                <w:szCs w:val="12"/>
                <w:lang w:val="en-GB"/>
              </w:rPr>
              <w:t>2.97 ± 0.05</w:t>
            </w:r>
          </w:p>
        </w:tc>
        <w:tc>
          <w:tcPr>
            <w:tcW w:w="1702" w:type="dxa"/>
            <w:tcBorders>
              <w:left w:val="nil"/>
              <w:bottom w:val="nil"/>
              <w:right w:val="nil"/>
            </w:tcBorders>
            <w:shd w:val="clear" w:color="auto" w:fill="auto"/>
          </w:tcPr>
          <w:p>
            <w:pPr>
              <w:autoSpaceDE w:val="0"/>
              <w:autoSpaceDN w:val="0"/>
              <w:adjustRightInd w:val="0"/>
              <w:spacing w:line="480" w:lineRule="auto"/>
              <w:rPr>
                <w:color w:val="auto"/>
                <w:sz w:val="12"/>
                <w:szCs w:val="12"/>
                <w:lang w:val="en-GB"/>
              </w:rPr>
            </w:pPr>
            <w:r>
              <w:rPr>
                <w:color w:val="auto"/>
                <w:sz w:val="12"/>
                <w:szCs w:val="12"/>
                <w:lang w:val="en-GB"/>
              </w:rPr>
              <w:t>Nf</w:t>
            </w:r>
          </w:p>
        </w:tc>
        <w:tc>
          <w:tcPr>
            <w:tcW w:w="844" w:type="dxa"/>
            <w:tcBorders>
              <w:left w:val="nil"/>
              <w:bottom w:val="nil"/>
              <w:right w:val="nil"/>
            </w:tcBorders>
          </w:tcPr>
          <w:p>
            <w:pPr>
              <w:autoSpaceDE w:val="0"/>
              <w:autoSpaceDN w:val="0"/>
              <w:adjustRightInd w:val="0"/>
              <w:spacing w:line="480" w:lineRule="auto"/>
              <w:rPr>
                <w:color w:val="auto"/>
                <w:sz w:val="12"/>
                <w:szCs w:val="12"/>
                <w:lang w:val="en-GB"/>
              </w:rPr>
            </w:pPr>
            <w:r>
              <w:rPr>
                <w:color w:val="auto"/>
                <w:sz w:val="12"/>
                <w:szCs w:val="12"/>
                <w:lang w:val="en-GB"/>
              </w:rPr>
              <w:t>3.10 ± 0.14</w:t>
            </w:r>
          </w:p>
        </w:tc>
        <w:tc>
          <w:tcPr>
            <w:tcW w:w="1213" w:type="dxa"/>
            <w:tcBorders>
              <w:left w:val="nil"/>
              <w:bottom w:val="nil"/>
              <w:right w:val="nil"/>
            </w:tcBorders>
            <w:shd w:val="clear" w:color="auto" w:fill="auto"/>
          </w:tcPr>
          <w:p>
            <w:pPr>
              <w:autoSpaceDE w:val="0"/>
              <w:autoSpaceDN w:val="0"/>
              <w:adjustRightInd w:val="0"/>
              <w:spacing w:line="480" w:lineRule="auto"/>
              <w:rPr>
                <w:color w:val="auto"/>
                <w:sz w:val="12"/>
                <w:szCs w:val="12"/>
                <w:lang w:val="en-GB"/>
              </w:rPr>
            </w:pPr>
            <w:r>
              <w:rPr>
                <w:color w:val="auto"/>
                <w:sz w:val="12"/>
                <w:szCs w:val="12"/>
                <w:lang w:val="en-GB"/>
              </w:rPr>
              <w:t>OQ683907/100.00%</w:t>
            </w:r>
          </w:p>
        </w:tc>
        <w:tc>
          <w:tcPr>
            <w:tcW w:w="1213" w:type="dxa"/>
            <w:tcBorders>
              <w:left w:val="nil"/>
              <w:bottom w:val="nil"/>
              <w:right w:val="nil"/>
            </w:tcBorders>
          </w:tcPr>
          <w:p>
            <w:pPr>
              <w:autoSpaceDE w:val="0"/>
              <w:autoSpaceDN w:val="0"/>
              <w:adjustRightInd w:val="0"/>
              <w:spacing w:line="480" w:lineRule="auto"/>
              <w:rPr>
                <w:color w:val="auto"/>
                <w:sz w:val="12"/>
                <w:szCs w:val="12"/>
                <w:lang w:val="en-GB"/>
              </w:rPr>
            </w:pPr>
            <w:r>
              <w:rPr>
                <w:color w:val="auto"/>
                <w:sz w:val="12"/>
                <w:szCs w:val="12"/>
                <w:lang w:val="en-GB"/>
              </w:rPr>
              <w:t>OQ704313/99.73%</w:t>
            </w:r>
          </w:p>
        </w:tc>
        <w:tc>
          <w:tcPr>
            <w:tcW w:w="1323" w:type="dxa"/>
            <w:tcBorders>
              <w:left w:val="nil"/>
              <w:bottom w:val="nil"/>
              <w:right w:val="nil"/>
            </w:tcBorders>
          </w:tcPr>
          <w:p>
            <w:pPr>
              <w:autoSpaceDE w:val="0"/>
              <w:autoSpaceDN w:val="0"/>
              <w:adjustRightInd w:val="0"/>
              <w:spacing w:line="480" w:lineRule="auto"/>
              <w:rPr>
                <w:color w:val="auto"/>
                <w:sz w:val="12"/>
                <w:szCs w:val="12"/>
                <w:lang w:val="en-US"/>
              </w:rPr>
            </w:pPr>
            <w:r>
              <w:rPr>
                <w:color w:val="auto"/>
                <w:sz w:val="12"/>
                <w:szCs w:val="12"/>
                <w:lang w:val="en-US"/>
              </w:rPr>
              <w:t>OQ798214/</w:t>
            </w:r>
            <w:r>
              <w:rPr>
                <w:color w:val="auto"/>
                <w:sz w:val="12"/>
                <w:szCs w:val="12"/>
              </w:rPr>
              <w:t>9</w:t>
            </w:r>
            <w:r>
              <w:rPr>
                <w:color w:val="auto"/>
                <w:sz w:val="12"/>
                <w:szCs w:val="12"/>
                <w:lang w:val="en-US"/>
              </w:rPr>
              <w:t>9</w:t>
            </w:r>
            <w:r>
              <w:rPr>
                <w:color w:val="auto"/>
                <w:sz w:val="12"/>
                <w:szCs w:val="12"/>
              </w:rPr>
              <w:t>.</w:t>
            </w:r>
            <w:r>
              <w:rPr>
                <w:color w:val="auto"/>
                <w:sz w:val="12"/>
                <w:szCs w:val="12"/>
                <w:lang w:val="en-US"/>
              </w:rPr>
              <w:t>67</w:t>
            </w:r>
            <w:r>
              <w:rPr>
                <w:color w:val="auto"/>
                <w:sz w:val="12"/>
                <w:szCs w:val="12"/>
              </w:rPr>
              <w:t>%</w:t>
            </w:r>
          </w:p>
        </w:tc>
        <w:tc>
          <w:tcPr>
            <w:tcW w:w="1217" w:type="dxa"/>
            <w:tcBorders>
              <w:left w:val="nil"/>
              <w:bottom w:val="nil"/>
              <w:right w:val="nil"/>
            </w:tcBorders>
          </w:tcPr>
          <w:p>
            <w:pPr>
              <w:autoSpaceDE w:val="0"/>
              <w:autoSpaceDN w:val="0"/>
              <w:adjustRightInd w:val="0"/>
              <w:spacing w:line="480" w:lineRule="auto"/>
              <w:rPr>
                <w:color w:val="auto"/>
                <w:sz w:val="12"/>
                <w:szCs w:val="12"/>
                <w:lang w:val="en-US"/>
              </w:rPr>
            </w:pPr>
            <w:r>
              <w:rPr>
                <w:color w:val="auto"/>
                <w:sz w:val="12"/>
                <w:szCs w:val="12"/>
                <w:lang w:val="en-US"/>
              </w:rPr>
              <w:t>OQ784650/99.55%</w:t>
            </w:r>
          </w:p>
        </w:tc>
        <w:tc>
          <w:tcPr>
            <w:tcW w:w="1281" w:type="dxa"/>
            <w:gridSpan w:val="2"/>
            <w:tcBorders>
              <w:left w:val="nil"/>
              <w:bottom w:val="nil"/>
              <w:right w:val="nil"/>
            </w:tcBorders>
          </w:tcPr>
          <w:p>
            <w:pPr>
              <w:autoSpaceDE w:val="0"/>
              <w:autoSpaceDN w:val="0"/>
              <w:adjustRightInd w:val="0"/>
              <w:spacing w:line="480" w:lineRule="auto"/>
              <w:rPr>
                <w:color w:val="auto"/>
                <w:sz w:val="12"/>
                <w:szCs w:val="12"/>
                <w:lang w:val="en-US"/>
              </w:rPr>
            </w:pPr>
            <w:r>
              <w:rPr>
                <w:color w:val="auto"/>
                <w:sz w:val="12"/>
                <w:szCs w:val="12"/>
                <w:lang w:val="en-US"/>
              </w:rPr>
              <w:t>OQ798208/n.e.</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9" w:hRule="atLeast"/>
        </w:trPr>
        <w:tc>
          <w:tcPr>
            <w:tcW w:w="1147" w:type="dxa"/>
            <w:tcBorders>
              <w:top w:val="nil"/>
              <w:left w:val="nil"/>
              <w:bottom w:val="nil"/>
              <w:right w:val="nil"/>
            </w:tcBorders>
            <w:shd w:val="clear" w:color="auto" w:fill="auto"/>
          </w:tcPr>
          <w:p>
            <w:pPr>
              <w:autoSpaceDE w:val="0"/>
              <w:autoSpaceDN w:val="0"/>
              <w:adjustRightInd w:val="0"/>
              <w:spacing w:line="480" w:lineRule="auto"/>
              <w:rPr>
                <w:color w:val="auto"/>
                <w:sz w:val="12"/>
                <w:szCs w:val="12"/>
                <w:lang w:val="en-GB"/>
              </w:rPr>
            </w:pPr>
            <w:r>
              <w:rPr>
                <w:color w:val="auto"/>
                <w:sz w:val="12"/>
                <w:szCs w:val="12"/>
                <w:lang w:val="en-GB"/>
              </w:rPr>
              <w:t>PEROG2.1YP2</w:t>
            </w:r>
          </w:p>
        </w:tc>
        <w:tc>
          <w:tcPr>
            <w:tcW w:w="1496" w:type="dxa"/>
            <w:tcBorders>
              <w:top w:val="nil"/>
              <w:left w:val="nil"/>
              <w:bottom w:val="nil"/>
              <w:right w:val="nil"/>
            </w:tcBorders>
            <w:shd w:val="clear" w:color="auto" w:fill="auto"/>
          </w:tcPr>
          <w:p>
            <w:pPr>
              <w:autoSpaceDE w:val="0"/>
              <w:autoSpaceDN w:val="0"/>
              <w:adjustRightInd w:val="0"/>
              <w:spacing w:line="480" w:lineRule="auto"/>
              <w:rPr>
                <w:i/>
                <w:iCs/>
                <w:color w:val="auto"/>
                <w:sz w:val="12"/>
                <w:szCs w:val="12"/>
                <w:lang w:val="en-GB"/>
              </w:rPr>
            </w:pPr>
            <w:r>
              <w:rPr>
                <w:i/>
                <w:iCs/>
                <w:color w:val="auto"/>
                <w:sz w:val="12"/>
                <w:szCs w:val="12"/>
                <w:lang w:val="en-GB"/>
              </w:rPr>
              <w:t>Kalmusia variispora</w:t>
            </w:r>
          </w:p>
        </w:tc>
        <w:tc>
          <w:tcPr>
            <w:tcW w:w="510" w:type="dxa"/>
            <w:tcBorders>
              <w:top w:val="nil"/>
              <w:left w:val="nil"/>
              <w:bottom w:val="nil"/>
              <w:right w:val="nil"/>
            </w:tcBorders>
            <w:shd w:val="clear" w:color="auto" w:fill="auto"/>
          </w:tcPr>
          <w:p>
            <w:pPr>
              <w:autoSpaceDE w:val="0"/>
              <w:autoSpaceDN w:val="0"/>
              <w:adjustRightInd w:val="0"/>
              <w:spacing w:line="480" w:lineRule="auto"/>
              <w:rPr>
                <w:color w:val="auto"/>
                <w:sz w:val="12"/>
                <w:szCs w:val="12"/>
                <w:lang w:val="en-GB"/>
              </w:rPr>
            </w:pPr>
            <w:r>
              <w:rPr>
                <w:color w:val="auto"/>
                <w:sz w:val="12"/>
                <w:szCs w:val="12"/>
                <w:lang w:val="en-GB"/>
              </w:rPr>
              <w:t>Trunk</w:t>
            </w:r>
          </w:p>
        </w:tc>
        <w:tc>
          <w:tcPr>
            <w:tcW w:w="1168" w:type="dxa"/>
            <w:tcBorders>
              <w:top w:val="nil"/>
              <w:left w:val="nil"/>
              <w:bottom w:val="nil"/>
              <w:right w:val="nil"/>
            </w:tcBorders>
            <w:shd w:val="clear" w:color="auto" w:fill="auto"/>
          </w:tcPr>
          <w:p>
            <w:pPr>
              <w:autoSpaceDE w:val="0"/>
              <w:autoSpaceDN w:val="0"/>
              <w:adjustRightInd w:val="0"/>
              <w:spacing w:line="480" w:lineRule="auto"/>
              <w:rPr>
                <w:color w:val="auto"/>
                <w:sz w:val="12"/>
                <w:szCs w:val="12"/>
                <w:lang w:val="en-GB"/>
              </w:rPr>
            </w:pPr>
            <w:r>
              <w:rPr>
                <w:color w:val="auto"/>
                <w:sz w:val="12"/>
                <w:szCs w:val="12"/>
                <w:lang w:val="en-GB"/>
              </w:rPr>
              <w:t>Asites, Heraklion</w:t>
            </w:r>
          </w:p>
        </w:tc>
        <w:tc>
          <w:tcPr>
            <w:tcW w:w="1486" w:type="dxa"/>
            <w:tcBorders>
              <w:top w:val="nil"/>
              <w:left w:val="nil"/>
              <w:bottom w:val="nil"/>
              <w:right w:val="nil"/>
            </w:tcBorders>
          </w:tcPr>
          <w:p>
            <w:pPr>
              <w:rPr>
                <w:color w:val="auto"/>
                <w:sz w:val="12"/>
                <w:szCs w:val="12"/>
                <w:lang w:val="en-US"/>
              </w:rPr>
            </w:pPr>
            <w:r>
              <w:rPr>
                <w:color w:val="auto"/>
                <w:sz w:val="12"/>
                <w:szCs w:val="12"/>
                <w:lang w:val="en-US"/>
              </w:rPr>
              <w:t>White to olive-green, grey</w:t>
            </w:r>
          </w:p>
        </w:tc>
        <w:tc>
          <w:tcPr>
            <w:tcW w:w="993" w:type="dxa"/>
            <w:tcBorders>
              <w:top w:val="nil"/>
              <w:left w:val="nil"/>
              <w:bottom w:val="nil"/>
              <w:right w:val="nil"/>
            </w:tcBorders>
          </w:tcPr>
          <w:p>
            <w:pPr>
              <w:autoSpaceDE w:val="0"/>
              <w:autoSpaceDN w:val="0"/>
              <w:adjustRightInd w:val="0"/>
              <w:spacing w:line="480" w:lineRule="auto"/>
              <w:rPr>
                <w:color w:val="auto"/>
                <w:sz w:val="12"/>
                <w:szCs w:val="12"/>
                <w:lang w:val="en-GB"/>
              </w:rPr>
            </w:pPr>
            <w:r>
              <w:rPr>
                <w:color w:val="auto"/>
                <w:sz w:val="12"/>
                <w:szCs w:val="12"/>
                <w:lang w:val="en-GB"/>
              </w:rPr>
              <w:t>3.95 ± 0.04</w:t>
            </w:r>
          </w:p>
        </w:tc>
        <w:tc>
          <w:tcPr>
            <w:tcW w:w="1702" w:type="dxa"/>
            <w:tcBorders>
              <w:top w:val="nil"/>
              <w:left w:val="nil"/>
              <w:bottom w:val="nil"/>
              <w:right w:val="nil"/>
            </w:tcBorders>
            <w:shd w:val="clear" w:color="auto" w:fill="auto"/>
          </w:tcPr>
          <w:p>
            <w:pPr>
              <w:autoSpaceDE w:val="0"/>
              <w:autoSpaceDN w:val="0"/>
              <w:adjustRightInd w:val="0"/>
              <w:spacing w:line="480" w:lineRule="auto"/>
              <w:rPr>
                <w:color w:val="auto"/>
                <w:sz w:val="12"/>
                <w:szCs w:val="12"/>
                <w:lang w:val="en-GB"/>
              </w:rPr>
            </w:pPr>
            <w:r>
              <w:rPr>
                <w:color w:val="auto"/>
                <w:sz w:val="12"/>
                <w:szCs w:val="12"/>
                <w:lang w:val="en-GB"/>
              </w:rPr>
              <w:t>Nf</w:t>
            </w:r>
          </w:p>
        </w:tc>
        <w:tc>
          <w:tcPr>
            <w:tcW w:w="844" w:type="dxa"/>
            <w:tcBorders>
              <w:top w:val="nil"/>
              <w:left w:val="nil"/>
              <w:bottom w:val="nil"/>
              <w:right w:val="nil"/>
            </w:tcBorders>
          </w:tcPr>
          <w:p>
            <w:pPr>
              <w:autoSpaceDE w:val="0"/>
              <w:autoSpaceDN w:val="0"/>
              <w:adjustRightInd w:val="0"/>
              <w:spacing w:line="480" w:lineRule="auto"/>
              <w:rPr>
                <w:color w:val="auto"/>
                <w:sz w:val="12"/>
                <w:szCs w:val="12"/>
                <w:lang w:val="en-GB"/>
              </w:rPr>
            </w:pPr>
            <w:r>
              <w:rPr>
                <w:color w:val="auto"/>
                <w:sz w:val="12"/>
                <w:szCs w:val="12"/>
                <w:lang w:val="en-GB"/>
              </w:rPr>
              <w:t>1.99 ± 0.13</w:t>
            </w:r>
          </w:p>
        </w:tc>
        <w:tc>
          <w:tcPr>
            <w:tcW w:w="1213" w:type="dxa"/>
            <w:tcBorders>
              <w:top w:val="nil"/>
              <w:left w:val="nil"/>
              <w:bottom w:val="nil"/>
              <w:right w:val="nil"/>
            </w:tcBorders>
            <w:shd w:val="clear" w:color="auto" w:fill="auto"/>
          </w:tcPr>
          <w:p>
            <w:pPr>
              <w:autoSpaceDE w:val="0"/>
              <w:autoSpaceDN w:val="0"/>
              <w:adjustRightInd w:val="0"/>
              <w:spacing w:line="480" w:lineRule="auto"/>
              <w:rPr>
                <w:color w:val="auto"/>
                <w:sz w:val="12"/>
                <w:szCs w:val="12"/>
                <w:lang w:val="en-GB"/>
              </w:rPr>
            </w:pPr>
            <w:r>
              <w:rPr>
                <w:color w:val="auto"/>
                <w:sz w:val="12"/>
                <w:szCs w:val="12"/>
                <w:lang w:val="en-GB"/>
              </w:rPr>
              <w:t>OQ683913/100.00%</w:t>
            </w:r>
          </w:p>
        </w:tc>
        <w:tc>
          <w:tcPr>
            <w:tcW w:w="1213" w:type="dxa"/>
            <w:tcBorders>
              <w:top w:val="nil"/>
              <w:left w:val="nil"/>
              <w:bottom w:val="nil"/>
              <w:right w:val="nil"/>
            </w:tcBorders>
          </w:tcPr>
          <w:p>
            <w:pPr>
              <w:autoSpaceDE w:val="0"/>
              <w:autoSpaceDN w:val="0"/>
              <w:adjustRightInd w:val="0"/>
              <w:spacing w:line="480" w:lineRule="auto"/>
              <w:rPr>
                <w:color w:val="auto"/>
                <w:sz w:val="12"/>
                <w:szCs w:val="12"/>
                <w:lang w:val="en-GB"/>
              </w:rPr>
            </w:pPr>
            <w:r>
              <w:rPr>
                <w:color w:val="auto"/>
                <w:sz w:val="12"/>
                <w:szCs w:val="12"/>
                <w:lang w:val="en-GB"/>
              </w:rPr>
              <w:t>OQ704319/100.00%</w:t>
            </w:r>
          </w:p>
        </w:tc>
        <w:tc>
          <w:tcPr>
            <w:tcW w:w="1323" w:type="dxa"/>
            <w:tcBorders>
              <w:top w:val="nil"/>
              <w:left w:val="nil"/>
              <w:bottom w:val="nil"/>
              <w:right w:val="nil"/>
            </w:tcBorders>
          </w:tcPr>
          <w:p>
            <w:pPr>
              <w:autoSpaceDE w:val="0"/>
              <w:autoSpaceDN w:val="0"/>
              <w:adjustRightInd w:val="0"/>
              <w:spacing w:line="480" w:lineRule="auto"/>
              <w:rPr>
                <w:color w:val="auto"/>
                <w:sz w:val="12"/>
                <w:szCs w:val="12"/>
              </w:rPr>
            </w:pPr>
            <w:r>
              <w:rPr>
                <w:color w:val="auto"/>
                <w:sz w:val="12"/>
                <w:szCs w:val="12"/>
              </w:rPr>
              <w:t>OQ798218/</w:t>
            </w:r>
            <w:r>
              <w:rPr>
                <w:color w:val="auto"/>
                <w:sz w:val="12"/>
                <w:szCs w:val="12"/>
                <w:lang w:val="en-US"/>
              </w:rPr>
              <w:t>90</w:t>
            </w:r>
            <w:r>
              <w:rPr>
                <w:color w:val="auto"/>
                <w:sz w:val="12"/>
                <w:szCs w:val="12"/>
              </w:rPr>
              <w:t>.</w:t>
            </w:r>
            <w:r>
              <w:rPr>
                <w:color w:val="auto"/>
                <w:sz w:val="12"/>
                <w:szCs w:val="12"/>
                <w:lang w:val="en-US"/>
              </w:rPr>
              <w:t>46</w:t>
            </w:r>
            <w:r>
              <w:rPr>
                <w:color w:val="auto"/>
                <w:sz w:val="12"/>
                <w:szCs w:val="12"/>
              </w:rPr>
              <w:t>%</w:t>
            </w:r>
          </w:p>
        </w:tc>
        <w:tc>
          <w:tcPr>
            <w:tcW w:w="1217" w:type="dxa"/>
            <w:tcBorders>
              <w:top w:val="nil"/>
              <w:left w:val="nil"/>
              <w:bottom w:val="nil"/>
              <w:right w:val="nil"/>
            </w:tcBorders>
          </w:tcPr>
          <w:p>
            <w:pPr>
              <w:autoSpaceDE w:val="0"/>
              <w:autoSpaceDN w:val="0"/>
              <w:adjustRightInd w:val="0"/>
              <w:spacing w:line="480" w:lineRule="auto"/>
              <w:rPr>
                <w:color w:val="auto"/>
                <w:sz w:val="12"/>
                <w:szCs w:val="12"/>
                <w:lang w:val="en-US"/>
              </w:rPr>
            </w:pPr>
            <w:r>
              <w:rPr>
                <w:color w:val="auto"/>
                <w:sz w:val="12"/>
                <w:szCs w:val="12"/>
              </w:rPr>
              <w:t>OQ784655</w:t>
            </w:r>
            <w:r>
              <w:rPr>
                <w:color w:val="auto"/>
                <w:sz w:val="12"/>
                <w:szCs w:val="12"/>
                <w:lang w:val="en-US"/>
              </w:rPr>
              <w:t>/99.77%</w:t>
            </w:r>
          </w:p>
        </w:tc>
        <w:tc>
          <w:tcPr>
            <w:tcW w:w="1281" w:type="dxa"/>
            <w:gridSpan w:val="2"/>
            <w:tcBorders>
              <w:top w:val="nil"/>
              <w:left w:val="nil"/>
              <w:bottom w:val="nil"/>
              <w:right w:val="nil"/>
            </w:tcBorders>
          </w:tcPr>
          <w:p>
            <w:pPr>
              <w:autoSpaceDE w:val="0"/>
              <w:autoSpaceDN w:val="0"/>
              <w:adjustRightInd w:val="0"/>
              <w:spacing w:line="480" w:lineRule="auto"/>
              <w:rPr>
                <w:color w:val="auto"/>
                <w:sz w:val="12"/>
                <w:szCs w:val="12"/>
                <w:lang w:val="en-US"/>
              </w:rPr>
            </w:pPr>
            <w:r>
              <w:rPr>
                <w:color w:val="auto"/>
                <w:sz w:val="12"/>
                <w:szCs w:val="12"/>
              </w:rPr>
              <w:t>OQ798213</w:t>
            </w:r>
            <w:r>
              <w:rPr>
                <w:color w:val="auto"/>
                <w:sz w:val="12"/>
                <w:szCs w:val="12"/>
                <w:lang w:val="en-US"/>
              </w:rPr>
              <w:t>/n.e.</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9" w:hRule="atLeast"/>
        </w:trPr>
        <w:tc>
          <w:tcPr>
            <w:tcW w:w="1147" w:type="dxa"/>
            <w:tcBorders>
              <w:top w:val="nil"/>
              <w:left w:val="nil"/>
              <w:bottom w:val="nil"/>
              <w:right w:val="nil"/>
            </w:tcBorders>
            <w:shd w:val="clear" w:color="auto" w:fill="auto"/>
          </w:tcPr>
          <w:p>
            <w:pPr>
              <w:autoSpaceDE w:val="0"/>
              <w:autoSpaceDN w:val="0"/>
              <w:adjustRightInd w:val="0"/>
              <w:spacing w:line="480" w:lineRule="auto"/>
              <w:rPr>
                <w:color w:val="auto"/>
                <w:sz w:val="12"/>
                <w:szCs w:val="12"/>
                <w:lang w:val="en-GB"/>
              </w:rPr>
            </w:pPr>
            <w:r>
              <w:rPr>
                <w:color w:val="auto"/>
                <w:sz w:val="12"/>
                <w:szCs w:val="12"/>
                <w:lang w:val="en-GB"/>
              </w:rPr>
              <w:t>SAROG1.3AVR10</w:t>
            </w:r>
          </w:p>
        </w:tc>
        <w:tc>
          <w:tcPr>
            <w:tcW w:w="1496" w:type="dxa"/>
            <w:tcBorders>
              <w:top w:val="nil"/>
              <w:left w:val="nil"/>
              <w:bottom w:val="nil"/>
              <w:right w:val="nil"/>
            </w:tcBorders>
            <w:shd w:val="clear" w:color="auto" w:fill="auto"/>
          </w:tcPr>
          <w:p>
            <w:pPr>
              <w:autoSpaceDE w:val="0"/>
              <w:autoSpaceDN w:val="0"/>
              <w:adjustRightInd w:val="0"/>
              <w:spacing w:line="480" w:lineRule="auto"/>
              <w:rPr>
                <w:i/>
                <w:iCs/>
                <w:color w:val="auto"/>
                <w:sz w:val="12"/>
                <w:szCs w:val="12"/>
                <w:lang w:val="en-GB"/>
              </w:rPr>
            </w:pPr>
            <w:r>
              <w:rPr>
                <w:i/>
                <w:iCs/>
                <w:color w:val="auto"/>
                <w:sz w:val="12"/>
                <w:szCs w:val="12"/>
                <w:lang w:val="en-GB"/>
              </w:rPr>
              <w:t>Seimatosporium vitis</w:t>
            </w:r>
          </w:p>
        </w:tc>
        <w:tc>
          <w:tcPr>
            <w:tcW w:w="510" w:type="dxa"/>
            <w:tcBorders>
              <w:top w:val="nil"/>
              <w:left w:val="nil"/>
              <w:bottom w:val="nil"/>
              <w:right w:val="nil"/>
            </w:tcBorders>
            <w:shd w:val="clear" w:color="auto" w:fill="auto"/>
          </w:tcPr>
          <w:p>
            <w:pPr>
              <w:autoSpaceDE w:val="0"/>
              <w:autoSpaceDN w:val="0"/>
              <w:adjustRightInd w:val="0"/>
              <w:spacing w:line="480" w:lineRule="auto"/>
              <w:rPr>
                <w:color w:val="auto"/>
                <w:sz w:val="12"/>
                <w:szCs w:val="12"/>
                <w:lang w:val="en-GB"/>
              </w:rPr>
            </w:pPr>
            <w:r>
              <w:rPr>
                <w:color w:val="auto"/>
                <w:sz w:val="12"/>
                <w:szCs w:val="12"/>
                <w:lang w:val="en-GB"/>
              </w:rPr>
              <w:t>Cordon</w:t>
            </w:r>
          </w:p>
        </w:tc>
        <w:tc>
          <w:tcPr>
            <w:tcW w:w="1168" w:type="dxa"/>
            <w:tcBorders>
              <w:top w:val="nil"/>
              <w:left w:val="nil"/>
              <w:bottom w:val="nil"/>
              <w:right w:val="nil"/>
            </w:tcBorders>
            <w:shd w:val="clear" w:color="auto" w:fill="auto"/>
          </w:tcPr>
          <w:p>
            <w:pPr>
              <w:autoSpaceDE w:val="0"/>
              <w:autoSpaceDN w:val="0"/>
              <w:adjustRightInd w:val="0"/>
              <w:spacing w:line="480" w:lineRule="auto"/>
              <w:rPr>
                <w:color w:val="auto"/>
                <w:sz w:val="12"/>
                <w:szCs w:val="12"/>
                <w:lang w:val="en-GB"/>
              </w:rPr>
            </w:pPr>
            <w:r>
              <w:rPr>
                <w:color w:val="auto"/>
                <w:sz w:val="12"/>
                <w:szCs w:val="12"/>
                <w:lang w:val="en-GB"/>
              </w:rPr>
              <w:t>Pretoria, Heraklion</w:t>
            </w:r>
          </w:p>
        </w:tc>
        <w:tc>
          <w:tcPr>
            <w:tcW w:w="1486" w:type="dxa"/>
            <w:tcBorders>
              <w:top w:val="nil"/>
              <w:left w:val="nil"/>
              <w:bottom w:val="nil"/>
              <w:right w:val="nil"/>
            </w:tcBorders>
          </w:tcPr>
          <w:p>
            <w:pPr>
              <w:rPr>
                <w:color w:val="auto"/>
                <w:sz w:val="12"/>
                <w:szCs w:val="12"/>
                <w:lang w:val="en-US"/>
              </w:rPr>
            </w:pPr>
            <w:r>
              <w:rPr>
                <w:color w:val="auto"/>
                <w:sz w:val="12"/>
                <w:szCs w:val="12"/>
                <w:lang w:val="en-US"/>
              </w:rPr>
              <w:t>Light brown</w:t>
            </w:r>
            <w:r>
              <w:rPr>
                <w:color w:val="auto"/>
                <w:sz w:val="12"/>
                <w:szCs w:val="12"/>
              </w:rPr>
              <w:t>-</w:t>
            </w:r>
            <w:r>
              <w:rPr>
                <w:color w:val="auto"/>
                <w:sz w:val="12"/>
                <w:szCs w:val="12"/>
                <w:lang w:val="en-US"/>
              </w:rPr>
              <w:t>black</w:t>
            </w:r>
          </w:p>
        </w:tc>
        <w:tc>
          <w:tcPr>
            <w:tcW w:w="993" w:type="dxa"/>
            <w:tcBorders>
              <w:top w:val="nil"/>
              <w:left w:val="nil"/>
              <w:bottom w:val="nil"/>
              <w:right w:val="nil"/>
            </w:tcBorders>
          </w:tcPr>
          <w:p>
            <w:pPr>
              <w:autoSpaceDE w:val="0"/>
              <w:autoSpaceDN w:val="0"/>
              <w:adjustRightInd w:val="0"/>
              <w:spacing w:line="480" w:lineRule="auto"/>
              <w:rPr>
                <w:color w:val="auto"/>
                <w:sz w:val="12"/>
                <w:szCs w:val="12"/>
                <w:lang w:val="en-GB"/>
              </w:rPr>
            </w:pPr>
            <w:r>
              <w:rPr>
                <w:color w:val="auto"/>
                <w:sz w:val="12"/>
                <w:szCs w:val="12"/>
                <w:lang w:val="en-GB"/>
              </w:rPr>
              <w:t>3.07 ± 0.14</w:t>
            </w:r>
          </w:p>
        </w:tc>
        <w:tc>
          <w:tcPr>
            <w:tcW w:w="1702" w:type="dxa"/>
            <w:tcBorders>
              <w:top w:val="nil"/>
              <w:left w:val="nil"/>
              <w:bottom w:val="nil"/>
              <w:right w:val="nil"/>
            </w:tcBorders>
            <w:shd w:val="clear" w:color="auto" w:fill="auto"/>
          </w:tcPr>
          <w:p>
            <w:pPr>
              <w:autoSpaceDE w:val="0"/>
              <w:autoSpaceDN w:val="0"/>
              <w:adjustRightInd w:val="0"/>
              <w:spacing w:line="480" w:lineRule="auto"/>
              <w:rPr>
                <w:color w:val="auto"/>
                <w:sz w:val="12"/>
                <w:szCs w:val="12"/>
                <w:lang w:val="en-GB"/>
              </w:rPr>
            </w:pPr>
            <w:r>
              <w:rPr>
                <w:color w:val="auto"/>
                <w:sz w:val="12"/>
                <w:szCs w:val="12"/>
                <w:lang w:val="en-GB"/>
              </w:rPr>
              <w:t>15.29 (±0.38) × 4.73 (±0.12)</w:t>
            </w:r>
          </w:p>
        </w:tc>
        <w:tc>
          <w:tcPr>
            <w:tcW w:w="844" w:type="dxa"/>
            <w:tcBorders>
              <w:top w:val="nil"/>
              <w:left w:val="nil"/>
              <w:bottom w:val="nil"/>
              <w:right w:val="nil"/>
            </w:tcBorders>
          </w:tcPr>
          <w:p>
            <w:pPr>
              <w:autoSpaceDE w:val="0"/>
              <w:autoSpaceDN w:val="0"/>
              <w:adjustRightInd w:val="0"/>
              <w:spacing w:line="480" w:lineRule="auto"/>
              <w:rPr>
                <w:color w:val="auto"/>
                <w:sz w:val="12"/>
                <w:szCs w:val="12"/>
                <w:lang w:val="en-GB"/>
              </w:rPr>
            </w:pPr>
            <w:r>
              <w:rPr>
                <w:color w:val="auto"/>
                <w:sz w:val="12"/>
                <w:szCs w:val="12"/>
                <w:lang w:val="en-GB"/>
              </w:rPr>
              <w:t>2.79 ± 0.18</w:t>
            </w:r>
          </w:p>
        </w:tc>
        <w:tc>
          <w:tcPr>
            <w:tcW w:w="1213" w:type="dxa"/>
            <w:tcBorders>
              <w:top w:val="nil"/>
              <w:left w:val="nil"/>
              <w:bottom w:val="nil"/>
              <w:right w:val="nil"/>
            </w:tcBorders>
            <w:shd w:val="clear" w:color="auto" w:fill="auto"/>
          </w:tcPr>
          <w:p>
            <w:pPr>
              <w:autoSpaceDE w:val="0"/>
              <w:autoSpaceDN w:val="0"/>
              <w:adjustRightInd w:val="0"/>
              <w:spacing w:line="480" w:lineRule="auto"/>
              <w:rPr>
                <w:color w:val="auto"/>
                <w:sz w:val="12"/>
                <w:szCs w:val="12"/>
                <w:lang w:val="en-GB"/>
              </w:rPr>
            </w:pPr>
            <w:r>
              <w:rPr>
                <w:color w:val="auto"/>
                <w:sz w:val="12"/>
                <w:szCs w:val="12"/>
                <w:lang w:val="en-GB"/>
              </w:rPr>
              <w:t>OQ683910/100.00%</w:t>
            </w:r>
          </w:p>
        </w:tc>
        <w:tc>
          <w:tcPr>
            <w:tcW w:w="1213" w:type="dxa"/>
            <w:tcBorders>
              <w:top w:val="nil"/>
              <w:left w:val="nil"/>
              <w:bottom w:val="nil"/>
              <w:right w:val="nil"/>
            </w:tcBorders>
          </w:tcPr>
          <w:p>
            <w:pPr>
              <w:autoSpaceDE w:val="0"/>
              <w:autoSpaceDN w:val="0"/>
              <w:adjustRightInd w:val="0"/>
              <w:spacing w:line="480" w:lineRule="auto"/>
              <w:rPr>
                <w:color w:val="auto"/>
                <w:sz w:val="12"/>
                <w:szCs w:val="12"/>
                <w:lang w:val="en-GB"/>
              </w:rPr>
            </w:pPr>
            <w:r>
              <w:rPr>
                <w:color w:val="auto"/>
                <w:sz w:val="12"/>
                <w:szCs w:val="12"/>
                <w:lang w:val="en-GB"/>
              </w:rPr>
              <w:t>OQ704316/99.39%</w:t>
            </w:r>
          </w:p>
        </w:tc>
        <w:tc>
          <w:tcPr>
            <w:tcW w:w="1323" w:type="dxa"/>
            <w:tcBorders>
              <w:top w:val="nil"/>
              <w:left w:val="nil"/>
              <w:bottom w:val="nil"/>
              <w:right w:val="nil"/>
            </w:tcBorders>
          </w:tcPr>
          <w:p>
            <w:pPr>
              <w:autoSpaceDE w:val="0"/>
              <w:autoSpaceDN w:val="0"/>
              <w:adjustRightInd w:val="0"/>
              <w:spacing w:line="480" w:lineRule="auto"/>
              <w:rPr>
                <w:color w:val="auto"/>
                <w:sz w:val="12"/>
                <w:szCs w:val="12"/>
              </w:rPr>
            </w:pPr>
            <w:r>
              <w:rPr>
                <w:color w:val="auto"/>
                <w:sz w:val="12"/>
                <w:szCs w:val="12"/>
              </w:rPr>
              <w:t>OQ798216/100.00%</w:t>
            </w:r>
          </w:p>
        </w:tc>
        <w:tc>
          <w:tcPr>
            <w:tcW w:w="1217" w:type="dxa"/>
            <w:tcBorders>
              <w:top w:val="nil"/>
              <w:left w:val="nil"/>
              <w:bottom w:val="nil"/>
              <w:right w:val="nil"/>
            </w:tcBorders>
          </w:tcPr>
          <w:p>
            <w:pPr>
              <w:autoSpaceDE w:val="0"/>
              <w:autoSpaceDN w:val="0"/>
              <w:adjustRightInd w:val="0"/>
              <w:spacing w:line="480" w:lineRule="auto"/>
              <w:rPr>
                <w:color w:val="auto"/>
                <w:sz w:val="12"/>
                <w:szCs w:val="12"/>
                <w:lang w:val="en-US"/>
              </w:rPr>
            </w:pPr>
            <w:r>
              <w:rPr>
                <w:color w:val="auto"/>
                <w:sz w:val="12"/>
                <w:szCs w:val="12"/>
              </w:rPr>
              <w:t>OQ784653</w:t>
            </w:r>
            <w:r>
              <w:rPr>
                <w:color w:val="auto"/>
                <w:sz w:val="12"/>
                <w:szCs w:val="12"/>
                <w:lang w:val="en-US"/>
              </w:rPr>
              <w:t>/100.00%</w:t>
            </w:r>
          </w:p>
        </w:tc>
        <w:tc>
          <w:tcPr>
            <w:tcW w:w="1281" w:type="dxa"/>
            <w:gridSpan w:val="2"/>
            <w:tcBorders>
              <w:top w:val="nil"/>
              <w:left w:val="nil"/>
              <w:bottom w:val="nil"/>
              <w:right w:val="nil"/>
            </w:tcBorders>
          </w:tcPr>
          <w:p>
            <w:pPr>
              <w:autoSpaceDE w:val="0"/>
              <w:autoSpaceDN w:val="0"/>
              <w:adjustRightInd w:val="0"/>
              <w:spacing w:line="480" w:lineRule="auto"/>
              <w:rPr>
                <w:color w:val="auto"/>
                <w:sz w:val="12"/>
                <w:szCs w:val="12"/>
                <w:lang w:val="en-US"/>
              </w:rPr>
            </w:pPr>
            <w:r>
              <w:rPr>
                <w:color w:val="auto"/>
                <w:sz w:val="12"/>
                <w:szCs w:val="12"/>
              </w:rPr>
              <w:t>OQ798211</w:t>
            </w:r>
            <w:r>
              <w:rPr>
                <w:color w:val="auto"/>
                <w:sz w:val="12"/>
                <w:szCs w:val="12"/>
                <w:lang w:val="en-US"/>
              </w:rPr>
              <w:t>/n.e.</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9" w:hRule="atLeast"/>
        </w:trPr>
        <w:tc>
          <w:tcPr>
            <w:tcW w:w="1147" w:type="dxa"/>
            <w:tcBorders>
              <w:top w:val="nil"/>
              <w:left w:val="nil"/>
              <w:bottom w:val="nil"/>
              <w:right w:val="nil"/>
            </w:tcBorders>
            <w:shd w:val="clear" w:color="auto" w:fill="auto"/>
          </w:tcPr>
          <w:p>
            <w:pPr>
              <w:autoSpaceDE w:val="0"/>
              <w:autoSpaceDN w:val="0"/>
              <w:adjustRightInd w:val="0"/>
              <w:spacing w:line="480" w:lineRule="auto"/>
              <w:rPr>
                <w:color w:val="auto"/>
                <w:sz w:val="12"/>
                <w:szCs w:val="12"/>
                <w:lang w:val="en-GB"/>
              </w:rPr>
            </w:pPr>
            <w:r>
              <w:rPr>
                <w:color w:val="auto"/>
                <w:sz w:val="12"/>
                <w:szCs w:val="12"/>
                <w:lang w:val="en-GB"/>
              </w:rPr>
              <w:t>SAROG1.3AVR13</w:t>
            </w:r>
          </w:p>
        </w:tc>
        <w:tc>
          <w:tcPr>
            <w:tcW w:w="1496" w:type="dxa"/>
            <w:tcBorders>
              <w:top w:val="nil"/>
              <w:left w:val="nil"/>
              <w:bottom w:val="nil"/>
              <w:right w:val="nil"/>
            </w:tcBorders>
            <w:shd w:val="clear" w:color="auto" w:fill="auto"/>
          </w:tcPr>
          <w:p>
            <w:pPr>
              <w:autoSpaceDE w:val="0"/>
              <w:autoSpaceDN w:val="0"/>
              <w:adjustRightInd w:val="0"/>
              <w:spacing w:line="480" w:lineRule="auto"/>
              <w:rPr>
                <w:i/>
                <w:iCs/>
                <w:color w:val="auto"/>
                <w:sz w:val="12"/>
                <w:szCs w:val="12"/>
                <w:lang w:val="en-GB"/>
              </w:rPr>
            </w:pPr>
            <w:r>
              <w:rPr>
                <w:i/>
                <w:iCs/>
                <w:color w:val="auto"/>
                <w:sz w:val="12"/>
                <w:szCs w:val="12"/>
                <w:lang w:val="en-GB"/>
              </w:rPr>
              <w:t>Seimatosporium vitis</w:t>
            </w:r>
          </w:p>
        </w:tc>
        <w:tc>
          <w:tcPr>
            <w:tcW w:w="510" w:type="dxa"/>
            <w:tcBorders>
              <w:top w:val="nil"/>
              <w:left w:val="nil"/>
              <w:bottom w:val="nil"/>
              <w:right w:val="nil"/>
            </w:tcBorders>
            <w:shd w:val="clear" w:color="auto" w:fill="auto"/>
          </w:tcPr>
          <w:p>
            <w:pPr>
              <w:autoSpaceDE w:val="0"/>
              <w:autoSpaceDN w:val="0"/>
              <w:adjustRightInd w:val="0"/>
              <w:spacing w:line="480" w:lineRule="auto"/>
              <w:rPr>
                <w:color w:val="auto"/>
                <w:sz w:val="12"/>
                <w:szCs w:val="12"/>
                <w:lang w:val="en-GB"/>
              </w:rPr>
            </w:pPr>
            <w:r>
              <w:rPr>
                <w:color w:val="auto"/>
                <w:sz w:val="12"/>
                <w:szCs w:val="12"/>
                <w:lang w:val="en-GB"/>
              </w:rPr>
              <w:t>Cordon</w:t>
            </w:r>
          </w:p>
        </w:tc>
        <w:tc>
          <w:tcPr>
            <w:tcW w:w="1168" w:type="dxa"/>
            <w:tcBorders>
              <w:top w:val="nil"/>
              <w:left w:val="nil"/>
              <w:bottom w:val="nil"/>
              <w:right w:val="nil"/>
            </w:tcBorders>
            <w:shd w:val="clear" w:color="auto" w:fill="auto"/>
          </w:tcPr>
          <w:p>
            <w:pPr>
              <w:autoSpaceDE w:val="0"/>
              <w:autoSpaceDN w:val="0"/>
              <w:adjustRightInd w:val="0"/>
              <w:spacing w:line="480" w:lineRule="auto"/>
              <w:rPr>
                <w:color w:val="auto"/>
                <w:sz w:val="12"/>
                <w:szCs w:val="12"/>
                <w:lang w:val="en-GB"/>
              </w:rPr>
            </w:pPr>
            <w:r>
              <w:rPr>
                <w:color w:val="auto"/>
                <w:sz w:val="12"/>
                <w:szCs w:val="12"/>
                <w:lang w:val="en-GB"/>
              </w:rPr>
              <w:t>Pretoria, Heraklion</w:t>
            </w:r>
          </w:p>
        </w:tc>
        <w:tc>
          <w:tcPr>
            <w:tcW w:w="1486" w:type="dxa"/>
            <w:tcBorders>
              <w:top w:val="nil"/>
              <w:left w:val="nil"/>
              <w:bottom w:val="nil"/>
              <w:right w:val="nil"/>
            </w:tcBorders>
          </w:tcPr>
          <w:p>
            <w:pPr>
              <w:rPr>
                <w:color w:val="auto"/>
                <w:sz w:val="12"/>
                <w:szCs w:val="12"/>
              </w:rPr>
            </w:pPr>
            <w:r>
              <w:rPr>
                <w:color w:val="auto"/>
                <w:sz w:val="12"/>
                <w:szCs w:val="12"/>
              </w:rPr>
              <w:t>Light brown-black</w:t>
            </w:r>
          </w:p>
        </w:tc>
        <w:tc>
          <w:tcPr>
            <w:tcW w:w="993" w:type="dxa"/>
            <w:tcBorders>
              <w:top w:val="nil"/>
              <w:left w:val="nil"/>
              <w:bottom w:val="nil"/>
              <w:right w:val="nil"/>
            </w:tcBorders>
          </w:tcPr>
          <w:p>
            <w:pPr>
              <w:autoSpaceDE w:val="0"/>
              <w:autoSpaceDN w:val="0"/>
              <w:adjustRightInd w:val="0"/>
              <w:spacing w:line="480" w:lineRule="auto"/>
              <w:rPr>
                <w:color w:val="auto"/>
                <w:sz w:val="12"/>
                <w:szCs w:val="12"/>
                <w:lang w:val="en-GB"/>
              </w:rPr>
            </w:pPr>
            <w:r>
              <w:rPr>
                <w:color w:val="auto"/>
                <w:sz w:val="12"/>
                <w:szCs w:val="12"/>
                <w:lang w:val="en-GB"/>
              </w:rPr>
              <w:t>2.16 ± 0.05</w:t>
            </w:r>
          </w:p>
        </w:tc>
        <w:tc>
          <w:tcPr>
            <w:tcW w:w="1702" w:type="dxa"/>
            <w:tcBorders>
              <w:top w:val="nil"/>
              <w:left w:val="nil"/>
              <w:bottom w:val="nil"/>
              <w:right w:val="nil"/>
            </w:tcBorders>
            <w:shd w:val="clear" w:color="auto" w:fill="auto"/>
          </w:tcPr>
          <w:p>
            <w:pPr>
              <w:autoSpaceDE w:val="0"/>
              <w:autoSpaceDN w:val="0"/>
              <w:adjustRightInd w:val="0"/>
              <w:spacing w:line="480" w:lineRule="auto"/>
              <w:rPr>
                <w:color w:val="auto"/>
                <w:sz w:val="12"/>
                <w:szCs w:val="12"/>
                <w:lang w:val="en-GB"/>
              </w:rPr>
            </w:pPr>
            <w:r>
              <w:rPr>
                <w:color w:val="auto"/>
                <w:sz w:val="12"/>
                <w:szCs w:val="12"/>
                <w:lang w:val="en-GB"/>
              </w:rPr>
              <w:t>17.76 (±0.47) × 5.06 (±0.02)</w:t>
            </w:r>
          </w:p>
        </w:tc>
        <w:tc>
          <w:tcPr>
            <w:tcW w:w="844" w:type="dxa"/>
            <w:tcBorders>
              <w:top w:val="nil"/>
              <w:left w:val="nil"/>
              <w:bottom w:val="nil"/>
              <w:right w:val="nil"/>
            </w:tcBorders>
          </w:tcPr>
          <w:p>
            <w:pPr>
              <w:autoSpaceDE w:val="0"/>
              <w:autoSpaceDN w:val="0"/>
              <w:adjustRightInd w:val="0"/>
              <w:spacing w:line="480" w:lineRule="auto"/>
              <w:rPr>
                <w:color w:val="auto"/>
                <w:sz w:val="12"/>
                <w:szCs w:val="12"/>
                <w:lang w:val="en-GB"/>
              </w:rPr>
            </w:pPr>
            <w:r>
              <w:rPr>
                <w:color w:val="auto"/>
                <w:sz w:val="12"/>
                <w:szCs w:val="12"/>
                <w:lang w:val="en-GB"/>
              </w:rPr>
              <w:t>2.93 ± 0.14</w:t>
            </w:r>
          </w:p>
        </w:tc>
        <w:tc>
          <w:tcPr>
            <w:tcW w:w="1213" w:type="dxa"/>
            <w:tcBorders>
              <w:top w:val="nil"/>
              <w:left w:val="nil"/>
              <w:bottom w:val="nil"/>
              <w:right w:val="nil"/>
            </w:tcBorders>
            <w:shd w:val="clear" w:color="auto" w:fill="auto"/>
          </w:tcPr>
          <w:p>
            <w:pPr>
              <w:autoSpaceDE w:val="0"/>
              <w:autoSpaceDN w:val="0"/>
              <w:adjustRightInd w:val="0"/>
              <w:spacing w:line="480" w:lineRule="auto"/>
              <w:rPr>
                <w:color w:val="auto"/>
                <w:sz w:val="12"/>
                <w:szCs w:val="12"/>
                <w:lang w:val="en-GB"/>
              </w:rPr>
            </w:pPr>
            <w:r>
              <w:rPr>
                <w:color w:val="auto"/>
                <w:sz w:val="12"/>
                <w:szCs w:val="12"/>
                <w:lang w:val="en-GB"/>
              </w:rPr>
              <w:t>OQ683911/100.00%</w:t>
            </w:r>
          </w:p>
        </w:tc>
        <w:tc>
          <w:tcPr>
            <w:tcW w:w="1213" w:type="dxa"/>
            <w:tcBorders>
              <w:top w:val="nil"/>
              <w:left w:val="nil"/>
              <w:bottom w:val="nil"/>
              <w:right w:val="nil"/>
            </w:tcBorders>
          </w:tcPr>
          <w:p>
            <w:pPr>
              <w:autoSpaceDE w:val="0"/>
              <w:autoSpaceDN w:val="0"/>
              <w:adjustRightInd w:val="0"/>
              <w:spacing w:line="480" w:lineRule="auto"/>
              <w:rPr>
                <w:color w:val="auto"/>
                <w:sz w:val="12"/>
                <w:szCs w:val="12"/>
                <w:lang w:val="en-GB"/>
              </w:rPr>
            </w:pPr>
            <w:r>
              <w:rPr>
                <w:color w:val="auto"/>
                <w:sz w:val="12"/>
                <w:szCs w:val="12"/>
                <w:lang w:val="en-GB"/>
              </w:rPr>
              <w:t>OQ704317/99.91%</w:t>
            </w:r>
          </w:p>
        </w:tc>
        <w:tc>
          <w:tcPr>
            <w:tcW w:w="1323" w:type="dxa"/>
            <w:tcBorders>
              <w:top w:val="nil"/>
              <w:left w:val="nil"/>
              <w:bottom w:val="nil"/>
              <w:right w:val="nil"/>
            </w:tcBorders>
          </w:tcPr>
          <w:p>
            <w:pPr>
              <w:autoSpaceDE w:val="0"/>
              <w:autoSpaceDN w:val="0"/>
              <w:adjustRightInd w:val="0"/>
              <w:spacing w:line="480" w:lineRule="auto"/>
              <w:rPr>
                <w:color w:val="auto"/>
                <w:sz w:val="12"/>
                <w:szCs w:val="12"/>
              </w:rPr>
            </w:pPr>
            <w:r>
              <w:rPr>
                <w:color w:val="auto"/>
                <w:sz w:val="12"/>
                <w:szCs w:val="12"/>
              </w:rPr>
              <w:t>OQ798217/100.00%</w:t>
            </w:r>
          </w:p>
        </w:tc>
        <w:tc>
          <w:tcPr>
            <w:tcW w:w="1217" w:type="dxa"/>
            <w:tcBorders>
              <w:top w:val="nil"/>
              <w:left w:val="nil"/>
              <w:bottom w:val="nil"/>
              <w:right w:val="nil"/>
            </w:tcBorders>
          </w:tcPr>
          <w:p>
            <w:pPr>
              <w:autoSpaceDE w:val="0"/>
              <w:autoSpaceDN w:val="0"/>
              <w:adjustRightInd w:val="0"/>
              <w:spacing w:line="480" w:lineRule="auto"/>
              <w:rPr>
                <w:color w:val="auto"/>
                <w:sz w:val="12"/>
                <w:szCs w:val="12"/>
                <w:lang w:val="en-US"/>
              </w:rPr>
            </w:pPr>
            <w:r>
              <w:rPr>
                <w:color w:val="auto"/>
                <w:sz w:val="12"/>
                <w:szCs w:val="12"/>
              </w:rPr>
              <w:t>OQ784654</w:t>
            </w:r>
            <w:r>
              <w:rPr>
                <w:color w:val="auto"/>
                <w:sz w:val="12"/>
                <w:szCs w:val="12"/>
                <w:lang w:val="en-US"/>
              </w:rPr>
              <w:t>/100.00%</w:t>
            </w:r>
          </w:p>
        </w:tc>
        <w:tc>
          <w:tcPr>
            <w:tcW w:w="1281" w:type="dxa"/>
            <w:gridSpan w:val="2"/>
            <w:tcBorders>
              <w:top w:val="nil"/>
              <w:left w:val="nil"/>
              <w:bottom w:val="nil"/>
              <w:right w:val="nil"/>
            </w:tcBorders>
          </w:tcPr>
          <w:p>
            <w:pPr>
              <w:autoSpaceDE w:val="0"/>
              <w:autoSpaceDN w:val="0"/>
              <w:adjustRightInd w:val="0"/>
              <w:spacing w:line="480" w:lineRule="auto"/>
              <w:rPr>
                <w:color w:val="auto"/>
                <w:sz w:val="12"/>
                <w:szCs w:val="12"/>
                <w:lang w:val="en-US"/>
              </w:rPr>
            </w:pPr>
            <w:r>
              <w:rPr>
                <w:color w:val="auto"/>
                <w:sz w:val="12"/>
                <w:szCs w:val="12"/>
              </w:rPr>
              <w:t>OQ798212</w:t>
            </w:r>
            <w:r>
              <w:rPr>
                <w:color w:val="auto"/>
                <w:sz w:val="12"/>
                <w:szCs w:val="12"/>
                <w:lang w:val="en-US"/>
              </w:rPr>
              <w:t>/n.e.</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9" w:hRule="atLeast"/>
        </w:trPr>
        <w:tc>
          <w:tcPr>
            <w:tcW w:w="1147" w:type="dxa"/>
            <w:tcBorders>
              <w:top w:val="nil"/>
              <w:left w:val="nil"/>
              <w:bottom w:val="nil"/>
              <w:right w:val="nil"/>
            </w:tcBorders>
            <w:shd w:val="clear" w:color="auto" w:fill="auto"/>
          </w:tcPr>
          <w:p>
            <w:pPr>
              <w:autoSpaceDE w:val="0"/>
              <w:autoSpaceDN w:val="0"/>
              <w:adjustRightInd w:val="0"/>
              <w:spacing w:line="480" w:lineRule="auto"/>
              <w:rPr>
                <w:color w:val="auto"/>
                <w:sz w:val="12"/>
                <w:szCs w:val="12"/>
                <w:lang w:val="en-GB"/>
              </w:rPr>
            </w:pPr>
            <w:r>
              <w:rPr>
                <w:color w:val="auto"/>
                <w:sz w:val="12"/>
                <w:szCs w:val="12"/>
                <w:lang w:val="en-GB"/>
              </w:rPr>
              <w:t>SAROG1.2AKO1</w:t>
            </w:r>
          </w:p>
        </w:tc>
        <w:tc>
          <w:tcPr>
            <w:tcW w:w="1496" w:type="dxa"/>
            <w:tcBorders>
              <w:top w:val="nil"/>
              <w:left w:val="nil"/>
              <w:bottom w:val="nil"/>
              <w:right w:val="nil"/>
            </w:tcBorders>
            <w:shd w:val="clear" w:color="auto" w:fill="auto"/>
          </w:tcPr>
          <w:p>
            <w:pPr>
              <w:autoSpaceDE w:val="0"/>
              <w:autoSpaceDN w:val="0"/>
              <w:adjustRightInd w:val="0"/>
              <w:spacing w:line="480" w:lineRule="auto"/>
              <w:rPr>
                <w:i/>
                <w:iCs/>
                <w:color w:val="auto"/>
                <w:sz w:val="12"/>
                <w:szCs w:val="12"/>
                <w:lang w:val="en-GB"/>
              </w:rPr>
            </w:pPr>
            <w:r>
              <w:rPr>
                <w:i/>
                <w:iCs/>
                <w:color w:val="auto"/>
                <w:sz w:val="12"/>
                <w:szCs w:val="12"/>
                <w:lang w:val="en-US"/>
              </w:rPr>
              <w:t>Didymosphaeria</w:t>
            </w:r>
            <w:r>
              <w:rPr>
                <w:i/>
                <w:iCs/>
                <w:color w:val="auto"/>
                <w:sz w:val="12"/>
                <w:szCs w:val="12"/>
                <w:lang w:val="en-GB"/>
              </w:rPr>
              <w:t xml:space="preserve"> variabile</w:t>
            </w:r>
          </w:p>
        </w:tc>
        <w:tc>
          <w:tcPr>
            <w:tcW w:w="510" w:type="dxa"/>
            <w:tcBorders>
              <w:top w:val="nil"/>
              <w:left w:val="nil"/>
              <w:bottom w:val="nil"/>
              <w:right w:val="nil"/>
            </w:tcBorders>
            <w:shd w:val="clear" w:color="auto" w:fill="auto"/>
          </w:tcPr>
          <w:p>
            <w:pPr>
              <w:autoSpaceDE w:val="0"/>
              <w:autoSpaceDN w:val="0"/>
              <w:adjustRightInd w:val="0"/>
              <w:spacing w:line="480" w:lineRule="auto"/>
              <w:rPr>
                <w:color w:val="auto"/>
                <w:sz w:val="12"/>
                <w:szCs w:val="12"/>
                <w:lang w:val="en-GB"/>
              </w:rPr>
            </w:pPr>
            <w:r>
              <w:rPr>
                <w:color w:val="auto"/>
                <w:sz w:val="12"/>
                <w:szCs w:val="12"/>
                <w:lang w:val="en-US"/>
              </w:rPr>
              <w:t>Trunk</w:t>
            </w:r>
          </w:p>
        </w:tc>
        <w:tc>
          <w:tcPr>
            <w:tcW w:w="1168" w:type="dxa"/>
            <w:tcBorders>
              <w:top w:val="nil"/>
              <w:left w:val="nil"/>
              <w:bottom w:val="nil"/>
              <w:right w:val="nil"/>
            </w:tcBorders>
            <w:shd w:val="clear" w:color="auto" w:fill="auto"/>
          </w:tcPr>
          <w:p>
            <w:pPr>
              <w:autoSpaceDE w:val="0"/>
              <w:autoSpaceDN w:val="0"/>
              <w:adjustRightInd w:val="0"/>
              <w:spacing w:line="480" w:lineRule="auto"/>
              <w:rPr>
                <w:color w:val="auto"/>
                <w:sz w:val="12"/>
                <w:szCs w:val="12"/>
                <w:lang w:val="en-GB"/>
              </w:rPr>
            </w:pPr>
            <w:r>
              <w:rPr>
                <w:color w:val="auto"/>
                <w:sz w:val="12"/>
                <w:szCs w:val="12"/>
                <w:lang w:val="en-GB"/>
              </w:rPr>
              <w:t>Pretoria, Heraklion</w:t>
            </w:r>
          </w:p>
        </w:tc>
        <w:tc>
          <w:tcPr>
            <w:tcW w:w="1486" w:type="dxa"/>
            <w:tcBorders>
              <w:top w:val="nil"/>
              <w:left w:val="nil"/>
              <w:bottom w:val="nil"/>
              <w:right w:val="nil"/>
            </w:tcBorders>
          </w:tcPr>
          <w:p>
            <w:pPr>
              <w:rPr>
                <w:color w:val="auto"/>
                <w:sz w:val="12"/>
                <w:szCs w:val="12"/>
                <w:lang w:val="en-US"/>
              </w:rPr>
            </w:pPr>
            <w:r>
              <w:rPr>
                <w:color w:val="auto"/>
                <w:sz w:val="12"/>
                <w:szCs w:val="12"/>
                <w:lang w:val="en-US"/>
              </w:rPr>
              <w:t>White to olive-green, grey</w:t>
            </w:r>
          </w:p>
        </w:tc>
        <w:tc>
          <w:tcPr>
            <w:tcW w:w="993" w:type="dxa"/>
            <w:tcBorders>
              <w:top w:val="nil"/>
              <w:left w:val="nil"/>
              <w:bottom w:val="nil"/>
              <w:right w:val="nil"/>
            </w:tcBorders>
          </w:tcPr>
          <w:p>
            <w:pPr>
              <w:autoSpaceDE w:val="0"/>
              <w:autoSpaceDN w:val="0"/>
              <w:adjustRightInd w:val="0"/>
              <w:spacing w:line="480" w:lineRule="auto"/>
              <w:rPr>
                <w:color w:val="auto"/>
                <w:sz w:val="12"/>
                <w:szCs w:val="12"/>
                <w:lang w:val="en-GB"/>
              </w:rPr>
            </w:pPr>
            <w:r>
              <w:rPr>
                <w:color w:val="auto"/>
                <w:sz w:val="12"/>
                <w:szCs w:val="12"/>
                <w:lang w:val="en-GB"/>
              </w:rPr>
              <w:t>5.61 ± 0.10</w:t>
            </w:r>
          </w:p>
        </w:tc>
        <w:tc>
          <w:tcPr>
            <w:tcW w:w="1702" w:type="dxa"/>
            <w:tcBorders>
              <w:top w:val="nil"/>
              <w:left w:val="nil"/>
              <w:bottom w:val="nil"/>
              <w:right w:val="nil"/>
            </w:tcBorders>
            <w:shd w:val="clear" w:color="auto" w:fill="auto"/>
          </w:tcPr>
          <w:p>
            <w:pPr>
              <w:autoSpaceDE w:val="0"/>
              <w:autoSpaceDN w:val="0"/>
              <w:adjustRightInd w:val="0"/>
              <w:spacing w:line="480" w:lineRule="auto"/>
              <w:rPr>
                <w:color w:val="auto"/>
                <w:sz w:val="12"/>
                <w:szCs w:val="12"/>
                <w:lang w:val="en-GB"/>
              </w:rPr>
            </w:pPr>
            <w:r>
              <w:rPr>
                <w:color w:val="auto"/>
                <w:sz w:val="12"/>
                <w:szCs w:val="12"/>
              </w:rPr>
              <w:t>Nf</w:t>
            </w:r>
          </w:p>
        </w:tc>
        <w:tc>
          <w:tcPr>
            <w:tcW w:w="844" w:type="dxa"/>
            <w:tcBorders>
              <w:top w:val="nil"/>
              <w:left w:val="nil"/>
              <w:bottom w:val="nil"/>
              <w:right w:val="nil"/>
            </w:tcBorders>
          </w:tcPr>
          <w:p>
            <w:pPr>
              <w:autoSpaceDE w:val="0"/>
              <w:autoSpaceDN w:val="0"/>
              <w:adjustRightInd w:val="0"/>
              <w:spacing w:line="480" w:lineRule="auto"/>
              <w:rPr>
                <w:color w:val="auto"/>
                <w:sz w:val="12"/>
                <w:szCs w:val="12"/>
              </w:rPr>
            </w:pPr>
            <w:r>
              <w:rPr>
                <w:color w:val="auto"/>
                <w:sz w:val="12"/>
                <w:szCs w:val="12"/>
              </w:rPr>
              <w:t>2.90 ± 0.29</w:t>
            </w:r>
          </w:p>
        </w:tc>
        <w:tc>
          <w:tcPr>
            <w:tcW w:w="1213" w:type="dxa"/>
            <w:tcBorders>
              <w:top w:val="nil"/>
              <w:left w:val="nil"/>
              <w:bottom w:val="nil"/>
              <w:right w:val="nil"/>
            </w:tcBorders>
            <w:shd w:val="clear" w:color="auto" w:fill="auto"/>
          </w:tcPr>
          <w:p>
            <w:pPr>
              <w:autoSpaceDE w:val="0"/>
              <w:autoSpaceDN w:val="0"/>
              <w:adjustRightInd w:val="0"/>
              <w:spacing w:line="480" w:lineRule="auto"/>
              <w:rPr>
                <w:color w:val="auto"/>
                <w:sz w:val="12"/>
                <w:szCs w:val="12"/>
                <w:lang w:val="en-GB"/>
              </w:rPr>
            </w:pPr>
            <w:r>
              <w:rPr>
                <w:color w:val="auto"/>
                <w:sz w:val="12"/>
                <w:szCs w:val="12"/>
                <w:lang w:val="en-GB"/>
              </w:rPr>
              <w:t>OQ683908/100.00%</w:t>
            </w:r>
          </w:p>
        </w:tc>
        <w:tc>
          <w:tcPr>
            <w:tcW w:w="1213" w:type="dxa"/>
            <w:tcBorders>
              <w:top w:val="nil"/>
              <w:left w:val="nil"/>
              <w:bottom w:val="nil"/>
              <w:right w:val="nil"/>
            </w:tcBorders>
          </w:tcPr>
          <w:p>
            <w:pPr>
              <w:autoSpaceDE w:val="0"/>
              <w:autoSpaceDN w:val="0"/>
              <w:adjustRightInd w:val="0"/>
              <w:spacing w:line="480" w:lineRule="auto"/>
              <w:rPr>
                <w:color w:val="auto"/>
                <w:sz w:val="12"/>
                <w:szCs w:val="12"/>
                <w:lang w:val="en-US"/>
              </w:rPr>
            </w:pPr>
            <w:r>
              <w:rPr>
                <w:color w:val="auto"/>
                <w:sz w:val="12"/>
                <w:szCs w:val="12"/>
                <w:lang w:val="en-US"/>
              </w:rPr>
              <w:t>OQ704314/n.e.</w:t>
            </w:r>
          </w:p>
        </w:tc>
        <w:tc>
          <w:tcPr>
            <w:tcW w:w="1323" w:type="dxa"/>
            <w:tcBorders>
              <w:top w:val="nil"/>
              <w:left w:val="nil"/>
              <w:bottom w:val="nil"/>
              <w:right w:val="nil"/>
            </w:tcBorders>
          </w:tcPr>
          <w:p>
            <w:pPr>
              <w:autoSpaceDE w:val="0"/>
              <w:autoSpaceDN w:val="0"/>
              <w:adjustRightInd w:val="0"/>
              <w:spacing w:line="480" w:lineRule="auto"/>
              <w:rPr>
                <w:color w:val="auto"/>
                <w:sz w:val="12"/>
                <w:szCs w:val="12"/>
                <w:lang w:val="en-US"/>
              </w:rPr>
            </w:pPr>
            <w:r>
              <w:rPr>
                <w:color w:val="auto"/>
                <w:sz w:val="12"/>
                <w:szCs w:val="12"/>
                <w:lang w:val="en-US"/>
              </w:rPr>
              <w:t>-</w:t>
            </w:r>
          </w:p>
        </w:tc>
        <w:tc>
          <w:tcPr>
            <w:tcW w:w="1217" w:type="dxa"/>
            <w:tcBorders>
              <w:top w:val="nil"/>
              <w:left w:val="nil"/>
              <w:bottom w:val="nil"/>
              <w:right w:val="nil"/>
            </w:tcBorders>
          </w:tcPr>
          <w:p>
            <w:pPr>
              <w:autoSpaceDE w:val="0"/>
              <w:autoSpaceDN w:val="0"/>
              <w:adjustRightInd w:val="0"/>
              <w:spacing w:line="480" w:lineRule="auto"/>
              <w:rPr>
                <w:color w:val="auto"/>
                <w:sz w:val="12"/>
                <w:szCs w:val="12"/>
                <w:lang w:val="en-US"/>
              </w:rPr>
            </w:pPr>
            <w:r>
              <w:rPr>
                <w:color w:val="auto"/>
                <w:sz w:val="12"/>
                <w:szCs w:val="12"/>
                <w:lang w:val="en-US"/>
              </w:rPr>
              <w:t>OQ784651/99.78%</w:t>
            </w:r>
          </w:p>
        </w:tc>
        <w:tc>
          <w:tcPr>
            <w:tcW w:w="1281" w:type="dxa"/>
            <w:gridSpan w:val="2"/>
            <w:tcBorders>
              <w:top w:val="nil"/>
              <w:left w:val="nil"/>
              <w:bottom w:val="nil"/>
              <w:right w:val="nil"/>
            </w:tcBorders>
          </w:tcPr>
          <w:p>
            <w:pPr>
              <w:autoSpaceDE w:val="0"/>
              <w:autoSpaceDN w:val="0"/>
              <w:adjustRightInd w:val="0"/>
              <w:spacing w:line="480" w:lineRule="auto"/>
              <w:rPr>
                <w:color w:val="auto"/>
                <w:sz w:val="12"/>
                <w:szCs w:val="12"/>
                <w:lang w:val="en-US"/>
              </w:rPr>
            </w:pPr>
            <w:r>
              <w:rPr>
                <w:color w:val="auto"/>
                <w:sz w:val="12"/>
                <w:szCs w:val="12"/>
                <w:lang w:val="en-US"/>
              </w:rPr>
              <w:t>OQ798209/100.00%</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9" w:hRule="atLeast"/>
        </w:trPr>
        <w:tc>
          <w:tcPr>
            <w:tcW w:w="1147" w:type="dxa"/>
            <w:tcBorders>
              <w:top w:val="nil"/>
              <w:left w:val="nil"/>
              <w:bottom w:val="single" w:color="auto" w:sz="12" w:space="0"/>
              <w:right w:val="nil"/>
            </w:tcBorders>
            <w:shd w:val="clear" w:color="auto" w:fill="auto"/>
          </w:tcPr>
          <w:p>
            <w:pPr>
              <w:autoSpaceDE w:val="0"/>
              <w:autoSpaceDN w:val="0"/>
              <w:adjustRightInd w:val="0"/>
              <w:spacing w:line="480" w:lineRule="auto"/>
              <w:rPr>
                <w:color w:val="auto"/>
                <w:sz w:val="12"/>
                <w:szCs w:val="12"/>
                <w:lang w:val="en-GB"/>
              </w:rPr>
            </w:pPr>
            <w:r>
              <w:rPr>
                <w:color w:val="auto"/>
                <w:sz w:val="12"/>
                <w:szCs w:val="12"/>
                <w:lang w:val="en-GB"/>
              </w:rPr>
              <w:t>SAROG1.3AVR7</w:t>
            </w:r>
          </w:p>
        </w:tc>
        <w:tc>
          <w:tcPr>
            <w:tcW w:w="1496" w:type="dxa"/>
            <w:tcBorders>
              <w:top w:val="nil"/>
              <w:left w:val="nil"/>
              <w:bottom w:val="single" w:color="auto" w:sz="12" w:space="0"/>
              <w:right w:val="nil"/>
            </w:tcBorders>
            <w:shd w:val="clear" w:color="auto" w:fill="auto"/>
          </w:tcPr>
          <w:p>
            <w:pPr>
              <w:autoSpaceDE w:val="0"/>
              <w:autoSpaceDN w:val="0"/>
              <w:adjustRightInd w:val="0"/>
              <w:spacing w:line="480" w:lineRule="auto"/>
              <w:rPr>
                <w:i/>
                <w:iCs/>
                <w:color w:val="auto"/>
                <w:sz w:val="12"/>
                <w:szCs w:val="12"/>
                <w:lang w:val="en-GB"/>
              </w:rPr>
            </w:pPr>
            <w:r>
              <w:rPr>
                <w:i/>
                <w:iCs/>
                <w:color w:val="auto"/>
                <w:sz w:val="12"/>
                <w:szCs w:val="12"/>
                <w:lang w:val="en-GB"/>
              </w:rPr>
              <w:t>Neosetophoma italica</w:t>
            </w:r>
          </w:p>
        </w:tc>
        <w:tc>
          <w:tcPr>
            <w:tcW w:w="510" w:type="dxa"/>
            <w:tcBorders>
              <w:top w:val="nil"/>
              <w:left w:val="nil"/>
              <w:bottom w:val="single" w:color="auto" w:sz="12" w:space="0"/>
              <w:right w:val="nil"/>
            </w:tcBorders>
            <w:shd w:val="clear" w:color="auto" w:fill="auto"/>
          </w:tcPr>
          <w:p>
            <w:pPr>
              <w:autoSpaceDE w:val="0"/>
              <w:autoSpaceDN w:val="0"/>
              <w:adjustRightInd w:val="0"/>
              <w:spacing w:line="480" w:lineRule="auto"/>
              <w:rPr>
                <w:color w:val="auto"/>
                <w:sz w:val="12"/>
                <w:szCs w:val="12"/>
                <w:lang w:val="en-US"/>
              </w:rPr>
            </w:pPr>
            <w:r>
              <w:rPr>
                <w:color w:val="auto"/>
                <w:sz w:val="12"/>
                <w:szCs w:val="12"/>
                <w:lang w:val="en-US"/>
              </w:rPr>
              <w:t>Cordon</w:t>
            </w:r>
          </w:p>
        </w:tc>
        <w:tc>
          <w:tcPr>
            <w:tcW w:w="1168" w:type="dxa"/>
            <w:tcBorders>
              <w:top w:val="nil"/>
              <w:left w:val="nil"/>
              <w:bottom w:val="single" w:color="auto" w:sz="12" w:space="0"/>
              <w:right w:val="nil"/>
            </w:tcBorders>
            <w:shd w:val="clear" w:color="auto" w:fill="auto"/>
          </w:tcPr>
          <w:p>
            <w:pPr>
              <w:autoSpaceDE w:val="0"/>
              <w:autoSpaceDN w:val="0"/>
              <w:adjustRightInd w:val="0"/>
              <w:spacing w:line="480" w:lineRule="auto"/>
              <w:rPr>
                <w:color w:val="auto"/>
                <w:sz w:val="12"/>
                <w:szCs w:val="12"/>
                <w:lang w:val="en-GB"/>
              </w:rPr>
            </w:pPr>
            <w:r>
              <w:rPr>
                <w:color w:val="auto"/>
                <w:sz w:val="12"/>
                <w:szCs w:val="12"/>
                <w:lang w:val="en-GB"/>
              </w:rPr>
              <w:t>Pretoria, Heraklion</w:t>
            </w:r>
          </w:p>
        </w:tc>
        <w:tc>
          <w:tcPr>
            <w:tcW w:w="1486" w:type="dxa"/>
            <w:tcBorders>
              <w:top w:val="nil"/>
              <w:left w:val="nil"/>
              <w:bottom w:val="single" w:color="auto" w:sz="12" w:space="0"/>
              <w:right w:val="nil"/>
            </w:tcBorders>
          </w:tcPr>
          <w:p>
            <w:pPr>
              <w:rPr>
                <w:color w:val="auto"/>
                <w:sz w:val="12"/>
                <w:szCs w:val="12"/>
                <w:lang w:val="en-US"/>
              </w:rPr>
            </w:pPr>
            <w:r>
              <w:rPr>
                <w:color w:val="auto"/>
                <w:sz w:val="12"/>
                <w:szCs w:val="12"/>
                <w:lang w:val="en-US"/>
              </w:rPr>
              <w:t>White to pale brown</w:t>
            </w:r>
          </w:p>
        </w:tc>
        <w:tc>
          <w:tcPr>
            <w:tcW w:w="993" w:type="dxa"/>
            <w:tcBorders>
              <w:top w:val="nil"/>
              <w:left w:val="nil"/>
              <w:bottom w:val="single" w:color="auto" w:sz="12" w:space="0"/>
              <w:right w:val="nil"/>
            </w:tcBorders>
          </w:tcPr>
          <w:p>
            <w:pPr>
              <w:autoSpaceDE w:val="0"/>
              <w:autoSpaceDN w:val="0"/>
              <w:adjustRightInd w:val="0"/>
              <w:spacing w:line="480" w:lineRule="auto"/>
              <w:rPr>
                <w:color w:val="auto"/>
                <w:sz w:val="12"/>
                <w:szCs w:val="12"/>
                <w:lang w:val="en-GB"/>
              </w:rPr>
            </w:pPr>
            <w:r>
              <w:rPr>
                <w:color w:val="auto"/>
                <w:sz w:val="12"/>
                <w:szCs w:val="12"/>
                <w:lang w:val="en-GB"/>
              </w:rPr>
              <w:t>2.61 ± 0.15</w:t>
            </w:r>
          </w:p>
        </w:tc>
        <w:tc>
          <w:tcPr>
            <w:tcW w:w="1702" w:type="dxa"/>
            <w:tcBorders>
              <w:top w:val="nil"/>
              <w:left w:val="nil"/>
              <w:bottom w:val="single" w:color="auto" w:sz="12" w:space="0"/>
              <w:right w:val="nil"/>
            </w:tcBorders>
            <w:shd w:val="clear" w:color="auto" w:fill="auto"/>
          </w:tcPr>
          <w:p>
            <w:pPr>
              <w:autoSpaceDE w:val="0"/>
              <w:autoSpaceDN w:val="0"/>
              <w:adjustRightInd w:val="0"/>
              <w:spacing w:line="480" w:lineRule="auto"/>
              <w:rPr>
                <w:color w:val="auto"/>
                <w:sz w:val="12"/>
                <w:szCs w:val="12"/>
                <w:lang w:val="en-GB"/>
              </w:rPr>
            </w:pPr>
            <w:r>
              <w:rPr>
                <w:color w:val="auto"/>
                <w:sz w:val="12"/>
                <w:szCs w:val="12"/>
              </w:rPr>
              <w:t>7</w:t>
            </w:r>
            <w:r>
              <w:rPr>
                <w:color w:val="auto"/>
                <w:sz w:val="12"/>
                <w:szCs w:val="12"/>
                <w:lang w:val="en-GB"/>
              </w:rPr>
              <w:t>.</w:t>
            </w:r>
            <w:r>
              <w:rPr>
                <w:color w:val="auto"/>
                <w:sz w:val="12"/>
                <w:szCs w:val="12"/>
              </w:rPr>
              <w:t>83</w:t>
            </w:r>
            <w:r>
              <w:rPr>
                <w:color w:val="auto"/>
                <w:sz w:val="12"/>
                <w:szCs w:val="12"/>
                <w:lang w:val="en-GB"/>
              </w:rPr>
              <w:t xml:space="preserve"> (±0.</w:t>
            </w:r>
            <w:r>
              <w:rPr>
                <w:color w:val="auto"/>
                <w:sz w:val="12"/>
                <w:szCs w:val="12"/>
              </w:rPr>
              <w:t>34</w:t>
            </w:r>
            <w:r>
              <w:rPr>
                <w:color w:val="auto"/>
                <w:sz w:val="12"/>
                <w:szCs w:val="12"/>
                <w:lang w:val="en-GB"/>
              </w:rPr>
              <w:t xml:space="preserve">) × </w:t>
            </w:r>
            <w:r>
              <w:rPr>
                <w:color w:val="auto"/>
                <w:sz w:val="12"/>
                <w:szCs w:val="12"/>
              </w:rPr>
              <w:t>3</w:t>
            </w:r>
            <w:r>
              <w:rPr>
                <w:color w:val="auto"/>
                <w:sz w:val="12"/>
                <w:szCs w:val="12"/>
                <w:lang w:val="en-GB"/>
              </w:rPr>
              <w:t>.</w:t>
            </w:r>
            <w:r>
              <w:rPr>
                <w:color w:val="auto"/>
                <w:sz w:val="12"/>
                <w:szCs w:val="12"/>
              </w:rPr>
              <w:t>40</w:t>
            </w:r>
            <w:r>
              <w:rPr>
                <w:color w:val="auto"/>
                <w:sz w:val="12"/>
                <w:szCs w:val="12"/>
                <w:lang w:val="en-GB"/>
              </w:rPr>
              <w:t xml:space="preserve"> (±0.</w:t>
            </w:r>
            <w:r>
              <w:rPr>
                <w:color w:val="auto"/>
                <w:sz w:val="12"/>
                <w:szCs w:val="12"/>
              </w:rPr>
              <w:t>15</w:t>
            </w:r>
            <w:r>
              <w:rPr>
                <w:color w:val="auto"/>
                <w:sz w:val="12"/>
                <w:szCs w:val="12"/>
                <w:lang w:val="en-GB"/>
              </w:rPr>
              <w:t>)</w:t>
            </w:r>
          </w:p>
        </w:tc>
        <w:tc>
          <w:tcPr>
            <w:tcW w:w="844" w:type="dxa"/>
            <w:tcBorders>
              <w:top w:val="nil"/>
              <w:left w:val="nil"/>
              <w:bottom w:val="single" w:color="auto" w:sz="12" w:space="0"/>
              <w:right w:val="nil"/>
            </w:tcBorders>
          </w:tcPr>
          <w:p>
            <w:pPr>
              <w:autoSpaceDE w:val="0"/>
              <w:autoSpaceDN w:val="0"/>
              <w:adjustRightInd w:val="0"/>
              <w:spacing w:line="480" w:lineRule="auto"/>
              <w:rPr>
                <w:color w:val="auto"/>
                <w:sz w:val="12"/>
                <w:szCs w:val="12"/>
              </w:rPr>
            </w:pPr>
            <w:r>
              <w:rPr>
                <w:color w:val="auto"/>
                <w:sz w:val="12"/>
                <w:szCs w:val="12"/>
              </w:rPr>
              <w:t>2.49 ± 0.10</w:t>
            </w:r>
          </w:p>
        </w:tc>
        <w:tc>
          <w:tcPr>
            <w:tcW w:w="1213" w:type="dxa"/>
            <w:tcBorders>
              <w:top w:val="nil"/>
              <w:left w:val="nil"/>
              <w:bottom w:val="single" w:color="auto" w:sz="12" w:space="0"/>
              <w:right w:val="nil"/>
            </w:tcBorders>
            <w:shd w:val="clear" w:color="auto" w:fill="auto"/>
          </w:tcPr>
          <w:p>
            <w:pPr>
              <w:autoSpaceDE w:val="0"/>
              <w:autoSpaceDN w:val="0"/>
              <w:adjustRightInd w:val="0"/>
              <w:spacing w:line="480" w:lineRule="auto"/>
              <w:rPr>
                <w:color w:val="auto"/>
                <w:sz w:val="12"/>
                <w:szCs w:val="12"/>
                <w:lang w:val="en-GB"/>
              </w:rPr>
            </w:pPr>
            <w:r>
              <w:rPr>
                <w:color w:val="auto"/>
                <w:sz w:val="12"/>
                <w:szCs w:val="12"/>
                <w:lang w:val="en-GB"/>
              </w:rPr>
              <w:t>OQ683909/100.00%</w:t>
            </w:r>
          </w:p>
        </w:tc>
        <w:tc>
          <w:tcPr>
            <w:tcW w:w="1213" w:type="dxa"/>
            <w:tcBorders>
              <w:top w:val="nil"/>
              <w:left w:val="nil"/>
              <w:bottom w:val="single" w:color="auto" w:sz="12" w:space="0"/>
              <w:right w:val="nil"/>
            </w:tcBorders>
          </w:tcPr>
          <w:p>
            <w:pPr>
              <w:autoSpaceDE w:val="0"/>
              <w:autoSpaceDN w:val="0"/>
              <w:adjustRightInd w:val="0"/>
              <w:spacing w:line="480" w:lineRule="auto"/>
              <w:rPr>
                <w:color w:val="auto"/>
                <w:sz w:val="12"/>
                <w:szCs w:val="12"/>
                <w:lang w:val="en-US"/>
              </w:rPr>
            </w:pPr>
            <w:r>
              <w:rPr>
                <w:color w:val="auto"/>
                <w:sz w:val="12"/>
                <w:szCs w:val="12"/>
                <w:lang w:val="en-US"/>
              </w:rPr>
              <w:t>OQ704315/n.e.</w:t>
            </w:r>
          </w:p>
        </w:tc>
        <w:tc>
          <w:tcPr>
            <w:tcW w:w="1323" w:type="dxa"/>
            <w:tcBorders>
              <w:top w:val="nil"/>
              <w:left w:val="nil"/>
              <w:bottom w:val="single" w:color="auto" w:sz="12" w:space="0"/>
              <w:right w:val="nil"/>
            </w:tcBorders>
          </w:tcPr>
          <w:p>
            <w:pPr>
              <w:autoSpaceDE w:val="0"/>
              <w:autoSpaceDN w:val="0"/>
              <w:adjustRightInd w:val="0"/>
              <w:spacing w:line="480" w:lineRule="auto"/>
              <w:rPr>
                <w:color w:val="auto"/>
                <w:sz w:val="12"/>
                <w:szCs w:val="12"/>
              </w:rPr>
            </w:pPr>
            <w:r>
              <w:rPr>
                <w:color w:val="auto"/>
                <w:sz w:val="12"/>
                <w:szCs w:val="12"/>
              </w:rPr>
              <w:t>OQ798215/</w:t>
            </w:r>
            <w:r>
              <w:rPr>
                <w:color w:val="auto"/>
                <w:sz w:val="12"/>
                <w:szCs w:val="12"/>
                <w:lang w:val="en-US"/>
              </w:rPr>
              <w:t>n.e.</w:t>
            </w:r>
          </w:p>
        </w:tc>
        <w:tc>
          <w:tcPr>
            <w:tcW w:w="1217" w:type="dxa"/>
            <w:tcBorders>
              <w:top w:val="nil"/>
              <w:left w:val="nil"/>
              <w:bottom w:val="single" w:color="auto" w:sz="12" w:space="0"/>
              <w:right w:val="nil"/>
            </w:tcBorders>
          </w:tcPr>
          <w:p>
            <w:pPr>
              <w:autoSpaceDE w:val="0"/>
              <w:autoSpaceDN w:val="0"/>
              <w:adjustRightInd w:val="0"/>
              <w:spacing w:line="480" w:lineRule="auto"/>
              <w:rPr>
                <w:color w:val="auto"/>
                <w:sz w:val="12"/>
                <w:szCs w:val="12"/>
                <w:lang w:val="en-US"/>
              </w:rPr>
            </w:pPr>
            <w:r>
              <w:rPr>
                <w:color w:val="auto"/>
                <w:sz w:val="12"/>
                <w:szCs w:val="12"/>
              </w:rPr>
              <w:t>OQ784652</w:t>
            </w:r>
            <w:r>
              <w:rPr>
                <w:color w:val="auto"/>
                <w:sz w:val="12"/>
                <w:szCs w:val="12"/>
                <w:lang w:val="en-US"/>
              </w:rPr>
              <w:t>/n.e.</w:t>
            </w:r>
          </w:p>
        </w:tc>
        <w:tc>
          <w:tcPr>
            <w:tcW w:w="1281" w:type="dxa"/>
            <w:gridSpan w:val="2"/>
            <w:tcBorders>
              <w:top w:val="nil"/>
              <w:left w:val="nil"/>
              <w:bottom w:val="single" w:color="auto" w:sz="12" w:space="0"/>
              <w:right w:val="nil"/>
            </w:tcBorders>
          </w:tcPr>
          <w:p>
            <w:pPr>
              <w:autoSpaceDE w:val="0"/>
              <w:autoSpaceDN w:val="0"/>
              <w:adjustRightInd w:val="0"/>
              <w:spacing w:line="480" w:lineRule="auto"/>
              <w:rPr>
                <w:color w:val="auto"/>
                <w:sz w:val="12"/>
                <w:szCs w:val="12"/>
                <w:lang w:val="en-US"/>
              </w:rPr>
            </w:pPr>
            <w:r>
              <w:rPr>
                <w:color w:val="auto"/>
                <w:sz w:val="12"/>
                <w:szCs w:val="12"/>
              </w:rPr>
              <w:t>OQ798210</w:t>
            </w:r>
            <w:r>
              <w:rPr>
                <w:color w:val="auto"/>
                <w:sz w:val="12"/>
                <w:szCs w:val="12"/>
                <w:lang w:val="en-US"/>
              </w:rPr>
              <w:t>/n.e.</w:t>
            </w:r>
          </w:p>
        </w:tc>
      </w:tr>
      <w:bookmarkEnd w:id="4"/>
    </w:tbl>
    <w:p>
      <w:pPr>
        <w:autoSpaceDE w:val="0"/>
        <w:autoSpaceDN w:val="0"/>
        <w:adjustRightInd w:val="0"/>
        <w:spacing w:line="480" w:lineRule="auto"/>
        <w:jc w:val="both"/>
        <w:rPr>
          <w:rFonts w:hint="default" w:ascii="Palatino Linotype" w:hAnsi="Palatino Linotype" w:cs="Palatino Linotype"/>
          <w:color w:val="auto"/>
          <w:sz w:val="18"/>
          <w:szCs w:val="18"/>
          <w:lang w:val="en-US"/>
        </w:rPr>
      </w:pPr>
      <w:r>
        <w:rPr>
          <w:rFonts w:hint="default" w:ascii="Palatino Linotype" w:hAnsi="Palatino Linotype" w:cs="Palatino Linotype"/>
          <w:color w:val="auto"/>
          <w:sz w:val="18"/>
          <w:szCs w:val="18"/>
          <w:vertAlign w:val="superscript"/>
          <w:lang w:val="en-GB"/>
        </w:rPr>
        <w:t xml:space="preserve">a </w:t>
      </w:r>
      <w:r>
        <w:rPr>
          <w:rFonts w:hint="default" w:ascii="Palatino Linotype" w:hAnsi="Palatino Linotype" w:cs="Palatino Linotype"/>
          <w:color w:val="auto"/>
          <w:sz w:val="18"/>
          <w:szCs w:val="18"/>
          <w:lang w:val="en-GB"/>
        </w:rPr>
        <w:t>Codes of fungal isolates obtained from symptomatic grapevine wood.</w:t>
      </w:r>
    </w:p>
    <w:p>
      <w:pPr>
        <w:autoSpaceDE w:val="0"/>
        <w:autoSpaceDN w:val="0"/>
        <w:adjustRightInd w:val="0"/>
        <w:spacing w:line="480" w:lineRule="auto"/>
        <w:jc w:val="both"/>
        <w:rPr>
          <w:rFonts w:hint="default" w:ascii="Palatino Linotype" w:hAnsi="Palatino Linotype" w:cs="Palatino Linotype"/>
          <w:color w:val="auto"/>
          <w:sz w:val="18"/>
          <w:szCs w:val="18"/>
          <w:lang w:val="en-GB"/>
        </w:rPr>
      </w:pPr>
      <w:r>
        <w:rPr>
          <w:rFonts w:hint="default" w:ascii="Palatino Linotype" w:hAnsi="Palatino Linotype" w:cs="Palatino Linotype"/>
          <w:color w:val="auto"/>
          <w:sz w:val="18"/>
          <w:szCs w:val="18"/>
          <w:vertAlign w:val="superscript"/>
          <w:lang w:val="en-GB"/>
        </w:rPr>
        <w:t>b</w:t>
      </w:r>
      <w:r>
        <w:rPr>
          <w:rFonts w:hint="default" w:ascii="Palatino Linotype" w:hAnsi="Palatino Linotype" w:cs="Palatino Linotype"/>
          <w:color w:val="auto"/>
          <w:sz w:val="18"/>
          <w:szCs w:val="18"/>
          <w:lang w:val="en-GB"/>
        </w:rPr>
        <w:t xml:space="preserve"> Fungal species as determined by the analysis of </w:t>
      </w:r>
      <w:bookmarkStart w:id="5" w:name="_Hlk139017938"/>
      <w:r>
        <w:rPr>
          <w:rStyle w:val="11"/>
          <w:rFonts w:hint="default" w:ascii="Palatino Linotype" w:hAnsi="Palatino Linotype" w:cs="Palatino Linotype"/>
          <w:color w:val="auto"/>
          <w:sz w:val="18"/>
          <w:szCs w:val="18"/>
          <w:lang w:val="en-GB"/>
        </w:rPr>
        <w:t>rDNA-ITS, LSU, tef1-</w:t>
      </w:r>
      <w:r>
        <w:rPr>
          <w:rStyle w:val="11"/>
          <w:rFonts w:hint="default" w:ascii="Palatino Linotype" w:hAnsi="Palatino Linotype" w:cs="Palatino Linotype"/>
          <w:color w:val="auto"/>
          <w:sz w:val="18"/>
          <w:szCs w:val="18"/>
        </w:rPr>
        <w:t>α</w:t>
      </w:r>
      <w:r>
        <w:rPr>
          <w:rStyle w:val="11"/>
          <w:rFonts w:hint="default" w:ascii="Palatino Linotype" w:hAnsi="Palatino Linotype" w:cs="Palatino Linotype"/>
          <w:color w:val="auto"/>
          <w:sz w:val="18"/>
          <w:szCs w:val="18"/>
          <w:lang w:val="en-US"/>
        </w:rPr>
        <w:t>, tub2</w:t>
      </w:r>
      <w:r>
        <w:rPr>
          <w:rFonts w:hint="default" w:ascii="Palatino Linotype" w:hAnsi="Palatino Linotype" w:cs="Palatino Linotype"/>
          <w:color w:val="auto"/>
          <w:sz w:val="18"/>
          <w:szCs w:val="18"/>
          <w:lang w:val="en-GB"/>
        </w:rPr>
        <w:t xml:space="preserve"> and </w:t>
      </w:r>
      <w:r>
        <w:rPr>
          <w:rFonts w:hint="default" w:ascii="Palatino Linotype" w:hAnsi="Palatino Linotype" w:cs="Palatino Linotype"/>
          <w:i/>
          <w:iCs/>
          <w:color w:val="auto"/>
          <w:sz w:val="18"/>
          <w:szCs w:val="18"/>
          <w:lang w:val="en-GB"/>
        </w:rPr>
        <w:t>act</w:t>
      </w:r>
      <w:r>
        <w:rPr>
          <w:rFonts w:hint="default" w:ascii="Palatino Linotype" w:hAnsi="Palatino Linotype" w:cs="Palatino Linotype"/>
          <w:color w:val="auto"/>
          <w:sz w:val="18"/>
          <w:szCs w:val="18"/>
          <w:lang w:val="en-US"/>
        </w:rPr>
        <w:t xml:space="preserve"> </w:t>
      </w:r>
      <w:bookmarkEnd w:id="5"/>
      <w:r>
        <w:rPr>
          <w:rFonts w:hint="default" w:ascii="Palatino Linotype" w:hAnsi="Palatino Linotype" w:cs="Palatino Linotype"/>
          <w:color w:val="auto"/>
          <w:sz w:val="18"/>
          <w:szCs w:val="18"/>
          <w:lang w:val="en-GB"/>
        </w:rPr>
        <w:t>sequences along with their morphological and physiological features.</w:t>
      </w:r>
    </w:p>
    <w:p>
      <w:pPr>
        <w:autoSpaceDE w:val="0"/>
        <w:autoSpaceDN w:val="0"/>
        <w:adjustRightInd w:val="0"/>
        <w:spacing w:line="480" w:lineRule="auto"/>
        <w:jc w:val="both"/>
        <w:rPr>
          <w:rFonts w:hint="default" w:ascii="Palatino Linotype" w:hAnsi="Palatino Linotype" w:cs="Palatino Linotype"/>
          <w:color w:val="auto"/>
          <w:sz w:val="18"/>
          <w:szCs w:val="18"/>
          <w:lang w:val="en-US"/>
        </w:rPr>
      </w:pPr>
      <w:r>
        <w:rPr>
          <w:rFonts w:hint="default" w:ascii="Palatino Linotype" w:hAnsi="Palatino Linotype" w:cs="Palatino Linotype"/>
          <w:color w:val="auto"/>
          <w:sz w:val="18"/>
          <w:szCs w:val="18"/>
          <w:vertAlign w:val="superscript"/>
          <w:lang w:val="en-GB"/>
        </w:rPr>
        <w:t>c</w:t>
      </w:r>
      <w:r>
        <w:rPr>
          <w:rFonts w:hint="default" w:ascii="Palatino Linotype" w:hAnsi="Palatino Linotype" w:cs="Palatino Linotype"/>
          <w:color w:val="auto"/>
          <w:sz w:val="18"/>
          <w:szCs w:val="18"/>
          <w:lang w:val="en-GB"/>
        </w:rPr>
        <w:t xml:space="preserve"> Part (cordon or trunk) </w:t>
      </w:r>
      <w:r>
        <w:rPr>
          <w:rFonts w:hint="default" w:ascii="Palatino Linotype" w:hAnsi="Palatino Linotype" w:cs="Palatino Linotype"/>
          <w:color w:val="auto"/>
          <w:sz w:val="18"/>
          <w:szCs w:val="18"/>
          <w:lang w:val="en-US"/>
        </w:rPr>
        <w:t xml:space="preserve">of vine </w:t>
      </w:r>
      <w:r>
        <w:rPr>
          <w:rFonts w:hint="default" w:ascii="Palatino Linotype" w:hAnsi="Palatino Linotype" w:cs="Palatino Linotype"/>
          <w:color w:val="auto"/>
          <w:sz w:val="18"/>
          <w:szCs w:val="18"/>
          <w:lang w:val="en-GB"/>
        </w:rPr>
        <w:t xml:space="preserve">where fungal strains were isolated on acidified potato dextrose agar (PDA). </w:t>
      </w:r>
    </w:p>
    <w:p>
      <w:pPr>
        <w:autoSpaceDE w:val="0"/>
        <w:autoSpaceDN w:val="0"/>
        <w:adjustRightInd w:val="0"/>
        <w:spacing w:line="480" w:lineRule="auto"/>
        <w:jc w:val="both"/>
        <w:rPr>
          <w:rFonts w:hint="default" w:ascii="Palatino Linotype" w:hAnsi="Palatino Linotype" w:cs="Palatino Linotype"/>
          <w:color w:val="auto"/>
          <w:sz w:val="18"/>
          <w:szCs w:val="18"/>
          <w:lang w:val="en-GB"/>
        </w:rPr>
      </w:pPr>
      <w:r>
        <w:rPr>
          <w:rFonts w:hint="default" w:ascii="Palatino Linotype" w:hAnsi="Palatino Linotype" w:cs="Palatino Linotype"/>
          <w:color w:val="auto"/>
          <w:sz w:val="18"/>
          <w:szCs w:val="18"/>
          <w:vertAlign w:val="superscript"/>
          <w:lang w:val="en-GB"/>
        </w:rPr>
        <w:t>d</w:t>
      </w:r>
      <w:r>
        <w:rPr>
          <w:rFonts w:hint="default" w:ascii="Palatino Linotype" w:hAnsi="Palatino Linotype" w:cs="Palatino Linotype"/>
          <w:color w:val="auto"/>
          <w:sz w:val="18"/>
          <w:szCs w:val="18"/>
          <w:lang w:val="en-GB"/>
        </w:rPr>
        <w:t xml:space="preserve"> Isolates were grown on PDA at 24 ˚C in the dark and their colonies’ diameter was measured at day 3, 7, 10, 14, 17 and 21 or stopped earlier when plate was completely covered by the fungus. </w:t>
      </w:r>
    </w:p>
    <w:p>
      <w:pPr>
        <w:autoSpaceDE w:val="0"/>
        <w:autoSpaceDN w:val="0"/>
        <w:adjustRightInd w:val="0"/>
        <w:spacing w:line="480" w:lineRule="auto"/>
        <w:jc w:val="both"/>
        <w:rPr>
          <w:rFonts w:hint="default" w:ascii="Palatino Linotype" w:hAnsi="Palatino Linotype" w:cs="Palatino Linotype"/>
          <w:color w:val="auto"/>
          <w:sz w:val="18"/>
          <w:szCs w:val="18"/>
          <w:lang w:val="en-GB"/>
        </w:rPr>
      </w:pPr>
      <w:r>
        <w:rPr>
          <w:rFonts w:hint="default" w:ascii="Palatino Linotype" w:hAnsi="Palatino Linotype" w:cs="Palatino Linotype"/>
          <w:color w:val="auto"/>
          <w:sz w:val="18"/>
          <w:szCs w:val="18"/>
          <w:vertAlign w:val="superscript"/>
          <w:lang w:val="en-GB"/>
        </w:rPr>
        <w:t>e</w:t>
      </w:r>
      <w:r>
        <w:rPr>
          <w:rFonts w:hint="default" w:ascii="Palatino Linotype" w:hAnsi="Palatino Linotype" w:cs="Palatino Linotype"/>
          <w:color w:val="auto"/>
          <w:sz w:val="18"/>
          <w:szCs w:val="18"/>
          <w:lang w:val="en-GB"/>
        </w:rPr>
        <w:t xml:space="preserve"> ‘nf’ indicates that isolates did not form spores within the 21-day incubation period.</w:t>
      </w:r>
    </w:p>
    <w:p>
      <w:pPr>
        <w:autoSpaceDE w:val="0"/>
        <w:autoSpaceDN w:val="0"/>
        <w:adjustRightInd w:val="0"/>
        <w:spacing w:line="480" w:lineRule="auto"/>
        <w:jc w:val="both"/>
        <w:rPr>
          <w:rFonts w:hint="default" w:ascii="Palatino Linotype" w:hAnsi="Palatino Linotype" w:cs="Palatino Linotype"/>
          <w:color w:val="auto"/>
          <w:sz w:val="18"/>
          <w:szCs w:val="18"/>
          <w:lang w:val="en-GB"/>
        </w:rPr>
      </w:pPr>
      <w:r>
        <w:rPr>
          <w:rFonts w:hint="default" w:ascii="Palatino Linotype" w:hAnsi="Palatino Linotype" w:cs="Palatino Linotype"/>
          <w:color w:val="auto"/>
          <w:sz w:val="18"/>
          <w:szCs w:val="18"/>
          <w:vertAlign w:val="superscript"/>
          <w:lang w:val="en-GB"/>
        </w:rPr>
        <w:t>f</w:t>
      </w:r>
      <w:r>
        <w:rPr>
          <w:rFonts w:hint="default" w:ascii="Palatino Linotype" w:hAnsi="Palatino Linotype" w:cs="Palatino Linotype"/>
          <w:color w:val="auto"/>
          <w:sz w:val="18"/>
          <w:szCs w:val="18"/>
          <w:lang w:val="en-GB"/>
        </w:rPr>
        <w:t xml:space="preserve"> Accession numbers of fungal isolates </w:t>
      </w:r>
      <w:r>
        <w:rPr>
          <w:rStyle w:val="11"/>
          <w:rFonts w:hint="default" w:ascii="Palatino Linotype" w:hAnsi="Palatino Linotype" w:cs="Palatino Linotype"/>
          <w:color w:val="auto"/>
          <w:sz w:val="18"/>
          <w:szCs w:val="18"/>
          <w:lang w:val="en-GB"/>
        </w:rPr>
        <w:t>rDNA-ITS</w:t>
      </w:r>
      <w:r>
        <w:rPr>
          <w:rFonts w:hint="default" w:ascii="Palatino Linotype" w:hAnsi="Palatino Linotype" w:cs="Palatino Linotype"/>
          <w:color w:val="auto"/>
          <w:sz w:val="18"/>
          <w:szCs w:val="18"/>
          <w:lang w:val="en-GB"/>
        </w:rPr>
        <w:t xml:space="preserve"> sequences that yielded and deposited in GenBank.</w:t>
      </w:r>
    </w:p>
    <w:p>
      <w:pPr>
        <w:autoSpaceDE w:val="0"/>
        <w:autoSpaceDN w:val="0"/>
        <w:adjustRightInd w:val="0"/>
        <w:spacing w:line="480" w:lineRule="auto"/>
        <w:jc w:val="both"/>
        <w:rPr>
          <w:rFonts w:hint="default" w:ascii="Palatino Linotype" w:hAnsi="Palatino Linotype" w:cs="Palatino Linotype"/>
          <w:color w:val="auto"/>
          <w:sz w:val="18"/>
          <w:szCs w:val="18"/>
          <w:lang w:val="en-US"/>
        </w:rPr>
      </w:pPr>
      <w:r>
        <w:rPr>
          <w:rFonts w:hint="default" w:ascii="Palatino Linotype" w:hAnsi="Palatino Linotype" w:cs="Palatino Linotype"/>
          <w:color w:val="auto"/>
          <w:sz w:val="18"/>
          <w:szCs w:val="18"/>
          <w:vertAlign w:val="superscript"/>
          <w:lang w:val="en-GB"/>
        </w:rPr>
        <w:t>g</w:t>
      </w:r>
      <w:r>
        <w:rPr>
          <w:rFonts w:hint="default" w:ascii="Palatino Linotype" w:hAnsi="Palatino Linotype" w:cs="Palatino Linotype"/>
          <w:color w:val="auto"/>
          <w:sz w:val="18"/>
          <w:szCs w:val="18"/>
          <w:lang w:val="en-GB"/>
        </w:rPr>
        <w:t xml:space="preserve"> Accession numbers of fungal isolates </w:t>
      </w:r>
      <w:r>
        <w:rPr>
          <w:rFonts w:hint="default" w:ascii="Palatino Linotype" w:hAnsi="Palatino Linotype" w:cs="Palatino Linotype"/>
          <w:i/>
          <w:iCs/>
          <w:color w:val="auto"/>
          <w:sz w:val="18"/>
          <w:szCs w:val="18"/>
          <w:lang w:val="en-GB"/>
        </w:rPr>
        <w:t>LSU</w:t>
      </w:r>
      <w:r>
        <w:rPr>
          <w:rFonts w:hint="default" w:ascii="Palatino Linotype" w:hAnsi="Palatino Linotype" w:cs="Palatino Linotype"/>
          <w:color w:val="auto"/>
          <w:sz w:val="18"/>
          <w:szCs w:val="18"/>
          <w:lang w:val="en-US"/>
        </w:rPr>
        <w:t xml:space="preserve"> sequences that yielded and deposited in GenBank. </w:t>
      </w:r>
      <w:bookmarkStart w:id="6" w:name="_Hlk132287413"/>
      <w:r>
        <w:rPr>
          <w:rFonts w:hint="default" w:ascii="Palatino Linotype" w:hAnsi="Palatino Linotype" w:cs="Palatino Linotype"/>
          <w:color w:val="auto"/>
          <w:sz w:val="18"/>
          <w:szCs w:val="18"/>
          <w:lang w:val="en-US"/>
        </w:rPr>
        <w:t>‘n.e.’ indicates that no sequence of this fungal species exists in NCBI.</w:t>
      </w:r>
      <w:bookmarkEnd w:id="6"/>
    </w:p>
    <w:p>
      <w:pPr>
        <w:autoSpaceDE w:val="0"/>
        <w:autoSpaceDN w:val="0"/>
        <w:adjustRightInd w:val="0"/>
        <w:spacing w:line="480" w:lineRule="auto"/>
        <w:jc w:val="both"/>
        <w:rPr>
          <w:rFonts w:hint="default" w:ascii="Palatino Linotype" w:hAnsi="Palatino Linotype" w:cs="Palatino Linotype"/>
          <w:color w:val="auto"/>
          <w:sz w:val="18"/>
          <w:szCs w:val="18"/>
          <w:lang w:val="en-US"/>
        </w:rPr>
      </w:pPr>
      <w:bookmarkStart w:id="7" w:name="_Hlk132286884"/>
      <w:r>
        <w:rPr>
          <w:rFonts w:hint="default" w:ascii="Palatino Linotype" w:hAnsi="Palatino Linotype" w:cs="Palatino Linotype"/>
          <w:color w:val="auto"/>
          <w:sz w:val="18"/>
          <w:szCs w:val="18"/>
          <w:vertAlign w:val="superscript"/>
          <w:lang w:val="en-GB"/>
        </w:rPr>
        <w:t>h</w:t>
      </w:r>
      <w:r>
        <w:rPr>
          <w:rFonts w:hint="default" w:ascii="Palatino Linotype" w:hAnsi="Palatino Linotype" w:cs="Palatino Linotype"/>
          <w:color w:val="auto"/>
          <w:sz w:val="18"/>
          <w:szCs w:val="18"/>
          <w:lang w:val="en-GB"/>
        </w:rPr>
        <w:t xml:space="preserve"> Accession numbers of fungal isolates </w:t>
      </w:r>
      <w:r>
        <w:rPr>
          <w:rFonts w:hint="default" w:ascii="Palatino Linotype" w:hAnsi="Palatino Linotype" w:cs="Palatino Linotype"/>
          <w:i/>
          <w:iCs/>
          <w:color w:val="auto"/>
          <w:sz w:val="18"/>
          <w:szCs w:val="18"/>
          <w:lang w:val="en-GB"/>
        </w:rPr>
        <w:t xml:space="preserve">tef1-α </w:t>
      </w:r>
      <w:r>
        <w:rPr>
          <w:rFonts w:hint="default" w:ascii="Palatino Linotype" w:hAnsi="Palatino Linotype" w:cs="Palatino Linotype"/>
          <w:color w:val="auto"/>
          <w:sz w:val="18"/>
          <w:szCs w:val="18"/>
          <w:lang w:val="en-US"/>
        </w:rPr>
        <w:t>sequences that yielded and deposited in GenBank. ‘n.e.’ indicates that no sequence of this fungal species exists in NCBI.</w:t>
      </w:r>
    </w:p>
    <w:bookmarkEnd w:id="7"/>
    <w:p>
      <w:pPr>
        <w:autoSpaceDE w:val="0"/>
        <w:autoSpaceDN w:val="0"/>
        <w:adjustRightInd w:val="0"/>
        <w:spacing w:line="480" w:lineRule="auto"/>
        <w:jc w:val="both"/>
        <w:rPr>
          <w:rFonts w:hint="default" w:ascii="Palatino Linotype" w:hAnsi="Palatino Linotype" w:cs="Palatino Linotype"/>
          <w:color w:val="auto"/>
          <w:sz w:val="18"/>
          <w:szCs w:val="18"/>
          <w:lang w:val="en-US"/>
        </w:rPr>
      </w:pPr>
      <w:r>
        <w:rPr>
          <w:rFonts w:hint="default" w:ascii="Palatino Linotype" w:hAnsi="Palatino Linotype" w:cs="Palatino Linotype"/>
          <w:color w:val="auto"/>
          <w:sz w:val="18"/>
          <w:szCs w:val="18"/>
          <w:vertAlign w:val="superscript"/>
          <w:lang w:val="en-GB"/>
        </w:rPr>
        <w:t>i</w:t>
      </w:r>
      <w:r>
        <w:rPr>
          <w:rFonts w:hint="default" w:ascii="Palatino Linotype" w:hAnsi="Palatino Linotype" w:cs="Palatino Linotype"/>
          <w:color w:val="auto"/>
          <w:sz w:val="18"/>
          <w:szCs w:val="18"/>
          <w:lang w:val="en-GB"/>
        </w:rPr>
        <w:t xml:space="preserve"> Accession numbers of fungal isolates </w:t>
      </w:r>
      <w:r>
        <w:rPr>
          <w:rFonts w:hint="default" w:ascii="Palatino Linotype" w:hAnsi="Palatino Linotype" w:cs="Palatino Linotype"/>
          <w:i/>
          <w:iCs/>
          <w:color w:val="auto"/>
          <w:sz w:val="18"/>
          <w:szCs w:val="18"/>
          <w:lang w:val="en-GB"/>
        </w:rPr>
        <w:t xml:space="preserve">tub2 </w:t>
      </w:r>
      <w:r>
        <w:rPr>
          <w:rFonts w:hint="default" w:ascii="Palatino Linotype" w:hAnsi="Palatino Linotype" w:cs="Palatino Linotype"/>
          <w:color w:val="auto"/>
          <w:sz w:val="18"/>
          <w:szCs w:val="18"/>
          <w:lang w:val="en-US"/>
        </w:rPr>
        <w:t>sequences that yielded and deposited in GenBank. ‘n.e.’ indicates that no sequence of this fungal species exists in NCBI.</w:t>
      </w:r>
    </w:p>
    <w:p>
      <w:pPr>
        <w:autoSpaceDE w:val="0"/>
        <w:autoSpaceDN w:val="0"/>
        <w:adjustRightInd w:val="0"/>
        <w:spacing w:line="480" w:lineRule="auto"/>
        <w:jc w:val="both"/>
        <w:rPr>
          <w:rFonts w:hint="default" w:ascii="Palatino Linotype" w:hAnsi="Palatino Linotype" w:cs="Palatino Linotype"/>
          <w:color w:val="auto"/>
          <w:sz w:val="18"/>
          <w:szCs w:val="18"/>
          <w:lang w:val="en-US"/>
        </w:rPr>
      </w:pPr>
      <w:r>
        <w:rPr>
          <w:rFonts w:hint="default" w:ascii="Palatino Linotype" w:hAnsi="Palatino Linotype" w:cs="Palatino Linotype"/>
          <w:color w:val="auto"/>
          <w:sz w:val="18"/>
          <w:szCs w:val="18"/>
          <w:vertAlign w:val="superscript"/>
          <w:lang w:val="en-GB"/>
        </w:rPr>
        <w:t>j</w:t>
      </w:r>
      <w:r>
        <w:rPr>
          <w:rFonts w:hint="default" w:ascii="Palatino Linotype" w:hAnsi="Palatino Linotype" w:cs="Palatino Linotype"/>
          <w:color w:val="auto"/>
          <w:sz w:val="18"/>
          <w:szCs w:val="18"/>
          <w:lang w:val="en-GB"/>
        </w:rPr>
        <w:t xml:space="preserve"> Accession numbers of fungal isolates </w:t>
      </w:r>
      <w:r>
        <w:rPr>
          <w:rFonts w:hint="default" w:ascii="Palatino Linotype" w:hAnsi="Palatino Linotype" w:cs="Palatino Linotype"/>
          <w:i/>
          <w:iCs/>
          <w:color w:val="auto"/>
          <w:sz w:val="18"/>
          <w:szCs w:val="18"/>
          <w:lang w:val="en-GB"/>
        </w:rPr>
        <w:t xml:space="preserve">act </w:t>
      </w:r>
      <w:r>
        <w:rPr>
          <w:rFonts w:hint="default" w:ascii="Palatino Linotype" w:hAnsi="Palatino Linotype" w:cs="Palatino Linotype"/>
          <w:color w:val="auto"/>
          <w:sz w:val="18"/>
          <w:szCs w:val="18"/>
          <w:lang w:val="en-US"/>
        </w:rPr>
        <w:t>sequences that yielded and deposited in GenBank. ‘n.e.’ indicates that no sequence of this fungal species exists in NCBI.</w:t>
      </w:r>
    </w:p>
    <w:p>
      <w:pPr>
        <w:spacing w:line="480" w:lineRule="auto"/>
        <w:jc w:val="both"/>
        <w:rPr>
          <w:rFonts w:hint="default" w:ascii="Palatino Linotype" w:hAnsi="Palatino Linotype" w:cs="Palatino Linotype"/>
          <w:color w:val="auto"/>
          <w:sz w:val="18"/>
          <w:szCs w:val="18"/>
          <w:lang w:val="en-US"/>
        </w:rPr>
      </w:pPr>
      <w:r>
        <w:rPr>
          <w:rFonts w:hint="default" w:ascii="Palatino Linotype" w:hAnsi="Palatino Linotype" w:cs="Palatino Linotype"/>
          <w:b/>
          <w:bCs/>
          <w:color w:val="auto"/>
          <w:sz w:val="18"/>
          <w:szCs w:val="18"/>
          <w:lang w:val="en-US"/>
        </w:rPr>
        <w:t>Supplementary Table S2.</w:t>
      </w:r>
      <w:r>
        <w:rPr>
          <w:rFonts w:hint="default" w:ascii="Palatino Linotype" w:hAnsi="Palatino Linotype" w:cs="Palatino Linotype"/>
          <w:color w:val="auto"/>
          <w:sz w:val="18"/>
          <w:szCs w:val="18"/>
          <w:lang w:val="en-US"/>
        </w:rPr>
        <w:t xml:space="preserve"> Sequences used in the phylogenetic analysis of </w:t>
      </w:r>
      <w:r>
        <w:rPr>
          <w:rFonts w:hint="default" w:ascii="Palatino Linotype" w:hAnsi="Palatino Linotype" w:cs="Palatino Linotype"/>
          <w:i/>
          <w:iCs/>
          <w:color w:val="auto"/>
          <w:sz w:val="18"/>
          <w:szCs w:val="18"/>
          <w:lang w:val="en-US"/>
        </w:rPr>
        <w:t>Neosetophoma</w:t>
      </w:r>
      <w:r>
        <w:rPr>
          <w:rFonts w:hint="default" w:ascii="Palatino Linotype" w:hAnsi="Palatino Linotype" w:cs="Palatino Linotype"/>
          <w:color w:val="auto"/>
          <w:sz w:val="18"/>
          <w:szCs w:val="18"/>
          <w:lang w:val="en-US"/>
        </w:rPr>
        <w:t xml:space="preserve">, </w:t>
      </w:r>
      <w:r>
        <w:rPr>
          <w:rFonts w:hint="default" w:ascii="Palatino Linotype" w:hAnsi="Palatino Linotype" w:cs="Palatino Linotype"/>
          <w:i/>
          <w:iCs/>
          <w:color w:val="auto"/>
          <w:sz w:val="18"/>
          <w:szCs w:val="18"/>
          <w:lang w:val="en-US"/>
        </w:rPr>
        <w:t>Kalmusia</w:t>
      </w:r>
      <w:r>
        <w:rPr>
          <w:rFonts w:hint="default" w:ascii="Palatino Linotype" w:hAnsi="Palatino Linotype" w:cs="Palatino Linotype"/>
          <w:color w:val="auto"/>
          <w:sz w:val="18"/>
          <w:szCs w:val="18"/>
          <w:lang w:val="en-US"/>
        </w:rPr>
        <w:t xml:space="preserve">, </w:t>
      </w:r>
      <w:r>
        <w:rPr>
          <w:rFonts w:hint="default" w:ascii="Palatino Linotype" w:hAnsi="Palatino Linotype" w:cs="Palatino Linotype"/>
          <w:i/>
          <w:iCs/>
          <w:color w:val="auto"/>
          <w:sz w:val="18"/>
          <w:szCs w:val="18"/>
          <w:lang w:val="en-US"/>
        </w:rPr>
        <w:t>Seimatosporium</w:t>
      </w:r>
      <w:r>
        <w:rPr>
          <w:rFonts w:hint="default" w:ascii="Palatino Linotype" w:hAnsi="Palatino Linotype" w:cs="Palatino Linotype"/>
          <w:color w:val="auto"/>
          <w:sz w:val="18"/>
          <w:szCs w:val="18"/>
          <w:lang w:val="en-US"/>
        </w:rPr>
        <w:t xml:space="preserve">, and </w:t>
      </w:r>
      <w:r>
        <w:rPr>
          <w:rFonts w:hint="default" w:ascii="Palatino Linotype" w:hAnsi="Palatino Linotype" w:cs="Palatino Linotype"/>
          <w:i/>
          <w:iCs/>
          <w:color w:val="auto"/>
          <w:sz w:val="18"/>
          <w:szCs w:val="18"/>
          <w:lang w:val="en-US"/>
        </w:rPr>
        <w:t>Didymosphaeria</w:t>
      </w:r>
      <w:r>
        <w:rPr>
          <w:rFonts w:hint="default" w:ascii="Palatino Linotype" w:hAnsi="Palatino Linotype" w:cs="Palatino Linotype"/>
          <w:color w:val="auto"/>
          <w:sz w:val="18"/>
          <w:szCs w:val="18"/>
          <w:lang w:val="en-US"/>
        </w:rPr>
        <w:t xml:space="preserve"> species.</w:t>
      </w:r>
    </w:p>
    <w:tbl>
      <w:tblPr>
        <w:tblStyle w:val="4"/>
        <w:tblpPr w:leftFromText="181" w:rightFromText="181" w:vertAnchor="text" w:horzAnchor="margin" w:tblpY="1"/>
        <w:tblOverlap w:val="never"/>
        <w:tblW w:w="5069" w:type="pct"/>
        <w:tblInd w:w="0" w:type="dxa"/>
        <w:tblLayout w:type="fixed"/>
        <w:tblCellMar>
          <w:top w:w="0" w:type="dxa"/>
          <w:left w:w="108" w:type="dxa"/>
          <w:bottom w:w="0" w:type="dxa"/>
          <w:right w:w="108" w:type="dxa"/>
        </w:tblCellMar>
      </w:tblPr>
      <w:tblGrid>
        <w:gridCol w:w="2655"/>
        <w:gridCol w:w="2385"/>
        <w:gridCol w:w="2040"/>
        <w:gridCol w:w="1802"/>
        <w:gridCol w:w="1440"/>
        <w:gridCol w:w="1426"/>
        <w:gridCol w:w="1348"/>
        <w:gridCol w:w="1273"/>
      </w:tblGrid>
      <w:tr>
        <w:tblPrEx>
          <w:tblCellMar>
            <w:top w:w="0" w:type="dxa"/>
            <w:left w:w="108" w:type="dxa"/>
            <w:bottom w:w="0" w:type="dxa"/>
            <w:right w:w="108" w:type="dxa"/>
          </w:tblCellMar>
        </w:tblPrEx>
        <w:trPr>
          <w:trHeight w:val="330" w:hRule="atLeast"/>
        </w:trPr>
        <w:tc>
          <w:tcPr>
            <w:tcW w:w="924" w:type="pct"/>
            <w:vMerge w:val="restart"/>
            <w:tcBorders>
              <w:top w:val="double" w:color="auto" w:sz="6" w:space="0"/>
              <w:left w:val="nil"/>
              <w:bottom w:val="single" w:color="000000" w:sz="4" w:space="0"/>
              <w:right w:val="nil"/>
            </w:tcBorders>
            <w:shd w:val="clear" w:color="000000" w:fill="auto"/>
            <w:noWrap/>
            <w:vAlign w:val="center"/>
          </w:tcPr>
          <w:p>
            <w:pPr>
              <w:spacing w:after="160" w:line="259" w:lineRule="auto"/>
              <w:rPr>
                <w:rFonts w:hint="default" w:ascii="Palatino Linotype" w:hAnsi="Palatino Linotype" w:cs="Palatino Linotype"/>
                <w:b/>
                <w:bCs/>
                <w:color w:val="auto"/>
                <w:sz w:val="18"/>
                <w:szCs w:val="18"/>
              </w:rPr>
            </w:pPr>
            <w:r>
              <w:rPr>
                <w:rFonts w:hint="default" w:ascii="Palatino Linotype" w:hAnsi="Palatino Linotype" w:cs="Palatino Linotype"/>
                <w:b/>
                <w:bCs/>
                <w:color w:val="auto"/>
                <w:sz w:val="18"/>
                <w:szCs w:val="18"/>
              </w:rPr>
              <w:t>Species</w:t>
            </w:r>
          </w:p>
        </w:tc>
        <w:tc>
          <w:tcPr>
            <w:tcW w:w="830" w:type="pct"/>
            <w:vMerge w:val="restart"/>
            <w:tcBorders>
              <w:top w:val="double" w:color="auto" w:sz="6" w:space="0"/>
              <w:left w:val="nil"/>
              <w:bottom w:val="single" w:color="000000" w:sz="4" w:space="0"/>
              <w:right w:val="nil"/>
            </w:tcBorders>
            <w:shd w:val="clear" w:color="000000" w:fill="auto"/>
            <w:noWrap/>
            <w:vAlign w:val="center"/>
          </w:tcPr>
          <w:p>
            <w:pPr>
              <w:spacing w:after="160" w:line="259" w:lineRule="auto"/>
              <w:rPr>
                <w:rFonts w:hint="default" w:ascii="Palatino Linotype" w:hAnsi="Palatino Linotype" w:cs="Palatino Linotype"/>
                <w:b/>
                <w:bCs/>
                <w:color w:val="auto"/>
                <w:sz w:val="18"/>
                <w:szCs w:val="18"/>
              </w:rPr>
            </w:pPr>
            <w:r>
              <w:rPr>
                <w:rFonts w:hint="default" w:ascii="Palatino Linotype" w:hAnsi="Palatino Linotype" w:cs="Palatino Linotype"/>
                <w:b/>
                <w:bCs/>
                <w:color w:val="auto"/>
                <w:sz w:val="18"/>
                <w:szCs w:val="18"/>
              </w:rPr>
              <w:t>Culture accession number</w:t>
            </w:r>
          </w:p>
        </w:tc>
        <w:tc>
          <w:tcPr>
            <w:tcW w:w="710" w:type="pct"/>
            <w:vMerge w:val="restart"/>
            <w:tcBorders>
              <w:top w:val="double" w:color="auto" w:sz="6" w:space="0"/>
              <w:left w:val="nil"/>
              <w:bottom w:val="single" w:color="000000" w:sz="4" w:space="0"/>
              <w:right w:val="nil"/>
            </w:tcBorders>
            <w:shd w:val="clear" w:color="000000" w:fill="auto"/>
            <w:noWrap/>
            <w:vAlign w:val="center"/>
          </w:tcPr>
          <w:p>
            <w:pPr>
              <w:spacing w:after="160" w:line="259" w:lineRule="auto"/>
              <w:rPr>
                <w:rFonts w:hint="default" w:ascii="Palatino Linotype" w:hAnsi="Palatino Linotype" w:cs="Palatino Linotype"/>
                <w:b/>
                <w:bCs/>
                <w:color w:val="auto"/>
                <w:sz w:val="18"/>
                <w:szCs w:val="18"/>
              </w:rPr>
            </w:pPr>
            <w:r>
              <w:rPr>
                <w:rFonts w:hint="default" w:ascii="Palatino Linotype" w:hAnsi="Palatino Linotype" w:cs="Palatino Linotype"/>
                <w:b/>
                <w:bCs/>
                <w:color w:val="auto"/>
                <w:sz w:val="18"/>
                <w:szCs w:val="18"/>
              </w:rPr>
              <w:t>Source</w:t>
            </w:r>
          </w:p>
        </w:tc>
        <w:tc>
          <w:tcPr>
            <w:tcW w:w="627" w:type="pct"/>
            <w:vMerge w:val="restart"/>
            <w:tcBorders>
              <w:top w:val="double" w:color="auto" w:sz="6" w:space="0"/>
              <w:left w:val="nil"/>
              <w:bottom w:val="single" w:color="000000" w:sz="4" w:space="0"/>
              <w:right w:val="nil"/>
            </w:tcBorders>
            <w:shd w:val="clear" w:color="000000" w:fill="auto"/>
            <w:noWrap/>
            <w:vAlign w:val="center"/>
          </w:tcPr>
          <w:p>
            <w:pPr>
              <w:spacing w:after="160" w:line="259" w:lineRule="auto"/>
              <w:rPr>
                <w:rFonts w:hint="default" w:ascii="Palatino Linotype" w:hAnsi="Palatino Linotype" w:cs="Palatino Linotype"/>
                <w:b/>
                <w:bCs/>
                <w:color w:val="auto"/>
                <w:sz w:val="18"/>
                <w:szCs w:val="18"/>
              </w:rPr>
            </w:pPr>
            <w:r>
              <w:rPr>
                <w:rFonts w:hint="default" w:ascii="Palatino Linotype" w:hAnsi="Palatino Linotype" w:cs="Palatino Linotype"/>
                <w:b/>
                <w:bCs/>
                <w:color w:val="auto"/>
                <w:sz w:val="18"/>
                <w:szCs w:val="18"/>
              </w:rPr>
              <w:t>Origin</w:t>
            </w:r>
          </w:p>
        </w:tc>
        <w:tc>
          <w:tcPr>
            <w:tcW w:w="1906" w:type="pct"/>
            <w:gridSpan w:val="4"/>
            <w:tcBorders>
              <w:top w:val="double" w:color="auto" w:sz="6" w:space="0"/>
              <w:left w:val="nil"/>
              <w:bottom w:val="single" w:color="auto" w:sz="4" w:space="0"/>
              <w:right w:val="nil"/>
            </w:tcBorders>
            <w:shd w:val="clear" w:color="000000" w:fill="auto"/>
            <w:noWrap/>
            <w:vAlign w:val="center"/>
          </w:tcPr>
          <w:p>
            <w:pPr>
              <w:spacing w:after="160" w:line="259" w:lineRule="auto"/>
              <w:rPr>
                <w:rFonts w:hint="default" w:ascii="Palatino Linotype" w:hAnsi="Palatino Linotype" w:cs="Palatino Linotype"/>
                <w:b/>
                <w:bCs/>
                <w:color w:val="auto"/>
                <w:sz w:val="18"/>
                <w:szCs w:val="18"/>
                <w:lang w:val="en-US"/>
              </w:rPr>
            </w:pPr>
            <w:r>
              <w:rPr>
                <w:rFonts w:hint="default" w:ascii="Palatino Linotype" w:hAnsi="Palatino Linotype" w:cs="Palatino Linotype"/>
                <w:b/>
                <w:bCs/>
                <w:color w:val="auto"/>
                <w:sz w:val="18"/>
                <w:szCs w:val="18"/>
              </w:rPr>
              <w:t>GeneBank accession numbers</w:t>
            </w:r>
            <w:r>
              <w:rPr>
                <w:rFonts w:hint="default" w:ascii="Palatino Linotype" w:hAnsi="Palatino Linotype" w:cs="Palatino Linotype"/>
                <w:b/>
                <w:bCs/>
                <w:color w:val="auto"/>
                <w:sz w:val="18"/>
                <w:szCs w:val="18"/>
                <w:vertAlign w:val="superscript"/>
                <w:lang w:val="en-US"/>
              </w:rPr>
              <w:t>a</w:t>
            </w:r>
          </w:p>
        </w:tc>
      </w:tr>
      <w:tr>
        <w:tblPrEx>
          <w:tblCellMar>
            <w:top w:w="0" w:type="dxa"/>
            <w:left w:w="108" w:type="dxa"/>
            <w:bottom w:w="0" w:type="dxa"/>
            <w:right w:w="108" w:type="dxa"/>
          </w:tblCellMar>
        </w:tblPrEx>
        <w:trPr>
          <w:trHeight w:val="315" w:hRule="atLeast"/>
        </w:trPr>
        <w:tc>
          <w:tcPr>
            <w:tcW w:w="924" w:type="pct"/>
            <w:vMerge w:val="continue"/>
            <w:tcBorders>
              <w:top w:val="nil"/>
              <w:left w:val="nil"/>
              <w:bottom w:val="single" w:color="000000" w:sz="4" w:space="0"/>
              <w:right w:val="nil"/>
            </w:tcBorders>
            <w:vAlign w:val="center"/>
          </w:tcPr>
          <w:p>
            <w:pPr>
              <w:spacing w:after="160" w:line="259" w:lineRule="auto"/>
              <w:rPr>
                <w:rFonts w:hint="default" w:ascii="Palatino Linotype" w:hAnsi="Palatino Linotype" w:cs="Palatino Linotype"/>
                <w:b/>
                <w:bCs/>
                <w:color w:val="auto"/>
                <w:sz w:val="18"/>
                <w:szCs w:val="18"/>
              </w:rPr>
            </w:pPr>
          </w:p>
        </w:tc>
        <w:tc>
          <w:tcPr>
            <w:tcW w:w="830" w:type="pct"/>
            <w:vMerge w:val="continue"/>
            <w:tcBorders>
              <w:top w:val="nil"/>
              <w:left w:val="nil"/>
              <w:bottom w:val="single" w:color="000000" w:sz="4" w:space="0"/>
              <w:right w:val="nil"/>
            </w:tcBorders>
            <w:vAlign w:val="center"/>
          </w:tcPr>
          <w:p>
            <w:pPr>
              <w:spacing w:after="160" w:line="259" w:lineRule="auto"/>
              <w:rPr>
                <w:rFonts w:hint="default" w:ascii="Palatino Linotype" w:hAnsi="Palatino Linotype" w:cs="Palatino Linotype"/>
                <w:b/>
                <w:bCs/>
                <w:color w:val="auto"/>
                <w:sz w:val="18"/>
                <w:szCs w:val="18"/>
              </w:rPr>
            </w:pPr>
          </w:p>
        </w:tc>
        <w:tc>
          <w:tcPr>
            <w:tcW w:w="710" w:type="pct"/>
            <w:vMerge w:val="continue"/>
            <w:tcBorders>
              <w:top w:val="nil"/>
              <w:left w:val="nil"/>
              <w:bottom w:val="single" w:color="000000" w:sz="4" w:space="0"/>
              <w:right w:val="nil"/>
            </w:tcBorders>
            <w:vAlign w:val="center"/>
          </w:tcPr>
          <w:p>
            <w:pPr>
              <w:spacing w:after="160" w:line="259" w:lineRule="auto"/>
              <w:rPr>
                <w:rFonts w:hint="default" w:ascii="Palatino Linotype" w:hAnsi="Palatino Linotype" w:cs="Palatino Linotype"/>
                <w:b/>
                <w:bCs/>
                <w:color w:val="auto"/>
                <w:sz w:val="18"/>
                <w:szCs w:val="18"/>
              </w:rPr>
            </w:pPr>
          </w:p>
        </w:tc>
        <w:tc>
          <w:tcPr>
            <w:tcW w:w="627" w:type="pct"/>
            <w:vMerge w:val="continue"/>
            <w:tcBorders>
              <w:top w:val="nil"/>
              <w:left w:val="nil"/>
              <w:bottom w:val="single" w:color="000000" w:sz="4" w:space="0"/>
              <w:right w:val="nil"/>
            </w:tcBorders>
            <w:vAlign w:val="center"/>
          </w:tcPr>
          <w:p>
            <w:pPr>
              <w:spacing w:after="160" w:line="259" w:lineRule="auto"/>
              <w:rPr>
                <w:rFonts w:hint="default" w:ascii="Palatino Linotype" w:hAnsi="Palatino Linotype" w:cs="Palatino Linotype"/>
                <w:b/>
                <w:bCs/>
                <w:color w:val="auto"/>
                <w:sz w:val="18"/>
                <w:szCs w:val="18"/>
              </w:rPr>
            </w:pPr>
          </w:p>
        </w:tc>
        <w:tc>
          <w:tcPr>
            <w:tcW w:w="501" w:type="pct"/>
            <w:tcBorders>
              <w:top w:val="nil"/>
              <w:left w:val="nil"/>
              <w:bottom w:val="single" w:color="auto" w:sz="4" w:space="0"/>
              <w:right w:val="nil"/>
            </w:tcBorders>
            <w:shd w:val="clear" w:color="000000" w:fill="auto"/>
            <w:noWrap/>
            <w:vAlign w:val="center"/>
          </w:tcPr>
          <w:p>
            <w:pPr>
              <w:spacing w:after="160" w:line="259" w:lineRule="auto"/>
              <w:rPr>
                <w:rFonts w:hint="default" w:ascii="Palatino Linotype" w:hAnsi="Palatino Linotype" w:cs="Palatino Linotype"/>
                <w:b/>
                <w:bCs/>
                <w:color w:val="auto"/>
                <w:sz w:val="18"/>
                <w:szCs w:val="18"/>
              </w:rPr>
            </w:pPr>
            <w:r>
              <w:rPr>
                <w:rFonts w:hint="default" w:ascii="Palatino Linotype" w:hAnsi="Palatino Linotype" w:cs="Palatino Linotype"/>
                <w:b/>
                <w:bCs/>
                <w:color w:val="auto"/>
                <w:sz w:val="18"/>
                <w:szCs w:val="18"/>
              </w:rPr>
              <w:t>ITS</w:t>
            </w:r>
          </w:p>
        </w:tc>
        <w:tc>
          <w:tcPr>
            <w:tcW w:w="496" w:type="pct"/>
            <w:tcBorders>
              <w:top w:val="nil"/>
              <w:left w:val="nil"/>
              <w:bottom w:val="single" w:color="auto" w:sz="4" w:space="0"/>
              <w:right w:val="nil"/>
            </w:tcBorders>
            <w:shd w:val="clear" w:color="000000" w:fill="auto"/>
            <w:noWrap/>
            <w:vAlign w:val="center"/>
          </w:tcPr>
          <w:p>
            <w:pPr>
              <w:spacing w:after="160" w:line="259" w:lineRule="auto"/>
              <w:rPr>
                <w:rFonts w:hint="default" w:ascii="Palatino Linotype" w:hAnsi="Palatino Linotype" w:cs="Palatino Linotype"/>
                <w:b/>
                <w:bCs/>
                <w:color w:val="auto"/>
                <w:sz w:val="18"/>
                <w:szCs w:val="18"/>
              </w:rPr>
            </w:pPr>
            <w:r>
              <w:rPr>
                <w:rFonts w:hint="default" w:ascii="Palatino Linotype" w:hAnsi="Palatino Linotype" w:cs="Palatino Linotype"/>
                <w:b/>
                <w:bCs/>
                <w:color w:val="auto"/>
                <w:sz w:val="18"/>
                <w:szCs w:val="18"/>
              </w:rPr>
              <w:t>LSU</w:t>
            </w:r>
          </w:p>
        </w:tc>
        <w:tc>
          <w:tcPr>
            <w:tcW w:w="469" w:type="pct"/>
            <w:tcBorders>
              <w:top w:val="nil"/>
              <w:left w:val="nil"/>
              <w:bottom w:val="single" w:color="auto" w:sz="4" w:space="0"/>
              <w:right w:val="nil"/>
            </w:tcBorders>
            <w:shd w:val="clear" w:color="000000" w:fill="auto"/>
            <w:noWrap/>
            <w:vAlign w:val="center"/>
          </w:tcPr>
          <w:p>
            <w:pPr>
              <w:spacing w:after="160" w:line="259" w:lineRule="auto"/>
              <w:rPr>
                <w:rFonts w:hint="default" w:ascii="Palatino Linotype" w:hAnsi="Palatino Linotype" w:cs="Palatino Linotype"/>
                <w:b/>
                <w:bCs/>
                <w:i/>
                <w:iCs/>
                <w:color w:val="auto"/>
                <w:sz w:val="18"/>
                <w:szCs w:val="18"/>
              </w:rPr>
            </w:pPr>
            <w:r>
              <w:rPr>
                <w:rFonts w:hint="default" w:ascii="Palatino Linotype" w:hAnsi="Palatino Linotype" w:cs="Palatino Linotype"/>
                <w:b/>
                <w:bCs/>
                <w:i/>
                <w:iCs/>
                <w:color w:val="auto"/>
                <w:sz w:val="18"/>
                <w:szCs w:val="18"/>
              </w:rPr>
              <w:t>tef1-a</w:t>
            </w:r>
          </w:p>
        </w:tc>
        <w:tc>
          <w:tcPr>
            <w:tcW w:w="443" w:type="pct"/>
            <w:tcBorders>
              <w:top w:val="nil"/>
              <w:left w:val="nil"/>
              <w:bottom w:val="single" w:color="auto" w:sz="4" w:space="0"/>
              <w:right w:val="nil"/>
            </w:tcBorders>
            <w:shd w:val="clear" w:color="000000" w:fill="auto"/>
            <w:noWrap/>
            <w:vAlign w:val="center"/>
          </w:tcPr>
          <w:p>
            <w:pPr>
              <w:spacing w:after="160" w:line="259" w:lineRule="auto"/>
              <w:rPr>
                <w:rFonts w:hint="default" w:ascii="Palatino Linotype" w:hAnsi="Palatino Linotype" w:cs="Palatino Linotype"/>
                <w:b/>
                <w:bCs/>
                <w:i/>
                <w:iCs/>
                <w:color w:val="auto"/>
                <w:sz w:val="18"/>
                <w:szCs w:val="18"/>
              </w:rPr>
            </w:pPr>
            <w:r>
              <w:rPr>
                <w:rFonts w:hint="default" w:ascii="Palatino Linotype" w:hAnsi="Palatino Linotype" w:cs="Palatino Linotype"/>
                <w:b/>
                <w:bCs/>
                <w:i/>
                <w:iCs/>
                <w:color w:val="auto"/>
                <w:sz w:val="18"/>
                <w:szCs w:val="18"/>
              </w:rPr>
              <w:t>tub2</w:t>
            </w:r>
          </w:p>
        </w:tc>
      </w:tr>
      <w:tr>
        <w:tblPrEx>
          <w:tblCellMar>
            <w:top w:w="0" w:type="dxa"/>
            <w:left w:w="108" w:type="dxa"/>
            <w:bottom w:w="0" w:type="dxa"/>
            <w:right w:w="108" w:type="dxa"/>
          </w:tblCellMar>
        </w:tblPrEx>
        <w:trPr>
          <w:trHeight w:val="300"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Neosetophoma aseptata</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CBS 145363</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Viburnum opulus</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Germany</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NR_164449</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MK540024</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r>
              <w:rPr>
                <w:rFonts w:hint="default" w:ascii="Palatino Linotype" w:hAnsi="Palatino Linotype" w:cs="Palatino Linotype"/>
                <w:color w:val="auto"/>
                <w:sz w:val="18"/>
                <w:szCs w:val="18"/>
                <w:vertAlign w:val="superscript"/>
                <w:lang w:val="en-US"/>
              </w:rPr>
              <w:t>1</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r>
      <w:tr>
        <w:tblPrEx>
          <w:tblCellMar>
            <w:top w:w="0" w:type="dxa"/>
            <w:left w:w="108" w:type="dxa"/>
            <w:bottom w:w="0" w:type="dxa"/>
            <w:right w:w="108" w:type="dxa"/>
          </w:tblCellMar>
        </w:tblPrEx>
        <w:trPr>
          <w:trHeight w:val="300"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Neosetophoma clematidis</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MFLUCC 13-0734</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Clematis vitalba</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Italy</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NR_154228</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KP684153</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r>
      <w:tr>
        <w:tblPrEx>
          <w:tblCellMar>
            <w:top w:w="0" w:type="dxa"/>
            <w:left w:w="108" w:type="dxa"/>
            <w:bottom w:w="0" w:type="dxa"/>
            <w:right w:w="108" w:type="dxa"/>
          </w:tblCellMar>
        </w:tblPrEx>
        <w:trPr>
          <w:trHeight w:val="300"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Neosetophoma shoemakeri</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MFLUCC 17-0780</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Malva sp.</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United Kingdom</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MG844346</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MG844348</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r>
      <w:tr>
        <w:tblPrEx>
          <w:tblCellMar>
            <w:top w:w="0" w:type="dxa"/>
            <w:left w:w="108" w:type="dxa"/>
            <w:bottom w:w="0" w:type="dxa"/>
            <w:right w:w="108" w:type="dxa"/>
          </w:tblCellMar>
        </w:tblPrEx>
        <w:trPr>
          <w:trHeight w:val="300"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Neosetophoma lunariae</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CPC 26671</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Lunaria annua</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Germany</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NR_154242</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KX306789</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r>
      <w:tr>
        <w:tblPrEx>
          <w:tblCellMar>
            <w:top w:w="0" w:type="dxa"/>
            <w:left w:w="108" w:type="dxa"/>
            <w:bottom w:w="0" w:type="dxa"/>
            <w:right w:w="108" w:type="dxa"/>
          </w:tblCellMar>
        </w:tblPrEx>
        <w:trPr>
          <w:trHeight w:val="300"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Neosetophoma salicis</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MFLU 17-0118</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Salix sp.</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Uzbekistan</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MK608025</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MK608026</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r>
      <w:tr>
        <w:tblPrEx>
          <w:tblCellMar>
            <w:top w:w="0" w:type="dxa"/>
            <w:left w:w="108" w:type="dxa"/>
            <w:bottom w:w="0" w:type="dxa"/>
            <w:right w:w="108" w:type="dxa"/>
          </w:tblCellMar>
        </w:tblPrEx>
        <w:trPr>
          <w:trHeight w:val="300"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Neosetophoma poaceicola</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MFLUCC 16-0886</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Dead grass</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Thailand</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NR_165861</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KY550382</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r>
      <w:tr>
        <w:trPr>
          <w:trHeight w:val="300"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Neosetophoma poaceicola</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IRAN 2429 C</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Malus domestica</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Iran</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KT832078</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MT102742</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r>
      <w:tr>
        <w:tblPrEx>
          <w:tblCellMar>
            <w:top w:w="0" w:type="dxa"/>
            <w:left w:w="108" w:type="dxa"/>
            <w:bottom w:w="0" w:type="dxa"/>
            <w:right w:w="108" w:type="dxa"/>
          </w:tblCellMar>
        </w:tblPrEx>
        <w:trPr>
          <w:trHeight w:val="300"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Neosetophoma guiyangensis</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GZCC 18-0111</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Dead branch</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China</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MH018134</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MH018132</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r>
      <w:tr>
        <w:tblPrEx>
          <w:tblCellMar>
            <w:top w:w="0" w:type="dxa"/>
            <w:left w:w="108" w:type="dxa"/>
            <w:bottom w:w="0" w:type="dxa"/>
            <w:right w:w="108" w:type="dxa"/>
          </w:tblCellMar>
        </w:tblPrEx>
        <w:trPr>
          <w:trHeight w:val="300"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Neosetophoma xingrensis</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GZCC 18-0110</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Decaying wood</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China</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MH018135</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MH018133</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r>
      <w:tr>
        <w:tblPrEx>
          <w:tblCellMar>
            <w:top w:w="0" w:type="dxa"/>
            <w:left w:w="108" w:type="dxa"/>
            <w:bottom w:w="0" w:type="dxa"/>
            <w:right w:w="108" w:type="dxa"/>
          </w:tblCellMar>
        </w:tblPrEx>
        <w:trPr>
          <w:trHeight w:val="300"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b/>
                <w:bCs/>
                <w:i/>
                <w:iCs/>
                <w:color w:val="auto"/>
                <w:sz w:val="18"/>
                <w:szCs w:val="18"/>
              </w:rPr>
            </w:pPr>
            <w:r>
              <w:rPr>
                <w:rFonts w:hint="default" w:ascii="Palatino Linotype" w:hAnsi="Palatino Linotype" w:cs="Palatino Linotype"/>
                <w:b/>
                <w:bCs/>
                <w:i/>
                <w:iCs/>
                <w:color w:val="auto"/>
                <w:sz w:val="18"/>
                <w:szCs w:val="18"/>
              </w:rPr>
              <w:t>Neosetophoma italica</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b/>
                <w:bCs/>
                <w:color w:val="auto"/>
                <w:sz w:val="18"/>
                <w:szCs w:val="18"/>
              </w:rPr>
            </w:pPr>
            <w:r>
              <w:rPr>
                <w:rFonts w:hint="default" w:ascii="Palatino Linotype" w:hAnsi="Palatino Linotype" w:cs="Palatino Linotype"/>
                <w:b/>
                <w:bCs/>
                <w:color w:val="auto"/>
                <w:sz w:val="18"/>
                <w:szCs w:val="18"/>
              </w:rPr>
              <w:t>SAROG1.3AVR7</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b/>
                <w:bCs/>
                <w:i/>
                <w:iCs/>
                <w:color w:val="auto"/>
                <w:sz w:val="18"/>
                <w:szCs w:val="18"/>
              </w:rPr>
            </w:pPr>
            <w:r>
              <w:rPr>
                <w:rFonts w:hint="default" w:ascii="Palatino Linotype" w:hAnsi="Palatino Linotype" w:cs="Palatino Linotype"/>
                <w:b/>
                <w:bCs/>
                <w:i/>
                <w:iCs/>
                <w:color w:val="auto"/>
                <w:sz w:val="18"/>
                <w:szCs w:val="18"/>
              </w:rPr>
              <w:t>Vitis vinifera</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b/>
                <w:bCs/>
                <w:color w:val="auto"/>
                <w:sz w:val="18"/>
                <w:szCs w:val="18"/>
              </w:rPr>
            </w:pPr>
            <w:r>
              <w:rPr>
                <w:rFonts w:hint="default" w:ascii="Palatino Linotype" w:hAnsi="Palatino Linotype" w:cs="Palatino Linotype"/>
                <w:b/>
                <w:bCs/>
                <w:color w:val="auto"/>
                <w:sz w:val="18"/>
                <w:szCs w:val="18"/>
              </w:rPr>
              <w:t>This study</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b/>
                <w:bCs/>
                <w:color w:val="auto"/>
                <w:sz w:val="18"/>
                <w:szCs w:val="18"/>
              </w:rPr>
            </w:pPr>
            <w:r>
              <w:rPr>
                <w:rFonts w:hint="default" w:ascii="Palatino Linotype" w:hAnsi="Palatino Linotype" w:cs="Palatino Linotype"/>
                <w:b/>
                <w:bCs/>
                <w:color w:val="auto"/>
                <w:sz w:val="18"/>
                <w:szCs w:val="18"/>
                <w:lang w:val="en-GB"/>
              </w:rPr>
              <w:t>OQ683909</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b/>
                <w:bCs/>
                <w:color w:val="auto"/>
                <w:sz w:val="18"/>
                <w:szCs w:val="18"/>
              </w:rPr>
            </w:pPr>
            <w:r>
              <w:rPr>
                <w:rFonts w:hint="default" w:ascii="Palatino Linotype" w:hAnsi="Palatino Linotype" w:cs="Palatino Linotype"/>
                <w:b/>
                <w:bCs/>
                <w:color w:val="auto"/>
                <w:sz w:val="18"/>
                <w:szCs w:val="18"/>
              </w:rPr>
              <w:t>OQ704315</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b/>
                <w:bCs/>
                <w:color w:val="auto"/>
                <w:sz w:val="18"/>
                <w:szCs w:val="18"/>
              </w:rPr>
            </w:pPr>
            <w:r>
              <w:rPr>
                <w:rFonts w:hint="default" w:ascii="Palatino Linotype" w:hAnsi="Palatino Linotype" w:cs="Palatino Linotype"/>
                <w:b/>
                <w:bCs/>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b/>
                <w:bCs/>
                <w:color w:val="auto"/>
                <w:sz w:val="18"/>
                <w:szCs w:val="18"/>
              </w:rPr>
            </w:pPr>
            <w:r>
              <w:rPr>
                <w:rFonts w:hint="default" w:ascii="Palatino Linotype" w:hAnsi="Palatino Linotype" w:cs="Palatino Linotype"/>
                <w:b/>
                <w:bCs/>
                <w:color w:val="auto"/>
                <w:sz w:val="18"/>
                <w:szCs w:val="18"/>
              </w:rPr>
              <w:t>NA</w:t>
            </w:r>
          </w:p>
        </w:tc>
      </w:tr>
      <w:tr>
        <w:tblPrEx>
          <w:tblCellMar>
            <w:top w:w="0" w:type="dxa"/>
            <w:left w:w="108" w:type="dxa"/>
            <w:bottom w:w="0" w:type="dxa"/>
            <w:right w:w="108" w:type="dxa"/>
          </w:tblCellMar>
        </w:tblPrEx>
        <w:trPr>
          <w:trHeight w:val="300"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Neosetophoma italica</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MFLU 14-0809</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Iris germanica</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Italy</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KP711356</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KP711361</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r>
      <w:tr>
        <w:tblPrEx>
          <w:tblCellMar>
            <w:top w:w="0" w:type="dxa"/>
            <w:left w:w="108" w:type="dxa"/>
            <w:bottom w:w="0" w:type="dxa"/>
            <w:right w:w="108" w:type="dxa"/>
          </w:tblCellMar>
        </w:tblPrEx>
        <w:trPr>
          <w:trHeight w:val="300"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Neosetophoma italica</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108</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Citrus limon</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Iran</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KY290229</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KY355076</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r>
      <w:tr>
        <w:trPr>
          <w:trHeight w:val="300"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Neosetophoma garenthjonesii</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MFLUCC:14-0528</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Forest soil</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United Kingdom</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KY496758</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KY496738</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r>
      <w:tr>
        <w:tblPrEx>
          <w:tblCellMar>
            <w:top w:w="0" w:type="dxa"/>
            <w:left w:w="108" w:type="dxa"/>
            <w:bottom w:w="0" w:type="dxa"/>
            <w:right w:w="108" w:type="dxa"/>
          </w:tblCellMar>
        </w:tblPrEx>
        <w:trPr>
          <w:trHeight w:val="300"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Neosetophoma samarorum</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CBS 138.96</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Phlox paniculata</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Netherlands</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NR_156263</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NG_057836</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r>
      <w:tr>
        <w:tblPrEx>
          <w:tblCellMar>
            <w:top w:w="0" w:type="dxa"/>
            <w:left w:w="108" w:type="dxa"/>
            <w:bottom w:w="0" w:type="dxa"/>
            <w:right w:w="108" w:type="dxa"/>
          </w:tblCellMar>
        </w:tblPrEx>
        <w:trPr>
          <w:trHeight w:val="300"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Neosetophoma rosigena</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MFLU 17-0626</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Rosa canina</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United Kingdom</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NR_157525</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NG_059870</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r>
      <w:tr>
        <w:tblPrEx>
          <w:tblCellMar>
            <w:top w:w="0" w:type="dxa"/>
            <w:left w:w="108" w:type="dxa"/>
            <w:bottom w:w="0" w:type="dxa"/>
            <w:right w:w="108" w:type="dxa"/>
          </w:tblCellMar>
        </w:tblPrEx>
        <w:trPr>
          <w:trHeight w:val="300"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Neosetophoma phragmitis</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CBS 145364</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Phragmites australis</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Germany</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NR_164450</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MK540025</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r>
      <w:tr>
        <w:tblPrEx>
          <w:tblCellMar>
            <w:top w:w="0" w:type="dxa"/>
            <w:left w:w="108" w:type="dxa"/>
            <w:bottom w:w="0" w:type="dxa"/>
            <w:right w:w="108" w:type="dxa"/>
          </w:tblCellMar>
        </w:tblPrEx>
        <w:trPr>
          <w:trHeight w:val="300"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Didymella exigua</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CBS 183.55</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France</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MH857436</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MH868977</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r>
      <w:tr>
        <w:tblPrEx>
          <w:tblCellMar>
            <w:top w:w="0" w:type="dxa"/>
            <w:left w:w="108" w:type="dxa"/>
            <w:bottom w:w="0" w:type="dxa"/>
            <w:right w:w="108" w:type="dxa"/>
          </w:tblCellMar>
        </w:tblPrEx>
        <w:trPr>
          <w:trHeight w:val="300"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b/>
                <w:bCs/>
                <w:i/>
                <w:iCs/>
                <w:color w:val="auto"/>
                <w:sz w:val="18"/>
                <w:szCs w:val="18"/>
              </w:rPr>
            </w:pPr>
            <w:r>
              <w:rPr>
                <w:rFonts w:hint="default" w:ascii="Palatino Linotype" w:hAnsi="Palatino Linotype" w:cs="Palatino Linotype"/>
                <w:b/>
                <w:bCs/>
                <w:i/>
                <w:iCs/>
                <w:color w:val="auto"/>
                <w:sz w:val="18"/>
                <w:szCs w:val="18"/>
              </w:rPr>
              <w:t xml:space="preserve">Kalmusia variispora </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b/>
                <w:bCs/>
                <w:color w:val="auto"/>
                <w:sz w:val="18"/>
                <w:szCs w:val="18"/>
              </w:rPr>
            </w:pPr>
            <w:r>
              <w:rPr>
                <w:rFonts w:hint="default" w:ascii="Palatino Linotype" w:hAnsi="Palatino Linotype" w:cs="Palatino Linotype"/>
                <w:b/>
                <w:bCs/>
                <w:color w:val="auto"/>
                <w:sz w:val="18"/>
                <w:szCs w:val="18"/>
              </w:rPr>
              <w:t>HOURS2.1AVR1</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b/>
                <w:bCs/>
                <w:i/>
                <w:iCs/>
                <w:color w:val="auto"/>
                <w:sz w:val="18"/>
                <w:szCs w:val="18"/>
              </w:rPr>
            </w:pPr>
            <w:r>
              <w:rPr>
                <w:rFonts w:hint="default" w:ascii="Palatino Linotype" w:hAnsi="Palatino Linotype" w:cs="Palatino Linotype"/>
                <w:b/>
                <w:bCs/>
                <w:i/>
                <w:iCs/>
                <w:color w:val="auto"/>
                <w:sz w:val="18"/>
                <w:szCs w:val="18"/>
              </w:rPr>
              <w:t>Vitis vinifera</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b/>
                <w:bCs/>
                <w:color w:val="auto"/>
                <w:sz w:val="18"/>
                <w:szCs w:val="18"/>
              </w:rPr>
            </w:pPr>
            <w:r>
              <w:rPr>
                <w:rFonts w:hint="default" w:ascii="Palatino Linotype" w:hAnsi="Palatino Linotype" w:cs="Palatino Linotype"/>
                <w:b/>
                <w:bCs/>
                <w:color w:val="auto"/>
                <w:sz w:val="18"/>
                <w:szCs w:val="18"/>
              </w:rPr>
              <w:t>This study</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b/>
                <w:bCs/>
                <w:color w:val="auto"/>
                <w:sz w:val="18"/>
                <w:szCs w:val="18"/>
              </w:rPr>
            </w:pPr>
            <w:r>
              <w:rPr>
                <w:rFonts w:hint="default" w:ascii="Palatino Linotype" w:hAnsi="Palatino Linotype" w:cs="Palatino Linotype"/>
                <w:b/>
                <w:bCs/>
                <w:color w:val="auto"/>
                <w:sz w:val="18"/>
                <w:szCs w:val="18"/>
              </w:rPr>
              <w:t>OQ683907</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b/>
                <w:bCs/>
                <w:color w:val="auto"/>
                <w:sz w:val="18"/>
                <w:szCs w:val="18"/>
              </w:rPr>
            </w:pPr>
            <w:r>
              <w:rPr>
                <w:rFonts w:hint="default" w:ascii="Palatino Linotype" w:hAnsi="Palatino Linotype" w:cs="Palatino Linotype"/>
                <w:b/>
                <w:bCs/>
                <w:color w:val="auto"/>
                <w:sz w:val="18"/>
                <w:szCs w:val="18"/>
              </w:rPr>
              <w:t>OQ704313</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b/>
                <w:bCs/>
                <w:color w:val="auto"/>
                <w:sz w:val="18"/>
                <w:szCs w:val="18"/>
              </w:rPr>
            </w:pPr>
            <w:r>
              <w:rPr>
                <w:rFonts w:hint="default" w:ascii="Palatino Linotype" w:hAnsi="Palatino Linotype" w:cs="Palatino Linotype"/>
                <w:b/>
                <w:bCs/>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b/>
                <w:bCs/>
                <w:color w:val="auto"/>
                <w:sz w:val="18"/>
                <w:szCs w:val="18"/>
              </w:rPr>
            </w:pPr>
            <w:r>
              <w:rPr>
                <w:rFonts w:hint="default" w:ascii="Palatino Linotype" w:hAnsi="Palatino Linotype" w:cs="Palatino Linotype"/>
                <w:b/>
                <w:bCs/>
                <w:color w:val="auto"/>
                <w:sz w:val="18"/>
                <w:szCs w:val="18"/>
              </w:rPr>
              <w:t>NA</w:t>
            </w:r>
          </w:p>
        </w:tc>
      </w:tr>
      <w:tr>
        <w:tblPrEx>
          <w:tblCellMar>
            <w:top w:w="0" w:type="dxa"/>
            <w:left w:w="108" w:type="dxa"/>
            <w:bottom w:w="0" w:type="dxa"/>
            <w:right w:w="108" w:type="dxa"/>
          </w:tblCellMar>
        </w:tblPrEx>
        <w:trPr>
          <w:trHeight w:val="300"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b/>
                <w:bCs/>
                <w:i/>
                <w:iCs/>
                <w:color w:val="auto"/>
                <w:sz w:val="18"/>
                <w:szCs w:val="18"/>
              </w:rPr>
            </w:pPr>
            <w:r>
              <w:rPr>
                <w:rFonts w:hint="default" w:ascii="Palatino Linotype" w:hAnsi="Palatino Linotype" w:cs="Palatino Linotype"/>
                <w:b/>
                <w:bCs/>
                <w:i/>
                <w:iCs/>
                <w:color w:val="auto"/>
                <w:sz w:val="18"/>
                <w:szCs w:val="18"/>
              </w:rPr>
              <w:t xml:space="preserve">Kalmusia variispora </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b/>
                <w:bCs/>
                <w:color w:val="auto"/>
                <w:sz w:val="18"/>
                <w:szCs w:val="18"/>
              </w:rPr>
            </w:pPr>
            <w:r>
              <w:rPr>
                <w:rFonts w:hint="default" w:ascii="Palatino Linotype" w:hAnsi="Palatino Linotype" w:cs="Palatino Linotype"/>
                <w:b/>
                <w:bCs/>
                <w:color w:val="auto"/>
                <w:sz w:val="18"/>
                <w:szCs w:val="18"/>
              </w:rPr>
              <w:t>PEROG2.1YP2</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b/>
                <w:bCs/>
                <w:i/>
                <w:iCs/>
                <w:color w:val="auto"/>
                <w:sz w:val="18"/>
                <w:szCs w:val="18"/>
              </w:rPr>
            </w:pPr>
            <w:r>
              <w:rPr>
                <w:rFonts w:hint="default" w:ascii="Palatino Linotype" w:hAnsi="Palatino Linotype" w:cs="Palatino Linotype"/>
                <w:b/>
                <w:bCs/>
                <w:i/>
                <w:iCs/>
                <w:color w:val="auto"/>
                <w:sz w:val="18"/>
                <w:szCs w:val="18"/>
              </w:rPr>
              <w:t>Vitis vinifera</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b/>
                <w:bCs/>
                <w:color w:val="auto"/>
                <w:sz w:val="18"/>
                <w:szCs w:val="18"/>
              </w:rPr>
            </w:pPr>
            <w:r>
              <w:rPr>
                <w:rFonts w:hint="default" w:ascii="Palatino Linotype" w:hAnsi="Palatino Linotype" w:cs="Palatino Linotype"/>
                <w:b/>
                <w:bCs/>
                <w:color w:val="auto"/>
                <w:sz w:val="18"/>
                <w:szCs w:val="18"/>
              </w:rPr>
              <w:t>This study</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b/>
                <w:bCs/>
                <w:color w:val="auto"/>
                <w:sz w:val="18"/>
                <w:szCs w:val="18"/>
              </w:rPr>
            </w:pPr>
            <w:r>
              <w:rPr>
                <w:rFonts w:hint="default" w:ascii="Palatino Linotype" w:hAnsi="Palatino Linotype" w:cs="Palatino Linotype"/>
                <w:b/>
                <w:bCs/>
                <w:color w:val="auto"/>
                <w:sz w:val="18"/>
                <w:szCs w:val="18"/>
              </w:rPr>
              <w:t>OQ683913</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b/>
                <w:bCs/>
                <w:color w:val="auto"/>
                <w:sz w:val="18"/>
                <w:szCs w:val="18"/>
              </w:rPr>
            </w:pPr>
            <w:r>
              <w:rPr>
                <w:rFonts w:hint="default" w:ascii="Palatino Linotype" w:hAnsi="Palatino Linotype" w:cs="Palatino Linotype"/>
                <w:b/>
                <w:bCs/>
                <w:color w:val="auto"/>
                <w:sz w:val="18"/>
                <w:szCs w:val="18"/>
              </w:rPr>
              <w:t>OQ704319</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b/>
                <w:bCs/>
                <w:color w:val="auto"/>
                <w:sz w:val="18"/>
                <w:szCs w:val="18"/>
              </w:rPr>
            </w:pPr>
            <w:r>
              <w:rPr>
                <w:rFonts w:hint="default" w:ascii="Palatino Linotype" w:hAnsi="Palatino Linotype" w:cs="Palatino Linotype"/>
                <w:b/>
                <w:bCs/>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b/>
                <w:bCs/>
                <w:color w:val="auto"/>
                <w:sz w:val="18"/>
                <w:szCs w:val="18"/>
              </w:rPr>
            </w:pPr>
            <w:r>
              <w:rPr>
                <w:rFonts w:hint="default" w:ascii="Palatino Linotype" w:hAnsi="Palatino Linotype" w:cs="Palatino Linotype"/>
                <w:b/>
                <w:bCs/>
                <w:color w:val="auto"/>
                <w:sz w:val="18"/>
                <w:szCs w:val="18"/>
              </w:rPr>
              <w:t>NA</w:t>
            </w:r>
          </w:p>
        </w:tc>
      </w:tr>
      <w:tr>
        <w:tblPrEx>
          <w:tblCellMar>
            <w:top w:w="0" w:type="dxa"/>
            <w:left w:w="108" w:type="dxa"/>
            <w:bottom w:w="0" w:type="dxa"/>
            <w:right w:w="108" w:type="dxa"/>
          </w:tblCellMar>
        </w:tblPrEx>
        <w:trPr>
          <w:trHeight w:val="300"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 xml:space="preserve">Kalmusia variispora </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KV-9</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Malus domestica</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Iran</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OL711708</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OL711712</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r>
      <w:tr>
        <w:tblPrEx>
          <w:tblCellMar>
            <w:top w:w="0" w:type="dxa"/>
            <w:left w:w="108" w:type="dxa"/>
            <w:bottom w:w="0" w:type="dxa"/>
            <w:right w:w="108" w:type="dxa"/>
          </w:tblCellMar>
        </w:tblPrEx>
        <w:trPr>
          <w:trHeight w:val="300"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 xml:space="preserve">Kalmusia variispora </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CBS 121517</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Syria</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JX496030</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JX496143</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r>
      <w:tr>
        <w:tblPrEx>
          <w:tblCellMar>
            <w:top w:w="0" w:type="dxa"/>
            <w:left w:w="108" w:type="dxa"/>
            <w:bottom w:w="0" w:type="dxa"/>
            <w:right w:w="108" w:type="dxa"/>
          </w:tblCellMar>
        </w:tblPrEx>
        <w:trPr>
          <w:trHeight w:val="300"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 xml:space="preserve">Kalmusia variispora </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KV-13</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Malus domestica</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Iran</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OL711709</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OL711713</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r>
      <w:tr>
        <w:tblPrEx>
          <w:tblCellMar>
            <w:top w:w="0" w:type="dxa"/>
            <w:left w:w="108" w:type="dxa"/>
            <w:bottom w:w="0" w:type="dxa"/>
            <w:right w:w="108" w:type="dxa"/>
          </w:tblCellMar>
        </w:tblPrEx>
        <w:trPr>
          <w:trHeight w:val="300"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Kalmusia italica</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MFLU 14-0620</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Spartium junceum</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Italy</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KP325440</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KP325441</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r>
      <w:tr>
        <w:tblPrEx>
          <w:tblCellMar>
            <w:top w:w="0" w:type="dxa"/>
            <w:left w:w="108" w:type="dxa"/>
            <w:bottom w:w="0" w:type="dxa"/>
            <w:right w:w="108" w:type="dxa"/>
          </w:tblCellMar>
        </w:tblPrEx>
        <w:trPr>
          <w:trHeight w:val="300"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Kalmusia longispora</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CBS 582.83</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Arceuthobium pusillum</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Canada</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JX496097</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JX496210</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r>
      <w:tr>
        <w:tblPrEx>
          <w:tblCellMar>
            <w:top w:w="0" w:type="dxa"/>
            <w:left w:w="108" w:type="dxa"/>
            <w:bottom w:w="0" w:type="dxa"/>
            <w:right w:w="108" w:type="dxa"/>
          </w:tblCellMar>
        </w:tblPrEx>
        <w:trPr>
          <w:trHeight w:val="300"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Kalmusia longispora</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T15142</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Vitis vinifera</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Hungary</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MN945157</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MN945151</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r>
      <w:tr>
        <w:tblPrEx>
          <w:tblCellMar>
            <w:top w:w="0" w:type="dxa"/>
            <w:left w:w="108" w:type="dxa"/>
            <w:bottom w:w="0" w:type="dxa"/>
            <w:right w:w="108" w:type="dxa"/>
          </w:tblCellMar>
        </w:tblPrEx>
        <w:trPr>
          <w:trHeight w:val="315"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Kalmusia longispora</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CBS 824.84</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Triticum aestivum</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Germany</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JX496115</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JX496228</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r>
      <w:tr>
        <w:tblPrEx>
          <w:tblCellMar>
            <w:top w:w="0" w:type="dxa"/>
            <w:left w:w="108" w:type="dxa"/>
            <w:bottom w:w="0" w:type="dxa"/>
            <w:right w:w="108" w:type="dxa"/>
          </w:tblCellMar>
        </w:tblPrEx>
        <w:trPr>
          <w:trHeight w:val="315"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Kalmusia ebuli</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CBS 123120</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KF796674</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JN644073</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r>
      <w:tr>
        <w:tblPrEx>
          <w:tblCellMar>
            <w:top w:w="0" w:type="dxa"/>
            <w:left w:w="108" w:type="dxa"/>
            <w:bottom w:w="0" w:type="dxa"/>
            <w:right w:w="108" w:type="dxa"/>
          </w:tblCellMar>
        </w:tblPrEx>
        <w:trPr>
          <w:trHeight w:val="315"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Kalmusia cordylines</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ZHKU 21-0003</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Cordyline fruticosa</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China</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NR_184482</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NG_088312</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r>
      <w:tr>
        <w:tblPrEx>
          <w:tblCellMar>
            <w:top w:w="0" w:type="dxa"/>
            <w:left w:w="108" w:type="dxa"/>
            <w:bottom w:w="0" w:type="dxa"/>
            <w:right w:w="108" w:type="dxa"/>
          </w:tblCellMar>
        </w:tblPrEx>
        <w:trPr>
          <w:trHeight w:val="315"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Kalmusia araucariae</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CPC 37475</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Araucaria bidwillii</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USA</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MT223805</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MT223900</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r>
      <w:tr>
        <w:tblPrEx>
          <w:tblCellMar>
            <w:top w:w="0" w:type="dxa"/>
            <w:left w:w="108" w:type="dxa"/>
            <w:bottom w:w="0" w:type="dxa"/>
            <w:right w:w="108" w:type="dxa"/>
          </w:tblCellMar>
        </w:tblPrEx>
        <w:trPr>
          <w:trHeight w:val="315"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Kalmusia spartii</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MFLU 14-0751</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Spartium junceum</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Italy</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KP744441</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KP744487</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r>
      <w:tr>
        <w:tblPrEx>
          <w:tblCellMar>
            <w:top w:w="0" w:type="dxa"/>
            <w:left w:w="108" w:type="dxa"/>
            <w:bottom w:w="0" w:type="dxa"/>
            <w:right w:w="108" w:type="dxa"/>
          </w:tblCellMar>
        </w:tblPrEx>
        <w:trPr>
          <w:trHeight w:val="315"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Helminthosporium leucadendri</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CBS 135133</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Carpentaria acuminata</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Australia</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KF251150</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KF251654</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r>
      <w:tr>
        <w:tblPrEx>
          <w:tblCellMar>
            <w:top w:w="0" w:type="dxa"/>
            <w:left w:w="108" w:type="dxa"/>
            <w:bottom w:w="0" w:type="dxa"/>
            <w:right w:w="108" w:type="dxa"/>
          </w:tblCellMar>
        </w:tblPrEx>
        <w:trPr>
          <w:trHeight w:val="315"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Seimatosporium vitis</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Napa764</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Vitis vinifera</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USA</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KY706273</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KY706298</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KY706323</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KY706248</w:t>
            </w:r>
          </w:p>
        </w:tc>
      </w:tr>
      <w:tr>
        <w:tblPrEx>
          <w:tblCellMar>
            <w:top w:w="0" w:type="dxa"/>
            <w:left w:w="108" w:type="dxa"/>
            <w:bottom w:w="0" w:type="dxa"/>
            <w:right w:w="108" w:type="dxa"/>
          </w:tblCellMar>
        </w:tblPrEx>
        <w:trPr>
          <w:trHeight w:val="315"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b/>
                <w:bCs/>
                <w:i/>
                <w:iCs/>
                <w:color w:val="auto"/>
                <w:sz w:val="18"/>
                <w:szCs w:val="18"/>
              </w:rPr>
              <w:t>Seimatosporium vitis</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b/>
                <w:bCs/>
                <w:color w:val="auto"/>
                <w:sz w:val="18"/>
                <w:szCs w:val="18"/>
              </w:rPr>
              <w:t>SAROG1.3AVR10</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b/>
                <w:bCs/>
                <w:i/>
                <w:iCs/>
                <w:color w:val="auto"/>
                <w:sz w:val="18"/>
                <w:szCs w:val="18"/>
              </w:rPr>
              <w:t>Vitis vinifera</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b/>
                <w:bCs/>
                <w:color w:val="auto"/>
                <w:sz w:val="18"/>
                <w:szCs w:val="18"/>
              </w:rPr>
              <w:t>This study</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b/>
                <w:bCs/>
                <w:color w:val="auto"/>
                <w:sz w:val="18"/>
                <w:szCs w:val="18"/>
              </w:rPr>
              <w:t>OQ683910</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b/>
                <w:bCs/>
                <w:color w:val="auto"/>
                <w:sz w:val="18"/>
                <w:szCs w:val="18"/>
              </w:rPr>
              <w:t>OQ704316</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b/>
                <w:bCs/>
                <w:color w:val="auto"/>
                <w:sz w:val="18"/>
                <w:szCs w:val="18"/>
              </w:rPr>
              <w:t>OQ798216</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b/>
                <w:bCs/>
                <w:color w:val="auto"/>
                <w:sz w:val="18"/>
                <w:szCs w:val="18"/>
              </w:rPr>
              <w:t>OQ784653</w:t>
            </w:r>
          </w:p>
        </w:tc>
      </w:tr>
      <w:tr>
        <w:tblPrEx>
          <w:tblCellMar>
            <w:top w:w="0" w:type="dxa"/>
            <w:left w:w="108" w:type="dxa"/>
            <w:bottom w:w="0" w:type="dxa"/>
            <w:right w:w="108" w:type="dxa"/>
          </w:tblCellMar>
        </w:tblPrEx>
        <w:trPr>
          <w:trHeight w:val="315"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b/>
                <w:bCs/>
                <w:i/>
                <w:iCs/>
                <w:color w:val="auto"/>
                <w:sz w:val="18"/>
                <w:szCs w:val="18"/>
              </w:rPr>
              <w:t>Seimatosporium vitis</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b/>
                <w:bCs/>
                <w:color w:val="auto"/>
                <w:sz w:val="18"/>
                <w:szCs w:val="18"/>
              </w:rPr>
              <w:t>SAROG1.3AVR13</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b/>
                <w:bCs/>
                <w:i/>
                <w:iCs/>
                <w:color w:val="auto"/>
                <w:sz w:val="18"/>
                <w:szCs w:val="18"/>
              </w:rPr>
              <w:t>Vitis vinifera</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b/>
                <w:bCs/>
                <w:color w:val="auto"/>
                <w:sz w:val="18"/>
                <w:szCs w:val="18"/>
              </w:rPr>
              <w:t>This study</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b/>
                <w:bCs/>
                <w:color w:val="auto"/>
                <w:sz w:val="18"/>
                <w:szCs w:val="18"/>
              </w:rPr>
              <w:t>OQ683911</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b/>
                <w:bCs/>
                <w:color w:val="auto"/>
                <w:sz w:val="18"/>
                <w:szCs w:val="18"/>
              </w:rPr>
              <w:t>OQ704317</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b/>
                <w:bCs/>
                <w:color w:val="auto"/>
                <w:sz w:val="18"/>
                <w:szCs w:val="18"/>
              </w:rPr>
              <w:t>OQ798217</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b/>
                <w:bCs/>
                <w:color w:val="auto"/>
                <w:sz w:val="18"/>
                <w:szCs w:val="18"/>
              </w:rPr>
              <w:t>OQ784654</w:t>
            </w:r>
          </w:p>
        </w:tc>
      </w:tr>
      <w:tr>
        <w:tblPrEx>
          <w:tblCellMar>
            <w:top w:w="0" w:type="dxa"/>
            <w:left w:w="108" w:type="dxa"/>
            <w:bottom w:w="0" w:type="dxa"/>
            <w:right w:w="108" w:type="dxa"/>
          </w:tblCellMar>
        </w:tblPrEx>
        <w:trPr>
          <w:trHeight w:val="315"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Seimatosporium vitis-viniferae</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L189</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Vitis vinifera</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Cyprus</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ON680685</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ON692401</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ON863781</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ON695845</w:t>
            </w:r>
          </w:p>
        </w:tc>
      </w:tr>
      <w:tr>
        <w:tblPrEx>
          <w:tblCellMar>
            <w:top w:w="0" w:type="dxa"/>
            <w:left w:w="108" w:type="dxa"/>
            <w:bottom w:w="0" w:type="dxa"/>
            <w:right w:w="108" w:type="dxa"/>
          </w:tblCellMar>
        </w:tblPrEx>
        <w:trPr>
          <w:trHeight w:val="315"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Seimatosporium vitis-viniferae</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CBS 123004</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Vitis vinifera</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Spain</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MH553992</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MH554211</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MH554418</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MH554660</w:t>
            </w:r>
          </w:p>
        </w:tc>
      </w:tr>
      <w:tr>
        <w:tblPrEx>
          <w:tblCellMar>
            <w:top w:w="0" w:type="dxa"/>
            <w:left w:w="108" w:type="dxa"/>
            <w:bottom w:w="0" w:type="dxa"/>
            <w:right w:w="108" w:type="dxa"/>
          </w:tblCellMar>
        </w:tblPrEx>
        <w:trPr>
          <w:trHeight w:val="315"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Seimatosporium vitis-viniferae</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P210</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Vitis vinifera</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Cyprus</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ON680688</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ON692398</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ON863780</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ON695842</w:t>
            </w:r>
          </w:p>
        </w:tc>
      </w:tr>
      <w:tr>
        <w:tblPrEx>
          <w:tblCellMar>
            <w:top w:w="0" w:type="dxa"/>
            <w:left w:w="108" w:type="dxa"/>
            <w:bottom w:w="0" w:type="dxa"/>
            <w:right w:w="108" w:type="dxa"/>
          </w:tblCellMar>
        </w:tblPrEx>
        <w:trPr>
          <w:trHeight w:val="315"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Seimatosporium pistaciae</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CBS 138865</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Pistacia vera</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Iran</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KP004463</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KP004491</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MH554432</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MH554674</w:t>
            </w:r>
          </w:p>
        </w:tc>
      </w:tr>
      <w:tr>
        <w:tblPrEx>
          <w:tblCellMar>
            <w:top w:w="0" w:type="dxa"/>
            <w:left w:w="108" w:type="dxa"/>
            <w:bottom w:w="0" w:type="dxa"/>
            <w:right w:w="108" w:type="dxa"/>
          </w:tblCellMar>
        </w:tblPrEx>
        <w:trPr>
          <w:trHeight w:val="315"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Seimatosporium rosae</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CBS 139823</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Rosa sp.</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Russia</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LT853105</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MH823070</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LT853203</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LT853253</w:t>
            </w:r>
          </w:p>
        </w:tc>
      </w:tr>
      <w:tr>
        <w:tblPrEx>
          <w:tblCellMar>
            <w:top w:w="0" w:type="dxa"/>
            <w:left w:w="108" w:type="dxa"/>
            <w:bottom w:w="0" w:type="dxa"/>
            <w:right w:w="108" w:type="dxa"/>
          </w:tblCellMar>
        </w:tblPrEx>
        <w:trPr>
          <w:trHeight w:val="315"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Seimatosporium germanicum</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CBS 437.87</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Germany</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MH554047</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MH554259</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MH554482</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MH554723</w:t>
            </w:r>
          </w:p>
        </w:tc>
      </w:tr>
      <w:tr>
        <w:tblPrEx>
          <w:tblCellMar>
            <w:top w:w="0" w:type="dxa"/>
            <w:left w:w="108" w:type="dxa"/>
            <w:bottom w:w="0" w:type="dxa"/>
            <w:right w:w="108" w:type="dxa"/>
          </w:tblCellMar>
        </w:tblPrEx>
        <w:trPr>
          <w:trHeight w:val="315"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Seimatosporium cyprium</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CBS 149019</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Vitis vinifera</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Cyprus</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ON680684</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ON705769</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ON863790</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ON695856</w:t>
            </w:r>
          </w:p>
        </w:tc>
      </w:tr>
      <w:tr>
        <w:tblPrEx>
          <w:tblCellMar>
            <w:top w:w="0" w:type="dxa"/>
            <w:left w:w="108" w:type="dxa"/>
            <w:bottom w:w="0" w:type="dxa"/>
            <w:right w:w="108" w:type="dxa"/>
          </w:tblCellMar>
        </w:tblPrEx>
        <w:trPr>
          <w:trHeight w:val="315"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Seimatosporium sp.</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2310C</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Vitis vinifera</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Iran</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 xml:space="preserve">MW361952.1 </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MW361960.1</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MW375358.1</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 xml:space="preserve">MW375352.1 </w:t>
            </w:r>
          </w:p>
        </w:tc>
      </w:tr>
      <w:tr>
        <w:tblPrEx>
          <w:tblCellMar>
            <w:top w:w="0" w:type="dxa"/>
            <w:left w:w="108" w:type="dxa"/>
            <w:bottom w:w="0" w:type="dxa"/>
            <w:right w:w="108" w:type="dxa"/>
          </w:tblCellMar>
        </w:tblPrEx>
        <w:trPr>
          <w:trHeight w:val="315"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Seimatosporium vitisfusiforme</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Wint753</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Vitis vinifera</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USA</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KY706296.1</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KY706321.1</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KY706346</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KY706271.1</w:t>
            </w:r>
          </w:p>
        </w:tc>
      </w:tr>
      <w:tr>
        <w:tblPrEx>
          <w:tblCellMar>
            <w:top w:w="0" w:type="dxa"/>
            <w:left w:w="108" w:type="dxa"/>
            <w:bottom w:w="0" w:type="dxa"/>
            <w:right w:w="108" w:type="dxa"/>
          </w:tblCellMar>
        </w:tblPrEx>
        <w:trPr>
          <w:trHeight w:val="315"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Beltrania rhombica</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CBS 123.58</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Mangrove swamp</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Mozambique</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MH857718</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MH869260</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MH704606</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MH704631</w:t>
            </w:r>
          </w:p>
        </w:tc>
      </w:tr>
      <w:tr>
        <w:tblPrEx>
          <w:tblCellMar>
            <w:top w:w="0" w:type="dxa"/>
            <w:left w:w="108" w:type="dxa"/>
            <w:bottom w:w="0" w:type="dxa"/>
            <w:right w:w="108" w:type="dxa"/>
          </w:tblCellMar>
        </w:tblPrEx>
        <w:trPr>
          <w:trHeight w:val="315"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Didympsphaeria variabile</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CBS 120014</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Actinidia chinensis</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Italy</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JX496026</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JX496139.1</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JX496365.1</w:t>
            </w:r>
          </w:p>
        </w:tc>
      </w:tr>
      <w:tr>
        <w:trPr>
          <w:trHeight w:val="315"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b/>
                <w:bCs/>
                <w:i/>
                <w:iCs/>
                <w:color w:val="auto"/>
                <w:sz w:val="18"/>
                <w:szCs w:val="18"/>
              </w:rPr>
              <w:t>Didym</w:t>
            </w:r>
            <w:r>
              <w:rPr>
                <w:rFonts w:hint="default" w:ascii="Palatino Linotype" w:hAnsi="Palatino Linotype" w:cs="Palatino Linotype"/>
                <w:b/>
                <w:bCs/>
                <w:i/>
                <w:iCs/>
                <w:color w:val="auto"/>
                <w:sz w:val="18"/>
                <w:szCs w:val="18"/>
                <w:lang w:val="en-US"/>
              </w:rPr>
              <w:t>o</w:t>
            </w:r>
            <w:r>
              <w:rPr>
                <w:rFonts w:hint="default" w:ascii="Palatino Linotype" w:hAnsi="Palatino Linotype" w:cs="Palatino Linotype"/>
                <w:b/>
                <w:bCs/>
                <w:i/>
                <w:iCs/>
                <w:color w:val="auto"/>
                <w:sz w:val="18"/>
                <w:szCs w:val="18"/>
              </w:rPr>
              <w:t>sphaeria variabile</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b/>
                <w:bCs/>
                <w:color w:val="auto"/>
                <w:sz w:val="18"/>
                <w:szCs w:val="18"/>
              </w:rPr>
              <w:t>SAROG1.2AKO1</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b/>
                <w:bCs/>
                <w:i/>
                <w:iCs/>
                <w:color w:val="auto"/>
                <w:sz w:val="18"/>
                <w:szCs w:val="18"/>
              </w:rPr>
              <w:t>Vitis vinifera</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b/>
                <w:bCs/>
                <w:color w:val="auto"/>
                <w:sz w:val="18"/>
                <w:szCs w:val="18"/>
              </w:rPr>
              <w:t>This study</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b/>
                <w:bCs/>
                <w:color w:val="auto"/>
                <w:sz w:val="18"/>
                <w:szCs w:val="18"/>
              </w:rPr>
              <w:t>OQ683908</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b/>
                <w:bCs/>
                <w:color w:val="auto"/>
                <w:sz w:val="18"/>
                <w:szCs w:val="18"/>
              </w:rPr>
              <w:t>OQ704314</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b/>
                <w:bCs/>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b/>
                <w:bCs/>
                <w:color w:val="auto"/>
                <w:sz w:val="18"/>
                <w:szCs w:val="18"/>
              </w:rPr>
              <w:t>OQ784651</w:t>
            </w:r>
          </w:p>
        </w:tc>
      </w:tr>
      <w:tr>
        <w:trPr>
          <w:trHeight w:val="315"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Paraconiothyrium brasilliense</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CBS 115.92</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Olea europaea</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Italy</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JX496022</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JX496135.1</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JX496361.1</w:t>
            </w:r>
          </w:p>
        </w:tc>
      </w:tr>
      <w:tr>
        <w:tblPrEx>
          <w:tblCellMar>
            <w:top w:w="0" w:type="dxa"/>
            <w:left w:w="108" w:type="dxa"/>
            <w:bottom w:w="0" w:type="dxa"/>
            <w:right w:w="108" w:type="dxa"/>
          </w:tblCellMar>
        </w:tblPrEx>
        <w:trPr>
          <w:trHeight w:val="315"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Paraconiothyrium brasilliense</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CBS 587.84</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Vitis vinifera</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Italy</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JX496099</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JX496212.1</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 xml:space="preserve"> JX496438.1 </w:t>
            </w:r>
          </w:p>
        </w:tc>
      </w:tr>
      <w:tr>
        <w:trPr>
          <w:trHeight w:val="315"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Paraconiothyrium fuckelii</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CBS 508.94</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Rosa sp.</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Netherlands</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JX496096</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 xml:space="preserve">JX496209.1 </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JX496435.1</w:t>
            </w:r>
          </w:p>
        </w:tc>
      </w:tr>
      <w:tr>
        <w:trPr>
          <w:trHeight w:val="315" w:hRule="atLeast"/>
        </w:trPr>
        <w:tc>
          <w:tcPr>
            <w:tcW w:w="924"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Paraconiothyrium fuckelii</w:t>
            </w:r>
          </w:p>
        </w:tc>
        <w:tc>
          <w:tcPr>
            <w:tcW w:w="83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CBS 764.71B</w:t>
            </w:r>
          </w:p>
        </w:tc>
        <w:tc>
          <w:tcPr>
            <w:tcW w:w="710"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Human</w:t>
            </w:r>
          </w:p>
        </w:tc>
        <w:tc>
          <w:tcPr>
            <w:tcW w:w="627"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Netherlands</w:t>
            </w:r>
          </w:p>
        </w:tc>
        <w:tc>
          <w:tcPr>
            <w:tcW w:w="501"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JX496112</w:t>
            </w:r>
          </w:p>
        </w:tc>
        <w:tc>
          <w:tcPr>
            <w:tcW w:w="496"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JX496225.1</w:t>
            </w:r>
          </w:p>
        </w:tc>
        <w:tc>
          <w:tcPr>
            <w:tcW w:w="469"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nil"/>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 xml:space="preserve">JX496451.1 </w:t>
            </w:r>
          </w:p>
        </w:tc>
      </w:tr>
      <w:tr>
        <w:tblPrEx>
          <w:tblCellMar>
            <w:top w:w="0" w:type="dxa"/>
            <w:left w:w="108" w:type="dxa"/>
            <w:bottom w:w="0" w:type="dxa"/>
            <w:right w:w="108" w:type="dxa"/>
          </w:tblCellMar>
        </w:tblPrEx>
        <w:trPr>
          <w:trHeight w:val="315" w:hRule="atLeast"/>
        </w:trPr>
        <w:tc>
          <w:tcPr>
            <w:tcW w:w="924" w:type="pct"/>
            <w:tcBorders>
              <w:top w:val="nil"/>
              <w:left w:val="nil"/>
              <w:bottom w:val="double" w:color="auto" w:sz="6" w:space="0"/>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Stagonospora paludosa</w:t>
            </w:r>
          </w:p>
        </w:tc>
        <w:tc>
          <w:tcPr>
            <w:tcW w:w="830" w:type="pct"/>
            <w:tcBorders>
              <w:top w:val="nil"/>
              <w:left w:val="nil"/>
              <w:bottom w:val="double" w:color="auto" w:sz="6" w:space="0"/>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CBS 135088</w:t>
            </w:r>
          </w:p>
        </w:tc>
        <w:tc>
          <w:tcPr>
            <w:tcW w:w="710" w:type="pct"/>
            <w:tcBorders>
              <w:top w:val="nil"/>
              <w:left w:val="nil"/>
              <w:bottom w:val="double" w:color="auto" w:sz="6" w:space="0"/>
              <w:right w:val="nil"/>
            </w:tcBorders>
            <w:shd w:val="clear" w:color="000000" w:fill="auto"/>
            <w:noWrap/>
            <w:vAlign w:val="center"/>
          </w:tcPr>
          <w:p>
            <w:pPr>
              <w:spacing w:after="160" w:line="259" w:lineRule="auto"/>
              <w:rPr>
                <w:rFonts w:hint="default" w:ascii="Palatino Linotype" w:hAnsi="Palatino Linotype" w:cs="Palatino Linotype"/>
                <w:i/>
                <w:iCs/>
                <w:color w:val="auto"/>
                <w:sz w:val="18"/>
                <w:szCs w:val="18"/>
              </w:rPr>
            </w:pPr>
            <w:r>
              <w:rPr>
                <w:rFonts w:hint="default" w:ascii="Palatino Linotype" w:hAnsi="Palatino Linotype" w:cs="Palatino Linotype"/>
                <w:i/>
                <w:iCs/>
                <w:color w:val="auto"/>
                <w:sz w:val="18"/>
                <w:szCs w:val="18"/>
              </w:rPr>
              <w:t>Carex acutiformis</w:t>
            </w:r>
          </w:p>
        </w:tc>
        <w:tc>
          <w:tcPr>
            <w:tcW w:w="627" w:type="pct"/>
            <w:tcBorders>
              <w:top w:val="nil"/>
              <w:left w:val="nil"/>
              <w:bottom w:val="double" w:color="auto" w:sz="6" w:space="0"/>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Netherlands</w:t>
            </w:r>
          </w:p>
        </w:tc>
        <w:tc>
          <w:tcPr>
            <w:tcW w:w="501" w:type="pct"/>
            <w:tcBorders>
              <w:top w:val="nil"/>
              <w:left w:val="nil"/>
              <w:bottom w:val="double" w:color="auto" w:sz="6" w:space="0"/>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KF251257</w:t>
            </w:r>
          </w:p>
        </w:tc>
        <w:tc>
          <w:tcPr>
            <w:tcW w:w="496" w:type="pct"/>
            <w:tcBorders>
              <w:top w:val="nil"/>
              <w:left w:val="nil"/>
              <w:bottom w:val="double" w:color="auto" w:sz="6" w:space="0"/>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KF251760.1</w:t>
            </w:r>
          </w:p>
        </w:tc>
        <w:tc>
          <w:tcPr>
            <w:tcW w:w="469" w:type="pct"/>
            <w:tcBorders>
              <w:top w:val="nil"/>
              <w:left w:val="nil"/>
              <w:bottom w:val="double" w:color="auto" w:sz="6" w:space="0"/>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NA</w:t>
            </w:r>
          </w:p>
        </w:tc>
        <w:tc>
          <w:tcPr>
            <w:tcW w:w="443" w:type="pct"/>
            <w:tcBorders>
              <w:top w:val="nil"/>
              <w:left w:val="nil"/>
              <w:bottom w:val="double" w:color="auto" w:sz="6" w:space="0"/>
              <w:right w:val="nil"/>
            </w:tcBorders>
            <w:shd w:val="clear" w:color="000000" w:fill="auto"/>
            <w:noWrap/>
            <w:vAlign w:val="center"/>
          </w:tcPr>
          <w:p>
            <w:pPr>
              <w:spacing w:after="160" w:line="259" w:lineRule="auto"/>
              <w:rPr>
                <w:rFonts w:hint="default" w:ascii="Palatino Linotype" w:hAnsi="Palatino Linotype" w:cs="Palatino Linotype"/>
                <w:color w:val="auto"/>
                <w:sz w:val="18"/>
                <w:szCs w:val="18"/>
              </w:rPr>
            </w:pPr>
            <w:r>
              <w:rPr>
                <w:rFonts w:hint="default" w:ascii="Palatino Linotype" w:hAnsi="Palatino Linotype" w:cs="Palatino Linotype"/>
                <w:color w:val="auto"/>
                <w:sz w:val="18"/>
                <w:szCs w:val="18"/>
              </w:rPr>
              <w:t xml:space="preserve">KF252740.1 </w:t>
            </w:r>
          </w:p>
        </w:tc>
      </w:tr>
    </w:tbl>
    <w:p>
      <w:pPr>
        <w:autoSpaceDE w:val="0"/>
        <w:autoSpaceDN w:val="0"/>
        <w:adjustRightInd w:val="0"/>
        <w:spacing w:line="480" w:lineRule="auto"/>
        <w:jc w:val="both"/>
        <w:rPr>
          <w:rFonts w:hint="default" w:ascii="Palatino Linotype" w:hAnsi="Palatino Linotype" w:cs="Palatino Linotype"/>
          <w:color w:val="auto"/>
          <w:sz w:val="18"/>
          <w:szCs w:val="18"/>
          <w:lang w:val="en-US"/>
        </w:rPr>
        <w:sectPr>
          <w:type w:val="continuous"/>
          <w:pgSz w:w="16838" w:h="11906" w:orient="landscape"/>
          <w:pgMar w:top="1797" w:right="1440" w:bottom="1644" w:left="1440" w:header="709" w:footer="709" w:gutter="0"/>
          <w:lnNumType w:countBy="1" w:restart="continuous"/>
          <w:cols w:space="708" w:num="1"/>
          <w:docGrid w:linePitch="360" w:charSpace="0"/>
        </w:sectPr>
      </w:pPr>
      <w:r>
        <w:rPr>
          <w:rFonts w:hint="default" w:ascii="Palatino Linotype" w:hAnsi="Palatino Linotype" w:cs="Palatino Linotype"/>
          <w:color w:val="auto"/>
          <w:sz w:val="18"/>
          <w:szCs w:val="18"/>
          <w:vertAlign w:val="superscript"/>
          <w:lang w:val="en-US"/>
        </w:rPr>
        <w:t>a</w:t>
      </w:r>
      <w:r>
        <w:rPr>
          <w:rFonts w:hint="default" w:ascii="Palatino Linotype" w:hAnsi="Palatino Linotype" w:cs="Palatino Linotype"/>
          <w:color w:val="auto"/>
          <w:sz w:val="18"/>
          <w:szCs w:val="18"/>
          <w:lang w:val="en-US"/>
        </w:rPr>
        <w:t xml:space="preserve"> NA: Not Applicable</w:t>
      </w:r>
    </w:p>
    <w:p>
      <w:pPr>
        <w:autoSpaceDE w:val="0"/>
        <w:autoSpaceDN w:val="0"/>
        <w:adjustRightInd w:val="0"/>
        <w:spacing w:line="480" w:lineRule="auto"/>
        <w:jc w:val="center"/>
        <w:rPr>
          <w:color w:val="auto"/>
          <w:sz w:val="20"/>
          <w:szCs w:val="20"/>
          <w:lang w:val="en-US"/>
        </w:rPr>
      </w:pPr>
      <w:r>
        <w:rPr>
          <w:color w:val="auto"/>
          <w:sz w:val="20"/>
          <w:szCs w:val="20"/>
          <w:lang w:val="en-US" w:eastAsia="en-US"/>
        </w:rPr>
        <w:drawing>
          <wp:inline distT="0" distB="0" distL="0" distR="0">
            <wp:extent cx="5401310" cy="4051300"/>
            <wp:effectExtent l="0" t="0" r="0" b="0"/>
            <wp:docPr id="13"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01310" cy="4051300"/>
                    </a:xfrm>
                    <a:prstGeom prst="rect">
                      <a:avLst/>
                    </a:prstGeom>
                    <a:noFill/>
                    <a:ln>
                      <a:noFill/>
                    </a:ln>
                  </pic:spPr>
                </pic:pic>
              </a:graphicData>
            </a:graphic>
          </wp:inline>
        </w:drawing>
      </w:r>
    </w:p>
    <w:p>
      <w:pPr>
        <w:autoSpaceDE w:val="0"/>
        <w:autoSpaceDN w:val="0"/>
        <w:adjustRightInd w:val="0"/>
        <w:spacing w:line="240" w:lineRule="auto"/>
        <w:jc w:val="both"/>
        <w:rPr>
          <w:color w:val="auto"/>
          <w:lang w:val="en-US"/>
        </w:rPr>
      </w:pPr>
      <w:r>
        <w:rPr>
          <w:rFonts w:hint="default" w:ascii="Palatino Linotype" w:hAnsi="Palatino Linotype" w:cs="Palatino Linotype"/>
          <w:b/>
          <w:bCs/>
          <w:color w:val="auto"/>
          <w:sz w:val="18"/>
          <w:szCs w:val="18"/>
          <w:lang w:val="en-US"/>
        </w:rPr>
        <w:t>Supplementary Figure S2</w:t>
      </w:r>
      <w:r>
        <w:rPr>
          <w:rFonts w:hint="default" w:ascii="Palatino Linotype" w:hAnsi="Palatino Linotype" w:cs="Palatino Linotype"/>
          <w:color w:val="auto"/>
          <w:sz w:val="18"/>
          <w:szCs w:val="18"/>
          <w:lang w:val="en-US"/>
        </w:rPr>
        <w:t xml:space="preserve">. Neighbor-joining (NJ) phylogram obtained from the combined </w:t>
      </w:r>
      <w:r>
        <w:rPr>
          <w:rFonts w:hint="default" w:ascii="Palatino Linotype" w:hAnsi="Palatino Linotype" w:cs="Palatino Linotype"/>
          <w:i/>
          <w:iCs/>
          <w:color w:val="auto"/>
          <w:sz w:val="18"/>
          <w:szCs w:val="18"/>
          <w:lang w:val="en-US"/>
        </w:rPr>
        <w:t>rDNA-ITS, LSU, tub2</w:t>
      </w:r>
      <w:r>
        <w:rPr>
          <w:rFonts w:hint="default" w:ascii="Palatino Linotype" w:hAnsi="Palatino Linotype" w:cs="Palatino Linotype"/>
          <w:color w:val="auto"/>
          <w:sz w:val="18"/>
          <w:szCs w:val="18"/>
          <w:lang w:val="en-US"/>
        </w:rPr>
        <w:t xml:space="preserve">, and </w:t>
      </w:r>
      <w:r>
        <w:rPr>
          <w:rFonts w:hint="default" w:ascii="Palatino Linotype" w:hAnsi="Palatino Linotype" w:cs="Palatino Linotype"/>
          <w:i/>
          <w:iCs/>
          <w:color w:val="auto"/>
          <w:sz w:val="18"/>
          <w:szCs w:val="18"/>
          <w:lang w:val="en-US"/>
        </w:rPr>
        <w:t>tef1-a</w:t>
      </w:r>
      <w:r>
        <w:rPr>
          <w:rFonts w:hint="default" w:ascii="Palatino Linotype" w:hAnsi="Palatino Linotype" w:cs="Palatino Linotype"/>
          <w:color w:val="auto"/>
          <w:sz w:val="18"/>
          <w:szCs w:val="18"/>
          <w:lang w:val="en-US"/>
        </w:rPr>
        <w:t xml:space="preserve"> sequence alignment of </w:t>
      </w:r>
      <w:r>
        <w:rPr>
          <w:rFonts w:hint="default" w:ascii="Palatino Linotype" w:hAnsi="Palatino Linotype" w:cs="Palatino Linotype"/>
          <w:i/>
          <w:iCs/>
          <w:color w:val="auto"/>
          <w:sz w:val="18"/>
          <w:szCs w:val="18"/>
          <w:lang w:val="en-US"/>
        </w:rPr>
        <w:t>Seimatosporium</w:t>
      </w:r>
      <w:r>
        <w:rPr>
          <w:rFonts w:hint="default" w:ascii="Palatino Linotype" w:hAnsi="Palatino Linotype" w:cs="Palatino Linotype"/>
          <w:color w:val="auto"/>
          <w:sz w:val="18"/>
          <w:szCs w:val="18"/>
          <w:lang w:val="en-US"/>
        </w:rPr>
        <w:t xml:space="preserve"> species. The tree was rooted to </w:t>
      </w:r>
      <w:r>
        <w:rPr>
          <w:rFonts w:hint="default" w:ascii="Palatino Linotype" w:hAnsi="Palatino Linotype" w:cs="Palatino Linotype"/>
          <w:i/>
          <w:iCs/>
          <w:color w:val="auto"/>
          <w:sz w:val="18"/>
          <w:szCs w:val="18"/>
          <w:lang w:val="en-US"/>
        </w:rPr>
        <w:t>Beltrania rhombica</w:t>
      </w:r>
      <w:r>
        <w:rPr>
          <w:rFonts w:hint="default" w:ascii="Palatino Linotype" w:hAnsi="Palatino Linotype" w:cs="Palatino Linotype"/>
          <w:color w:val="auto"/>
          <w:sz w:val="18"/>
          <w:szCs w:val="18"/>
          <w:lang w:val="en-US"/>
        </w:rPr>
        <w:t xml:space="preserve"> CBS 123.58. Bootstrap values (1000 replicates) are indicated at the nodes. The scale bar indicated nucleotide substitution in NJ analysis, values ≥ 50% are presented above/below the branches.  </w:t>
      </w:r>
      <w:r>
        <w:rPr>
          <w:color w:val="auto"/>
          <w:lang w:val="en-US"/>
        </w:rPr>
        <w:t xml:space="preserve"> </w:t>
      </w:r>
    </w:p>
    <w:p>
      <w:pPr>
        <w:autoSpaceDE w:val="0"/>
        <w:autoSpaceDN w:val="0"/>
        <w:adjustRightInd w:val="0"/>
        <w:spacing w:line="240" w:lineRule="auto"/>
        <w:jc w:val="both"/>
        <w:rPr>
          <w:color w:val="auto"/>
          <w:lang w:val="en-US"/>
        </w:rPr>
      </w:pPr>
    </w:p>
    <w:p>
      <w:pPr>
        <w:autoSpaceDE w:val="0"/>
        <w:autoSpaceDN w:val="0"/>
        <w:adjustRightInd w:val="0"/>
        <w:spacing w:line="480" w:lineRule="auto"/>
        <w:jc w:val="center"/>
        <w:rPr>
          <w:color w:val="auto"/>
          <w:sz w:val="20"/>
          <w:szCs w:val="20"/>
          <w:lang w:val="en-US"/>
        </w:rPr>
      </w:pPr>
      <w:r>
        <w:rPr>
          <w:color w:val="auto"/>
          <w:sz w:val="20"/>
          <w:szCs w:val="20"/>
          <w:lang w:val="en-US" w:eastAsia="en-US"/>
        </w:rPr>
        <w:drawing>
          <wp:inline distT="0" distB="0" distL="0" distR="0">
            <wp:extent cx="5369560" cy="4029710"/>
            <wp:effectExtent l="0" t="0" r="0" b="0"/>
            <wp:docPr id="1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369560" cy="4029710"/>
                    </a:xfrm>
                    <a:prstGeom prst="rect">
                      <a:avLst/>
                    </a:prstGeom>
                    <a:noFill/>
                    <a:ln>
                      <a:noFill/>
                    </a:ln>
                  </pic:spPr>
                </pic:pic>
              </a:graphicData>
            </a:graphic>
          </wp:inline>
        </w:drawing>
      </w:r>
    </w:p>
    <w:p>
      <w:pPr>
        <w:autoSpaceDE w:val="0"/>
        <w:autoSpaceDN w:val="0"/>
        <w:adjustRightInd w:val="0"/>
        <w:spacing w:line="240" w:lineRule="auto"/>
        <w:jc w:val="both"/>
        <w:rPr>
          <w:color w:val="auto"/>
          <w:lang w:val="en-US"/>
        </w:rPr>
      </w:pPr>
      <w:bookmarkStart w:id="8" w:name="_Hlk140947766"/>
      <w:r>
        <w:rPr>
          <w:rFonts w:hint="default" w:ascii="Palatino Linotype" w:hAnsi="Palatino Linotype" w:cs="Palatino Linotype"/>
          <w:b/>
          <w:bCs/>
          <w:color w:val="auto"/>
          <w:sz w:val="18"/>
          <w:szCs w:val="18"/>
          <w:lang w:val="en-US"/>
        </w:rPr>
        <w:t>Supplementary Figure S3</w:t>
      </w:r>
      <w:r>
        <w:rPr>
          <w:rFonts w:hint="default" w:ascii="Palatino Linotype" w:hAnsi="Palatino Linotype" w:cs="Palatino Linotype"/>
          <w:color w:val="auto"/>
          <w:sz w:val="18"/>
          <w:szCs w:val="18"/>
          <w:lang w:val="en-US"/>
        </w:rPr>
        <w:t xml:space="preserve">. Neighbor-joining (NJ) phylogram obtained from the combined </w:t>
      </w:r>
      <w:r>
        <w:rPr>
          <w:rFonts w:hint="default" w:ascii="Palatino Linotype" w:hAnsi="Palatino Linotype" w:cs="Palatino Linotype"/>
          <w:i/>
          <w:iCs/>
          <w:color w:val="auto"/>
          <w:sz w:val="18"/>
          <w:szCs w:val="18"/>
          <w:lang w:val="en-US"/>
        </w:rPr>
        <w:t>rDNA-ITS, LSU</w:t>
      </w:r>
      <w:r>
        <w:rPr>
          <w:rFonts w:hint="default" w:ascii="Palatino Linotype" w:hAnsi="Palatino Linotype" w:cs="Palatino Linotype"/>
          <w:color w:val="auto"/>
          <w:sz w:val="18"/>
          <w:szCs w:val="18"/>
          <w:lang w:val="en-US"/>
        </w:rPr>
        <w:t xml:space="preserve"> sequence alignment of </w:t>
      </w:r>
      <w:r>
        <w:rPr>
          <w:rFonts w:hint="default" w:ascii="Palatino Linotype" w:hAnsi="Palatino Linotype" w:cs="Palatino Linotype"/>
          <w:i/>
          <w:iCs/>
          <w:color w:val="auto"/>
          <w:sz w:val="18"/>
          <w:szCs w:val="18"/>
          <w:lang w:val="en-US"/>
        </w:rPr>
        <w:t>Neosetophoma</w:t>
      </w:r>
      <w:r>
        <w:rPr>
          <w:rFonts w:hint="default" w:ascii="Palatino Linotype" w:hAnsi="Palatino Linotype" w:cs="Palatino Linotype"/>
          <w:color w:val="auto"/>
          <w:sz w:val="18"/>
          <w:szCs w:val="18"/>
          <w:lang w:val="en-US"/>
        </w:rPr>
        <w:t xml:space="preserve"> species. The tree was rooted to </w:t>
      </w:r>
      <w:r>
        <w:rPr>
          <w:rFonts w:hint="default" w:ascii="Palatino Linotype" w:hAnsi="Palatino Linotype" w:cs="Palatino Linotype"/>
          <w:i/>
          <w:iCs/>
          <w:color w:val="auto"/>
          <w:sz w:val="18"/>
          <w:szCs w:val="18"/>
          <w:lang w:val="en-US"/>
        </w:rPr>
        <w:t>Didymella exigua</w:t>
      </w:r>
      <w:r>
        <w:rPr>
          <w:rFonts w:hint="default" w:ascii="Palatino Linotype" w:hAnsi="Palatino Linotype" w:cs="Palatino Linotype"/>
          <w:color w:val="auto"/>
          <w:sz w:val="18"/>
          <w:szCs w:val="18"/>
          <w:lang w:val="en-US"/>
        </w:rPr>
        <w:t xml:space="preserve"> CBS 183.55. Bootstrap values (1000 replicates) are indicated at the nodes. The scale bar indicated nucleotide substitution in NJ analysis, values ≥ 50% are presented above/below the branches.</w:t>
      </w:r>
      <w:r>
        <w:rPr>
          <w:color w:val="auto"/>
          <w:lang w:val="en-US"/>
        </w:rPr>
        <w:t xml:space="preserve">   </w:t>
      </w:r>
    </w:p>
    <w:p>
      <w:pPr>
        <w:autoSpaceDE w:val="0"/>
        <w:autoSpaceDN w:val="0"/>
        <w:adjustRightInd w:val="0"/>
        <w:spacing w:line="240" w:lineRule="auto"/>
        <w:jc w:val="both"/>
        <w:rPr>
          <w:color w:val="auto"/>
          <w:lang w:val="en-US"/>
        </w:rPr>
      </w:pPr>
    </w:p>
    <w:bookmarkEnd w:id="8"/>
    <w:p>
      <w:pPr>
        <w:autoSpaceDE w:val="0"/>
        <w:autoSpaceDN w:val="0"/>
        <w:adjustRightInd w:val="0"/>
        <w:spacing w:line="480" w:lineRule="auto"/>
        <w:jc w:val="both"/>
        <w:rPr>
          <w:b/>
          <w:bCs/>
          <w:color w:val="auto"/>
          <w:lang w:val="en-US"/>
        </w:rPr>
      </w:pPr>
      <w:r>
        <w:rPr>
          <w:b/>
          <w:bCs/>
          <w:color w:val="auto"/>
          <w:lang w:val="en-US" w:eastAsia="en-US"/>
        </w:rPr>
        <w:drawing>
          <wp:inline distT="0" distB="0" distL="0" distR="0">
            <wp:extent cx="5369560" cy="4018915"/>
            <wp:effectExtent l="0" t="0" r="0" b="0"/>
            <wp:docPr id="1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369560" cy="4018915"/>
                    </a:xfrm>
                    <a:prstGeom prst="rect">
                      <a:avLst/>
                    </a:prstGeom>
                    <a:noFill/>
                    <a:ln>
                      <a:noFill/>
                    </a:ln>
                  </pic:spPr>
                </pic:pic>
              </a:graphicData>
            </a:graphic>
          </wp:inline>
        </w:drawing>
      </w:r>
    </w:p>
    <w:p>
      <w:pPr>
        <w:autoSpaceDE w:val="0"/>
        <w:autoSpaceDN w:val="0"/>
        <w:adjustRightInd w:val="0"/>
        <w:spacing w:line="240" w:lineRule="auto"/>
        <w:jc w:val="both"/>
        <w:rPr>
          <w:color w:val="auto"/>
          <w:lang w:val="en-US"/>
        </w:rPr>
      </w:pPr>
      <w:r>
        <w:rPr>
          <w:rFonts w:hint="default" w:ascii="Palatino Linotype" w:hAnsi="Palatino Linotype" w:cs="Palatino Linotype"/>
          <w:b/>
          <w:bCs/>
          <w:color w:val="auto"/>
          <w:sz w:val="18"/>
          <w:szCs w:val="18"/>
          <w:lang w:val="en-US"/>
        </w:rPr>
        <w:t>Supplementary Figure S4</w:t>
      </w:r>
      <w:r>
        <w:rPr>
          <w:rFonts w:hint="default" w:ascii="Palatino Linotype" w:hAnsi="Palatino Linotype" w:cs="Palatino Linotype"/>
          <w:color w:val="auto"/>
          <w:sz w:val="18"/>
          <w:szCs w:val="18"/>
          <w:lang w:val="en-US"/>
        </w:rPr>
        <w:t xml:space="preserve">. Neighbor-joining (NJ) phylogram obtained from the combined </w:t>
      </w:r>
      <w:r>
        <w:rPr>
          <w:rFonts w:hint="default" w:ascii="Palatino Linotype" w:hAnsi="Palatino Linotype" w:cs="Palatino Linotype"/>
          <w:i/>
          <w:iCs/>
          <w:color w:val="auto"/>
          <w:sz w:val="18"/>
          <w:szCs w:val="18"/>
          <w:lang w:val="en-US"/>
        </w:rPr>
        <w:t>rDNA-ITS, LSU</w:t>
      </w:r>
      <w:r>
        <w:rPr>
          <w:rFonts w:hint="default" w:ascii="Palatino Linotype" w:hAnsi="Palatino Linotype" w:cs="Palatino Linotype"/>
          <w:color w:val="auto"/>
          <w:sz w:val="18"/>
          <w:szCs w:val="18"/>
          <w:lang w:val="en-US"/>
        </w:rPr>
        <w:t xml:space="preserve"> sequence alignment of </w:t>
      </w:r>
      <w:r>
        <w:rPr>
          <w:rFonts w:hint="default" w:ascii="Palatino Linotype" w:hAnsi="Palatino Linotype" w:cs="Palatino Linotype"/>
          <w:i/>
          <w:iCs/>
          <w:color w:val="auto"/>
          <w:sz w:val="18"/>
          <w:szCs w:val="18"/>
          <w:lang w:val="en-US"/>
        </w:rPr>
        <w:t>Kalmusia</w:t>
      </w:r>
      <w:r>
        <w:rPr>
          <w:rFonts w:hint="default" w:ascii="Palatino Linotype" w:hAnsi="Palatino Linotype" w:cs="Palatino Linotype"/>
          <w:color w:val="auto"/>
          <w:sz w:val="18"/>
          <w:szCs w:val="18"/>
          <w:lang w:val="en-US"/>
        </w:rPr>
        <w:t xml:space="preserve"> species. The tree was rooted to </w:t>
      </w:r>
      <w:r>
        <w:rPr>
          <w:rFonts w:hint="default" w:ascii="Palatino Linotype" w:hAnsi="Palatino Linotype" w:cs="Palatino Linotype"/>
          <w:i/>
          <w:iCs/>
          <w:color w:val="auto"/>
          <w:sz w:val="18"/>
          <w:szCs w:val="18"/>
          <w:lang w:val="en-US"/>
        </w:rPr>
        <w:t>Helminthosporium leucadendri</w:t>
      </w:r>
      <w:r>
        <w:rPr>
          <w:rFonts w:hint="default" w:ascii="Palatino Linotype" w:hAnsi="Palatino Linotype" w:cs="Palatino Linotype"/>
          <w:color w:val="auto"/>
          <w:sz w:val="18"/>
          <w:szCs w:val="18"/>
          <w:lang w:val="en-US"/>
        </w:rPr>
        <w:t xml:space="preserve"> CBS 135133. Bootstrap values (1000 replicates) are indicated at the nodes. The scale bar indicated nucleotide substitution in NJ analysis, values ≥ 50% are presented above/below the branches.</w:t>
      </w:r>
      <w:r>
        <w:rPr>
          <w:color w:val="auto"/>
          <w:lang w:val="en-US"/>
        </w:rPr>
        <w:t xml:space="preserve">   </w:t>
      </w:r>
    </w:p>
    <w:p>
      <w:pPr>
        <w:autoSpaceDE w:val="0"/>
        <w:autoSpaceDN w:val="0"/>
        <w:adjustRightInd w:val="0"/>
        <w:spacing w:line="240" w:lineRule="auto"/>
        <w:jc w:val="both"/>
        <w:rPr>
          <w:color w:val="auto"/>
          <w:lang w:val="en-US"/>
        </w:rPr>
      </w:pPr>
    </w:p>
    <w:p>
      <w:pPr>
        <w:autoSpaceDE w:val="0"/>
        <w:autoSpaceDN w:val="0"/>
        <w:adjustRightInd w:val="0"/>
        <w:spacing w:line="480" w:lineRule="auto"/>
        <w:jc w:val="both"/>
        <w:rPr>
          <w:b/>
          <w:bCs/>
          <w:color w:val="auto"/>
          <w:lang w:val="en-US"/>
        </w:rPr>
      </w:pPr>
      <w:r>
        <w:rPr>
          <w:b/>
          <w:bCs/>
          <w:color w:val="auto"/>
          <w:lang w:val="en-US" w:eastAsia="en-US"/>
        </w:rPr>
        <w:drawing>
          <wp:inline distT="0" distB="0" distL="0" distR="0">
            <wp:extent cx="5347970" cy="4008755"/>
            <wp:effectExtent l="0" t="0" r="0" b="0"/>
            <wp:docPr id="1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347970" cy="4008755"/>
                    </a:xfrm>
                    <a:prstGeom prst="rect">
                      <a:avLst/>
                    </a:prstGeom>
                    <a:noFill/>
                    <a:ln>
                      <a:noFill/>
                    </a:ln>
                  </pic:spPr>
                </pic:pic>
              </a:graphicData>
            </a:graphic>
          </wp:inline>
        </w:drawing>
      </w:r>
    </w:p>
    <w:p>
      <w:pPr>
        <w:autoSpaceDE w:val="0"/>
        <w:autoSpaceDN w:val="0"/>
        <w:adjustRightInd w:val="0"/>
        <w:spacing w:line="240" w:lineRule="auto"/>
        <w:jc w:val="both"/>
        <w:rPr>
          <w:rFonts w:hint="default" w:ascii="Palatino Linotype" w:hAnsi="Palatino Linotype" w:cs="Palatino Linotype"/>
          <w:b w:val="0"/>
          <w:bCs w:val="0"/>
          <w:color w:val="auto"/>
          <w:sz w:val="18"/>
          <w:szCs w:val="18"/>
          <w:lang w:val="en-US"/>
        </w:rPr>
      </w:pPr>
      <w:r>
        <w:rPr>
          <w:rFonts w:hint="default" w:ascii="Palatino Linotype" w:hAnsi="Palatino Linotype" w:cs="Palatino Linotype"/>
          <w:b/>
          <w:bCs/>
          <w:color w:val="auto"/>
          <w:sz w:val="18"/>
          <w:szCs w:val="18"/>
          <w:lang w:val="en-US"/>
        </w:rPr>
        <w:t xml:space="preserve">Supplementary Figure S5. </w:t>
      </w:r>
      <w:r>
        <w:rPr>
          <w:rFonts w:hint="default" w:ascii="Palatino Linotype" w:hAnsi="Palatino Linotype" w:cs="Palatino Linotype"/>
          <w:b w:val="0"/>
          <w:bCs w:val="0"/>
          <w:color w:val="auto"/>
          <w:sz w:val="18"/>
          <w:szCs w:val="18"/>
          <w:lang w:val="en-US"/>
        </w:rPr>
        <w:t xml:space="preserve">Neighbor-joining (NJ) phylogram obtained from the combined rDNA-ITS, LSU, and tub2 sequence alignment of Didymosphaeria and Paraconiothiorum species. The tree was rooted to Stagonospora paludosa CBS 135088. Bootstrap values (1000 replicates) are indicated at the nodes. The scale bar indicated nucleotide substitution in NJ analysis, values ≥ 50% are presented above/below the branches.   </w:t>
      </w:r>
    </w:p>
    <w:p>
      <w:pPr>
        <w:autoSpaceDE w:val="0"/>
        <w:autoSpaceDN w:val="0"/>
        <w:adjustRightInd w:val="0"/>
        <w:spacing w:line="240" w:lineRule="auto"/>
        <w:jc w:val="both"/>
        <w:rPr>
          <w:rFonts w:hint="default" w:ascii="Palatino Linotype" w:hAnsi="Palatino Linotype" w:cs="Palatino Linotype"/>
          <w:b/>
          <w:bCs/>
          <w:color w:val="auto"/>
          <w:sz w:val="18"/>
          <w:szCs w:val="18"/>
          <w:lang w:val="en-US"/>
        </w:rPr>
      </w:pPr>
    </w:p>
    <w:p>
      <w:pPr>
        <w:autoSpaceDE w:val="0"/>
        <w:autoSpaceDN w:val="0"/>
        <w:adjustRightInd w:val="0"/>
        <w:spacing w:line="480" w:lineRule="auto"/>
        <w:jc w:val="both"/>
        <w:rPr>
          <w:color w:val="auto"/>
        </w:rPr>
      </w:pPr>
      <w:r>
        <w:rPr>
          <w:color w:val="auto"/>
          <w:lang w:val="en-US" w:eastAsia="en-US"/>
        </w:rPr>
        <w:drawing>
          <wp:inline distT="0" distB="0" distL="0" distR="0">
            <wp:extent cx="5380355" cy="2976880"/>
            <wp:effectExtent l="0" t="0" r="0" b="0"/>
            <wp:docPr id="451149237" name="Εικόνα 451149237" descr="Εικόνα που περιέχει μανταλάκι, μπαχαρικό, φαγητό, εσωτερικός χώρ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49237" name="Εικόνα 451149237" descr="Εικόνα που περιέχει μανταλάκι, μπαχαρικό, φαγητό, εσωτερικός χώρος&#10;&#10;Περιγραφή που δημιουργήθηκε αυτόματα"/>
                    <pic:cNvPicPr>
                      <a:picLocks noChangeAspect="1" noChangeArrowheads="1"/>
                    </pic:cNvPicPr>
                  </pic:nvPicPr>
                  <pic:blipFill>
                    <a:blip r:embed="rId13">
                      <a:extLst>
                        <a:ext uri="{28A0092B-C50C-407E-A947-70E740481C1C}">
                          <a14:useLocalDpi xmlns:a14="http://schemas.microsoft.com/office/drawing/2010/main" val="0"/>
                        </a:ext>
                      </a:extLst>
                    </a:blip>
                    <a:srcRect l="3845" t="4445" r="3593" b="4723"/>
                    <a:stretch>
                      <a:fillRect/>
                    </a:stretch>
                  </pic:blipFill>
                  <pic:spPr>
                    <a:xfrm>
                      <a:off x="0" y="0"/>
                      <a:ext cx="5380355" cy="2976880"/>
                    </a:xfrm>
                    <a:prstGeom prst="rect">
                      <a:avLst/>
                    </a:prstGeom>
                    <a:noFill/>
                    <a:ln>
                      <a:noFill/>
                    </a:ln>
                  </pic:spPr>
                </pic:pic>
              </a:graphicData>
            </a:graphic>
          </wp:inline>
        </w:drawing>
      </w:r>
    </w:p>
    <w:p>
      <w:pPr>
        <w:autoSpaceDE w:val="0"/>
        <w:autoSpaceDN w:val="0"/>
        <w:adjustRightInd w:val="0"/>
        <w:spacing w:line="240" w:lineRule="auto"/>
        <w:jc w:val="both"/>
        <w:rPr>
          <w:b/>
          <w:bCs/>
          <w:color w:val="auto"/>
          <w:lang w:val="en-US"/>
        </w:rPr>
      </w:pPr>
      <w:r>
        <w:rPr>
          <w:rFonts w:hint="default" w:ascii="Palatino Linotype" w:hAnsi="Palatino Linotype" w:cs="Palatino Linotype"/>
          <w:b/>
          <w:bCs/>
          <w:color w:val="auto"/>
          <w:sz w:val="18"/>
          <w:szCs w:val="18"/>
          <w:lang w:val="en-US"/>
        </w:rPr>
        <w:t xml:space="preserve">Supplementary Figure S6.  </w:t>
      </w:r>
      <w:r>
        <w:rPr>
          <w:rFonts w:hint="default" w:ascii="Palatino Linotype" w:hAnsi="Palatino Linotype" w:cs="Palatino Linotype"/>
          <w:color w:val="auto"/>
          <w:sz w:val="18"/>
          <w:szCs w:val="18"/>
          <w:lang w:val="en-US"/>
        </w:rPr>
        <w:t xml:space="preserve">Wood discoloration in 2-year-old canes of cv. Soultanina mock-inoculated with sterilized PDA (A) or artificially inoculated with </w:t>
      </w:r>
      <w:r>
        <w:rPr>
          <w:rFonts w:hint="default" w:ascii="Palatino Linotype" w:hAnsi="Palatino Linotype" w:cs="Palatino Linotype"/>
          <w:i/>
          <w:iCs/>
          <w:color w:val="auto"/>
          <w:sz w:val="18"/>
          <w:szCs w:val="18"/>
          <w:lang w:val="en-US"/>
        </w:rPr>
        <w:t>Seimatosporium vitis</w:t>
      </w:r>
      <w:r>
        <w:rPr>
          <w:rFonts w:hint="default" w:ascii="Palatino Linotype" w:hAnsi="Palatino Linotype" w:cs="Palatino Linotype"/>
          <w:color w:val="auto"/>
          <w:sz w:val="18"/>
          <w:szCs w:val="18"/>
          <w:lang w:val="en-US"/>
        </w:rPr>
        <w:t xml:space="preserve"> (B), </w:t>
      </w:r>
      <w:r>
        <w:rPr>
          <w:rFonts w:hint="default" w:ascii="Palatino Linotype" w:hAnsi="Palatino Linotype" w:cs="Palatino Linotype"/>
          <w:i/>
          <w:iCs/>
          <w:color w:val="auto"/>
          <w:sz w:val="18"/>
          <w:szCs w:val="18"/>
          <w:lang w:val="en-US"/>
        </w:rPr>
        <w:t>Didymosphaeria variabile</w:t>
      </w:r>
      <w:r>
        <w:rPr>
          <w:rFonts w:hint="default" w:ascii="Palatino Linotype" w:hAnsi="Palatino Linotype" w:cs="Palatino Linotype"/>
          <w:color w:val="auto"/>
          <w:sz w:val="18"/>
          <w:szCs w:val="18"/>
          <w:lang w:val="en-US"/>
        </w:rPr>
        <w:t xml:space="preserve"> (C), </w:t>
      </w:r>
      <w:r>
        <w:rPr>
          <w:rFonts w:hint="default" w:ascii="Palatino Linotype" w:hAnsi="Palatino Linotype" w:cs="Palatino Linotype"/>
          <w:i/>
          <w:iCs/>
          <w:color w:val="auto"/>
          <w:sz w:val="18"/>
          <w:szCs w:val="18"/>
          <w:lang w:val="en-US"/>
        </w:rPr>
        <w:t>Kalmusia variispora</w:t>
      </w:r>
      <w:r>
        <w:rPr>
          <w:rFonts w:hint="default" w:ascii="Palatino Linotype" w:hAnsi="Palatino Linotype" w:cs="Palatino Linotype"/>
          <w:color w:val="auto"/>
          <w:sz w:val="18"/>
          <w:szCs w:val="18"/>
          <w:lang w:val="en-US"/>
        </w:rPr>
        <w:t xml:space="preserve"> (D) and </w:t>
      </w:r>
      <w:r>
        <w:rPr>
          <w:rFonts w:hint="default" w:ascii="Palatino Linotype" w:hAnsi="Palatino Linotype" w:cs="Palatino Linotype"/>
          <w:i/>
          <w:iCs/>
          <w:color w:val="auto"/>
          <w:sz w:val="18"/>
          <w:szCs w:val="18"/>
          <w:lang w:val="en-US"/>
        </w:rPr>
        <w:t>Neosetophoma italica</w:t>
      </w:r>
      <w:r>
        <w:rPr>
          <w:rFonts w:hint="default" w:ascii="Palatino Linotype" w:hAnsi="Palatino Linotype" w:cs="Palatino Linotype"/>
          <w:color w:val="auto"/>
          <w:sz w:val="18"/>
          <w:szCs w:val="18"/>
          <w:lang w:val="en-US"/>
        </w:rPr>
        <w:t xml:space="preserve"> (E), six (6) months post the inoculation. </w:t>
      </w:r>
    </w:p>
    <w:sectPr>
      <w:type w:val="continuous"/>
      <w:pgSz w:w="11906" w:h="16838"/>
      <w:pgMar w:top="1440" w:right="1797" w:bottom="1440" w:left="1644" w:header="709" w:footer="709" w:gutter="0"/>
      <w:lnNumType w:countBy="1" w:restart="continuous"/>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A1"/>
    <w:family w:val="swiss"/>
    <w:pitch w:val="default"/>
    <w:sig w:usb0="E1002EFF" w:usb1="C000605B" w:usb2="00000029" w:usb3="00000000" w:csb0="200101FF" w:csb1="20280000"/>
  </w:font>
  <w:font w:name="Μοντέρνα">
    <w:altName w:val="Times New Roman"/>
    <w:panose1 w:val="00000000000000000000"/>
    <w:charset w:val="4D"/>
    <w:family w:val="roman"/>
    <w:pitch w:val="default"/>
    <w:sig w:usb0="00000000" w:usb1="00000000" w:usb2="00000000" w:usb3="000000D0" w:csb0="016C20E0" w:csb1="016A6150"/>
  </w:font>
  <w:font w:name="HelveticaNeueLT Std">
    <w:altName w:val="Times New Roman"/>
    <w:panose1 w:val="00000000000000000000"/>
    <w:charset w:val="00"/>
    <w:family w:val="roman"/>
    <w:pitch w:val="default"/>
    <w:sig w:usb0="00000000" w:usb1="00000000" w:usb2="00000000" w:usb3="00000000" w:csb0="00000001" w:csb1="0000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05462977"/>
      <w:docPartObj>
        <w:docPartGallery w:val="autotext"/>
      </w:docPartObj>
    </w:sdtPr>
    <w:sdtContent>
      <w:p>
        <w:pPr>
          <w:pStyle w:val="12"/>
          <w:jc w:val="right"/>
        </w:pPr>
        <w:r>
          <w:fldChar w:fldCharType="begin"/>
        </w:r>
        <w:r>
          <w:instrText xml:space="preserve">PAGE   \* MERGEFORMAT</w:instrText>
        </w:r>
        <w:r>
          <w:fldChar w:fldCharType="separate"/>
        </w:r>
        <w:r>
          <w:t>10</w:t>
        </w:r>
        <w:r>
          <w:fldChar w:fldCharType="end"/>
        </w:r>
      </w:p>
    </w:sdtContent>
  </w:sdt>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18"/>
      </w:rPr>
    </w:pPr>
    <w:r>
      <w:rPr>
        <w:rStyle w:val="18"/>
      </w:rPr>
      <w:fldChar w:fldCharType="begin"/>
    </w:r>
    <w:r>
      <w:rPr>
        <w:rStyle w:val="18"/>
      </w:rPr>
      <w:instrText xml:space="preserve">PAGE  </w:instrText>
    </w:r>
    <w:r>
      <w:rPr>
        <w:rStyle w:val="18"/>
      </w:rPr>
      <w:fldChar w:fldCharType="end"/>
    </w:r>
  </w:p>
  <w:p>
    <w:pPr>
      <w:pStyle w:val="1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5"/>
      <w:jc w:val="right"/>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right" w:y="1"/>
      <w:rPr>
        <w:rStyle w:val="18"/>
      </w:rPr>
    </w:pPr>
    <w:r>
      <w:rPr>
        <w:rStyle w:val="18"/>
      </w:rPr>
      <w:fldChar w:fldCharType="begin"/>
    </w:r>
    <w:r>
      <w:rPr>
        <w:rStyle w:val="18"/>
      </w:rPr>
      <w:instrText xml:space="preserve">PAGE  </w:instrText>
    </w:r>
    <w:r>
      <w:rPr>
        <w:rStyle w:val="18"/>
      </w:rPr>
      <w:fldChar w:fldCharType="separate"/>
    </w:r>
    <w:r>
      <w:rPr>
        <w:rStyle w:val="18"/>
      </w:rPr>
      <w:t>13</w:t>
    </w:r>
    <w:r>
      <w:rPr>
        <w:rStyle w:val="18"/>
      </w:rPr>
      <w:fldChar w:fldCharType="end"/>
    </w:r>
  </w:p>
  <w:p>
    <w:pPr>
      <w:pStyle w:val="13"/>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ExNDGzNDEzNjM3sTRX0lEKTi0uzszPAykwrwUA9I+YlCwAAAA="/>
  </w:docVars>
  <w:rsids>
    <w:rsidRoot w:val="00EA140C"/>
    <w:rsid w:val="00000085"/>
    <w:rsid w:val="00000151"/>
    <w:rsid w:val="00000743"/>
    <w:rsid w:val="00000C0F"/>
    <w:rsid w:val="00000CAB"/>
    <w:rsid w:val="00001456"/>
    <w:rsid w:val="00001608"/>
    <w:rsid w:val="000017FC"/>
    <w:rsid w:val="00001E70"/>
    <w:rsid w:val="00001F8D"/>
    <w:rsid w:val="00002082"/>
    <w:rsid w:val="00002147"/>
    <w:rsid w:val="00002B8A"/>
    <w:rsid w:val="00002BCE"/>
    <w:rsid w:val="00002C58"/>
    <w:rsid w:val="000030FA"/>
    <w:rsid w:val="00003408"/>
    <w:rsid w:val="00003835"/>
    <w:rsid w:val="00003A19"/>
    <w:rsid w:val="00003A4E"/>
    <w:rsid w:val="00003B7F"/>
    <w:rsid w:val="00003F14"/>
    <w:rsid w:val="00003F15"/>
    <w:rsid w:val="000042F4"/>
    <w:rsid w:val="000044C5"/>
    <w:rsid w:val="000046CA"/>
    <w:rsid w:val="00004891"/>
    <w:rsid w:val="00004A47"/>
    <w:rsid w:val="00005097"/>
    <w:rsid w:val="0000517D"/>
    <w:rsid w:val="000051F3"/>
    <w:rsid w:val="0000523C"/>
    <w:rsid w:val="000055A4"/>
    <w:rsid w:val="00005648"/>
    <w:rsid w:val="0000566B"/>
    <w:rsid w:val="0000585E"/>
    <w:rsid w:val="00005EB6"/>
    <w:rsid w:val="00005F9D"/>
    <w:rsid w:val="0000615A"/>
    <w:rsid w:val="000064B3"/>
    <w:rsid w:val="00006568"/>
    <w:rsid w:val="00006AFB"/>
    <w:rsid w:val="00006C23"/>
    <w:rsid w:val="00006C57"/>
    <w:rsid w:val="00006D12"/>
    <w:rsid w:val="00007607"/>
    <w:rsid w:val="00007726"/>
    <w:rsid w:val="0000796F"/>
    <w:rsid w:val="000079CF"/>
    <w:rsid w:val="00007BCA"/>
    <w:rsid w:val="00007ED1"/>
    <w:rsid w:val="000105A1"/>
    <w:rsid w:val="000107C7"/>
    <w:rsid w:val="000108AA"/>
    <w:rsid w:val="000108E9"/>
    <w:rsid w:val="00010B0E"/>
    <w:rsid w:val="00010D54"/>
    <w:rsid w:val="00011085"/>
    <w:rsid w:val="00011450"/>
    <w:rsid w:val="000118FD"/>
    <w:rsid w:val="0001197E"/>
    <w:rsid w:val="00011C85"/>
    <w:rsid w:val="00011CE8"/>
    <w:rsid w:val="00011FC1"/>
    <w:rsid w:val="00012C12"/>
    <w:rsid w:val="00012DFA"/>
    <w:rsid w:val="00012E8D"/>
    <w:rsid w:val="00012E9C"/>
    <w:rsid w:val="00012F0B"/>
    <w:rsid w:val="00013476"/>
    <w:rsid w:val="00013714"/>
    <w:rsid w:val="00013715"/>
    <w:rsid w:val="000137C2"/>
    <w:rsid w:val="00013D9F"/>
    <w:rsid w:val="00014043"/>
    <w:rsid w:val="00014266"/>
    <w:rsid w:val="00014408"/>
    <w:rsid w:val="00014672"/>
    <w:rsid w:val="000146D7"/>
    <w:rsid w:val="00014736"/>
    <w:rsid w:val="00014790"/>
    <w:rsid w:val="0001493D"/>
    <w:rsid w:val="00014950"/>
    <w:rsid w:val="000149EB"/>
    <w:rsid w:val="00014A15"/>
    <w:rsid w:val="00015204"/>
    <w:rsid w:val="000152FF"/>
    <w:rsid w:val="0001532B"/>
    <w:rsid w:val="00015470"/>
    <w:rsid w:val="00015580"/>
    <w:rsid w:val="00015BA7"/>
    <w:rsid w:val="00015C86"/>
    <w:rsid w:val="00015CCD"/>
    <w:rsid w:val="00016E25"/>
    <w:rsid w:val="000170D3"/>
    <w:rsid w:val="00017543"/>
    <w:rsid w:val="000175D0"/>
    <w:rsid w:val="00017767"/>
    <w:rsid w:val="00017794"/>
    <w:rsid w:val="00017BAD"/>
    <w:rsid w:val="0002051A"/>
    <w:rsid w:val="0002070B"/>
    <w:rsid w:val="00020996"/>
    <w:rsid w:val="00020C32"/>
    <w:rsid w:val="00020F6F"/>
    <w:rsid w:val="0002118C"/>
    <w:rsid w:val="000212A7"/>
    <w:rsid w:val="000214F4"/>
    <w:rsid w:val="000218F0"/>
    <w:rsid w:val="00021AA3"/>
    <w:rsid w:val="00021DC4"/>
    <w:rsid w:val="00021F2C"/>
    <w:rsid w:val="0002236F"/>
    <w:rsid w:val="00022436"/>
    <w:rsid w:val="00022B11"/>
    <w:rsid w:val="00022D04"/>
    <w:rsid w:val="00022E9E"/>
    <w:rsid w:val="00023745"/>
    <w:rsid w:val="00023921"/>
    <w:rsid w:val="00023B91"/>
    <w:rsid w:val="00023CD8"/>
    <w:rsid w:val="00023EAB"/>
    <w:rsid w:val="00024203"/>
    <w:rsid w:val="00024B1C"/>
    <w:rsid w:val="00024E03"/>
    <w:rsid w:val="00025018"/>
    <w:rsid w:val="000253F4"/>
    <w:rsid w:val="000254E2"/>
    <w:rsid w:val="000256A9"/>
    <w:rsid w:val="000257AD"/>
    <w:rsid w:val="0002589B"/>
    <w:rsid w:val="00025BC2"/>
    <w:rsid w:val="00025C53"/>
    <w:rsid w:val="00025CBC"/>
    <w:rsid w:val="00025DA2"/>
    <w:rsid w:val="000262A4"/>
    <w:rsid w:val="0002656A"/>
    <w:rsid w:val="00026D50"/>
    <w:rsid w:val="00026F8D"/>
    <w:rsid w:val="0002743B"/>
    <w:rsid w:val="00027714"/>
    <w:rsid w:val="00027737"/>
    <w:rsid w:val="00027AE2"/>
    <w:rsid w:val="00027EE9"/>
    <w:rsid w:val="00030001"/>
    <w:rsid w:val="000300E6"/>
    <w:rsid w:val="000304CF"/>
    <w:rsid w:val="0003079B"/>
    <w:rsid w:val="000307DA"/>
    <w:rsid w:val="00030DC8"/>
    <w:rsid w:val="00030E6F"/>
    <w:rsid w:val="00031024"/>
    <w:rsid w:val="000314F2"/>
    <w:rsid w:val="0003190C"/>
    <w:rsid w:val="00031DBF"/>
    <w:rsid w:val="00031F0E"/>
    <w:rsid w:val="0003215B"/>
    <w:rsid w:val="00032AA7"/>
    <w:rsid w:val="00032ABF"/>
    <w:rsid w:val="000332EB"/>
    <w:rsid w:val="0003333E"/>
    <w:rsid w:val="00033714"/>
    <w:rsid w:val="0003377A"/>
    <w:rsid w:val="00033810"/>
    <w:rsid w:val="00033C34"/>
    <w:rsid w:val="00033E90"/>
    <w:rsid w:val="00033FFC"/>
    <w:rsid w:val="00034444"/>
    <w:rsid w:val="0003465E"/>
    <w:rsid w:val="00034734"/>
    <w:rsid w:val="00034E84"/>
    <w:rsid w:val="00034FD2"/>
    <w:rsid w:val="00034FE1"/>
    <w:rsid w:val="000355F0"/>
    <w:rsid w:val="0003591E"/>
    <w:rsid w:val="00035AE6"/>
    <w:rsid w:val="00035C0A"/>
    <w:rsid w:val="00035E9B"/>
    <w:rsid w:val="0003626C"/>
    <w:rsid w:val="000367CF"/>
    <w:rsid w:val="000368DF"/>
    <w:rsid w:val="00036DFD"/>
    <w:rsid w:val="00036E11"/>
    <w:rsid w:val="000375FC"/>
    <w:rsid w:val="00037835"/>
    <w:rsid w:val="00037847"/>
    <w:rsid w:val="00037A41"/>
    <w:rsid w:val="00037D53"/>
    <w:rsid w:val="000402A4"/>
    <w:rsid w:val="0004051B"/>
    <w:rsid w:val="000406AF"/>
    <w:rsid w:val="00040B00"/>
    <w:rsid w:val="00041739"/>
    <w:rsid w:val="0004173A"/>
    <w:rsid w:val="00041B8A"/>
    <w:rsid w:val="00041BFF"/>
    <w:rsid w:val="00041C65"/>
    <w:rsid w:val="00041C73"/>
    <w:rsid w:val="00041D70"/>
    <w:rsid w:val="00041DB2"/>
    <w:rsid w:val="000421A9"/>
    <w:rsid w:val="00042AF7"/>
    <w:rsid w:val="00042C13"/>
    <w:rsid w:val="00042C46"/>
    <w:rsid w:val="00042CDE"/>
    <w:rsid w:val="000432AB"/>
    <w:rsid w:val="0004339F"/>
    <w:rsid w:val="000433EC"/>
    <w:rsid w:val="00043EF2"/>
    <w:rsid w:val="00044025"/>
    <w:rsid w:val="0004427D"/>
    <w:rsid w:val="0004442A"/>
    <w:rsid w:val="000445FC"/>
    <w:rsid w:val="000449B1"/>
    <w:rsid w:val="00044BFE"/>
    <w:rsid w:val="0004518D"/>
    <w:rsid w:val="00045515"/>
    <w:rsid w:val="000455FB"/>
    <w:rsid w:val="0004594E"/>
    <w:rsid w:val="00045D0E"/>
    <w:rsid w:val="000460D5"/>
    <w:rsid w:val="0004635C"/>
    <w:rsid w:val="00046478"/>
    <w:rsid w:val="00046654"/>
    <w:rsid w:val="00046719"/>
    <w:rsid w:val="00046BAE"/>
    <w:rsid w:val="00047583"/>
    <w:rsid w:val="00047972"/>
    <w:rsid w:val="0004798D"/>
    <w:rsid w:val="00047BB2"/>
    <w:rsid w:val="00047FA1"/>
    <w:rsid w:val="00047FDC"/>
    <w:rsid w:val="0005004A"/>
    <w:rsid w:val="000500BB"/>
    <w:rsid w:val="000505A4"/>
    <w:rsid w:val="00051370"/>
    <w:rsid w:val="00051548"/>
    <w:rsid w:val="00051593"/>
    <w:rsid w:val="0005159F"/>
    <w:rsid w:val="00051661"/>
    <w:rsid w:val="00051B9B"/>
    <w:rsid w:val="000522F3"/>
    <w:rsid w:val="00052323"/>
    <w:rsid w:val="000523E3"/>
    <w:rsid w:val="00052625"/>
    <w:rsid w:val="00052740"/>
    <w:rsid w:val="00052968"/>
    <w:rsid w:val="00052EB5"/>
    <w:rsid w:val="00052FB1"/>
    <w:rsid w:val="00053035"/>
    <w:rsid w:val="00053522"/>
    <w:rsid w:val="00053540"/>
    <w:rsid w:val="0005374B"/>
    <w:rsid w:val="0005390D"/>
    <w:rsid w:val="000539F7"/>
    <w:rsid w:val="000539FC"/>
    <w:rsid w:val="00053D86"/>
    <w:rsid w:val="000543F4"/>
    <w:rsid w:val="00054775"/>
    <w:rsid w:val="000547AC"/>
    <w:rsid w:val="00054865"/>
    <w:rsid w:val="000549D6"/>
    <w:rsid w:val="00054C39"/>
    <w:rsid w:val="00054C45"/>
    <w:rsid w:val="00054C5D"/>
    <w:rsid w:val="000550FB"/>
    <w:rsid w:val="00055191"/>
    <w:rsid w:val="00055563"/>
    <w:rsid w:val="00055E5A"/>
    <w:rsid w:val="0005673C"/>
    <w:rsid w:val="000567A2"/>
    <w:rsid w:val="0005692F"/>
    <w:rsid w:val="0005729C"/>
    <w:rsid w:val="0005783A"/>
    <w:rsid w:val="00057996"/>
    <w:rsid w:val="00057E18"/>
    <w:rsid w:val="0006022E"/>
    <w:rsid w:val="000602CD"/>
    <w:rsid w:val="00060A1F"/>
    <w:rsid w:val="00060A6D"/>
    <w:rsid w:val="00060D37"/>
    <w:rsid w:val="00060EE4"/>
    <w:rsid w:val="000611E9"/>
    <w:rsid w:val="0006130F"/>
    <w:rsid w:val="000613B7"/>
    <w:rsid w:val="0006150A"/>
    <w:rsid w:val="00061C41"/>
    <w:rsid w:val="0006274F"/>
    <w:rsid w:val="000627EB"/>
    <w:rsid w:val="00062C48"/>
    <w:rsid w:val="00062C4B"/>
    <w:rsid w:val="00062EA9"/>
    <w:rsid w:val="00062EAA"/>
    <w:rsid w:val="0006341A"/>
    <w:rsid w:val="00063614"/>
    <w:rsid w:val="0006386E"/>
    <w:rsid w:val="0006394F"/>
    <w:rsid w:val="00063B9F"/>
    <w:rsid w:val="0006431A"/>
    <w:rsid w:val="0006436B"/>
    <w:rsid w:val="000643C4"/>
    <w:rsid w:val="00064894"/>
    <w:rsid w:val="00064CB2"/>
    <w:rsid w:val="000650F9"/>
    <w:rsid w:val="0006522A"/>
    <w:rsid w:val="00065293"/>
    <w:rsid w:val="00065488"/>
    <w:rsid w:val="000654DA"/>
    <w:rsid w:val="00065574"/>
    <w:rsid w:val="0006569D"/>
    <w:rsid w:val="000657F7"/>
    <w:rsid w:val="00065852"/>
    <w:rsid w:val="00065BAD"/>
    <w:rsid w:val="00065F3B"/>
    <w:rsid w:val="00065FD6"/>
    <w:rsid w:val="000660A7"/>
    <w:rsid w:val="00066321"/>
    <w:rsid w:val="000664EB"/>
    <w:rsid w:val="000666A4"/>
    <w:rsid w:val="00066922"/>
    <w:rsid w:val="00066934"/>
    <w:rsid w:val="000669E4"/>
    <w:rsid w:val="00067BB2"/>
    <w:rsid w:val="00067C10"/>
    <w:rsid w:val="00067FEA"/>
    <w:rsid w:val="00070006"/>
    <w:rsid w:val="00070120"/>
    <w:rsid w:val="000704CB"/>
    <w:rsid w:val="00070754"/>
    <w:rsid w:val="00070AF2"/>
    <w:rsid w:val="00070B6F"/>
    <w:rsid w:val="00070F9D"/>
    <w:rsid w:val="00071276"/>
    <w:rsid w:val="000712BD"/>
    <w:rsid w:val="000713C1"/>
    <w:rsid w:val="0007142F"/>
    <w:rsid w:val="000716C4"/>
    <w:rsid w:val="000720CF"/>
    <w:rsid w:val="00072103"/>
    <w:rsid w:val="00072227"/>
    <w:rsid w:val="0007236D"/>
    <w:rsid w:val="00072401"/>
    <w:rsid w:val="000726D0"/>
    <w:rsid w:val="00073053"/>
    <w:rsid w:val="0007348E"/>
    <w:rsid w:val="00073529"/>
    <w:rsid w:val="0007363D"/>
    <w:rsid w:val="00073675"/>
    <w:rsid w:val="00073AB2"/>
    <w:rsid w:val="00073EEB"/>
    <w:rsid w:val="00074322"/>
    <w:rsid w:val="0007479B"/>
    <w:rsid w:val="000748CB"/>
    <w:rsid w:val="00074ED8"/>
    <w:rsid w:val="000757C7"/>
    <w:rsid w:val="00075C07"/>
    <w:rsid w:val="00075D68"/>
    <w:rsid w:val="00075E00"/>
    <w:rsid w:val="00076017"/>
    <w:rsid w:val="00076114"/>
    <w:rsid w:val="00076596"/>
    <w:rsid w:val="00076848"/>
    <w:rsid w:val="000768B2"/>
    <w:rsid w:val="00076969"/>
    <w:rsid w:val="000769FB"/>
    <w:rsid w:val="000770A8"/>
    <w:rsid w:val="0007731B"/>
    <w:rsid w:val="0007762C"/>
    <w:rsid w:val="00077C82"/>
    <w:rsid w:val="00077CFC"/>
    <w:rsid w:val="0008008C"/>
    <w:rsid w:val="000803CB"/>
    <w:rsid w:val="000804FF"/>
    <w:rsid w:val="00080674"/>
    <w:rsid w:val="00080713"/>
    <w:rsid w:val="0008077A"/>
    <w:rsid w:val="0008097E"/>
    <w:rsid w:val="00080CBB"/>
    <w:rsid w:val="000815E3"/>
    <w:rsid w:val="000816EB"/>
    <w:rsid w:val="00081A81"/>
    <w:rsid w:val="00081FE6"/>
    <w:rsid w:val="000822CA"/>
    <w:rsid w:val="000826C9"/>
    <w:rsid w:val="000827CD"/>
    <w:rsid w:val="00082965"/>
    <w:rsid w:val="00082A9A"/>
    <w:rsid w:val="00082E63"/>
    <w:rsid w:val="000832DA"/>
    <w:rsid w:val="00083F15"/>
    <w:rsid w:val="00083FB3"/>
    <w:rsid w:val="00084029"/>
    <w:rsid w:val="00084076"/>
    <w:rsid w:val="00084220"/>
    <w:rsid w:val="000845AE"/>
    <w:rsid w:val="00084AC1"/>
    <w:rsid w:val="00085146"/>
    <w:rsid w:val="00085BF6"/>
    <w:rsid w:val="0008635D"/>
    <w:rsid w:val="000864F1"/>
    <w:rsid w:val="000864FD"/>
    <w:rsid w:val="00086678"/>
    <w:rsid w:val="00086A9A"/>
    <w:rsid w:val="00086BA8"/>
    <w:rsid w:val="00086D19"/>
    <w:rsid w:val="00086FD4"/>
    <w:rsid w:val="0008747E"/>
    <w:rsid w:val="000874E4"/>
    <w:rsid w:val="0008794F"/>
    <w:rsid w:val="00087B7B"/>
    <w:rsid w:val="00087C04"/>
    <w:rsid w:val="000900CC"/>
    <w:rsid w:val="00090191"/>
    <w:rsid w:val="00090358"/>
    <w:rsid w:val="00090443"/>
    <w:rsid w:val="0009055D"/>
    <w:rsid w:val="0009060D"/>
    <w:rsid w:val="00090999"/>
    <w:rsid w:val="000909AF"/>
    <w:rsid w:val="00090AE0"/>
    <w:rsid w:val="00091137"/>
    <w:rsid w:val="000912D2"/>
    <w:rsid w:val="000912DB"/>
    <w:rsid w:val="000913CE"/>
    <w:rsid w:val="000914CC"/>
    <w:rsid w:val="000920AC"/>
    <w:rsid w:val="0009238B"/>
    <w:rsid w:val="00092928"/>
    <w:rsid w:val="0009316A"/>
    <w:rsid w:val="000936F6"/>
    <w:rsid w:val="00093A0F"/>
    <w:rsid w:val="00093F55"/>
    <w:rsid w:val="0009404E"/>
    <w:rsid w:val="000943BD"/>
    <w:rsid w:val="0009486A"/>
    <w:rsid w:val="000949F9"/>
    <w:rsid w:val="00094D3B"/>
    <w:rsid w:val="00094FEC"/>
    <w:rsid w:val="0009517A"/>
    <w:rsid w:val="000951B7"/>
    <w:rsid w:val="000952F4"/>
    <w:rsid w:val="00095314"/>
    <w:rsid w:val="00095667"/>
    <w:rsid w:val="00095F34"/>
    <w:rsid w:val="00095F66"/>
    <w:rsid w:val="00095FDF"/>
    <w:rsid w:val="0009607A"/>
    <w:rsid w:val="000961CF"/>
    <w:rsid w:val="00096263"/>
    <w:rsid w:val="0009626B"/>
    <w:rsid w:val="00096387"/>
    <w:rsid w:val="000964A8"/>
    <w:rsid w:val="00096B1A"/>
    <w:rsid w:val="00096D02"/>
    <w:rsid w:val="00096F16"/>
    <w:rsid w:val="000972F6"/>
    <w:rsid w:val="0009746E"/>
    <w:rsid w:val="000974EF"/>
    <w:rsid w:val="00097698"/>
    <w:rsid w:val="00097772"/>
    <w:rsid w:val="00097A83"/>
    <w:rsid w:val="00097B92"/>
    <w:rsid w:val="00097E16"/>
    <w:rsid w:val="000A010E"/>
    <w:rsid w:val="000A020A"/>
    <w:rsid w:val="000A06DC"/>
    <w:rsid w:val="000A06FF"/>
    <w:rsid w:val="000A08FC"/>
    <w:rsid w:val="000A0C42"/>
    <w:rsid w:val="000A10C5"/>
    <w:rsid w:val="000A1412"/>
    <w:rsid w:val="000A153A"/>
    <w:rsid w:val="000A1A15"/>
    <w:rsid w:val="000A1BD4"/>
    <w:rsid w:val="000A207F"/>
    <w:rsid w:val="000A224C"/>
    <w:rsid w:val="000A2461"/>
    <w:rsid w:val="000A2BC2"/>
    <w:rsid w:val="000A2CA2"/>
    <w:rsid w:val="000A3146"/>
    <w:rsid w:val="000A3253"/>
    <w:rsid w:val="000A33D6"/>
    <w:rsid w:val="000A3748"/>
    <w:rsid w:val="000A3D26"/>
    <w:rsid w:val="000A412D"/>
    <w:rsid w:val="000A44EC"/>
    <w:rsid w:val="000A4805"/>
    <w:rsid w:val="000A498D"/>
    <w:rsid w:val="000A4A93"/>
    <w:rsid w:val="000A4CC0"/>
    <w:rsid w:val="000A5466"/>
    <w:rsid w:val="000A5716"/>
    <w:rsid w:val="000A581B"/>
    <w:rsid w:val="000A5924"/>
    <w:rsid w:val="000A598C"/>
    <w:rsid w:val="000A59E9"/>
    <w:rsid w:val="000A5D4D"/>
    <w:rsid w:val="000A6185"/>
    <w:rsid w:val="000A658C"/>
    <w:rsid w:val="000A6E22"/>
    <w:rsid w:val="000A6E8E"/>
    <w:rsid w:val="000A726F"/>
    <w:rsid w:val="000A7383"/>
    <w:rsid w:val="000A73D8"/>
    <w:rsid w:val="000A74DB"/>
    <w:rsid w:val="000A781E"/>
    <w:rsid w:val="000A79EF"/>
    <w:rsid w:val="000A7DC2"/>
    <w:rsid w:val="000A7EE5"/>
    <w:rsid w:val="000B0055"/>
    <w:rsid w:val="000B00ED"/>
    <w:rsid w:val="000B08FE"/>
    <w:rsid w:val="000B0C39"/>
    <w:rsid w:val="000B0F62"/>
    <w:rsid w:val="000B0FD8"/>
    <w:rsid w:val="000B11DB"/>
    <w:rsid w:val="000B17C3"/>
    <w:rsid w:val="000B17EB"/>
    <w:rsid w:val="000B1CA8"/>
    <w:rsid w:val="000B20D2"/>
    <w:rsid w:val="000B262A"/>
    <w:rsid w:val="000B26F9"/>
    <w:rsid w:val="000B281F"/>
    <w:rsid w:val="000B29C2"/>
    <w:rsid w:val="000B29E5"/>
    <w:rsid w:val="000B2A46"/>
    <w:rsid w:val="000B2FC5"/>
    <w:rsid w:val="000B318C"/>
    <w:rsid w:val="000B35B7"/>
    <w:rsid w:val="000B3715"/>
    <w:rsid w:val="000B384B"/>
    <w:rsid w:val="000B427D"/>
    <w:rsid w:val="000B42C3"/>
    <w:rsid w:val="000B4409"/>
    <w:rsid w:val="000B44A7"/>
    <w:rsid w:val="000B44B1"/>
    <w:rsid w:val="000B495E"/>
    <w:rsid w:val="000B4CF9"/>
    <w:rsid w:val="000B562A"/>
    <w:rsid w:val="000B59CF"/>
    <w:rsid w:val="000B656A"/>
    <w:rsid w:val="000B6789"/>
    <w:rsid w:val="000B688B"/>
    <w:rsid w:val="000B6B5C"/>
    <w:rsid w:val="000B7014"/>
    <w:rsid w:val="000B72D1"/>
    <w:rsid w:val="000B7352"/>
    <w:rsid w:val="000B738C"/>
    <w:rsid w:val="000B7405"/>
    <w:rsid w:val="000B74D5"/>
    <w:rsid w:val="000B7BD5"/>
    <w:rsid w:val="000B7F29"/>
    <w:rsid w:val="000C00FF"/>
    <w:rsid w:val="000C031F"/>
    <w:rsid w:val="000C04A5"/>
    <w:rsid w:val="000C07F3"/>
    <w:rsid w:val="000C0A85"/>
    <w:rsid w:val="000C0AAC"/>
    <w:rsid w:val="000C0D3C"/>
    <w:rsid w:val="000C137D"/>
    <w:rsid w:val="000C14E7"/>
    <w:rsid w:val="000C1B55"/>
    <w:rsid w:val="000C1D49"/>
    <w:rsid w:val="000C23B0"/>
    <w:rsid w:val="000C2953"/>
    <w:rsid w:val="000C2A1B"/>
    <w:rsid w:val="000C2D7A"/>
    <w:rsid w:val="000C2F0B"/>
    <w:rsid w:val="000C3181"/>
    <w:rsid w:val="000C352D"/>
    <w:rsid w:val="000C3D3A"/>
    <w:rsid w:val="000C3D69"/>
    <w:rsid w:val="000C3EDA"/>
    <w:rsid w:val="000C4165"/>
    <w:rsid w:val="000C4183"/>
    <w:rsid w:val="000C4446"/>
    <w:rsid w:val="000C4792"/>
    <w:rsid w:val="000C4DC7"/>
    <w:rsid w:val="000C4DE2"/>
    <w:rsid w:val="000C56CD"/>
    <w:rsid w:val="000C64B9"/>
    <w:rsid w:val="000C664D"/>
    <w:rsid w:val="000C6B46"/>
    <w:rsid w:val="000C6DBB"/>
    <w:rsid w:val="000C6E49"/>
    <w:rsid w:val="000C6F43"/>
    <w:rsid w:val="000C7120"/>
    <w:rsid w:val="000C7141"/>
    <w:rsid w:val="000C7398"/>
    <w:rsid w:val="000C7639"/>
    <w:rsid w:val="000C77CE"/>
    <w:rsid w:val="000C7DE0"/>
    <w:rsid w:val="000C7E8D"/>
    <w:rsid w:val="000D018F"/>
    <w:rsid w:val="000D0542"/>
    <w:rsid w:val="000D0A11"/>
    <w:rsid w:val="000D0BC8"/>
    <w:rsid w:val="000D0E1D"/>
    <w:rsid w:val="000D0EB3"/>
    <w:rsid w:val="000D1145"/>
    <w:rsid w:val="000D14AE"/>
    <w:rsid w:val="000D1CBC"/>
    <w:rsid w:val="000D1F39"/>
    <w:rsid w:val="000D228D"/>
    <w:rsid w:val="000D2721"/>
    <w:rsid w:val="000D29EA"/>
    <w:rsid w:val="000D324C"/>
    <w:rsid w:val="000D34D1"/>
    <w:rsid w:val="000D3513"/>
    <w:rsid w:val="000D37F6"/>
    <w:rsid w:val="000D3F8A"/>
    <w:rsid w:val="000D4020"/>
    <w:rsid w:val="000D4088"/>
    <w:rsid w:val="000D427F"/>
    <w:rsid w:val="000D442D"/>
    <w:rsid w:val="000D4464"/>
    <w:rsid w:val="000D45A4"/>
    <w:rsid w:val="000D4DBD"/>
    <w:rsid w:val="000D4F94"/>
    <w:rsid w:val="000D516E"/>
    <w:rsid w:val="000D52C3"/>
    <w:rsid w:val="000D53B9"/>
    <w:rsid w:val="000D55C1"/>
    <w:rsid w:val="000D62DF"/>
    <w:rsid w:val="000D62E4"/>
    <w:rsid w:val="000D63CC"/>
    <w:rsid w:val="000D66B6"/>
    <w:rsid w:val="000D69F6"/>
    <w:rsid w:val="000D6AE7"/>
    <w:rsid w:val="000D6D69"/>
    <w:rsid w:val="000D71CC"/>
    <w:rsid w:val="000D72D2"/>
    <w:rsid w:val="000D766B"/>
    <w:rsid w:val="000D76EE"/>
    <w:rsid w:val="000D79E7"/>
    <w:rsid w:val="000D7AB6"/>
    <w:rsid w:val="000E000D"/>
    <w:rsid w:val="000E030C"/>
    <w:rsid w:val="000E0765"/>
    <w:rsid w:val="000E0874"/>
    <w:rsid w:val="000E0B78"/>
    <w:rsid w:val="000E11CA"/>
    <w:rsid w:val="000E1616"/>
    <w:rsid w:val="000E167A"/>
    <w:rsid w:val="000E19A5"/>
    <w:rsid w:val="000E1B92"/>
    <w:rsid w:val="000E1E36"/>
    <w:rsid w:val="000E1F57"/>
    <w:rsid w:val="000E20EE"/>
    <w:rsid w:val="000E21AF"/>
    <w:rsid w:val="000E21D7"/>
    <w:rsid w:val="000E22EC"/>
    <w:rsid w:val="000E2C99"/>
    <w:rsid w:val="000E2FF8"/>
    <w:rsid w:val="000E353D"/>
    <w:rsid w:val="000E35F8"/>
    <w:rsid w:val="000E38B5"/>
    <w:rsid w:val="000E39D5"/>
    <w:rsid w:val="000E3AEF"/>
    <w:rsid w:val="000E41CB"/>
    <w:rsid w:val="000E451D"/>
    <w:rsid w:val="000E47C7"/>
    <w:rsid w:val="000E49B3"/>
    <w:rsid w:val="000E4BEA"/>
    <w:rsid w:val="000E4C71"/>
    <w:rsid w:val="000E5206"/>
    <w:rsid w:val="000E54A0"/>
    <w:rsid w:val="000E5592"/>
    <w:rsid w:val="000E5B39"/>
    <w:rsid w:val="000E5C45"/>
    <w:rsid w:val="000E5CD6"/>
    <w:rsid w:val="000E6368"/>
    <w:rsid w:val="000E682C"/>
    <w:rsid w:val="000E6856"/>
    <w:rsid w:val="000E6920"/>
    <w:rsid w:val="000E6B6F"/>
    <w:rsid w:val="000E7265"/>
    <w:rsid w:val="000E72C1"/>
    <w:rsid w:val="000E72CF"/>
    <w:rsid w:val="000E795C"/>
    <w:rsid w:val="000E7EBC"/>
    <w:rsid w:val="000E7ED1"/>
    <w:rsid w:val="000F06EB"/>
    <w:rsid w:val="000F0724"/>
    <w:rsid w:val="000F08D6"/>
    <w:rsid w:val="000F0A1B"/>
    <w:rsid w:val="000F0AFD"/>
    <w:rsid w:val="000F0D5D"/>
    <w:rsid w:val="000F0FC8"/>
    <w:rsid w:val="000F1342"/>
    <w:rsid w:val="000F1CEB"/>
    <w:rsid w:val="000F1DF4"/>
    <w:rsid w:val="000F2376"/>
    <w:rsid w:val="000F2749"/>
    <w:rsid w:val="000F2B88"/>
    <w:rsid w:val="000F3044"/>
    <w:rsid w:val="000F30A8"/>
    <w:rsid w:val="000F32FF"/>
    <w:rsid w:val="000F372E"/>
    <w:rsid w:val="000F37A5"/>
    <w:rsid w:val="000F3805"/>
    <w:rsid w:val="000F3FF2"/>
    <w:rsid w:val="000F4496"/>
    <w:rsid w:val="000F49A2"/>
    <w:rsid w:val="000F4D89"/>
    <w:rsid w:val="000F4EE7"/>
    <w:rsid w:val="000F4F04"/>
    <w:rsid w:val="000F539E"/>
    <w:rsid w:val="000F55A0"/>
    <w:rsid w:val="000F565B"/>
    <w:rsid w:val="000F57F6"/>
    <w:rsid w:val="000F5997"/>
    <w:rsid w:val="000F5A31"/>
    <w:rsid w:val="000F5A60"/>
    <w:rsid w:val="000F5FFE"/>
    <w:rsid w:val="000F6157"/>
    <w:rsid w:val="000F66E5"/>
    <w:rsid w:val="000F67A1"/>
    <w:rsid w:val="000F6DC7"/>
    <w:rsid w:val="000F71DA"/>
    <w:rsid w:val="000F755F"/>
    <w:rsid w:val="000F7CC5"/>
    <w:rsid w:val="000F7FD1"/>
    <w:rsid w:val="0010034B"/>
    <w:rsid w:val="00100487"/>
    <w:rsid w:val="001004CB"/>
    <w:rsid w:val="0010081C"/>
    <w:rsid w:val="0010084C"/>
    <w:rsid w:val="001012A3"/>
    <w:rsid w:val="00101335"/>
    <w:rsid w:val="001013C2"/>
    <w:rsid w:val="001018DE"/>
    <w:rsid w:val="00102BB2"/>
    <w:rsid w:val="00102E82"/>
    <w:rsid w:val="00102FAC"/>
    <w:rsid w:val="00103037"/>
    <w:rsid w:val="001031AC"/>
    <w:rsid w:val="00103BFB"/>
    <w:rsid w:val="00103E45"/>
    <w:rsid w:val="00104378"/>
    <w:rsid w:val="00104EAA"/>
    <w:rsid w:val="00105837"/>
    <w:rsid w:val="00105C8C"/>
    <w:rsid w:val="00105F46"/>
    <w:rsid w:val="0010653B"/>
    <w:rsid w:val="001065AA"/>
    <w:rsid w:val="00106805"/>
    <w:rsid w:val="00106845"/>
    <w:rsid w:val="0010770E"/>
    <w:rsid w:val="00107AE8"/>
    <w:rsid w:val="00107BAE"/>
    <w:rsid w:val="00107EA9"/>
    <w:rsid w:val="0011035F"/>
    <w:rsid w:val="00110556"/>
    <w:rsid w:val="001105C9"/>
    <w:rsid w:val="00110656"/>
    <w:rsid w:val="001106A4"/>
    <w:rsid w:val="0011090F"/>
    <w:rsid w:val="00110AB8"/>
    <w:rsid w:val="00110D21"/>
    <w:rsid w:val="00111489"/>
    <w:rsid w:val="001114C2"/>
    <w:rsid w:val="001114E3"/>
    <w:rsid w:val="001119C5"/>
    <w:rsid w:val="00111C2A"/>
    <w:rsid w:val="00111C4A"/>
    <w:rsid w:val="00111D8B"/>
    <w:rsid w:val="0011207B"/>
    <w:rsid w:val="00112586"/>
    <w:rsid w:val="0011263F"/>
    <w:rsid w:val="0011288B"/>
    <w:rsid w:val="00112BED"/>
    <w:rsid w:val="00112BF0"/>
    <w:rsid w:val="00112D00"/>
    <w:rsid w:val="00112EF4"/>
    <w:rsid w:val="001135E8"/>
    <w:rsid w:val="0011360B"/>
    <w:rsid w:val="001136E2"/>
    <w:rsid w:val="00113919"/>
    <w:rsid w:val="00113CC4"/>
    <w:rsid w:val="00113D18"/>
    <w:rsid w:val="00114074"/>
    <w:rsid w:val="00114440"/>
    <w:rsid w:val="001148C5"/>
    <w:rsid w:val="001153CC"/>
    <w:rsid w:val="0011564E"/>
    <w:rsid w:val="001157CF"/>
    <w:rsid w:val="00115812"/>
    <w:rsid w:val="00115B3C"/>
    <w:rsid w:val="00115BBB"/>
    <w:rsid w:val="00115EFE"/>
    <w:rsid w:val="0011633F"/>
    <w:rsid w:val="00116512"/>
    <w:rsid w:val="001165A7"/>
    <w:rsid w:val="0011660F"/>
    <w:rsid w:val="001174BE"/>
    <w:rsid w:val="00117689"/>
    <w:rsid w:val="00117777"/>
    <w:rsid w:val="001178D0"/>
    <w:rsid w:val="001179F1"/>
    <w:rsid w:val="00120084"/>
    <w:rsid w:val="00120186"/>
    <w:rsid w:val="00120242"/>
    <w:rsid w:val="00120500"/>
    <w:rsid w:val="001208D0"/>
    <w:rsid w:val="001208F5"/>
    <w:rsid w:val="00120C99"/>
    <w:rsid w:val="00120CEF"/>
    <w:rsid w:val="001215F3"/>
    <w:rsid w:val="00121B39"/>
    <w:rsid w:val="00121BB3"/>
    <w:rsid w:val="00121C0D"/>
    <w:rsid w:val="00121E78"/>
    <w:rsid w:val="0012215C"/>
    <w:rsid w:val="001221B2"/>
    <w:rsid w:val="001222B4"/>
    <w:rsid w:val="001225D4"/>
    <w:rsid w:val="0012284E"/>
    <w:rsid w:val="00122CBC"/>
    <w:rsid w:val="00123154"/>
    <w:rsid w:val="0012325B"/>
    <w:rsid w:val="0012330D"/>
    <w:rsid w:val="00123701"/>
    <w:rsid w:val="00123B95"/>
    <w:rsid w:val="0012447A"/>
    <w:rsid w:val="001245C3"/>
    <w:rsid w:val="00124E00"/>
    <w:rsid w:val="001250F3"/>
    <w:rsid w:val="0012525B"/>
    <w:rsid w:val="00125585"/>
    <w:rsid w:val="00125639"/>
    <w:rsid w:val="00125CA4"/>
    <w:rsid w:val="00125E74"/>
    <w:rsid w:val="0012662B"/>
    <w:rsid w:val="0012686F"/>
    <w:rsid w:val="00126D2F"/>
    <w:rsid w:val="00127084"/>
    <w:rsid w:val="001274E0"/>
    <w:rsid w:val="00127504"/>
    <w:rsid w:val="00127706"/>
    <w:rsid w:val="0013003C"/>
    <w:rsid w:val="00130081"/>
    <w:rsid w:val="00130106"/>
    <w:rsid w:val="00130179"/>
    <w:rsid w:val="001303DD"/>
    <w:rsid w:val="00130467"/>
    <w:rsid w:val="0013084A"/>
    <w:rsid w:val="00130962"/>
    <w:rsid w:val="00130A9B"/>
    <w:rsid w:val="0013147C"/>
    <w:rsid w:val="00131559"/>
    <w:rsid w:val="00131C05"/>
    <w:rsid w:val="00131DC7"/>
    <w:rsid w:val="00132665"/>
    <w:rsid w:val="00132833"/>
    <w:rsid w:val="00132BC7"/>
    <w:rsid w:val="00132D88"/>
    <w:rsid w:val="00132EB7"/>
    <w:rsid w:val="001330C6"/>
    <w:rsid w:val="001331F2"/>
    <w:rsid w:val="0013371B"/>
    <w:rsid w:val="001337AA"/>
    <w:rsid w:val="00133BE8"/>
    <w:rsid w:val="001340BE"/>
    <w:rsid w:val="001341FF"/>
    <w:rsid w:val="0013426F"/>
    <w:rsid w:val="00134769"/>
    <w:rsid w:val="00134BEB"/>
    <w:rsid w:val="0013525F"/>
    <w:rsid w:val="00135716"/>
    <w:rsid w:val="0013579E"/>
    <w:rsid w:val="001358E4"/>
    <w:rsid w:val="00135BEA"/>
    <w:rsid w:val="00135F4A"/>
    <w:rsid w:val="0013636B"/>
    <w:rsid w:val="00136789"/>
    <w:rsid w:val="00136B7B"/>
    <w:rsid w:val="00136E66"/>
    <w:rsid w:val="00137420"/>
    <w:rsid w:val="00137717"/>
    <w:rsid w:val="001377EB"/>
    <w:rsid w:val="00137B3B"/>
    <w:rsid w:val="00137CF2"/>
    <w:rsid w:val="00140057"/>
    <w:rsid w:val="0014036A"/>
    <w:rsid w:val="001405FC"/>
    <w:rsid w:val="001408B6"/>
    <w:rsid w:val="00140985"/>
    <w:rsid w:val="00140D32"/>
    <w:rsid w:val="00140FFC"/>
    <w:rsid w:val="001411BA"/>
    <w:rsid w:val="00141BCE"/>
    <w:rsid w:val="00141BE2"/>
    <w:rsid w:val="00141EA6"/>
    <w:rsid w:val="00141EFD"/>
    <w:rsid w:val="001422ED"/>
    <w:rsid w:val="0014250C"/>
    <w:rsid w:val="001425A4"/>
    <w:rsid w:val="001426A7"/>
    <w:rsid w:val="00142804"/>
    <w:rsid w:val="001435E3"/>
    <w:rsid w:val="00143A90"/>
    <w:rsid w:val="00143C41"/>
    <w:rsid w:val="001453B3"/>
    <w:rsid w:val="0014563F"/>
    <w:rsid w:val="001457D4"/>
    <w:rsid w:val="001459E2"/>
    <w:rsid w:val="00145C88"/>
    <w:rsid w:val="001460DE"/>
    <w:rsid w:val="00146114"/>
    <w:rsid w:val="001461A4"/>
    <w:rsid w:val="001467E2"/>
    <w:rsid w:val="00146CB8"/>
    <w:rsid w:val="00146D17"/>
    <w:rsid w:val="00147100"/>
    <w:rsid w:val="0014733B"/>
    <w:rsid w:val="00147518"/>
    <w:rsid w:val="001476E4"/>
    <w:rsid w:val="00150078"/>
    <w:rsid w:val="001500DE"/>
    <w:rsid w:val="001503E6"/>
    <w:rsid w:val="00150AA8"/>
    <w:rsid w:val="00150ABB"/>
    <w:rsid w:val="001510A4"/>
    <w:rsid w:val="001513B5"/>
    <w:rsid w:val="00151849"/>
    <w:rsid w:val="00151897"/>
    <w:rsid w:val="00151C4B"/>
    <w:rsid w:val="0015212E"/>
    <w:rsid w:val="001521E6"/>
    <w:rsid w:val="0015223E"/>
    <w:rsid w:val="00152605"/>
    <w:rsid w:val="00152617"/>
    <w:rsid w:val="001526A5"/>
    <w:rsid w:val="00152C9C"/>
    <w:rsid w:val="00153888"/>
    <w:rsid w:val="0015388A"/>
    <w:rsid w:val="00153D99"/>
    <w:rsid w:val="001541BC"/>
    <w:rsid w:val="001542E4"/>
    <w:rsid w:val="00154391"/>
    <w:rsid w:val="00154713"/>
    <w:rsid w:val="001549F8"/>
    <w:rsid w:val="00154ADF"/>
    <w:rsid w:val="00154E5D"/>
    <w:rsid w:val="00154F3F"/>
    <w:rsid w:val="00154FFA"/>
    <w:rsid w:val="0015545E"/>
    <w:rsid w:val="001557CC"/>
    <w:rsid w:val="00156288"/>
    <w:rsid w:val="00157092"/>
    <w:rsid w:val="001573FE"/>
    <w:rsid w:val="001575C4"/>
    <w:rsid w:val="001579A1"/>
    <w:rsid w:val="00157C15"/>
    <w:rsid w:val="00157DB7"/>
    <w:rsid w:val="00157ECC"/>
    <w:rsid w:val="00160924"/>
    <w:rsid w:val="001614DC"/>
    <w:rsid w:val="00161946"/>
    <w:rsid w:val="00161D99"/>
    <w:rsid w:val="001621DD"/>
    <w:rsid w:val="00162443"/>
    <w:rsid w:val="001626DA"/>
    <w:rsid w:val="00162B42"/>
    <w:rsid w:val="00162BAE"/>
    <w:rsid w:val="00162D0E"/>
    <w:rsid w:val="00163044"/>
    <w:rsid w:val="001631D2"/>
    <w:rsid w:val="001633BF"/>
    <w:rsid w:val="00163787"/>
    <w:rsid w:val="00163D2C"/>
    <w:rsid w:val="00163D3A"/>
    <w:rsid w:val="00163D65"/>
    <w:rsid w:val="00163FA7"/>
    <w:rsid w:val="001640EA"/>
    <w:rsid w:val="00164332"/>
    <w:rsid w:val="0016453D"/>
    <w:rsid w:val="0016484A"/>
    <w:rsid w:val="00164CF6"/>
    <w:rsid w:val="001650D8"/>
    <w:rsid w:val="00165162"/>
    <w:rsid w:val="001651E7"/>
    <w:rsid w:val="00165344"/>
    <w:rsid w:val="001655A1"/>
    <w:rsid w:val="00165993"/>
    <w:rsid w:val="00165E83"/>
    <w:rsid w:val="0016615F"/>
    <w:rsid w:val="0016632B"/>
    <w:rsid w:val="0016669B"/>
    <w:rsid w:val="00166B96"/>
    <w:rsid w:val="00166DE7"/>
    <w:rsid w:val="00167257"/>
    <w:rsid w:val="001672BB"/>
    <w:rsid w:val="00167F13"/>
    <w:rsid w:val="001703AB"/>
    <w:rsid w:val="001703E6"/>
    <w:rsid w:val="00170452"/>
    <w:rsid w:val="001706E2"/>
    <w:rsid w:val="00170739"/>
    <w:rsid w:val="00170870"/>
    <w:rsid w:val="00170AB6"/>
    <w:rsid w:val="00170F87"/>
    <w:rsid w:val="0017124B"/>
    <w:rsid w:val="001712F1"/>
    <w:rsid w:val="001713D1"/>
    <w:rsid w:val="001715EE"/>
    <w:rsid w:val="001715F6"/>
    <w:rsid w:val="00171D59"/>
    <w:rsid w:val="001720A2"/>
    <w:rsid w:val="00172569"/>
    <w:rsid w:val="00172813"/>
    <w:rsid w:val="0017282C"/>
    <w:rsid w:val="00172C0D"/>
    <w:rsid w:val="0017312D"/>
    <w:rsid w:val="0017333D"/>
    <w:rsid w:val="0017357E"/>
    <w:rsid w:val="00173A74"/>
    <w:rsid w:val="0017467E"/>
    <w:rsid w:val="0017488D"/>
    <w:rsid w:val="00174DB0"/>
    <w:rsid w:val="001750AF"/>
    <w:rsid w:val="00175C4E"/>
    <w:rsid w:val="00176041"/>
    <w:rsid w:val="00176047"/>
    <w:rsid w:val="001762BE"/>
    <w:rsid w:val="00176622"/>
    <w:rsid w:val="0017674A"/>
    <w:rsid w:val="00176C0E"/>
    <w:rsid w:val="00176D79"/>
    <w:rsid w:val="001772AE"/>
    <w:rsid w:val="0017745F"/>
    <w:rsid w:val="00177514"/>
    <w:rsid w:val="00177DF0"/>
    <w:rsid w:val="00180159"/>
    <w:rsid w:val="001801FA"/>
    <w:rsid w:val="0018036F"/>
    <w:rsid w:val="00180453"/>
    <w:rsid w:val="00180888"/>
    <w:rsid w:val="001809A0"/>
    <w:rsid w:val="00180C0C"/>
    <w:rsid w:val="001814D6"/>
    <w:rsid w:val="001815D5"/>
    <w:rsid w:val="001816D2"/>
    <w:rsid w:val="001816DB"/>
    <w:rsid w:val="0018214C"/>
    <w:rsid w:val="0018251D"/>
    <w:rsid w:val="00182B31"/>
    <w:rsid w:val="001831D9"/>
    <w:rsid w:val="001834DC"/>
    <w:rsid w:val="001835DB"/>
    <w:rsid w:val="0018360F"/>
    <w:rsid w:val="001836DB"/>
    <w:rsid w:val="001836E9"/>
    <w:rsid w:val="00183D5A"/>
    <w:rsid w:val="00184463"/>
    <w:rsid w:val="001844CC"/>
    <w:rsid w:val="001846D1"/>
    <w:rsid w:val="00184D19"/>
    <w:rsid w:val="00184F46"/>
    <w:rsid w:val="00185599"/>
    <w:rsid w:val="00185646"/>
    <w:rsid w:val="00185B10"/>
    <w:rsid w:val="00185CE5"/>
    <w:rsid w:val="00185D83"/>
    <w:rsid w:val="00185FA5"/>
    <w:rsid w:val="00186024"/>
    <w:rsid w:val="001864E0"/>
    <w:rsid w:val="001868C2"/>
    <w:rsid w:val="00186AC7"/>
    <w:rsid w:val="00186CA4"/>
    <w:rsid w:val="00186E5D"/>
    <w:rsid w:val="00187166"/>
    <w:rsid w:val="00187990"/>
    <w:rsid w:val="00187DF4"/>
    <w:rsid w:val="001904D0"/>
    <w:rsid w:val="00190589"/>
    <w:rsid w:val="001908F0"/>
    <w:rsid w:val="00190AD7"/>
    <w:rsid w:val="00190DEC"/>
    <w:rsid w:val="0019122D"/>
    <w:rsid w:val="00191526"/>
    <w:rsid w:val="001919C4"/>
    <w:rsid w:val="00191B7D"/>
    <w:rsid w:val="00191BF6"/>
    <w:rsid w:val="00192711"/>
    <w:rsid w:val="001927C7"/>
    <w:rsid w:val="00192A5F"/>
    <w:rsid w:val="00192B03"/>
    <w:rsid w:val="00192B4F"/>
    <w:rsid w:val="00192CAA"/>
    <w:rsid w:val="00192D4F"/>
    <w:rsid w:val="00192D64"/>
    <w:rsid w:val="00192ED9"/>
    <w:rsid w:val="001930DB"/>
    <w:rsid w:val="00193174"/>
    <w:rsid w:val="00193183"/>
    <w:rsid w:val="00193700"/>
    <w:rsid w:val="001938E5"/>
    <w:rsid w:val="00193FF7"/>
    <w:rsid w:val="00194035"/>
    <w:rsid w:val="00194063"/>
    <w:rsid w:val="001940AD"/>
    <w:rsid w:val="001941A4"/>
    <w:rsid w:val="00194269"/>
    <w:rsid w:val="001943A3"/>
    <w:rsid w:val="0019463D"/>
    <w:rsid w:val="001946F8"/>
    <w:rsid w:val="0019496D"/>
    <w:rsid w:val="00194AEC"/>
    <w:rsid w:val="00194FD7"/>
    <w:rsid w:val="00195390"/>
    <w:rsid w:val="001954DB"/>
    <w:rsid w:val="001960DE"/>
    <w:rsid w:val="00196869"/>
    <w:rsid w:val="00196965"/>
    <w:rsid w:val="00196AD4"/>
    <w:rsid w:val="00196FB2"/>
    <w:rsid w:val="00197313"/>
    <w:rsid w:val="0019785B"/>
    <w:rsid w:val="00197993"/>
    <w:rsid w:val="00197ABD"/>
    <w:rsid w:val="001A00A9"/>
    <w:rsid w:val="001A0150"/>
    <w:rsid w:val="001A0951"/>
    <w:rsid w:val="001A097E"/>
    <w:rsid w:val="001A159D"/>
    <w:rsid w:val="001A188C"/>
    <w:rsid w:val="001A197C"/>
    <w:rsid w:val="001A1C77"/>
    <w:rsid w:val="001A1E26"/>
    <w:rsid w:val="001A1F1D"/>
    <w:rsid w:val="001A22A9"/>
    <w:rsid w:val="001A275A"/>
    <w:rsid w:val="001A2822"/>
    <w:rsid w:val="001A2B00"/>
    <w:rsid w:val="001A2DA7"/>
    <w:rsid w:val="001A2FAC"/>
    <w:rsid w:val="001A3208"/>
    <w:rsid w:val="001A32EF"/>
    <w:rsid w:val="001A3CED"/>
    <w:rsid w:val="001A3D22"/>
    <w:rsid w:val="001A3FFA"/>
    <w:rsid w:val="001A402B"/>
    <w:rsid w:val="001A40F7"/>
    <w:rsid w:val="001A4252"/>
    <w:rsid w:val="001A468D"/>
    <w:rsid w:val="001A49D7"/>
    <w:rsid w:val="001A4C04"/>
    <w:rsid w:val="001A4E97"/>
    <w:rsid w:val="001A4F5A"/>
    <w:rsid w:val="001A5094"/>
    <w:rsid w:val="001A5219"/>
    <w:rsid w:val="001A53BF"/>
    <w:rsid w:val="001A54E7"/>
    <w:rsid w:val="001A55E5"/>
    <w:rsid w:val="001A5616"/>
    <w:rsid w:val="001A5A86"/>
    <w:rsid w:val="001A5E55"/>
    <w:rsid w:val="001A691B"/>
    <w:rsid w:val="001A6933"/>
    <w:rsid w:val="001A6B6D"/>
    <w:rsid w:val="001A6D13"/>
    <w:rsid w:val="001A6FE1"/>
    <w:rsid w:val="001A70F9"/>
    <w:rsid w:val="001A7121"/>
    <w:rsid w:val="001A71C4"/>
    <w:rsid w:val="001A7510"/>
    <w:rsid w:val="001A7B58"/>
    <w:rsid w:val="001A7CBE"/>
    <w:rsid w:val="001A7E29"/>
    <w:rsid w:val="001B02CF"/>
    <w:rsid w:val="001B0344"/>
    <w:rsid w:val="001B047B"/>
    <w:rsid w:val="001B05A0"/>
    <w:rsid w:val="001B05BF"/>
    <w:rsid w:val="001B0B19"/>
    <w:rsid w:val="001B1539"/>
    <w:rsid w:val="001B1862"/>
    <w:rsid w:val="001B1CED"/>
    <w:rsid w:val="001B1EEA"/>
    <w:rsid w:val="001B1FC9"/>
    <w:rsid w:val="001B21EB"/>
    <w:rsid w:val="001B23EA"/>
    <w:rsid w:val="001B2A3B"/>
    <w:rsid w:val="001B2CD6"/>
    <w:rsid w:val="001B3734"/>
    <w:rsid w:val="001B3CDF"/>
    <w:rsid w:val="001B3E2A"/>
    <w:rsid w:val="001B3E6F"/>
    <w:rsid w:val="001B44ED"/>
    <w:rsid w:val="001B46BA"/>
    <w:rsid w:val="001B4756"/>
    <w:rsid w:val="001B4A01"/>
    <w:rsid w:val="001B4B21"/>
    <w:rsid w:val="001B4B88"/>
    <w:rsid w:val="001B4BAB"/>
    <w:rsid w:val="001B4C41"/>
    <w:rsid w:val="001B5071"/>
    <w:rsid w:val="001B50F0"/>
    <w:rsid w:val="001B52A1"/>
    <w:rsid w:val="001B569D"/>
    <w:rsid w:val="001B56F7"/>
    <w:rsid w:val="001B575D"/>
    <w:rsid w:val="001B58BE"/>
    <w:rsid w:val="001B59B1"/>
    <w:rsid w:val="001B5A32"/>
    <w:rsid w:val="001B5AAC"/>
    <w:rsid w:val="001B5E15"/>
    <w:rsid w:val="001B5F4C"/>
    <w:rsid w:val="001B60C1"/>
    <w:rsid w:val="001B621C"/>
    <w:rsid w:val="001B63A8"/>
    <w:rsid w:val="001B64AA"/>
    <w:rsid w:val="001B652D"/>
    <w:rsid w:val="001B65AA"/>
    <w:rsid w:val="001B6BB3"/>
    <w:rsid w:val="001B7045"/>
    <w:rsid w:val="001B72BB"/>
    <w:rsid w:val="001B73C9"/>
    <w:rsid w:val="001B795D"/>
    <w:rsid w:val="001B7980"/>
    <w:rsid w:val="001B7A7D"/>
    <w:rsid w:val="001C0288"/>
    <w:rsid w:val="001C04BE"/>
    <w:rsid w:val="001C0522"/>
    <w:rsid w:val="001C0589"/>
    <w:rsid w:val="001C0621"/>
    <w:rsid w:val="001C066A"/>
    <w:rsid w:val="001C06A1"/>
    <w:rsid w:val="001C09E7"/>
    <w:rsid w:val="001C0DDC"/>
    <w:rsid w:val="001C0FAA"/>
    <w:rsid w:val="001C116E"/>
    <w:rsid w:val="001C117D"/>
    <w:rsid w:val="001C11A3"/>
    <w:rsid w:val="001C1285"/>
    <w:rsid w:val="001C132A"/>
    <w:rsid w:val="001C1349"/>
    <w:rsid w:val="001C1F7F"/>
    <w:rsid w:val="001C2043"/>
    <w:rsid w:val="001C20DE"/>
    <w:rsid w:val="001C2168"/>
    <w:rsid w:val="001C22BD"/>
    <w:rsid w:val="001C2405"/>
    <w:rsid w:val="001C24AA"/>
    <w:rsid w:val="001C2616"/>
    <w:rsid w:val="001C2E80"/>
    <w:rsid w:val="001C30F4"/>
    <w:rsid w:val="001C3819"/>
    <w:rsid w:val="001C3C5D"/>
    <w:rsid w:val="001C3C74"/>
    <w:rsid w:val="001C3DD0"/>
    <w:rsid w:val="001C41CD"/>
    <w:rsid w:val="001C4B88"/>
    <w:rsid w:val="001C4D09"/>
    <w:rsid w:val="001C51B7"/>
    <w:rsid w:val="001C5295"/>
    <w:rsid w:val="001C549B"/>
    <w:rsid w:val="001C56B3"/>
    <w:rsid w:val="001C573C"/>
    <w:rsid w:val="001C59D7"/>
    <w:rsid w:val="001C5CD7"/>
    <w:rsid w:val="001C5E78"/>
    <w:rsid w:val="001C624D"/>
    <w:rsid w:val="001C67CF"/>
    <w:rsid w:val="001C73E3"/>
    <w:rsid w:val="001C7667"/>
    <w:rsid w:val="001C7E30"/>
    <w:rsid w:val="001C7F14"/>
    <w:rsid w:val="001D010E"/>
    <w:rsid w:val="001D011A"/>
    <w:rsid w:val="001D0448"/>
    <w:rsid w:val="001D04D1"/>
    <w:rsid w:val="001D05B7"/>
    <w:rsid w:val="001D08AD"/>
    <w:rsid w:val="001D0A88"/>
    <w:rsid w:val="001D0B00"/>
    <w:rsid w:val="001D0C84"/>
    <w:rsid w:val="001D0E75"/>
    <w:rsid w:val="001D1BAF"/>
    <w:rsid w:val="001D1D61"/>
    <w:rsid w:val="001D1DF6"/>
    <w:rsid w:val="001D1EC0"/>
    <w:rsid w:val="001D1FD8"/>
    <w:rsid w:val="001D2043"/>
    <w:rsid w:val="001D20A9"/>
    <w:rsid w:val="001D21FB"/>
    <w:rsid w:val="001D2293"/>
    <w:rsid w:val="001D26CE"/>
    <w:rsid w:val="001D2931"/>
    <w:rsid w:val="001D29AE"/>
    <w:rsid w:val="001D2BA8"/>
    <w:rsid w:val="001D2F75"/>
    <w:rsid w:val="001D3135"/>
    <w:rsid w:val="001D353F"/>
    <w:rsid w:val="001D36FF"/>
    <w:rsid w:val="001D3C37"/>
    <w:rsid w:val="001D3C43"/>
    <w:rsid w:val="001D3CF1"/>
    <w:rsid w:val="001D3FF1"/>
    <w:rsid w:val="001D4453"/>
    <w:rsid w:val="001D446E"/>
    <w:rsid w:val="001D44CF"/>
    <w:rsid w:val="001D45E4"/>
    <w:rsid w:val="001D4684"/>
    <w:rsid w:val="001D4A63"/>
    <w:rsid w:val="001D55BD"/>
    <w:rsid w:val="001D5A28"/>
    <w:rsid w:val="001D6470"/>
    <w:rsid w:val="001D6594"/>
    <w:rsid w:val="001D671A"/>
    <w:rsid w:val="001D70E9"/>
    <w:rsid w:val="001D71A5"/>
    <w:rsid w:val="001D7A41"/>
    <w:rsid w:val="001D7DAE"/>
    <w:rsid w:val="001E0079"/>
    <w:rsid w:val="001E0147"/>
    <w:rsid w:val="001E01B2"/>
    <w:rsid w:val="001E02A4"/>
    <w:rsid w:val="001E02CB"/>
    <w:rsid w:val="001E03EE"/>
    <w:rsid w:val="001E0436"/>
    <w:rsid w:val="001E0740"/>
    <w:rsid w:val="001E0AB6"/>
    <w:rsid w:val="001E0CCF"/>
    <w:rsid w:val="001E0CF9"/>
    <w:rsid w:val="001E150D"/>
    <w:rsid w:val="001E18A1"/>
    <w:rsid w:val="001E1A36"/>
    <w:rsid w:val="001E1D43"/>
    <w:rsid w:val="001E1DE9"/>
    <w:rsid w:val="001E1FF6"/>
    <w:rsid w:val="001E21E0"/>
    <w:rsid w:val="001E2292"/>
    <w:rsid w:val="001E22EC"/>
    <w:rsid w:val="001E245C"/>
    <w:rsid w:val="001E2516"/>
    <w:rsid w:val="001E2B0D"/>
    <w:rsid w:val="001E2D85"/>
    <w:rsid w:val="001E32AD"/>
    <w:rsid w:val="001E36C5"/>
    <w:rsid w:val="001E398D"/>
    <w:rsid w:val="001E3CC9"/>
    <w:rsid w:val="001E3EAF"/>
    <w:rsid w:val="001E40B2"/>
    <w:rsid w:val="001E42A0"/>
    <w:rsid w:val="001E4B99"/>
    <w:rsid w:val="001E4E0D"/>
    <w:rsid w:val="001E5799"/>
    <w:rsid w:val="001E58CF"/>
    <w:rsid w:val="001E598E"/>
    <w:rsid w:val="001E5A48"/>
    <w:rsid w:val="001E5AB1"/>
    <w:rsid w:val="001E5C8D"/>
    <w:rsid w:val="001E685D"/>
    <w:rsid w:val="001E695B"/>
    <w:rsid w:val="001E6961"/>
    <w:rsid w:val="001E6DB6"/>
    <w:rsid w:val="001E6FE8"/>
    <w:rsid w:val="001E7064"/>
    <w:rsid w:val="001E79C8"/>
    <w:rsid w:val="001E7A56"/>
    <w:rsid w:val="001E7AB2"/>
    <w:rsid w:val="001E7D1A"/>
    <w:rsid w:val="001E7DAC"/>
    <w:rsid w:val="001E7E48"/>
    <w:rsid w:val="001E7F0F"/>
    <w:rsid w:val="001F02A1"/>
    <w:rsid w:val="001F02BC"/>
    <w:rsid w:val="001F02CC"/>
    <w:rsid w:val="001F0311"/>
    <w:rsid w:val="001F0455"/>
    <w:rsid w:val="001F04A1"/>
    <w:rsid w:val="001F04DA"/>
    <w:rsid w:val="001F08C5"/>
    <w:rsid w:val="001F0EAB"/>
    <w:rsid w:val="001F0FFC"/>
    <w:rsid w:val="001F1116"/>
    <w:rsid w:val="001F1387"/>
    <w:rsid w:val="001F1673"/>
    <w:rsid w:val="001F19AB"/>
    <w:rsid w:val="001F1A9C"/>
    <w:rsid w:val="001F1A9E"/>
    <w:rsid w:val="001F1C74"/>
    <w:rsid w:val="001F1D87"/>
    <w:rsid w:val="001F1F29"/>
    <w:rsid w:val="001F22C6"/>
    <w:rsid w:val="001F2836"/>
    <w:rsid w:val="001F30ED"/>
    <w:rsid w:val="001F37EA"/>
    <w:rsid w:val="001F3915"/>
    <w:rsid w:val="001F39CE"/>
    <w:rsid w:val="001F3B3C"/>
    <w:rsid w:val="001F3D39"/>
    <w:rsid w:val="001F3D80"/>
    <w:rsid w:val="001F4242"/>
    <w:rsid w:val="001F42FF"/>
    <w:rsid w:val="001F45BA"/>
    <w:rsid w:val="001F4D67"/>
    <w:rsid w:val="001F51D4"/>
    <w:rsid w:val="001F51E3"/>
    <w:rsid w:val="001F5294"/>
    <w:rsid w:val="001F5557"/>
    <w:rsid w:val="001F55F6"/>
    <w:rsid w:val="001F57A9"/>
    <w:rsid w:val="001F5F0B"/>
    <w:rsid w:val="001F636A"/>
    <w:rsid w:val="001F647C"/>
    <w:rsid w:val="001F667C"/>
    <w:rsid w:val="001F68A8"/>
    <w:rsid w:val="001F6ED4"/>
    <w:rsid w:val="001F6F51"/>
    <w:rsid w:val="001F6F5E"/>
    <w:rsid w:val="001F70BC"/>
    <w:rsid w:val="001F76E3"/>
    <w:rsid w:val="001F7DF5"/>
    <w:rsid w:val="00200335"/>
    <w:rsid w:val="00200366"/>
    <w:rsid w:val="0020074E"/>
    <w:rsid w:val="0020098F"/>
    <w:rsid w:val="00200B14"/>
    <w:rsid w:val="00200F84"/>
    <w:rsid w:val="00201A30"/>
    <w:rsid w:val="00201D4F"/>
    <w:rsid w:val="002027AB"/>
    <w:rsid w:val="00202B0D"/>
    <w:rsid w:val="00202CFB"/>
    <w:rsid w:val="00202D39"/>
    <w:rsid w:val="00202E10"/>
    <w:rsid w:val="00202E9A"/>
    <w:rsid w:val="0020308B"/>
    <w:rsid w:val="002030B1"/>
    <w:rsid w:val="002035F8"/>
    <w:rsid w:val="00203805"/>
    <w:rsid w:val="0020393D"/>
    <w:rsid w:val="00203C9A"/>
    <w:rsid w:val="002042F7"/>
    <w:rsid w:val="002048EF"/>
    <w:rsid w:val="002049D6"/>
    <w:rsid w:val="00204F32"/>
    <w:rsid w:val="0020501D"/>
    <w:rsid w:val="002054AC"/>
    <w:rsid w:val="00205C8C"/>
    <w:rsid w:val="00205E55"/>
    <w:rsid w:val="0020614C"/>
    <w:rsid w:val="00206452"/>
    <w:rsid w:val="002065D5"/>
    <w:rsid w:val="00206907"/>
    <w:rsid w:val="00206ABA"/>
    <w:rsid w:val="00206CD7"/>
    <w:rsid w:val="00206FC7"/>
    <w:rsid w:val="00207318"/>
    <w:rsid w:val="00207715"/>
    <w:rsid w:val="002077D4"/>
    <w:rsid w:val="00207928"/>
    <w:rsid w:val="00207EB3"/>
    <w:rsid w:val="00210087"/>
    <w:rsid w:val="0021054F"/>
    <w:rsid w:val="00210888"/>
    <w:rsid w:val="00210DA4"/>
    <w:rsid w:val="00210DC9"/>
    <w:rsid w:val="002111EB"/>
    <w:rsid w:val="0021121B"/>
    <w:rsid w:val="00211248"/>
    <w:rsid w:val="002114E2"/>
    <w:rsid w:val="002115AC"/>
    <w:rsid w:val="0021170C"/>
    <w:rsid w:val="002125F0"/>
    <w:rsid w:val="00212C51"/>
    <w:rsid w:val="00212CF7"/>
    <w:rsid w:val="00212DB9"/>
    <w:rsid w:val="00212FF0"/>
    <w:rsid w:val="002133E4"/>
    <w:rsid w:val="00213573"/>
    <w:rsid w:val="00213581"/>
    <w:rsid w:val="002138E0"/>
    <w:rsid w:val="00213B33"/>
    <w:rsid w:val="00213B42"/>
    <w:rsid w:val="00213C0C"/>
    <w:rsid w:val="00213F30"/>
    <w:rsid w:val="002141B0"/>
    <w:rsid w:val="00214265"/>
    <w:rsid w:val="002147CC"/>
    <w:rsid w:val="00214A42"/>
    <w:rsid w:val="00215163"/>
    <w:rsid w:val="00215565"/>
    <w:rsid w:val="002155B2"/>
    <w:rsid w:val="00215764"/>
    <w:rsid w:val="002157CC"/>
    <w:rsid w:val="00215BF4"/>
    <w:rsid w:val="00215E66"/>
    <w:rsid w:val="00216074"/>
    <w:rsid w:val="0021690D"/>
    <w:rsid w:val="002169CB"/>
    <w:rsid w:val="00216B3D"/>
    <w:rsid w:val="00216D2F"/>
    <w:rsid w:val="00216E08"/>
    <w:rsid w:val="00216E0A"/>
    <w:rsid w:val="00216E35"/>
    <w:rsid w:val="00217569"/>
    <w:rsid w:val="0021782A"/>
    <w:rsid w:val="00217DD4"/>
    <w:rsid w:val="00220215"/>
    <w:rsid w:val="00220772"/>
    <w:rsid w:val="00220A44"/>
    <w:rsid w:val="00220B60"/>
    <w:rsid w:val="0022146B"/>
    <w:rsid w:val="002214E7"/>
    <w:rsid w:val="00221B14"/>
    <w:rsid w:val="00221C38"/>
    <w:rsid w:val="00221E24"/>
    <w:rsid w:val="00221EBA"/>
    <w:rsid w:val="002222D6"/>
    <w:rsid w:val="002223AE"/>
    <w:rsid w:val="0022252C"/>
    <w:rsid w:val="002225FD"/>
    <w:rsid w:val="00222619"/>
    <w:rsid w:val="002227A2"/>
    <w:rsid w:val="0022295F"/>
    <w:rsid w:val="002229BC"/>
    <w:rsid w:val="00222D01"/>
    <w:rsid w:val="00222D52"/>
    <w:rsid w:val="002230EC"/>
    <w:rsid w:val="0022343E"/>
    <w:rsid w:val="002238CF"/>
    <w:rsid w:val="00223CC1"/>
    <w:rsid w:val="00223D74"/>
    <w:rsid w:val="00223DB8"/>
    <w:rsid w:val="00223E34"/>
    <w:rsid w:val="00224235"/>
    <w:rsid w:val="0022439C"/>
    <w:rsid w:val="0022452F"/>
    <w:rsid w:val="0022463B"/>
    <w:rsid w:val="002249FC"/>
    <w:rsid w:val="00224AED"/>
    <w:rsid w:val="00224B17"/>
    <w:rsid w:val="00224CE5"/>
    <w:rsid w:val="00224ECB"/>
    <w:rsid w:val="002255E5"/>
    <w:rsid w:val="00225608"/>
    <w:rsid w:val="0022579B"/>
    <w:rsid w:val="00225B16"/>
    <w:rsid w:val="00225BE5"/>
    <w:rsid w:val="00225CCC"/>
    <w:rsid w:val="00225F5B"/>
    <w:rsid w:val="00226401"/>
    <w:rsid w:val="002268AD"/>
    <w:rsid w:val="00226AA9"/>
    <w:rsid w:val="00226D85"/>
    <w:rsid w:val="00226DDE"/>
    <w:rsid w:val="00227078"/>
    <w:rsid w:val="002270E2"/>
    <w:rsid w:val="002271C3"/>
    <w:rsid w:val="002272E2"/>
    <w:rsid w:val="0022798C"/>
    <w:rsid w:val="00227C12"/>
    <w:rsid w:val="00227C1C"/>
    <w:rsid w:val="00230160"/>
    <w:rsid w:val="002305F3"/>
    <w:rsid w:val="0023067F"/>
    <w:rsid w:val="00230BDD"/>
    <w:rsid w:val="00230FE1"/>
    <w:rsid w:val="00231091"/>
    <w:rsid w:val="00231375"/>
    <w:rsid w:val="00231409"/>
    <w:rsid w:val="0023188A"/>
    <w:rsid w:val="0023195A"/>
    <w:rsid w:val="002319CC"/>
    <w:rsid w:val="00231B23"/>
    <w:rsid w:val="00232221"/>
    <w:rsid w:val="002322A9"/>
    <w:rsid w:val="00232447"/>
    <w:rsid w:val="00232845"/>
    <w:rsid w:val="002333E1"/>
    <w:rsid w:val="00233797"/>
    <w:rsid w:val="00233950"/>
    <w:rsid w:val="00233BA2"/>
    <w:rsid w:val="00233BAF"/>
    <w:rsid w:val="00234170"/>
    <w:rsid w:val="002344C7"/>
    <w:rsid w:val="00234A69"/>
    <w:rsid w:val="00234DB6"/>
    <w:rsid w:val="00235098"/>
    <w:rsid w:val="00235203"/>
    <w:rsid w:val="00235802"/>
    <w:rsid w:val="00235925"/>
    <w:rsid w:val="00235A40"/>
    <w:rsid w:val="00235CC9"/>
    <w:rsid w:val="00235F86"/>
    <w:rsid w:val="002361C9"/>
    <w:rsid w:val="00236263"/>
    <w:rsid w:val="0023678A"/>
    <w:rsid w:val="00236A81"/>
    <w:rsid w:val="00236FB6"/>
    <w:rsid w:val="00237A06"/>
    <w:rsid w:val="00237AB5"/>
    <w:rsid w:val="00237BCD"/>
    <w:rsid w:val="00237C0C"/>
    <w:rsid w:val="00237C90"/>
    <w:rsid w:val="00240203"/>
    <w:rsid w:val="002403BD"/>
    <w:rsid w:val="00240943"/>
    <w:rsid w:val="00240A72"/>
    <w:rsid w:val="00240EAD"/>
    <w:rsid w:val="00240F3C"/>
    <w:rsid w:val="00240FF5"/>
    <w:rsid w:val="0024108D"/>
    <w:rsid w:val="0024137F"/>
    <w:rsid w:val="00241486"/>
    <w:rsid w:val="0024149E"/>
    <w:rsid w:val="002416FA"/>
    <w:rsid w:val="002418B2"/>
    <w:rsid w:val="002419C4"/>
    <w:rsid w:val="00241AAC"/>
    <w:rsid w:val="00241B8E"/>
    <w:rsid w:val="0024217A"/>
    <w:rsid w:val="00242231"/>
    <w:rsid w:val="002424FE"/>
    <w:rsid w:val="00242BEE"/>
    <w:rsid w:val="00242C1D"/>
    <w:rsid w:val="00242E6E"/>
    <w:rsid w:val="00242F45"/>
    <w:rsid w:val="002431BA"/>
    <w:rsid w:val="00243A69"/>
    <w:rsid w:val="00243D6B"/>
    <w:rsid w:val="00244588"/>
    <w:rsid w:val="002445ED"/>
    <w:rsid w:val="00244AB5"/>
    <w:rsid w:val="00244E2D"/>
    <w:rsid w:val="002452F0"/>
    <w:rsid w:val="0024532E"/>
    <w:rsid w:val="002461D3"/>
    <w:rsid w:val="00246396"/>
    <w:rsid w:val="00246498"/>
    <w:rsid w:val="00246C33"/>
    <w:rsid w:val="00246C94"/>
    <w:rsid w:val="00246CBF"/>
    <w:rsid w:val="00246DAD"/>
    <w:rsid w:val="00246FBB"/>
    <w:rsid w:val="002471EA"/>
    <w:rsid w:val="002471F7"/>
    <w:rsid w:val="0024756F"/>
    <w:rsid w:val="00247B40"/>
    <w:rsid w:val="00247DB3"/>
    <w:rsid w:val="00247DC1"/>
    <w:rsid w:val="0025011F"/>
    <w:rsid w:val="0025058D"/>
    <w:rsid w:val="0025070C"/>
    <w:rsid w:val="002509AF"/>
    <w:rsid w:val="00250B9D"/>
    <w:rsid w:val="00250E04"/>
    <w:rsid w:val="002510DF"/>
    <w:rsid w:val="0025116C"/>
    <w:rsid w:val="00251246"/>
    <w:rsid w:val="0025164A"/>
    <w:rsid w:val="002516AD"/>
    <w:rsid w:val="00251BF0"/>
    <w:rsid w:val="00251D94"/>
    <w:rsid w:val="00251E1A"/>
    <w:rsid w:val="00251F2F"/>
    <w:rsid w:val="0025238D"/>
    <w:rsid w:val="00252437"/>
    <w:rsid w:val="002527CC"/>
    <w:rsid w:val="00252F75"/>
    <w:rsid w:val="00252FDA"/>
    <w:rsid w:val="00253409"/>
    <w:rsid w:val="00253B37"/>
    <w:rsid w:val="00253D49"/>
    <w:rsid w:val="00253DC4"/>
    <w:rsid w:val="00254070"/>
    <w:rsid w:val="0025413F"/>
    <w:rsid w:val="002541A4"/>
    <w:rsid w:val="002546F8"/>
    <w:rsid w:val="0025481E"/>
    <w:rsid w:val="002549F4"/>
    <w:rsid w:val="00254E3B"/>
    <w:rsid w:val="00254F66"/>
    <w:rsid w:val="002554D3"/>
    <w:rsid w:val="002555F2"/>
    <w:rsid w:val="0025561A"/>
    <w:rsid w:val="002557C4"/>
    <w:rsid w:val="002559DB"/>
    <w:rsid w:val="00255A61"/>
    <w:rsid w:val="00255A64"/>
    <w:rsid w:val="00255E9E"/>
    <w:rsid w:val="00255FFD"/>
    <w:rsid w:val="0025614B"/>
    <w:rsid w:val="0025677C"/>
    <w:rsid w:val="002568BF"/>
    <w:rsid w:val="00256A06"/>
    <w:rsid w:val="00256AA6"/>
    <w:rsid w:val="00256C16"/>
    <w:rsid w:val="00256D3B"/>
    <w:rsid w:val="002576CE"/>
    <w:rsid w:val="00257BFB"/>
    <w:rsid w:val="00257F5F"/>
    <w:rsid w:val="0026026F"/>
    <w:rsid w:val="002602D9"/>
    <w:rsid w:val="002609C8"/>
    <w:rsid w:val="00260C5E"/>
    <w:rsid w:val="00260E65"/>
    <w:rsid w:val="00261372"/>
    <w:rsid w:val="00261BED"/>
    <w:rsid w:val="00261D20"/>
    <w:rsid w:val="00261ED4"/>
    <w:rsid w:val="002627D4"/>
    <w:rsid w:val="002629E5"/>
    <w:rsid w:val="00262C5C"/>
    <w:rsid w:val="00263053"/>
    <w:rsid w:val="0026308C"/>
    <w:rsid w:val="002633E2"/>
    <w:rsid w:val="00263450"/>
    <w:rsid w:val="002636EB"/>
    <w:rsid w:val="002639F7"/>
    <w:rsid w:val="00263C55"/>
    <w:rsid w:val="00264039"/>
    <w:rsid w:val="00264DA5"/>
    <w:rsid w:val="00264FB0"/>
    <w:rsid w:val="00265308"/>
    <w:rsid w:val="00265546"/>
    <w:rsid w:val="00265673"/>
    <w:rsid w:val="002656F2"/>
    <w:rsid w:val="0026596B"/>
    <w:rsid w:val="00265D77"/>
    <w:rsid w:val="00265E57"/>
    <w:rsid w:val="00265F0E"/>
    <w:rsid w:val="002661A7"/>
    <w:rsid w:val="0026620E"/>
    <w:rsid w:val="002662B5"/>
    <w:rsid w:val="002662B8"/>
    <w:rsid w:val="002664D2"/>
    <w:rsid w:val="002669FF"/>
    <w:rsid w:val="00266C13"/>
    <w:rsid w:val="00266D0B"/>
    <w:rsid w:val="00267439"/>
    <w:rsid w:val="0026784E"/>
    <w:rsid w:val="002678A8"/>
    <w:rsid w:val="00267AA1"/>
    <w:rsid w:val="00267D72"/>
    <w:rsid w:val="00267DC8"/>
    <w:rsid w:val="00267F6C"/>
    <w:rsid w:val="0027006B"/>
    <w:rsid w:val="002700AF"/>
    <w:rsid w:val="002701D6"/>
    <w:rsid w:val="00270632"/>
    <w:rsid w:val="002706C7"/>
    <w:rsid w:val="0027083A"/>
    <w:rsid w:val="0027084D"/>
    <w:rsid w:val="00270C8A"/>
    <w:rsid w:val="00270E70"/>
    <w:rsid w:val="002714CB"/>
    <w:rsid w:val="002719DB"/>
    <w:rsid w:val="00271C8C"/>
    <w:rsid w:val="00271D74"/>
    <w:rsid w:val="00271F30"/>
    <w:rsid w:val="0027232C"/>
    <w:rsid w:val="00272C03"/>
    <w:rsid w:val="0027322A"/>
    <w:rsid w:val="00273321"/>
    <w:rsid w:val="00273706"/>
    <w:rsid w:val="00273860"/>
    <w:rsid w:val="00273DB8"/>
    <w:rsid w:val="002740AC"/>
    <w:rsid w:val="002740D1"/>
    <w:rsid w:val="00274115"/>
    <w:rsid w:val="00274422"/>
    <w:rsid w:val="00274447"/>
    <w:rsid w:val="002749A2"/>
    <w:rsid w:val="00274B1F"/>
    <w:rsid w:val="00275110"/>
    <w:rsid w:val="00275187"/>
    <w:rsid w:val="002752B0"/>
    <w:rsid w:val="002754F9"/>
    <w:rsid w:val="00275B2E"/>
    <w:rsid w:val="00275DB7"/>
    <w:rsid w:val="00276118"/>
    <w:rsid w:val="002762B2"/>
    <w:rsid w:val="002762C4"/>
    <w:rsid w:val="002763F1"/>
    <w:rsid w:val="00276667"/>
    <w:rsid w:val="0027667B"/>
    <w:rsid w:val="002766D6"/>
    <w:rsid w:val="00276A31"/>
    <w:rsid w:val="00276B3A"/>
    <w:rsid w:val="00277830"/>
    <w:rsid w:val="00277CA2"/>
    <w:rsid w:val="00277F2E"/>
    <w:rsid w:val="00277FBC"/>
    <w:rsid w:val="00277FD6"/>
    <w:rsid w:val="00280641"/>
    <w:rsid w:val="00280FF7"/>
    <w:rsid w:val="002811CE"/>
    <w:rsid w:val="002819D7"/>
    <w:rsid w:val="00282274"/>
    <w:rsid w:val="002826D8"/>
    <w:rsid w:val="00282858"/>
    <w:rsid w:val="002828EB"/>
    <w:rsid w:val="002829B6"/>
    <w:rsid w:val="00282A52"/>
    <w:rsid w:val="00282AE8"/>
    <w:rsid w:val="00282CA9"/>
    <w:rsid w:val="00282E96"/>
    <w:rsid w:val="00282F6F"/>
    <w:rsid w:val="002830E5"/>
    <w:rsid w:val="002833EA"/>
    <w:rsid w:val="002841F7"/>
    <w:rsid w:val="002844E3"/>
    <w:rsid w:val="00284A9E"/>
    <w:rsid w:val="00284B90"/>
    <w:rsid w:val="00284BBF"/>
    <w:rsid w:val="00284C98"/>
    <w:rsid w:val="00284D8E"/>
    <w:rsid w:val="00284ED9"/>
    <w:rsid w:val="002855B1"/>
    <w:rsid w:val="00285717"/>
    <w:rsid w:val="002857F2"/>
    <w:rsid w:val="002858E5"/>
    <w:rsid w:val="00285994"/>
    <w:rsid w:val="00285BDC"/>
    <w:rsid w:val="00285C6D"/>
    <w:rsid w:val="002868CA"/>
    <w:rsid w:val="00286A37"/>
    <w:rsid w:val="00286DC7"/>
    <w:rsid w:val="00286F87"/>
    <w:rsid w:val="00287192"/>
    <w:rsid w:val="0028777C"/>
    <w:rsid w:val="00287A0B"/>
    <w:rsid w:val="00287DAB"/>
    <w:rsid w:val="00287DBB"/>
    <w:rsid w:val="00287F3A"/>
    <w:rsid w:val="002904E6"/>
    <w:rsid w:val="0029057B"/>
    <w:rsid w:val="002906C3"/>
    <w:rsid w:val="00290B71"/>
    <w:rsid w:val="00290C5E"/>
    <w:rsid w:val="00290E26"/>
    <w:rsid w:val="00291478"/>
    <w:rsid w:val="002914F7"/>
    <w:rsid w:val="00291874"/>
    <w:rsid w:val="00291AFB"/>
    <w:rsid w:val="00291F54"/>
    <w:rsid w:val="00292167"/>
    <w:rsid w:val="002922E9"/>
    <w:rsid w:val="0029234B"/>
    <w:rsid w:val="00292375"/>
    <w:rsid w:val="002924C9"/>
    <w:rsid w:val="0029250D"/>
    <w:rsid w:val="0029274A"/>
    <w:rsid w:val="0029278A"/>
    <w:rsid w:val="002927F4"/>
    <w:rsid w:val="0029298A"/>
    <w:rsid w:val="00292A42"/>
    <w:rsid w:val="00292A84"/>
    <w:rsid w:val="00292BE5"/>
    <w:rsid w:val="00292DEC"/>
    <w:rsid w:val="00292EC2"/>
    <w:rsid w:val="00292EE0"/>
    <w:rsid w:val="00292F3D"/>
    <w:rsid w:val="002930D2"/>
    <w:rsid w:val="00293161"/>
    <w:rsid w:val="00293266"/>
    <w:rsid w:val="002934D8"/>
    <w:rsid w:val="0029351B"/>
    <w:rsid w:val="00293925"/>
    <w:rsid w:val="0029395A"/>
    <w:rsid w:val="00293987"/>
    <w:rsid w:val="00293CE4"/>
    <w:rsid w:val="00294054"/>
    <w:rsid w:val="0029414A"/>
    <w:rsid w:val="002942CC"/>
    <w:rsid w:val="002948DE"/>
    <w:rsid w:val="00294972"/>
    <w:rsid w:val="00294C48"/>
    <w:rsid w:val="00295AC7"/>
    <w:rsid w:val="00295D06"/>
    <w:rsid w:val="00295FB9"/>
    <w:rsid w:val="00296F9E"/>
    <w:rsid w:val="002975BA"/>
    <w:rsid w:val="00297C08"/>
    <w:rsid w:val="002A02CB"/>
    <w:rsid w:val="002A082E"/>
    <w:rsid w:val="002A08CD"/>
    <w:rsid w:val="002A092D"/>
    <w:rsid w:val="002A0C4E"/>
    <w:rsid w:val="002A0D35"/>
    <w:rsid w:val="002A1556"/>
    <w:rsid w:val="002A1A0E"/>
    <w:rsid w:val="002A1B5C"/>
    <w:rsid w:val="002A1CCB"/>
    <w:rsid w:val="002A1E2D"/>
    <w:rsid w:val="002A209C"/>
    <w:rsid w:val="002A228A"/>
    <w:rsid w:val="002A258E"/>
    <w:rsid w:val="002A2644"/>
    <w:rsid w:val="002A2782"/>
    <w:rsid w:val="002A2982"/>
    <w:rsid w:val="002A2C34"/>
    <w:rsid w:val="002A2D71"/>
    <w:rsid w:val="002A2D95"/>
    <w:rsid w:val="002A3324"/>
    <w:rsid w:val="002A3725"/>
    <w:rsid w:val="002A3A55"/>
    <w:rsid w:val="002A3B32"/>
    <w:rsid w:val="002A3D7B"/>
    <w:rsid w:val="002A3FDA"/>
    <w:rsid w:val="002A4025"/>
    <w:rsid w:val="002A44D0"/>
    <w:rsid w:val="002A48F1"/>
    <w:rsid w:val="002A48FF"/>
    <w:rsid w:val="002A4B18"/>
    <w:rsid w:val="002A4C95"/>
    <w:rsid w:val="002A4EC1"/>
    <w:rsid w:val="002A4FD7"/>
    <w:rsid w:val="002A51F4"/>
    <w:rsid w:val="002A5462"/>
    <w:rsid w:val="002A5480"/>
    <w:rsid w:val="002A5765"/>
    <w:rsid w:val="002A578E"/>
    <w:rsid w:val="002A5802"/>
    <w:rsid w:val="002A5834"/>
    <w:rsid w:val="002A58B2"/>
    <w:rsid w:val="002A58F4"/>
    <w:rsid w:val="002A5EC3"/>
    <w:rsid w:val="002A5F98"/>
    <w:rsid w:val="002A61AA"/>
    <w:rsid w:val="002A6378"/>
    <w:rsid w:val="002A6A4E"/>
    <w:rsid w:val="002A6DC8"/>
    <w:rsid w:val="002A718C"/>
    <w:rsid w:val="002A724F"/>
    <w:rsid w:val="002A7740"/>
    <w:rsid w:val="002A77DA"/>
    <w:rsid w:val="002A7A12"/>
    <w:rsid w:val="002A7AED"/>
    <w:rsid w:val="002A7E64"/>
    <w:rsid w:val="002B0076"/>
    <w:rsid w:val="002B03F4"/>
    <w:rsid w:val="002B0695"/>
    <w:rsid w:val="002B09EC"/>
    <w:rsid w:val="002B173C"/>
    <w:rsid w:val="002B2878"/>
    <w:rsid w:val="002B2BD8"/>
    <w:rsid w:val="002B2BF2"/>
    <w:rsid w:val="002B2C41"/>
    <w:rsid w:val="002B3349"/>
    <w:rsid w:val="002B37C6"/>
    <w:rsid w:val="002B396E"/>
    <w:rsid w:val="002B3AB1"/>
    <w:rsid w:val="002B3D3A"/>
    <w:rsid w:val="002B3E9B"/>
    <w:rsid w:val="002B40B1"/>
    <w:rsid w:val="002B4396"/>
    <w:rsid w:val="002B44FF"/>
    <w:rsid w:val="002B4C6D"/>
    <w:rsid w:val="002B586D"/>
    <w:rsid w:val="002B59F6"/>
    <w:rsid w:val="002B60BF"/>
    <w:rsid w:val="002B60D4"/>
    <w:rsid w:val="002B6108"/>
    <w:rsid w:val="002B62E0"/>
    <w:rsid w:val="002B64EA"/>
    <w:rsid w:val="002B6531"/>
    <w:rsid w:val="002B6828"/>
    <w:rsid w:val="002B69BA"/>
    <w:rsid w:val="002B74ED"/>
    <w:rsid w:val="002B75C1"/>
    <w:rsid w:val="002B7BAD"/>
    <w:rsid w:val="002C003A"/>
    <w:rsid w:val="002C0188"/>
    <w:rsid w:val="002C052C"/>
    <w:rsid w:val="002C076D"/>
    <w:rsid w:val="002C0EE3"/>
    <w:rsid w:val="002C1044"/>
    <w:rsid w:val="002C1595"/>
    <w:rsid w:val="002C15DB"/>
    <w:rsid w:val="002C1758"/>
    <w:rsid w:val="002C1BD2"/>
    <w:rsid w:val="002C1C00"/>
    <w:rsid w:val="002C2232"/>
    <w:rsid w:val="002C2271"/>
    <w:rsid w:val="002C23BA"/>
    <w:rsid w:val="002C2893"/>
    <w:rsid w:val="002C29E1"/>
    <w:rsid w:val="002C2A96"/>
    <w:rsid w:val="002C2BD0"/>
    <w:rsid w:val="002C2BDF"/>
    <w:rsid w:val="002C3C89"/>
    <w:rsid w:val="002C3DB7"/>
    <w:rsid w:val="002C4091"/>
    <w:rsid w:val="002C4123"/>
    <w:rsid w:val="002C4261"/>
    <w:rsid w:val="002C43E5"/>
    <w:rsid w:val="002C4A73"/>
    <w:rsid w:val="002C4CEA"/>
    <w:rsid w:val="002C5B65"/>
    <w:rsid w:val="002C5BE9"/>
    <w:rsid w:val="002C61C8"/>
    <w:rsid w:val="002C6434"/>
    <w:rsid w:val="002C64DD"/>
    <w:rsid w:val="002C67B7"/>
    <w:rsid w:val="002C6A60"/>
    <w:rsid w:val="002C6EAB"/>
    <w:rsid w:val="002C6F0F"/>
    <w:rsid w:val="002C7835"/>
    <w:rsid w:val="002C7B5C"/>
    <w:rsid w:val="002C7C32"/>
    <w:rsid w:val="002C7E32"/>
    <w:rsid w:val="002D041E"/>
    <w:rsid w:val="002D07C4"/>
    <w:rsid w:val="002D0A99"/>
    <w:rsid w:val="002D1229"/>
    <w:rsid w:val="002D12D0"/>
    <w:rsid w:val="002D1651"/>
    <w:rsid w:val="002D1888"/>
    <w:rsid w:val="002D1CD8"/>
    <w:rsid w:val="002D20BA"/>
    <w:rsid w:val="002D232D"/>
    <w:rsid w:val="002D23CA"/>
    <w:rsid w:val="002D2763"/>
    <w:rsid w:val="002D27A5"/>
    <w:rsid w:val="002D2A11"/>
    <w:rsid w:val="002D2CDC"/>
    <w:rsid w:val="002D2D8C"/>
    <w:rsid w:val="002D2EA0"/>
    <w:rsid w:val="002D3C82"/>
    <w:rsid w:val="002D3EB1"/>
    <w:rsid w:val="002D3FC2"/>
    <w:rsid w:val="002D40A4"/>
    <w:rsid w:val="002D4700"/>
    <w:rsid w:val="002D484C"/>
    <w:rsid w:val="002D5430"/>
    <w:rsid w:val="002D555B"/>
    <w:rsid w:val="002D5E5E"/>
    <w:rsid w:val="002D61FB"/>
    <w:rsid w:val="002D6356"/>
    <w:rsid w:val="002D6383"/>
    <w:rsid w:val="002D64C6"/>
    <w:rsid w:val="002D66B0"/>
    <w:rsid w:val="002D6A97"/>
    <w:rsid w:val="002D6AC2"/>
    <w:rsid w:val="002D6B8B"/>
    <w:rsid w:val="002D6F17"/>
    <w:rsid w:val="002D7004"/>
    <w:rsid w:val="002D78F1"/>
    <w:rsid w:val="002D7900"/>
    <w:rsid w:val="002D7E43"/>
    <w:rsid w:val="002D7F04"/>
    <w:rsid w:val="002D7F38"/>
    <w:rsid w:val="002D7F56"/>
    <w:rsid w:val="002E03AC"/>
    <w:rsid w:val="002E047A"/>
    <w:rsid w:val="002E0489"/>
    <w:rsid w:val="002E0862"/>
    <w:rsid w:val="002E0CE1"/>
    <w:rsid w:val="002E0D54"/>
    <w:rsid w:val="002E0E3B"/>
    <w:rsid w:val="002E0FDD"/>
    <w:rsid w:val="002E1112"/>
    <w:rsid w:val="002E115A"/>
    <w:rsid w:val="002E11EA"/>
    <w:rsid w:val="002E13A6"/>
    <w:rsid w:val="002E1439"/>
    <w:rsid w:val="002E1575"/>
    <w:rsid w:val="002E1E3A"/>
    <w:rsid w:val="002E1EB9"/>
    <w:rsid w:val="002E1FD9"/>
    <w:rsid w:val="002E22BD"/>
    <w:rsid w:val="002E233E"/>
    <w:rsid w:val="002E269E"/>
    <w:rsid w:val="002E26A3"/>
    <w:rsid w:val="002E271D"/>
    <w:rsid w:val="002E2C03"/>
    <w:rsid w:val="002E328C"/>
    <w:rsid w:val="002E3400"/>
    <w:rsid w:val="002E348C"/>
    <w:rsid w:val="002E3589"/>
    <w:rsid w:val="002E35B8"/>
    <w:rsid w:val="002E36CD"/>
    <w:rsid w:val="002E3707"/>
    <w:rsid w:val="002E376B"/>
    <w:rsid w:val="002E3B0F"/>
    <w:rsid w:val="002E3D8D"/>
    <w:rsid w:val="002E3E5D"/>
    <w:rsid w:val="002E4266"/>
    <w:rsid w:val="002E42CC"/>
    <w:rsid w:val="002E42E6"/>
    <w:rsid w:val="002E4928"/>
    <w:rsid w:val="002E4A17"/>
    <w:rsid w:val="002E4A67"/>
    <w:rsid w:val="002E4ABE"/>
    <w:rsid w:val="002E4AF2"/>
    <w:rsid w:val="002E4E0B"/>
    <w:rsid w:val="002E4E6C"/>
    <w:rsid w:val="002E56F9"/>
    <w:rsid w:val="002E5B25"/>
    <w:rsid w:val="002E5BDA"/>
    <w:rsid w:val="002E5F14"/>
    <w:rsid w:val="002E6137"/>
    <w:rsid w:val="002E613F"/>
    <w:rsid w:val="002E61B8"/>
    <w:rsid w:val="002E63A5"/>
    <w:rsid w:val="002E6687"/>
    <w:rsid w:val="002E68B7"/>
    <w:rsid w:val="002E69A7"/>
    <w:rsid w:val="002E73AF"/>
    <w:rsid w:val="002E73D9"/>
    <w:rsid w:val="002E78C6"/>
    <w:rsid w:val="002E7AFE"/>
    <w:rsid w:val="002F0071"/>
    <w:rsid w:val="002F013F"/>
    <w:rsid w:val="002F0165"/>
    <w:rsid w:val="002F05F7"/>
    <w:rsid w:val="002F0660"/>
    <w:rsid w:val="002F0AF1"/>
    <w:rsid w:val="002F0EE0"/>
    <w:rsid w:val="002F11BA"/>
    <w:rsid w:val="002F18BD"/>
    <w:rsid w:val="002F18DD"/>
    <w:rsid w:val="002F19A7"/>
    <w:rsid w:val="002F1B35"/>
    <w:rsid w:val="002F1E0E"/>
    <w:rsid w:val="002F2132"/>
    <w:rsid w:val="002F2404"/>
    <w:rsid w:val="002F291C"/>
    <w:rsid w:val="002F2BCA"/>
    <w:rsid w:val="002F2F17"/>
    <w:rsid w:val="002F2F41"/>
    <w:rsid w:val="002F2FBD"/>
    <w:rsid w:val="002F2FE4"/>
    <w:rsid w:val="002F343A"/>
    <w:rsid w:val="002F3991"/>
    <w:rsid w:val="002F3E6A"/>
    <w:rsid w:val="002F44E8"/>
    <w:rsid w:val="002F49F0"/>
    <w:rsid w:val="002F4CBD"/>
    <w:rsid w:val="002F4DA7"/>
    <w:rsid w:val="002F53F2"/>
    <w:rsid w:val="002F5789"/>
    <w:rsid w:val="002F5DD6"/>
    <w:rsid w:val="002F5F15"/>
    <w:rsid w:val="002F612A"/>
    <w:rsid w:val="002F6147"/>
    <w:rsid w:val="002F635D"/>
    <w:rsid w:val="002F639C"/>
    <w:rsid w:val="002F646B"/>
    <w:rsid w:val="002F65DC"/>
    <w:rsid w:val="002F684F"/>
    <w:rsid w:val="002F69E3"/>
    <w:rsid w:val="002F6A70"/>
    <w:rsid w:val="002F6B08"/>
    <w:rsid w:val="002F784A"/>
    <w:rsid w:val="002F7A34"/>
    <w:rsid w:val="00300894"/>
    <w:rsid w:val="00300C1F"/>
    <w:rsid w:val="00300C59"/>
    <w:rsid w:val="0030185E"/>
    <w:rsid w:val="00301A52"/>
    <w:rsid w:val="00301D87"/>
    <w:rsid w:val="00301E1E"/>
    <w:rsid w:val="00301F8A"/>
    <w:rsid w:val="003020C7"/>
    <w:rsid w:val="0030227C"/>
    <w:rsid w:val="0030229E"/>
    <w:rsid w:val="003022BF"/>
    <w:rsid w:val="003026FD"/>
    <w:rsid w:val="00302F6F"/>
    <w:rsid w:val="0030327D"/>
    <w:rsid w:val="003032C0"/>
    <w:rsid w:val="003032C7"/>
    <w:rsid w:val="00303417"/>
    <w:rsid w:val="00303976"/>
    <w:rsid w:val="00303B16"/>
    <w:rsid w:val="00303F45"/>
    <w:rsid w:val="003043C9"/>
    <w:rsid w:val="00304A9B"/>
    <w:rsid w:val="00304D7A"/>
    <w:rsid w:val="00304E46"/>
    <w:rsid w:val="003050D1"/>
    <w:rsid w:val="003054D6"/>
    <w:rsid w:val="00305782"/>
    <w:rsid w:val="003058CF"/>
    <w:rsid w:val="00305CF8"/>
    <w:rsid w:val="00305D17"/>
    <w:rsid w:val="00305E18"/>
    <w:rsid w:val="00305ED5"/>
    <w:rsid w:val="003066F4"/>
    <w:rsid w:val="00306E9D"/>
    <w:rsid w:val="00306F04"/>
    <w:rsid w:val="003070AF"/>
    <w:rsid w:val="003073AB"/>
    <w:rsid w:val="00307403"/>
    <w:rsid w:val="00307602"/>
    <w:rsid w:val="00307761"/>
    <w:rsid w:val="003079E3"/>
    <w:rsid w:val="00310079"/>
    <w:rsid w:val="00310116"/>
    <w:rsid w:val="003102C1"/>
    <w:rsid w:val="00310825"/>
    <w:rsid w:val="00310E06"/>
    <w:rsid w:val="00311647"/>
    <w:rsid w:val="0031170A"/>
    <w:rsid w:val="00311900"/>
    <w:rsid w:val="00311D67"/>
    <w:rsid w:val="00311FFC"/>
    <w:rsid w:val="00312A1D"/>
    <w:rsid w:val="00312C41"/>
    <w:rsid w:val="00312E70"/>
    <w:rsid w:val="00312F6A"/>
    <w:rsid w:val="00313279"/>
    <w:rsid w:val="003132AC"/>
    <w:rsid w:val="003134F9"/>
    <w:rsid w:val="00313572"/>
    <w:rsid w:val="003139EF"/>
    <w:rsid w:val="00313A55"/>
    <w:rsid w:val="003144B1"/>
    <w:rsid w:val="003144CD"/>
    <w:rsid w:val="00314603"/>
    <w:rsid w:val="003148BF"/>
    <w:rsid w:val="00314966"/>
    <w:rsid w:val="00314A9F"/>
    <w:rsid w:val="00314E4B"/>
    <w:rsid w:val="00314E88"/>
    <w:rsid w:val="00314F5A"/>
    <w:rsid w:val="0031526C"/>
    <w:rsid w:val="0031539A"/>
    <w:rsid w:val="00315517"/>
    <w:rsid w:val="003157BC"/>
    <w:rsid w:val="00315B80"/>
    <w:rsid w:val="00315C80"/>
    <w:rsid w:val="00315F69"/>
    <w:rsid w:val="0031650D"/>
    <w:rsid w:val="003168F4"/>
    <w:rsid w:val="00316DD2"/>
    <w:rsid w:val="0031700E"/>
    <w:rsid w:val="003171C1"/>
    <w:rsid w:val="003171DD"/>
    <w:rsid w:val="00317204"/>
    <w:rsid w:val="003174AC"/>
    <w:rsid w:val="00317D15"/>
    <w:rsid w:val="00317FBA"/>
    <w:rsid w:val="003201F2"/>
    <w:rsid w:val="003206BD"/>
    <w:rsid w:val="003207B2"/>
    <w:rsid w:val="003208E2"/>
    <w:rsid w:val="00320BAD"/>
    <w:rsid w:val="00320D54"/>
    <w:rsid w:val="00320E57"/>
    <w:rsid w:val="0032149C"/>
    <w:rsid w:val="00321600"/>
    <w:rsid w:val="00321697"/>
    <w:rsid w:val="00321ADB"/>
    <w:rsid w:val="00321B5B"/>
    <w:rsid w:val="00321C79"/>
    <w:rsid w:val="00321EF2"/>
    <w:rsid w:val="00321F97"/>
    <w:rsid w:val="00322084"/>
    <w:rsid w:val="003220F5"/>
    <w:rsid w:val="00322672"/>
    <w:rsid w:val="0032269B"/>
    <w:rsid w:val="0032295B"/>
    <w:rsid w:val="00322CB9"/>
    <w:rsid w:val="00323054"/>
    <w:rsid w:val="00323307"/>
    <w:rsid w:val="0032352C"/>
    <w:rsid w:val="003235A6"/>
    <w:rsid w:val="003235F3"/>
    <w:rsid w:val="0032376F"/>
    <w:rsid w:val="0032390F"/>
    <w:rsid w:val="00323FC1"/>
    <w:rsid w:val="00324206"/>
    <w:rsid w:val="0032472E"/>
    <w:rsid w:val="0032502A"/>
    <w:rsid w:val="00325224"/>
    <w:rsid w:val="00325526"/>
    <w:rsid w:val="00325751"/>
    <w:rsid w:val="00325C9E"/>
    <w:rsid w:val="00326385"/>
    <w:rsid w:val="0032675B"/>
    <w:rsid w:val="00326B28"/>
    <w:rsid w:val="00326BD3"/>
    <w:rsid w:val="00327437"/>
    <w:rsid w:val="00327BE7"/>
    <w:rsid w:val="00327F02"/>
    <w:rsid w:val="00327F7E"/>
    <w:rsid w:val="00330096"/>
    <w:rsid w:val="00330527"/>
    <w:rsid w:val="003306F8"/>
    <w:rsid w:val="0033075D"/>
    <w:rsid w:val="00330EF4"/>
    <w:rsid w:val="00331628"/>
    <w:rsid w:val="0033202E"/>
    <w:rsid w:val="0033205A"/>
    <w:rsid w:val="0033245F"/>
    <w:rsid w:val="0033256A"/>
    <w:rsid w:val="00332668"/>
    <w:rsid w:val="0033278C"/>
    <w:rsid w:val="00332BED"/>
    <w:rsid w:val="00332C7D"/>
    <w:rsid w:val="00332DB1"/>
    <w:rsid w:val="00332DD3"/>
    <w:rsid w:val="00332DEF"/>
    <w:rsid w:val="00332E22"/>
    <w:rsid w:val="00333396"/>
    <w:rsid w:val="00333A88"/>
    <w:rsid w:val="00333DA6"/>
    <w:rsid w:val="0033420B"/>
    <w:rsid w:val="003342CC"/>
    <w:rsid w:val="00334434"/>
    <w:rsid w:val="003347AA"/>
    <w:rsid w:val="00334894"/>
    <w:rsid w:val="003348E6"/>
    <w:rsid w:val="00334918"/>
    <w:rsid w:val="00334933"/>
    <w:rsid w:val="00334996"/>
    <w:rsid w:val="00334C8F"/>
    <w:rsid w:val="00335586"/>
    <w:rsid w:val="00335786"/>
    <w:rsid w:val="003357B9"/>
    <w:rsid w:val="00335A35"/>
    <w:rsid w:val="00335B44"/>
    <w:rsid w:val="003360BD"/>
    <w:rsid w:val="00336886"/>
    <w:rsid w:val="00336935"/>
    <w:rsid w:val="00336B23"/>
    <w:rsid w:val="00336B24"/>
    <w:rsid w:val="00336D7E"/>
    <w:rsid w:val="003371C6"/>
    <w:rsid w:val="00337798"/>
    <w:rsid w:val="00337F9E"/>
    <w:rsid w:val="0034029C"/>
    <w:rsid w:val="00340617"/>
    <w:rsid w:val="003406F8"/>
    <w:rsid w:val="00340782"/>
    <w:rsid w:val="00340D15"/>
    <w:rsid w:val="0034153A"/>
    <w:rsid w:val="003418CD"/>
    <w:rsid w:val="0034193F"/>
    <w:rsid w:val="00341E41"/>
    <w:rsid w:val="003420C6"/>
    <w:rsid w:val="003422DE"/>
    <w:rsid w:val="0034234A"/>
    <w:rsid w:val="0034279B"/>
    <w:rsid w:val="003429BC"/>
    <w:rsid w:val="00343888"/>
    <w:rsid w:val="00343AE5"/>
    <w:rsid w:val="00343BD2"/>
    <w:rsid w:val="003442A2"/>
    <w:rsid w:val="0034443B"/>
    <w:rsid w:val="00344585"/>
    <w:rsid w:val="00344B95"/>
    <w:rsid w:val="00345017"/>
    <w:rsid w:val="00345CB6"/>
    <w:rsid w:val="00345DC7"/>
    <w:rsid w:val="00345E66"/>
    <w:rsid w:val="00345FA4"/>
    <w:rsid w:val="00346380"/>
    <w:rsid w:val="003464EF"/>
    <w:rsid w:val="003465F0"/>
    <w:rsid w:val="003465F2"/>
    <w:rsid w:val="00346DE9"/>
    <w:rsid w:val="0034751C"/>
    <w:rsid w:val="003475D2"/>
    <w:rsid w:val="00347653"/>
    <w:rsid w:val="0034769F"/>
    <w:rsid w:val="00347E84"/>
    <w:rsid w:val="00347F4D"/>
    <w:rsid w:val="0035049C"/>
    <w:rsid w:val="00350709"/>
    <w:rsid w:val="00350B61"/>
    <w:rsid w:val="00350FF8"/>
    <w:rsid w:val="00351327"/>
    <w:rsid w:val="003513D9"/>
    <w:rsid w:val="00351537"/>
    <w:rsid w:val="003516C8"/>
    <w:rsid w:val="0035172F"/>
    <w:rsid w:val="00351A87"/>
    <w:rsid w:val="00351B24"/>
    <w:rsid w:val="00351CCE"/>
    <w:rsid w:val="00351EF5"/>
    <w:rsid w:val="00352188"/>
    <w:rsid w:val="0035264D"/>
    <w:rsid w:val="00352675"/>
    <w:rsid w:val="00353052"/>
    <w:rsid w:val="003532D0"/>
    <w:rsid w:val="003537DB"/>
    <w:rsid w:val="00353C3A"/>
    <w:rsid w:val="00353E1E"/>
    <w:rsid w:val="0035400B"/>
    <w:rsid w:val="0035422C"/>
    <w:rsid w:val="003542C6"/>
    <w:rsid w:val="003544BF"/>
    <w:rsid w:val="003544FE"/>
    <w:rsid w:val="0035472B"/>
    <w:rsid w:val="00354D8B"/>
    <w:rsid w:val="00354E61"/>
    <w:rsid w:val="0035573A"/>
    <w:rsid w:val="003559BD"/>
    <w:rsid w:val="003559C7"/>
    <w:rsid w:val="00355B7E"/>
    <w:rsid w:val="00355BE4"/>
    <w:rsid w:val="0035602C"/>
    <w:rsid w:val="003561BE"/>
    <w:rsid w:val="003563BF"/>
    <w:rsid w:val="00356AA9"/>
    <w:rsid w:val="0035736C"/>
    <w:rsid w:val="003577A9"/>
    <w:rsid w:val="003579B4"/>
    <w:rsid w:val="00357AAF"/>
    <w:rsid w:val="00357B8F"/>
    <w:rsid w:val="00357C1D"/>
    <w:rsid w:val="00357CCB"/>
    <w:rsid w:val="00357D96"/>
    <w:rsid w:val="003600D7"/>
    <w:rsid w:val="0036022B"/>
    <w:rsid w:val="00360255"/>
    <w:rsid w:val="00360393"/>
    <w:rsid w:val="003604F5"/>
    <w:rsid w:val="00360532"/>
    <w:rsid w:val="003605DF"/>
    <w:rsid w:val="00360645"/>
    <w:rsid w:val="003608F2"/>
    <w:rsid w:val="00360C58"/>
    <w:rsid w:val="003610F6"/>
    <w:rsid w:val="00361F6D"/>
    <w:rsid w:val="00362060"/>
    <w:rsid w:val="003626DE"/>
    <w:rsid w:val="003628FF"/>
    <w:rsid w:val="00362E93"/>
    <w:rsid w:val="00363097"/>
    <w:rsid w:val="00363782"/>
    <w:rsid w:val="003637E2"/>
    <w:rsid w:val="00363E75"/>
    <w:rsid w:val="00364827"/>
    <w:rsid w:val="00364AB3"/>
    <w:rsid w:val="00364DBF"/>
    <w:rsid w:val="0036539F"/>
    <w:rsid w:val="003653DD"/>
    <w:rsid w:val="00365DBF"/>
    <w:rsid w:val="0036609A"/>
    <w:rsid w:val="003662EC"/>
    <w:rsid w:val="00366F43"/>
    <w:rsid w:val="003673D0"/>
    <w:rsid w:val="003677C2"/>
    <w:rsid w:val="00367D3E"/>
    <w:rsid w:val="003706FD"/>
    <w:rsid w:val="00370741"/>
    <w:rsid w:val="003708E4"/>
    <w:rsid w:val="00370A27"/>
    <w:rsid w:val="00370AF3"/>
    <w:rsid w:val="003710BE"/>
    <w:rsid w:val="003713BE"/>
    <w:rsid w:val="00371D5E"/>
    <w:rsid w:val="003726B3"/>
    <w:rsid w:val="00372D95"/>
    <w:rsid w:val="00372E5A"/>
    <w:rsid w:val="00373E67"/>
    <w:rsid w:val="00374174"/>
    <w:rsid w:val="00374179"/>
    <w:rsid w:val="003746CE"/>
    <w:rsid w:val="00374A7B"/>
    <w:rsid w:val="00375203"/>
    <w:rsid w:val="00375309"/>
    <w:rsid w:val="003755B9"/>
    <w:rsid w:val="0037593C"/>
    <w:rsid w:val="00375AE9"/>
    <w:rsid w:val="00375B05"/>
    <w:rsid w:val="00375C67"/>
    <w:rsid w:val="00376283"/>
    <w:rsid w:val="00376EEE"/>
    <w:rsid w:val="003772F7"/>
    <w:rsid w:val="003777B8"/>
    <w:rsid w:val="003779DF"/>
    <w:rsid w:val="00377B11"/>
    <w:rsid w:val="0038059D"/>
    <w:rsid w:val="0038092A"/>
    <w:rsid w:val="00380B22"/>
    <w:rsid w:val="003811F2"/>
    <w:rsid w:val="00381210"/>
    <w:rsid w:val="003812F3"/>
    <w:rsid w:val="00381BB6"/>
    <w:rsid w:val="00382C04"/>
    <w:rsid w:val="00382FA3"/>
    <w:rsid w:val="00383003"/>
    <w:rsid w:val="00383311"/>
    <w:rsid w:val="00383414"/>
    <w:rsid w:val="003834CD"/>
    <w:rsid w:val="00383651"/>
    <w:rsid w:val="00384037"/>
    <w:rsid w:val="003841A8"/>
    <w:rsid w:val="0038491E"/>
    <w:rsid w:val="00384A92"/>
    <w:rsid w:val="00385196"/>
    <w:rsid w:val="00385452"/>
    <w:rsid w:val="003857E7"/>
    <w:rsid w:val="003857EC"/>
    <w:rsid w:val="00385E51"/>
    <w:rsid w:val="0038602F"/>
    <w:rsid w:val="00386139"/>
    <w:rsid w:val="00386261"/>
    <w:rsid w:val="00386566"/>
    <w:rsid w:val="003866C3"/>
    <w:rsid w:val="003868E1"/>
    <w:rsid w:val="00386BD8"/>
    <w:rsid w:val="00387335"/>
    <w:rsid w:val="003874F9"/>
    <w:rsid w:val="0038784E"/>
    <w:rsid w:val="00387BAF"/>
    <w:rsid w:val="00387C25"/>
    <w:rsid w:val="00387E99"/>
    <w:rsid w:val="00390536"/>
    <w:rsid w:val="003908DB"/>
    <w:rsid w:val="00390A94"/>
    <w:rsid w:val="00390D00"/>
    <w:rsid w:val="00390FD4"/>
    <w:rsid w:val="0039122D"/>
    <w:rsid w:val="00391513"/>
    <w:rsid w:val="00391592"/>
    <w:rsid w:val="003918C8"/>
    <w:rsid w:val="00391BDD"/>
    <w:rsid w:val="00391E52"/>
    <w:rsid w:val="00391ECF"/>
    <w:rsid w:val="0039205F"/>
    <w:rsid w:val="003920FB"/>
    <w:rsid w:val="003925F2"/>
    <w:rsid w:val="003927B5"/>
    <w:rsid w:val="00392FBD"/>
    <w:rsid w:val="003934F5"/>
    <w:rsid w:val="00393B68"/>
    <w:rsid w:val="00393BF4"/>
    <w:rsid w:val="00393EC3"/>
    <w:rsid w:val="00394572"/>
    <w:rsid w:val="00394655"/>
    <w:rsid w:val="0039491D"/>
    <w:rsid w:val="00394A65"/>
    <w:rsid w:val="003952D4"/>
    <w:rsid w:val="003959CB"/>
    <w:rsid w:val="00395A0A"/>
    <w:rsid w:val="00395C73"/>
    <w:rsid w:val="00395CBA"/>
    <w:rsid w:val="00395EB3"/>
    <w:rsid w:val="00395F57"/>
    <w:rsid w:val="003960A4"/>
    <w:rsid w:val="003961BF"/>
    <w:rsid w:val="00396204"/>
    <w:rsid w:val="003962EE"/>
    <w:rsid w:val="00396410"/>
    <w:rsid w:val="003965DC"/>
    <w:rsid w:val="0039666E"/>
    <w:rsid w:val="00396BB6"/>
    <w:rsid w:val="00397143"/>
    <w:rsid w:val="003971B9"/>
    <w:rsid w:val="003971EE"/>
    <w:rsid w:val="00397223"/>
    <w:rsid w:val="003976CF"/>
    <w:rsid w:val="0039788E"/>
    <w:rsid w:val="00397A91"/>
    <w:rsid w:val="00397D1D"/>
    <w:rsid w:val="00397E33"/>
    <w:rsid w:val="003A00FD"/>
    <w:rsid w:val="003A0410"/>
    <w:rsid w:val="003A04A4"/>
    <w:rsid w:val="003A0513"/>
    <w:rsid w:val="003A0520"/>
    <w:rsid w:val="003A0923"/>
    <w:rsid w:val="003A0E01"/>
    <w:rsid w:val="003A116C"/>
    <w:rsid w:val="003A1E6D"/>
    <w:rsid w:val="003A1F82"/>
    <w:rsid w:val="003A275B"/>
    <w:rsid w:val="003A279F"/>
    <w:rsid w:val="003A3667"/>
    <w:rsid w:val="003A371A"/>
    <w:rsid w:val="003A3A4C"/>
    <w:rsid w:val="003A3CCD"/>
    <w:rsid w:val="003A3F3A"/>
    <w:rsid w:val="003A4B35"/>
    <w:rsid w:val="003A4C3E"/>
    <w:rsid w:val="003A4D2D"/>
    <w:rsid w:val="003A4E4C"/>
    <w:rsid w:val="003A4E7D"/>
    <w:rsid w:val="003A5491"/>
    <w:rsid w:val="003A54C9"/>
    <w:rsid w:val="003A56CA"/>
    <w:rsid w:val="003A586F"/>
    <w:rsid w:val="003A5F44"/>
    <w:rsid w:val="003A6070"/>
    <w:rsid w:val="003A64FB"/>
    <w:rsid w:val="003A68CF"/>
    <w:rsid w:val="003A69C7"/>
    <w:rsid w:val="003A6B17"/>
    <w:rsid w:val="003A6B53"/>
    <w:rsid w:val="003A6ED2"/>
    <w:rsid w:val="003A6F17"/>
    <w:rsid w:val="003A6F6F"/>
    <w:rsid w:val="003A7529"/>
    <w:rsid w:val="003A7F20"/>
    <w:rsid w:val="003B00B3"/>
    <w:rsid w:val="003B022D"/>
    <w:rsid w:val="003B04B6"/>
    <w:rsid w:val="003B054D"/>
    <w:rsid w:val="003B07EB"/>
    <w:rsid w:val="003B110B"/>
    <w:rsid w:val="003B12A1"/>
    <w:rsid w:val="003B15EC"/>
    <w:rsid w:val="003B1686"/>
    <w:rsid w:val="003B189A"/>
    <w:rsid w:val="003B1D0D"/>
    <w:rsid w:val="003B21EF"/>
    <w:rsid w:val="003B2601"/>
    <w:rsid w:val="003B26E3"/>
    <w:rsid w:val="003B26E6"/>
    <w:rsid w:val="003B314D"/>
    <w:rsid w:val="003B32DB"/>
    <w:rsid w:val="003B35AA"/>
    <w:rsid w:val="003B37F9"/>
    <w:rsid w:val="003B3BF6"/>
    <w:rsid w:val="003B3C41"/>
    <w:rsid w:val="003B42FA"/>
    <w:rsid w:val="003B439D"/>
    <w:rsid w:val="003B444E"/>
    <w:rsid w:val="003B45A5"/>
    <w:rsid w:val="003B4A80"/>
    <w:rsid w:val="003B4DAC"/>
    <w:rsid w:val="003B51FB"/>
    <w:rsid w:val="003B52E6"/>
    <w:rsid w:val="003B5629"/>
    <w:rsid w:val="003B5668"/>
    <w:rsid w:val="003B56A2"/>
    <w:rsid w:val="003B5894"/>
    <w:rsid w:val="003B5DCF"/>
    <w:rsid w:val="003B60FA"/>
    <w:rsid w:val="003B619E"/>
    <w:rsid w:val="003B673E"/>
    <w:rsid w:val="003B67FA"/>
    <w:rsid w:val="003B6886"/>
    <w:rsid w:val="003B6957"/>
    <w:rsid w:val="003B6C67"/>
    <w:rsid w:val="003B7119"/>
    <w:rsid w:val="003B74A1"/>
    <w:rsid w:val="003B7CF4"/>
    <w:rsid w:val="003B7E44"/>
    <w:rsid w:val="003B7EE3"/>
    <w:rsid w:val="003C0336"/>
    <w:rsid w:val="003C0395"/>
    <w:rsid w:val="003C03E6"/>
    <w:rsid w:val="003C0429"/>
    <w:rsid w:val="003C0539"/>
    <w:rsid w:val="003C07CE"/>
    <w:rsid w:val="003C0A55"/>
    <w:rsid w:val="003C0B41"/>
    <w:rsid w:val="003C0CDA"/>
    <w:rsid w:val="003C24B9"/>
    <w:rsid w:val="003C257F"/>
    <w:rsid w:val="003C30B2"/>
    <w:rsid w:val="003C3643"/>
    <w:rsid w:val="003C3877"/>
    <w:rsid w:val="003C38E1"/>
    <w:rsid w:val="003C3911"/>
    <w:rsid w:val="003C4048"/>
    <w:rsid w:val="003C4146"/>
    <w:rsid w:val="003C531C"/>
    <w:rsid w:val="003C55E1"/>
    <w:rsid w:val="003C5632"/>
    <w:rsid w:val="003C5E13"/>
    <w:rsid w:val="003C6080"/>
    <w:rsid w:val="003C641F"/>
    <w:rsid w:val="003C648C"/>
    <w:rsid w:val="003C6649"/>
    <w:rsid w:val="003C66D8"/>
    <w:rsid w:val="003C6869"/>
    <w:rsid w:val="003C6BDB"/>
    <w:rsid w:val="003C6BF3"/>
    <w:rsid w:val="003C6C07"/>
    <w:rsid w:val="003C6DCA"/>
    <w:rsid w:val="003C716E"/>
    <w:rsid w:val="003C7242"/>
    <w:rsid w:val="003C736D"/>
    <w:rsid w:val="003C7984"/>
    <w:rsid w:val="003C7BBD"/>
    <w:rsid w:val="003C7C76"/>
    <w:rsid w:val="003D01DA"/>
    <w:rsid w:val="003D0268"/>
    <w:rsid w:val="003D0661"/>
    <w:rsid w:val="003D117D"/>
    <w:rsid w:val="003D16F5"/>
    <w:rsid w:val="003D18AD"/>
    <w:rsid w:val="003D1A3F"/>
    <w:rsid w:val="003D24F0"/>
    <w:rsid w:val="003D2844"/>
    <w:rsid w:val="003D2917"/>
    <w:rsid w:val="003D31AF"/>
    <w:rsid w:val="003D3B1E"/>
    <w:rsid w:val="003D3B79"/>
    <w:rsid w:val="003D4842"/>
    <w:rsid w:val="003D48B4"/>
    <w:rsid w:val="003D4CC3"/>
    <w:rsid w:val="003D51D3"/>
    <w:rsid w:val="003D5215"/>
    <w:rsid w:val="003D5299"/>
    <w:rsid w:val="003D5719"/>
    <w:rsid w:val="003D57A0"/>
    <w:rsid w:val="003D58A5"/>
    <w:rsid w:val="003D591F"/>
    <w:rsid w:val="003D5F9F"/>
    <w:rsid w:val="003D73E7"/>
    <w:rsid w:val="003D7C43"/>
    <w:rsid w:val="003E0005"/>
    <w:rsid w:val="003E00EF"/>
    <w:rsid w:val="003E0456"/>
    <w:rsid w:val="003E05E9"/>
    <w:rsid w:val="003E0716"/>
    <w:rsid w:val="003E0947"/>
    <w:rsid w:val="003E12D9"/>
    <w:rsid w:val="003E13E5"/>
    <w:rsid w:val="003E1492"/>
    <w:rsid w:val="003E1632"/>
    <w:rsid w:val="003E16C4"/>
    <w:rsid w:val="003E1797"/>
    <w:rsid w:val="003E1821"/>
    <w:rsid w:val="003E19C8"/>
    <w:rsid w:val="003E1A67"/>
    <w:rsid w:val="003E1C0D"/>
    <w:rsid w:val="003E1E5B"/>
    <w:rsid w:val="003E1F17"/>
    <w:rsid w:val="003E2358"/>
    <w:rsid w:val="003E2442"/>
    <w:rsid w:val="003E24DD"/>
    <w:rsid w:val="003E25A7"/>
    <w:rsid w:val="003E2AE5"/>
    <w:rsid w:val="003E2FE9"/>
    <w:rsid w:val="003E33D4"/>
    <w:rsid w:val="003E363C"/>
    <w:rsid w:val="003E37F3"/>
    <w:rsid w:val="003E3C26"/>
    <w:rsid w:val="003E3F16"/>
    <w:rsid w:val="003E3F5E"/>
    <w:rsid w:val="003E4057"/>
    <w:rsid w:val="003E43B8"/>
    <w:rsid w:val="003E46D4"/>
    <w:rsid w:val="003E4741"/>
    <w:rsid w:val="003E4E63"/>
    <w:rsid w:val="003E5217"/>
    <w:rsid w:val="003E5461"/>
    <w:rsid w:val="003E55C9"/>
    <w:rsid w:val="003E58B1"/>
    <w:rsid w:val="003E5D21"/>
    <w:rsid w:val="003E5E11"/>
    <w:rsid w:val="003E5ECF"/>
    <w:rsid w:val="003E5F4A"/>
    <w:rsid w:val="003E600D"/>
    <w:rsid w:val="003E60F9"/>
    <w:rsid w:val="003E6376"/>
    <w:rsid w:val="003E63AB"/>
    <w:rsid w:val="003E6578"/>
    <w:rsid w:val="003E6AD7"/>
    <w:rsid w:val="003E6CBC"/>
    <w:rsid w:val="003E725F"/>
    <w:rsid w:val="003E72CC"/>
    <w:rsid w:val="003E73F2"/>
    <w:rsid w:val="003E753D"/>
    <w:rsid w:val="003E762B"/>
    <w:rsid w:val="003E76C7"/>
    <w:rsid w:val="003E7942"/>
    <w:rsid w:val="003E7A4F"/>
    <w:rsid w:val="003E7B73"/>
    <w:rsid w:val="003F08F7"/>
    <w:rsid w:val="003F0DF4"/>
    <w:rsid w:val="003F1209"/>
    <w:rsid w:val="003F13E2"/>
    <w:rsid w:val="003F152F"/>
    <w:rsid w:val="003F16B3"/>
    <w:rsid w:val="003F16D0"/>
    <w:rsid w:val="003F1B70"/>
    <w:rsid w:val="003F1B75"/>
    <w:rsid w:val="003F1E18"/>
    <w:rsid w:val="003F1EC4"/>
    <w:rsid w:val="003F213B"/>
    <w:rsid w:val="003F2199"/>
    <w:rsid w:val="003F220D"/>
    <w:rsid w:val="003F2676"/>
    <w:rsid w:val="003F29CD"/>
    <w:rsid w:val="003F2CA9"/>
    <w:rsid w:val="003F33E4"/>
    <w:rsid w:val="003F38AA"/>
    <w:rsid w:val="003F3E56"/>
    <w:rsid w:val="003F45A4"/>
    <w:rsid w:val="003F470B"/>
    <w:rsid w:val="003F49AF"/>
    <w:rsid w:val="003F4E37"/>
    <w:rsid w:val="003F5052"/>
    <w:rsid w:val="003F50D0"/>
    <w:rsid w:val="003F5112"/>
    <w:rsid w:val="003F5168"/>
    <w:rsid w:val="003F5203"/>
    <w:rsid w:val="003F5374"/>
    <w:rsid w:val="003F55DF"/>
    <w:rsid w:val="003F56A0"/>
    <w:rsid w:val="003F57DB"/>
    <w:rsid w:val="003F5CC2"/>
    <w:rsid w:val="003F5E30"/>
    <w:rsid w:val="003F60E7"/>
    <w:rsid w:val="003F61BB"/>
    <w:rsid w:val="003F61BD"/>
    <w:rsid w:val="003F627D"/>
    <w:rsid w:val="003F64C8"/>
    <w:rsid w:val="003F6D53"/>
    <w:rsid w:val="003F7DB4"/>
    <w:rsid w:val="003F7E6F"/>
    <w:rsid w:val="0040073F"/>
    <w:rsid w:val="00400D67"/>
    <w:rsid w:val="00400F7C"/>
    <w:rsid w:val="00401677"/>
    <w:rsid w:val="004017E8"/>
    <w:rsid w:val="00401DCA"/>
    <w:rsid w:val="00401F21"/>
    <w:rsid w:val="00401FB4"/>
    <w:rsid w:val="00401FF1"/>
    <w:rsid w:val="00402206"/>
    <w:rsid w:val="0040263F"/>
    <w:rsid w:val="004026F1"/>
    <w:rsid w:val="0040270E"/>
    <w:rsid w:val="00402738"/>
    <w:rsid w:val="00402767"/>
    <w:rsid w:val="004031BE"/>
    <w:rsid w:val="004034BC"/>
    <w:rsid w:val="00403798"/>
    <w:rsid w:val="0040395C"/>
    <w:rsid w:val="00403B62"/>
    <w:rsid w:val="00403D71"/>
    <w:rsid w:val="004044B1"/>
    <w:rsid w:val="004045E8"/>
    <w:rsid w:val="00404611"/>
    <w:rsid w:val="004049EE"/>
    <w:rsid w:val="00404AA9"/>
    <w:rsid w:val="00404E0E"/>
    <w:rsid w:val="00404F63"/>
    <w:rsid w:val="004056B3"/>
    <w:rsid w:val="00405828"/>
    <w:rsid w:val="004059D2"/>
    <w:rsid w:val="00405B6B"/>
    <w:rsid w:val="00405FB0"/>
    <w:rsid w:val="0040624A"/>
    <w:rsid w:val="00406724"/>
    <w:rsid w:val="00406A51"/>
    <w:rsid w:val="00406B76"/>
    <w:rsid w:val="00406C1F"/>
    <w:rsid w:val="00406D27"/>
    <w:rsid w:val="00407D6A"/>
    <w:rsid w:val="004102BC"/>
    <w:rsid w:val="004106B7"/>
    <w:rsid w:val="004108B9"/>
    <w:rsid w:val="004109E1"/>
    <w:rsid w:val="00410C6D"/>
    <w:rsid w:val="00410D3C"/>
    <w:rsid w:val="00410E3E"/>
    <w:rsid w:val="0041207C"/>
    <w:rsid w:val="004128E1"/>
    <w:rsid w:val="0041297F"/>
    <w:rsid w:val="00412A1B"/>
    <w:rsid w:val="004131C5"/>
    <w:rsid w:val="00413516"/>
    <w:rsid w:val="004135F6"/>
    <w:rsid w:val="004136ED"/>
    <w:rsid w:val="00413702"/>
    <w:rsid w:val="00413D85"/>
    <w:rsid w:val="00413EF4"/>
    <w:rsid w:val="00413F06"/>
    <w:rsid w:val="004140FB"/>
    <w:rsid w:val="0041416D"/>
    <w:rsid w:val="00414582"/>
    <w:rsid w:val="004148A5"/>
    <w:rsid w:val="00414F5B"/>
    <w:rsid w:val="004151A9"/>
    <w:rsid w:val="004151B4"/>
    <w:rsid w:val="00415847"/>
    <w:rsid w:val="00415C0F"/>
    <w:rsid w:val="00415D3C"/>
    <w:rsid w:val="00416745"/>
    <w:rsid w:val="0041678A"/>
    <w:rsid w:val="00416C37"/>
    <w:rsid w:val="00416E9C"/>
    <w:rsid w:val="00416EDD"/>
    <w:rsid w:val="004173BF"/>
    <w:rsid w:val="004173F0"/>
    <w:rsid w:val="00417426"/>
    <w:rsid w:val="00417ADF"/>
    <w:rsid w:val="00417B38"/>
    <w:rsid w:val="004201A4"/>
    <w:rsid w:val="004203D3"/>
    <w:rsid w:val="0042045E"/>
    <w:rsid w:val="00420579"/>
    <w:rsid w:val="00420639"/>
    <w:rsid w:val="004206B5"/>
    <w:rsid w:val="0042074C"/>
    <w:rsid w:val="00420B8B"/>
    <w:rsid w:val="00420EE4"/>
    <w:rsid w:val="00420F55"/>
    <w:rsid w:val="004211B6"/>
    <w:rsid w:val="004211F4"/>
    <w:rsid w:val="00421370"/>
    <w:rsid w:val="00421BC5"/>
    <w:rsid w:val="00421BDC"/>
    <w:rsid w:val="00422080"/>
    <w:rsid w:val="00422145"/>
    <w:rsid w:val="0042265A"/>
    <w:rsid w:val="00422C5F"/>
    <w:rsid w:val="00422FEF"/>
    <w:rsid w:val="00423218"/>
    <w:rsid w:val="00423B54"/>
    <w:rsid w:val="00423E82"/>
    <w:rsid w:val="00424823"/>
    <w:rsid w:val="00424A0C"/>
    <w:rsid w:val="00424CCF"/>
    <w:rsid w:val="00424F82"/>
    <w:rsid w:val="004252FA"/>
    <w:rsid w:val="00425A1E"/>
    <w:rsid w:val="00425D78"/>
    <w:rsid w:val="00425D8B"/>
    <w:rsid w:val="00425EBA"/>
    <w:rsid w:val="00425F64"/>
    <w:rsid w:val="00426371"/>
    <w:rsid w:val="00426608"/>
    <w:rsid w:val="004269DB"/>
    <w:rsid w:val="00426BE9"/>
    <w:rsid w:val="00426E1E"/>
    <w:rsid w:val="00426FD6"/>
    <w:rsid w:val="00426FF4"/>
    <w:rsid w:val="004276D7"/>
    <w:rsid w:val="00427886"/>
    <w:rsid w:val="004278A6"/>
    <w:rsid w:val="0042790A"/>
    <w:rsid w:val="00427AAF"/>
    <w:rsid w:val="00427C8D"/>
    <w:rsid w:val="00427EB8"/>
    <w:rsid w:val="00430114"/>
    <w:rsid w:val="004303E4"/>
    <w:rsid w:val="00430603"/>
    <w:rsid w:val="00430735"/>
    <w:rsid w:val="00430939"/>
    <w:rsid w:val="00430A32"/>
    <w:rsid w:val="00430B2C"/>
    <w:rsid w:val="00430DFD"/>
    <w:rsid w:val="00430FC1"/>
    <w:rsid w:val="00431D37"/>
    <w:rsid w:val="00431E7A"/>
    <w:rsid w:val="00431ED7"/>
    <w:rsid w:val="00432691"/>
    <w:rsid w:val="0043299B"/>
    <w:rsid w:val="00432D39"/>
    <w:rsid w:val="00432F5C"/>
    <w:rsid w:val="004334CF"/>
    <w:rsid w:val="004335CD"/>
    <w:rsid w:val="00433B38"/>
    <w:rsid w:val="00433C42"/>
    <w:rsid w:val="00434490"/>
    <w:rsid w:val="004345AB"/>
    <w:rsid w:val="00434988"/>
    <w:rsid w:val="00434B80"/>
    <w:rsid w:val="00434B8D"/>
    <w:rsid w:val="00434F57"/>
    <w:rsid w:val="0043503C"/>
    <w:rsid w:val="00435300"/>
    <w:rsid w:val="00435991"/>
    <w:rsid w:val="00436181"/>
    <w:rsid w:val="00436270"/>
    <w:rsid w:val="00436E95"/>
    <w:rsid w:val="00436EB4"/>
    <w:rsid w:val="00436ED6"/>
    <w:rsid w:val="00437174"/>
    <w:rsid w:val="004376B5"/>
    <w:rsid w:val="004379F0"/>
    <w:rsid w:val="00437D7C"/>
    <w:rsid w:val="00440102"/>
    <w:rsid w:val="004402CD"/>
    <w:rsid w:val="00440549"/>
    <w:rsid w:val="004405BA"/>
    <w:rsid w:val="0044067F"/>
    <w:rsid w:val="004406CB"/>
    <w:rsid w:val="00440D29"/>
    <w:rsid w:val="00440D47"/>
    <w:rsid w:val="004410CC"/>
    <w:rsid w:val="0044129C"/>
    <w:rsid w:val="00441376"/>
    <w:rsid w:val="0044161D"/>
    <w:rsid w:val="0044170F"/>
    <w:rsid w:val="004418AB"/>
    <w:rsid w:val="00441C93"/>
    <w:rsid w:val="00441F50"/>
    <w:rsid w:val="00442076"/>
    <w:rsid w:val="004420A1"/>
    <w:rsid w:val="004420F9"/>
    <w:rsid w:val="004421D2"/>
    <w:rsid w:val="00442579"/>
    <w:rsid w:val="004425BE"/>
    <w:rsid w:val="004428BA"/>
    <w:rsid w:val="00442A97"/>
    <w:rsid w:val="00442B30"/>
    <w:rsid w:val="00442BA6"/>
    <w:rsid w:val="00442EC3"/>
    <w:rsid w:val="00443065"/>
    <w:rsid w:val="004430B1"/>
    <w:rsid w:val="0044325C"/>
    <w:rsid w:val="00443685"/>
    <w:rsid w:val="00443AA8"/>
    <w:rsid w:val="00444048"/>
    <w:rsid w:val="00444080"/>
    <w:rsid w:val="00444322"/>
    <w:rsid w:val="0044482D"/>
    <w:rsid w:val="004450E8"/>
    <w:rsid w:val="004454DB"/>
    <w:rsid w:val="00445542"/>
    <w:rsid w:val="004455D9"/>
    <w:rsid w:val="00445B73"/>
    <w:rsid w:val="00446690"/>
    <w:rsid w:val="00446A19"/>
    <w:rsid w:val="004470E4"/>
    <w:rsid w:val="004473F3"/>
    <w:rsid w:val="00447536"/>
    <w:rsid w:val="004476D2"/>
    <w:rsid w:val="00447C2C"/>
    <w:rsid w:val="00447E40"/>
    <w:rsid w:val="00450141"/>
    <w:rsid w:val="0045090E"/>
    <w:rsid w:val="00450C2D"/>
    <w:rsid w:val="0045166F"/>
    <w:rsid w:val="004519B0"/>
    <w:rsid w:val="00451DA3"/>
    <w:rsid w:val="00451E47"/>
    <w:rsid w:val="00451FDE"/>
    <w:rsid w:val="00452056"/>
    <w:rsid w:val="004520C9"/>
    <w:rsid w:val="004520D9"/>
    <w:rsid w:val="0045211E"/>
    <w:rsid w:val="00452196"/>
    <w:rsid w:val="004521BA"/>
    <w:rsid w:val="0045244B"/>
    <w:rsid w:val="00452521"/>
    <w:rsid w:val="0045255B"/>
    <w:rsid w:val="00452A03"/>
    <w:rsid w:val="00452CBA"/>
    <w:rsid w:val="00453456"/>
    <w:rsid w:val="004539EA"/>
    <w:rsid w:val="00453AE0"/>
    <w:rsid w:val="00453C4F"/>
    <w:rsid w:val="004542DB"/>
    <w:rsid w:val="00454556"/>
    <w:rsid w:val="00454975"/>
    <w:rsid w:val="00454A0C"/>
    <w:rsid w:val="00454A47"/>
    <w:rsid w:val="004550F8"/>
    <w:rsid w:val="004551EC"/>
    <w:rsid w:val="00455A0B"/>
    <w:rsid w:val="00455A50"/>
    <w:rsid w:val="00455CD6"/>
    <w:rsid w:val="00455DC6"/>
    <w:rsid w:val="004561A5"/>
    <w:rsid w:val="0045630C"/>
    <w:rsid w:val="004563E7"/>
    <w:rsid w:val="0045662C"/>
    <w:rsid w:val="004567AF"/>
    <w:rsid w:val="004568AD"/>
    <w:rsid w:val="00456A10"/>
    <w:rsid w:val="00456A34"/>
    <w:rsid w:val="00456AFA"/>
    <w:rsid w:val="00456BB2"/>
    <w:rsid w:val="004571EC"/>
    <w:rsid w:val="004573C8"/>
    <w:rsid w:val="004576B9"/>
    <w:rsid w:val="00457882"/>
    <w:rsid w:val="00457935"/>
    <w:rsid w:val="004604B2"/>
    <w:rsid w:val="004605B8"/>
    <w:rsid w:val="004605DF"/>
    <w:rsid w:val="004606DF"/>
    <w:rsid w:val="00460B9D"/>
    <w:rsid w:val="00460C06"/>
    <w:rsid w:val="00460EDB"/>
    <w:rsid w:val="00461018"/>
    <w:rsid w:val="004611B9"/>
    <w:rsid w:val="004614B0"/>
    <w:rsid w:val="00461679"/>
    <w:rsid w:val="00461A75"/>
    <w:rsid w:val="00461D7E"/>
    <w:rsid w:val="0046243D"/>
    <w:rsid w:val="0046249E"/>
    <w:rsid w:val="004624F2"/>
    <w:rsid w:val="00462E5F"/>
    <w:rsid w:val="00462F5A"/>
    <w:rsid w:val="0046302C"/>
    <w:rsid w:val="00463A4B"/>
    <w:rsid w:val="00463BFC"/>
    <w:rsid w:val="00463C61"/>
    <w:rsid w:val="004641F9"/>
    <w:rsid w:val="00464693"/>
    <w:rsid w:val="00464F0A"/>
    <w:rsid w:val="00464F5F"/>
    <w:rsid w:val="004664D2"/>
    <w:rsid w:val="0046650A"/>
    <w:rsid w:val="00466EAE"/>
    <w:rsid w:val="00466EF2"/>
    <w:rsid w:val="00467052"/>
    <w:rsid w:val="004672E2"/>
    <w:rsid w:val="0046736B"/>
    <w:rsid w:val="004678EF"/>
    <w:rsid w:val="00467F0A"/>
    <w:rsid w:val="00467FBE"/>
    <w:rsid w:val="004701A1"/>
    <w:rsid w:val="00470368"/>
    <w:rsid w:val="00470392"/>
    <w:rsid w:val="00470C62"/>
    <w:rsid w:val="00470ECC"/>
    <w:rsid w:val="004712C6"/>
    <w:rsid w:val="0047139F"/>
    <w:rsid w:val="004715C5"/>
    <w:rsid w:val="004717AB"/>
    <w:rsid w:val="004718EC"/>
    <w:rsid w:val="00471AC7"/>
    <w:rsid w:val="00471AD0"/>
    <w:rsid w:val="00472BFD"/>
    <w:rsid w:val="00472C1D"/>
    <w:rsid w:val="00472C95"/>
    <w:rsid w:val="00472E66"/>
    <w:rsid w:val="0047300B"/>
    <w:rsid w:val="00473514"/>
    <w:rsid w:val="00473F10"/>
    <w:rsid w:val="0047406D"/>
    <w:rsid w:val="0047425B"/>
    <w:rsid w:val="0047431A"/>
    <w:rsid w:val="0047441D"/>
    <w:rsid w:val="00474530"/>
    <w:rsid w:val="004745A1"/>
    <w:rsid w:val="00474A2C"/>
    <w:rsid w:val="00474B78"/>
    <w:rsid w:val="00474C55"/>
    <w:rsid w:val="004752EE"/>
    <w:rsid w:val="004753A3"/>
    <w:rsid w:val="004756AA"/>
    <w:rsid w:val="004757E2"/>
    <w:rsid w:val="00475F82"/>
    <w:rsid w:val="0047637B"/>
    <w:rsid w:val="004765E4"/>
    <w:rsid w:val="00476DCA"/>
    <w:rsid w:val="00476F72"/>
    <w:rsid w:val="00476FA3"/>
    <w:rsid w:val="00477178"/>
    <w:rsid w:val="004771BC"/>
    <w:rsid w:val="0047782F"/>
    <w:rsid w:val="004779C0"/>
    <w:rsid w:val="00477AAC"/>
    <w:rsid w:val="00477C0D"/>
    <w:rsid w:val="00477F6C"/>
    <w:rsid w:val="00477FB0"/>
    <w:rsid w:val="004801E3"/>
    <w:rsid w:val="00480BA6"/>
    <w:rsid w:val="00480D10"/>
    <w:rsid w:val="00480D15"/>
    <w:rsid w:val="00481032"/>
    <w:rsid w:val="00481121"/>
    <w:rsid w:val="00481A13"/>
    <w:rsid w:val="00481B64"/>
    <w:rsid w:val="00481B6E"/>
    <w:rsid w:val="00481DD5"/>
    <w:rsid w:val="00481E53"/>
    <w:rsid w:val="00482041"/>
    <w:rsid w:val="004829A9"/>
    <w:rsid w:val="00482A8B"/>
    <w:rsid w:val="00482A94"/>
    <w:rsid w:val="00482DC7"/>
    <w:rsid w:val="00482EA0"/>
    <w:rsid w:val="00482EE9"/>
    <w:rsid w:val="00483218"/>
    <w:rsid w:val="00483884"/>
    <w:rsid w:val="0048396E"/>
    <w:rsid w:val="00483D19"/>
    <w:rsid w:val="00483F5F"/>
    <w:rsid w:val="0048413B"/>
    <w:rsid w:val="004841DF"/>
    <w:rsid w:val="004841ED"/>
    <w:rsid w:val="00484437"/>
    <w:rsid w:val="00484A9B"/>
    <w:rsid w:val="00484D54"/>
    <w:rsid w:val="004852C7"/>
    <w:rsid w:val="004852EF"/>
    <w:rsid w:val="004857DE"/>
    <w:rsid w:val="00485824"/>
    <w:rsid w:val="00485A7E"/>
    <w:rsid w:val="00485B9E"/>
    <w:rsid w:val="00485EDE"/>
    <w:rsid w:val="0048619B"/>
    <w:rsid w:val="004865F6"/>
    <w:rsid w:val="0048698E"/>
    <w:rsid w:val="00486B29"/>
    <w:rsid w:val="00486B6F"/>
    <w:rsid w:val="00486BDF"/>
    <w:rsid w:val="00486FE9"/>
    <w:rsid w:val="004877C3"/>
    <w:rsid w:val="0048799E"/>
    <w:rsid w:val="004879AE"/>
    <w:rsid w:val="00487CE3"/>
    <w:rsid w:val="00487DFB"/>
    <w:rsid w:val="00487E78"/>
    <w:rsid w:val="00490212"/>
    <w:rsid w:val="0049037E"/>
    <w:rsid w:val="0049045D"/>
    <w:rsid w:val="00490861"/>
    <w:rsid w:val="004908FE"/>
    <w:rsid w:val="00490A7B"/>
    <w:rsid w:val="004910FD"/>
    <w:rsid w:val="0049154C"/>
    <w:rsid w:val="00491583"/>
    <w:rsid w:val="00491598"/>
    <w:rsid w:val="0049161A"/>
    <w:rsid w:val="004916DB"/>
    <w:rsid w:val="00491DCB"/>
    <w:rsid w:val="0049211B"/>
    <w:rsid w:val="0049226B"/>
    <w:rsid w:val="00492298"/>
    <w:rsid w:val="004923E2"/>
    <w:rsid w:val="0049260E"/>
    <w:rsid w:val="00492756"/>
    <w:rsid w:val="004928AE"/>
    <w:rsid w:val="00492BD2"/>
    <w:rsid w:val="00492EB0"/>
    <w:rsid w:val="0049321C"/>
    <w:rsid w:val="004932B2"/>
    <w:rsid w:val="00493707"/>
    <w:rsid w:val="00493A9F"/>
    <w:rsid w:val="00493D4A"/>
    <w:rsid w:val="00493F16"/>
    <w:rsid w:val="004940B6"/>
    <w:rsid w:val="00494A6E"/>
    <w:rsid w:val="00494B64"/>
    <w:rsid w:val="00494BF7"/>
    <w:rsid w:val="00494C7A"/>
    <w:rsid w:val="00495189"/>
    <w:rsid w:val="004951F2"/>
    <w:rsid w:val="004952B9"/>
    <w:rsid w:val="0049555D"/>
    <w:rsid w:val="0049586D"/>
    <w:rsid w:val="004959A4"/>
    <w:rsid w:val="00495F0D"/>
    <w:rsid w:val="0049627B"/>
    <w:rsid w:val="004964B4"/>
    <w:rsid w:val="0049654E"/>
    <w:rsid w:val="0049659A"/>
    <w:rsid w:val="004967A6"/>
    <w:rsid w:val="00496A33"/>
    <w:rsid w:val="0049708A"/>
    <w:rsid w:val="004971F2"/>
    <w:rsid w:val="00497FE7"/>
    <w:rsid w:val="004A00D9"/>
    <w:rsid w:val="004A03E2"/>
    <w:rsid w:val="004A083F"/>
    <w:rsid w:val="004A088C"/>
    <w:rsid w:val="004A0944"/>
    <w:rsid w:val="004A0A08"/>
    <w:rsid w:val="004A0B0B"/>
    <w:rsid w:val="004A0C1B"/>
    <w:rsid w:val="004A12F5"/>
    <w:rsid w:val="004A138D"/>
    <w:rsid w:val="004A1944"/>
    <w:rsid w:val="004A1CC9"/>
    <w:rsid w:val="004A1E43"/>
    <w:rsid w:val="004A21E8"/>
    <w:rsid w:val="004A2369"/>
    <w:rsid w:val="004A2D05"/>
    <w:rsid w:val="004A2F60"/>
    <w:rsid w:val="004A31D7"/>
    <w:rsid w:val="004A3542"/>
    <w:rsid w:val="004A3A73"/>
    <w:rsid w:val="004A3DC1"/>
    <w:rsid w:val="004A3F5B"/>
    <w:rsid w:val="004A4268"/>
    <w:rsid w:val="004A493A"/>
    <w:rsid w:val="004A49AC"/>
    <w:rsid w:val="004A4A95"/>
    <w:rsid w:val="004A4DDA"/>
    <w:rsid w:val="004A5524"/>
    <w:rsid w:val="004A61EA"/>
    <w:rsid w:val="004A6298"/>
    <w:rsid w:val="004A650F"/>
    <w:rsid w:val="004A6663"/>
    <w:rsid w:val="004A6A0A"/>
    <w:rsid w:val="004A6F11"/>
    <w:rsid w:val="004A76C3"/>
    <w:rsid w:val="004A7DC4"/>
    <w:rsid w:val="004A7E41"/>
    <w:rsid w:val="004A7F35"/>
    <w:rsid w:val="004A7F5A"/>
    <w:rsid w:val="004B00CA"/>
    <w:rsid w:val="004B045C"/>
    <w:rsid w:val="004B058B"/>
    <w:rsid w:val="004B0AB0"/>
    <w:rsid w:val="004B0D89"/>
    <w:rsid w:val="004B19C3"/>
    <w:rsid w:val="004B1D6B"/>
    <w:rsid w:val="004B252D"/>
    <w:rsid w:val="004B29B4"/>
    <w:rsid w:val="004B29BC"/>
    <w:rsid w:val="004B2AB3"/>
    <w:rsid w:val="004B2DF7"/>
    <w:rsid w:val="004B2E18"/>
    <w:rsid w:val="004B3C24"/>
    <w:rsid w:val="004B3E3C"/>
    <w:rsid w:val="004B40D7"/>
    <w:rsid w:val="004B4121"/>
    <w:rsid w:val="004B4319"/>
    <w:rsid w:val="004B44FA"/>
    <w:rsid w:val="004B46C7"/>
    <w:rsid w:val="004B46FB"/>
    <w:rsid w:val="004B47A2"/>
    <w:rsid w:val="004B47F3"/>
    <w:rsid w:val="004B54F1"/>
    <w:rsid w:val="004B5693"/>
    <w:rsid w:val="004B574C"/>
    <w:rsid w:val="004B5FC1"/>
    <w:rsid w:val="004B5FF6"/>
    <w:rsid w:val="004B65EB"/>
    <w:rsid w:val="004B66F5"/>
    <w:rsid w:val="004B6EFD"/>
    <w:rsid w:val="004B7039"/>
    <w:rsid w:val="004B7041"/>
    <w:rsid w:val="004B77A4"/>
    <w:rsid w:val="004B7BE2"/>
    <w:rsid w:val="004B7D2A"/>
    <w:rsid w:val="004B7F66"/>
    <w:rsid w:val="004C002B"/>
    <w:rsid w:val="004C0185"/>
    <w:rsid w:val="004C0259"/>
    <w:rsid w:val="004C02A0"/>
    <w:rsid w:val="004C0782"/>
    <w:rsid w:val="004C0A3E"/>
    <w:rsid w:val="004C0E4B"/>
    <w:rsid w:val="004C10C6"/>
    <w:rsid w:val="004C160C"/>
    <w:rsid w:val="004C1669"/>
    <w:rsid w:val="004C1726"/>
    <w:rsid w:val="004C1789"/>
    <w:rsid w:val="004C1B41"/>
    <w:rsid w:val="004C1CF8"/>
    <w:rsid w:val="004C1D25"/>
    <w:rsid w:val="004C1E45"/>
    <w:rsid w:val="004C1E77"/>
    <w:rsid w:val="004C21BF"/>
    <w:rsid w:val="004C26C6"/>
    <w:rsid w:val="004C27A3"/>
    <w:rsid w:val="004C2A70"/>
    <w:rsid w:val="004C2CEE"/>
    <w:rsid w:val="004C2D99"/>
    <w:rsid w:val="004C2E5F"/>
    <w:rsid w:val="004C2E90"/>
    <w:rsid w:val="004C32EA"/>
    <w:rsid w:val="004C331D"/>
    <w:rsid w:val="004C39E2"/>
    <w:rsid w:val="004C3CB4"/>
    <w:rsid w:val="004C3FAA"/>
    <w:rsid w:val="004C4076"/>
    <w:rsid w:val="004C4D6B"/>
    <w:rsid w:val="004C4EAF"/>
    <w:rsid w:val="004C5249"/>
    <w:rsid w:val="004C5377"/>
    <w:rsid w:val="004C57D9"/>
    <w:rsid w:val="004C5808"/>
    <w:rsid w:val="004C5DA8"/>
    <w:rsid w:val="004C6078"/>
    <w:rsid w:val="004C6132"/>
    <w:rsid w:val="004C6796"/>
    <w:rsid w:val="004C6B65"/>
    <w:rsid w:val="004C75B3"/>
    <w:rsid w:val="004C7705"/>
    <w:rsid w:val="004C7882"/>
    <w:rsid w:val="004C7B40"/>
    <w:rsid w:val="004C7BF9"/>
    <w:rsid w:val="004C7C6F"/>
    <w:rsid w:val="004C7CC6"/>
    <w:rsid w:val="004C7DB2"/>
    <w:rsid w:val="004D0146"/>
    <w:rsid w:val="004D0572"/>
    <w:rsid w:val="004D069B"/>
    <w:rsid w:val="004D089E"/>
    <w:rsid w:val="004D098D"/>
    <w:rsid w:val="004D0D0E"/>
    <w:rsid w:val="004D131D"/>
    <w:rsid w:val="004D1484"/>
    <w:rsid w:val="004D18D6"/>
    <w:rsid w:val="004D1B8D"/>
    <w:rsid w:val="004D1C67"/>
    <w:rsid w:val="004D208B"/>
    <w:rsid w:val="004D274F"/>
    <w:rsid w:val="004D2C95"/>
    <w:rsid w:val="004D2E97"/>
    <w:rsid w:val="004D2F16"/>
    <w:rsid w:val="004D3019"/>
    <w:rsid w:val="004D32EE"/>
    <w:rsid w:val="004D33B7"/>
    <w:rsid w:val="004D35A3"/>
    <w:rsid w:val="004D372C"/>
    <w:rsid w:val="004D3DB0"/>
    <w:rsid w:val="004D413E"/>
    <w:rsid w:val="004D48B9"/>
    <w:rsid w:val="004D48D0"/>
    <w:rsid w:val="004D54AC"/>
    <w:rsid w:val="004D58C0"/>
    <w:rsid w:val="004D5A19"/>
    <w:rsid w:val="004D63DA"/>
    <w:rsid w:val="004D6869"/>
    <w:rsid w:val="004D6C8B"/>
    <w:rsid w:val="004D6DD4"/>
    <w:rsid w:val="004D6EF0"/>
    <w:rsid w:val="004D6FE8"/>
    <w:rsid w:val="004D707E"/>
    <w:rsid w:val="004D7424"/>
    <w:rsid w:val="004D74FB"/>
    <w:rsid w:val="004D76EF"/>
    <w:rsid w:val="004D7863"/>
    <w:rsid w:val="004D7BA1"/>
    <w:rsid w:val="004D7DD6"/>
    <w:rsid w:val="004D7F8D"/>
    <w:rsid w:val="004E004C"/>
    <w:rsid w:val="004E005C"/>
    <w:rsid w:val="004E009C"/>
    <w:rsid w:val="004E0472"/>
    <w:rsid w:val="004E07A2"/>
    <w:rsid w:val="004E1278"/>
    <w:rsid w:val="004E14FB"/>
    <w:rsid w:val="004E156A"/>
    <w:rsid w:val="004E1605"/>
    <w:rsid w:val="004E17D3"/>
    <w:rsid w:val="004E1964"/>
    <w:rsid w:val="004E1970"/>
    <w:rsid w:val="004E216F"/>
    <w:rsid w:val="004E23BB"/>
    <w:rsid w:val="004E23EF"/>
    <w:rsid w:val="004E26CD"/>
    <w:rsid w:val="004E31BB"/>
    <w:rsid w:val="004E35BD"/>
    <w:rsid w:val="004E3980"/>
    <w:rsid w:val="004E39E0"/>
    <w:rsid w:val="004E3A7C"/>
    <w:rsid w:val="004E3FA3"/>
    <w:rsid w:val="004E4051"/>
    <w:rsid w:val="004E40D0"/>
    <w:rsid w:val="004E4828"/>
    <w:rsid w:val="004E4AAC"/>
    <w:rsid w:val="004E4FC0"/>
    <w:rsid w:val="004E5043"/>
    <w:rsid w:val="004E5298"/>
    <w:rsid w:val="004E6061"/>
    <w:rsid w:val="004E64E5"/>
    <w:rsid w:val="004E676D"/>
    <w:rsid w:val="004E67D9"/>
    <w:rsid w:val="004E67F4"/>
    <w:rsid w:val="004E73D9"/>
    <w:rsid w:val="004E7A28"/>
    <w:rsid w:val="004E7DCB"/>
    <w:rsid w:val="004E7E27"/>
    <w:rsid w:val="004F0388"/>
    <w:rsid w:val="004F03A6"/>
    <w:rsid w:val="004F040D"/>
    <w:rsid w:val="004F06DD"/>
    <w:rsid w:val="004F0844"/>
    <w:rsid w:val="004F0C4E"/>
    <w:rsid w:val="004F0CA7"/>
    <w:rsid w:val="004F0D54"/>
    <w:rsid w:val="004F0F17"/>
    <w:rsid w:val="004F10CB"/>
    <w:rsid w:val="004F10D6"/>
    <w:rsid w:val="004F13B9"/>
    <w:rsid w:val="004F160A"/>
    <w:rsid w:val="004F1E4E"/>
    <w:rsid w:val="004F267E"/>
    <w:rsid w:val="004F28D8"/>
    <w:rsid w:val="004F2993"/>
    <w:rsid w:val="004F2B27"/>
    <w:rsid w:val="004F2D88"/>
    <w:rsid w:val="004F3110"/>
    <w:rsid w:val="004F358E"/>
    <w:rsid w:val="004F3629"/>
    <w:rsid w:val="004F3E79"/>
    <w:rsid w:val="004F3F42"/>
    <w:rsid w:val="004F4028"/>
    <w:rsid w:val="004F4148"/>
    <w:rsid w:val="004F44EA"/>
    <w:rsid w:val="004F453A"/>
    <w:rsid w:val="004F49A8"/>
    <w:rsid w:val="004F4A1D"/>
    <w:rsid w:val="004F4AEA"/>
    <w:rsid w:val="004F4ECB"/>
    <w:rsid w:val="004F4FD6"/>
    <w:rsid w:val="004F555A"/>
    <w:rsid w:val="004F5780"/>
    <w:rsid w:val="004F57C9"/>
    <w:rsid w:val="004F5E54"/>
    <w:rsid w:val="004F5F7B"/>
    <w:rsid w:val="004F612B"/>
    <w:rsid w:val="004F6274"/>
    <w:rsid w:val="004F636A"/>
    <w:rsid w:val="004F64F2"/>
    <w:rsid w:val="004F6826"/>
    <w:rsid w:val="004F68EC"/>
    <w:rsid w:val="004F6B6E"/>
    <w:rsid w:val="004F6FF4"/>
    <w:rsid w:val="004F7293"/>
    <w:rsid w:val="004F72D7"/>
    <w:rsid w:val="004F75DA"/>
    <w:rsid w:val="004F7C21"/>
    <w:rsid w:val="004F7E07"/>
    <w:rsid w:val="005000C5"/>
    <w:rsid w:val="005002AB"/>
    <w:rsid w:val="005005A5"/>
    <w:rsid w:val="00500DD2"/>
    <w:rsid w:val="005018A0"/>
    <w:rsid w:val="005018EC"/>
    <w:rsid w:val="00501DB8"/>
    <w:rsid w:val="00501E9D"/>
    <w:rsid w:val="005021AC"/>
    <w:rsid w:val="0050224D"/>
    <w:rsid w:val="00502335"/>
    <w:rsid w:val="005026C4"/>
    <w:rsid w:val="005026CF"/>
    <w:rsid w:val="00502DE9"/>
    <w:rsid w:val="00502F39"/>
    <w:rsid w:val="005033D5"/>
    <w:rsid w:val="0050361E"/>
    <w:rsid w:val="00503BED"/>
    <w:rsid w:val="00503C59"/>
    <w:rsid w:val="00503D2F"/>
    <w:rsid w:val="00503E15"/>
    <w:rsid w:val="00503FE3"/>
    <w:rsid w:val="005040BA"/>
    <w:rsid w:val="0050445A"/>
    <w:rsid w:val="00504590"/>
    <w:rsid w:val="0050473D"/>
    <w:rsid w:val="00504BC9"/>
    <w:rsid w:val="00504C5E"/>
    <w:rsid w:val="00504C97"/>
    <w:rsid w:val="00504EBC"/>
    <w:rsid w:val="00504F94"/>
    <w:rsid w:val="005053A6"/>
    <w:rsid w:val="00505445"/>
    <w:rsid w:val="005055AD"/>
    <w:rsid w:val="00505A9C"/>
    <w:rsid w:val="00505D6E"/>
    <w:rsid w:val="00506195"/>
    <w:rsid w:val="005061BF"/>
    <w:rsid w:val="0050641B"/>
    <w:rsid w:val="005064AC"/>
    <w:rsid w:val="005064C9"/>
    <w:rsid w:val="005066E9"/>
    <w:rsid w:val="00506AC1"/>
    <w:rsid w:val="00506C3E"/>
    <w:rsid w:val="00507624"/>
    <w:rsid w:val="005076C8"/>
    <w:rsid w:val="00507B25"/>
    <w:rsid w:val="00507F09"/>
    <w:rsid w:val="0051014E"/>
    <w:rsid w:val="005102D1"/>
    <w:rsid w:val="00510844"/>
    <w:rsid w:val="00510C6F"/>
    <w:rsid w:val="00510D1C"/>
    <w:rsid w:val="00510FE1"/>
    <w:rsid w:val="00511B2B"/>
    <w:rsid w:val="00511C70"/>
    <w:rsid w:val="005120C7"/>
    <w:rsid w:val="005121D4"/>
    <w:rsid w:val="00512245"/>
    <w:rsid w:val="005126E7"/>
    <w:rsid w:val="00512965"/>
    <w:rsid w:val="00513494"/>
    <w:rsid w:val="005137EA"/>
    <w:rsid w:val="005140CB"/>
    <w:rsid w:val="00514643"/>
    <w:rsid w:val="005146AF"/>
    <w:rsid w:val="00514900"/>
    <w:rsid w:val="00514C01"/>
    <w:rsid w:val="00514E83"/>
    <w:rsid w:val="005154E9"/>
    <w:rsid w:val="0051555F"/>
    <w:rsid w:val="00515866"/>
    <w:rsid w:val="00515C30"/>
    <w:rsid w:val="005163EB"/>
    <w:rsid w:val="0051645B"/>
    <w:rsid w:val="00516488"/>
    <w:rsid w:val="005164C2"/>
    <w:rsid w:val="00516682"/>
    <w:rsid w:val="00516B3D"/>
    <w:rsid w:val="00516C35"/>
    <w:rsid w:val="00516D4F"/>
    <w:rsid w:val="00516D97"/>
    <w:rsid w:val="00516DE9"/>
    <w:rsid w:val="00517540"/>
    <w:rsid w:val="00517A2B"/>
    <w:rsid w:val="00517E25"/>
    <w:rsid w:val="005203C1"/>
    <w:rsid w:val="005204E7"/>
    <w:rsid w:val="00520527"/>
    <w:rsid w:val="00520548"/>
    <w:rsid w:val="005205A6"/>
    <w:rsid w:val="00520600"/>
    <w:rsid w:val="005206FA"/>
    <w:rsid w:val="00520B99"/>
    <w:rsid w:val="00520BB9"/>
    <w:rsid w:val="00520D7A"/>
    <w:rsid w:val="00521375"/>
    <w:rsid w:val="005213F3"/>
    <w:rsid w:val="00521E8E"/>
    <w:rsid w:val="00521EFD"/>
    <w:rsid w:val="005223B6"/>
    <w:rsid w:val="0052248A"/>
    <w:rsid w:val="005227D0"/>
    <w:rsid w:val="00522AE8"/>
    <w:rsid w:val="00522C85"/>
    <w:rsid w:val="00522E2F"/>
    <w:rsid w:val="0052318F"/>
    <w:rsid w:val="00523291"/>
    <w:rsid w:val="00523340"/>
    <w:rsid w:val="005235EE"/>
    <w:rsid w:val="005237B5"/>
    <w:rsid w:val="005237C2"/>
    <w:rsid w:val="00523912"/>
    <w:rsid w:val="00523A17"/>
    <w:rsid w:val="00523C31"/>
    <w:rsid w:val="00523E31"/>
    <w:rsid w:val="00524340"/>
    <w:rsid w:val="00524C8F"/>
    <w:rsid w:val="00525032"/>
    <w:rsid w:val="0052527E"/>
    <w:rsid w:val="00525B72"/>
    <w:rsid w:val="00525D68"/>
    <w:rsid w:val="00526116"/>
    <w:rsid w:val="00526293"/>
    <w:rsid w:val="00526417"/>
    <w:rsid w:val="005265E8"/>
    <w:rsid w:val="0052674A"/>
    <w:rsid w:val="00526B81"/>
    <w:rsid w:val="00526F6A"/>
    <w:rsid w:val="0052763A"/>
    <w:rsid w:val="00527CD0"/>
    <w:rsid w:val="00527D9C"/>
    <w:rsid w:val="00530304"/>
    <w:rsid w:val="005306F3"/>
    <w:rsid w:val="005307E9"/>
    <w:rsid w:val="00531103"/>
    <w:rsid w:val="0053112C"/>
    <w:rsid w:val="0053137E"/>
    <w:rsid w:val="00531526"/>
    <w:rsid w:val="00531D5F"/>
    <w:rsid w:val="005325A3"/>
    <w:rsid w:val="005327C0"/>
    <w:rsid w:val="00532B60"/>
    <w:rsid w:val="00532CB3"/>
    <w:rsid w:val="00532D06"/>
    <w:rsid w:val="00532D8C"/>
    <w:rsid w:val="00532FAF"/>
    <w:rsid w:val="00532FE6"/>
    <w:rsid w:val="0053342B"/>
    <w:rsid w:val="00533538"/>
    <w:rsid w:val="00533AE0"/>
    <w:rsid w:val="0053409D"/>
    <w:rsid w:val="005340EA"/>
    <w:rsid w:val="005346E7"/>
    <w:rsid w:val="00534959"/>
    <w:rsid w:val="00535260"/>
    <w:rsid w:val="005353DE"/>
    <w:rsid w:val="00535768"/>
    <w:rsid w:val="0053587B"/>
    <w:rsid w:val="005359A6"/>
    <w:rsid w:val="00535C2B"/>
    <w:rsid w:val="00535EF0"/>
    <w:rsid w:val="00535F35"/>
    <w:rsid w:val="00535FAA"/>
    <w:rsid w:val="005364D7"/>
    <w:rsid w:val="0053650A"/>
    <w:rsid w:val="00536516"/>
    <w:rsid w:val="0053675E"/>
    <w:rsid w:val="00536849"/>
    <w:rsid w:val="00536C39"/>
    <w:rsid w:val="00536C93"/>
    <w:rsid w:val="005370CF"/>
    <w:rsid w:val="0053723A"/>
    <w:rsid w:val="005372C1"/>
    <w:rsid w:val="005376C7"/>
    <w:rsid w:val="00537A2C"/>
    <w:rsid w:val="00537E5B"/>
    <w:rsid w:val="00537E70"/>
    <w:rsid w:val="00537FD7"/>
    <w:rsid w:val="005405F4"/>
    <w:rsid w:val="0054072A"/>
    <w:rsid w:val="00540890"/>
    <w:rsid w:val="00540897"/>
    <w:rsid w:val="00540BE3"/>
    <w:rsid w:val="005415D9"/>
    <w:rsid w:val="0054175D"/>
    <w:rsid w:val="00542080"/>
    <w:rsid w:val="005421FF"/>
    <w:rsid w:val="0054223B"/>
    <w:rsid w:val="0054277B"/>
    <w:rsid w:val="00542C3C"/>
    <w:rsid w:val="00542D74"/>
    <w:rsid w:val="00542E35"/>
    <w:rsid w:val="0054330E"/>
    <w:rsid w:val="00543319"/>
    <w:rsid w:val="00543434"/>
    <w:rsid w:val="00543645"/>
    <w:rsid w:val="00543D42"/>
    <w:rsid w:val="00543EE0"/>
    <w:rsid w:val="00544001"/>
    <w:rsid w:val="005447A9"/>
    <w:rsid w:val="0054544D"/>
    <w:rsid w:val="00545B5A"/>
    <w:rsid w:val="00545C04"/>
    <w:rsid w:val="00545C65"/>
    <w:rsid w:val="005466F1"/>
    <w:rsid w:val="00546BED"/>
    <w:rsid w:val="00546D27"/>
    <w:rsid w:val="00546F26"/>
    <w:rsid w:val="0054715F"/>
    <w:rsid w:val="00547804"/>
    <w:rsid w:val="00547A18"/>
    <w:rsid w:val="005502CB"/>
    <w:rsid w:val="00550561"/>
    <w:rsid w:val="00550BB5"/>
    <w:rsid w:val="00550CCB"/>
    <w:rsid w:val="00551838"/>
    <w:rsid w:val="005518CF"/>
    <w:rsid w:val="00551B9C"/>
    <w:rsid w:val="00551F8A"/>
    <w:rsid w:val="00551FDF"/>
    <w:rsid w:val="00552023"/>
    <w:rsid w:val="00552122"/>
    <w:rsid w:val="00552305"/>
    <w:rsid w:val="005523AB"/>
    <w:rsid w:val="0055261B"/>
    <w:rsid w:val="00552747"/>
    <w:rsid w:val="00552B57"/>
    <w:rsid w:val="00552D48"/>
    <w:rsid w:val="00552DCF"/>
    <w:rsid w:val="00552EDD"/>
    <w:rsid w:val="005530D2"/>
    <w:rsid w:val="00553124"/>
    <w:rsid w:val="0055416B"/>
    <w:rsid w:val="0055477B"/>
    <w:rsid w:val="00554BF0"/>
    <w:rsid w:val="005553D2"/>
    <w:rsid w:val="00555561"/>
    <w:rsid w:val="005558F6"/>
    <w:rsid w:val="00555D3F"/>
    <w:rsid w:val="00555FE0"/>
    <w:rsid w:val="0055678F"/>
    <w:rsid w:val="005568AE"/>
    <w:rsid w:val="0055694B"/>
    <w:rsid w:val="00556B22"/>
    <w:rsid w:val="00556B27"/>
    <w:rsid w:val="00556EED"/>
    <w:rsid w:val="00556FFF"/>
    <w:rsid w:val="005570B9"/>
    <w:rsid w:val="00557148"/>
    <w:rsid w:val="005575A2"/>
    <w:rsid w:val="005577D4"/>
    <w:rsid w:val="005578CD"/>
    <w:rsid w:val="00557987"/>
    <w:rsid w:val="00557CCD"/>
    <w:rsid w:val="00557D1B"/>
    <w:rsid w:val="00560172"/>
    <w:rsid w:val="0056029B"/>
    <w:rsid w:val="005602D8"/>
    <w:rsid w:val="00560390"/>
    <w:rsid w:val="0056081B"/>
    <w:rsid w:val="005610B6"/>
    <w:rsid w:val="0056111E"/>
    <w:rsid w:val="0056176D"/>
    <w:rsid w:val="0056202E"/>
    <w:rsid w:val="0056234D"/>
    <w:rsid w:val="00562454"/>
    <w:rsid w:val="00562A7C"/>
    <w:rsid w:val="0056404B"/>
    <w:rsid w:val="0056432A"/>
    <w:rsid w:val="00564440"/>
    <w:rsid w:val="00564E25"/>
    <w:rsid w:val="00565257"/>
    <w:rsid w:val="0056553A"/>
    <w:rsid w:val="0056557E"/>
    <w:rsid w:val="00565608"/>
    <w:rsid w:val="00565936"/>
    <w:rsid w:val="00565A23"/>
    <w:rsid w:val="00565C29"/>
    <w:rsid w:val="00566452"/>
    <w:rsid w:val="005666B1"/>
    <w:rsid w:val="00566C33"/>
    <w:rsid w:val="00566D33"/>
    <w:rsid w:val="00566FAF"/>
    <w:rsid w:val="0056722B"/>
    <w:rsid w:val="005676E9"/>
    <w:rsid w:val="00567D58"/>
    <w:rsid w:val="00567F30"/>
    <w:rsid w:val="0057024F"/>
    <w:rsid w:val="005706E8"/>
    <w:rsid w:val="00570776"/>
    <w:rsid w:val="0057091D"/>
    <w:rsid w:val="005709A0"/>
    <w:rsid w:val="00570B9E"/>
    <w:rsid w:val="005712D5"/>
    <w:rsid w:val="005713B0"/>
    <w:rsid w:val="00571C3F"/>
    <w:rsid w:val="00571DD2"/>
    <w:rsid w:val="00572262"/>
    <w:rsid w:val="005729DF"/>
    <w:rsid w:val="00572F03"/>
    <w:rsid w:val="00572F31"/>
    <w:rsid w:val="00573070"/>
    <w:rsid w:val="00573098"/>
    <w:rsid w:val="005730AC"/>
    <w:rsid w:val="00573984"/>
    <w:rsid w:val="005739B9"/>
    <w:rsid w:val="00573B00"/>
    <w:rsid w:val="00573D59"/>
    <w:rsid w:val="00573DD8"/>
    <w:rsid w:val="00573F8B"/>
    <w:rsid w:val="0057403E"/>
    <w:rsid w:val="0057411D"/>
    <w:rsid w:val="005742C6"/>
    <w:rsid w:val="00574496"/>
    <w:rsid w:val="00574B96"/>
    <w:rsid w:val="00575315"/>
    <w:rsid w:val="005755AE"/>
    <w:rsid w:val="00575609"/>
    <w:rsid w:val="005756F5"/>
    <w:rsid w:val="005759A2"/>
    <w:rsid w:val="00575B27"/>
    <w:rsid w:val="00575B5A"/>
    <w:rsid w:val="00575BE4"/>
    <w:rsid w:val="00576779"/>
    <w:rsid w:val="00576AA6"/>
    <w:rsid w:val="00576AAD"/>
    <w:rsid w:val="00576D24"/>
    <w:rsid w:val="00577618"/>
    <w:rsid w:val="00577FAF"/>
    <w:rsid w:val="005806CE"/>
    <w:rsid w:val="005806D2"/>
    <w:rsid w:val="00580855"/>
    <w:rsid w:val="00581409"/>
    <w:rsid w:val="005818B1"/>
    <w:rsid w:val="00581BDB"/>
    <w:rsid w:val="00581E47"/>
    <w:rsid w:val="00582C4C"/>
    <w:rsid w:val="00582D1A"/>
    <w:rsid w:val="00582F84"/>
    <w:rsid w:val="0058304E"/>
    <w:rsid w:val="0058307E"/>
    <w:rsid w:val="005831C3"/>
    <w:rsid w:val="005832AA"/>
    <w:rsid w:val="00583AF9"/>
    <w:rsid w:val="00583B33"/>
    <w:rsid w:val="00583DFE"/>
    <w:rsid w:val="00583FE2"/>
    <w:rsid w:val="005843E7"/>
    <w:rsid w:val="0058452E"/>
    <w:rsid w:val="00584714"/>
    <w:rsid w:val="0058487F"/>
    <w:rsid w:val="00584E53"/>
    <w:rsid w:val="00585085"/>
    <w:rsid w:val="00585122"/>
    <w:rsid w:val="005858E5"/>
    <w:rsid w:val="00585CEE"/>
    <w:rsid w:val="00585F2D"/>
    <w:rsid w:val="005861FC"/>
    <w:rsid w:val="005862A5"/>
    <w:rsid w:val="00586A0F"/>
    <w:rsid w:val="00586BF0"/>
    <w:rsid w:val="00586BF8"/>
    <w:rsid w:val="00587208"/>
    <w:rsid w:val="00587427"/>
    <w:rsid w:val="00587B90"/>
    <w:rsid w:val="00590031"/>
    <w:rsid w:val="0059003C"/>
    <w:rsid w:val="00590053"/>
    <w:rsid w:val="00590155"/>
    <w:rsid w:val="00590204"/>
    <w:rsid w:val="005905E5"/>
    <w:rsid w:val="00590809"/>
    <w:rsid w:val="00590AD5"/>
    <w:rsid w:val="00590CF5"/>
    <w:rsid w:val="00591000"/>
    <w:rsid w:val="00591036"/>
    <w:rsid w:val="00591465"/>
    <w:rsid w:val="00591671"/>
    <w:rsid w:val="005920C7"/>
    <w:rsid w:val="00592140"/>
    <w:rsid w:val="00592544"/>
    <w:rsid w:val="00592577"/>
    <w:rsid w:val="005932CB"/>
    <w:rsid w:val="0059390B"/>
    <w:rsid w:val="00593985"/>
    <w:rsid w:val="00593F7A"/>
    <w:rsid w:val="00594380"/>
    <w:rsid w:val="00594AE1"/>
    <w:rsid w:val="00594B32"/>
    <w:rsid w:val="00594F24"/>
    <w:rsid w:val="00595394"/>
    <w:rsid w:val="005953AA"/>
    <w:rsid w:val="0059555E"/>
    <w:rsid w:val="00595859"/>
    <w:rsid w:val="0059589B"/>
    <w:rsid w:val="005958DF"/>
    <w:rsid w:val="00595E86"/>
    <w:rsid w:val="0059604D"/>
    <w:rsid w:val="005960EE"/>
    <w:rsid w:val="005965F8"/>
    <w:rsid w:val="00596777"/>
    <w:rsid w:val="0059687D"/>
    <w:rsid w:val="00597007"/>
    <w:rsid w:val="0059744E"/>
    <w:rsid w:val="005974FF"/>
    <w:rsid w:val="0059765A"/>
    <w:rsid w:val="00597AA1"/>
    <w:rsid w:val="00597B9F"/>
    <w:rsid w:val="005A00D9"/>
    <w:rsid w:val="005A04E9"/>
    <w:rsid w:val="005A060E"/>
    <w:rsid w:val="005A0792"/>
    <w:rsid w:val="005A0A67"/>
    <w:rsid w:val="005A139D"/>
    <w:rsid w:val="005A13BF"/>
    <w:rsid w:val="005A14EB"/>
    <w:rsid w:val="005A1567"/>
    <w:rsid w:val="005A1AF5"/>
    <w:rsid w:val="005A1B28"/>
    <w:rsid w:val="005A1D0D"/>
    <w:rsid w:val="005A21DF"/>
    <w:rsid w:val="005A25F2"/>
    <w:rsid w:val="005A2AF2"/>
    <w:rsid w:val="005A2E9F"/>
    <w:rsid w:val="005A3094"/>
    <w:rsid w:val="005A31FD"/>
    <w:rsid w:val="005A326E"/>
    <w:rsid w:val="005A3528"/>
    <w:rsid w:val="005A35EA"/>
    <w:rsid w:val="005A38FD"/>
    <w:rsid w:val="005A3B4E"/>
    <w:rsid w:val="005A3C50"/>
    <w:rsid w:val="005A3CC5"/>
    <w:rsid w:val="005A3E76"/>
    <w:rsid w:val="005A4633"/>
    <w:rsid w:val="005A4707"/>
    <w:rsid w:val="005A530B"/>
    <w:rsid w:val="005A5468"/>
    <w:rsid w:val="005A5663"/>
    <w:rsid w:val="005A56C2"/>
    <w:rsid w:val="005A5EB2"/>
    <w:rsid w:val="005A5EF9"/>
    <w:rsid w:val="005A6446"/>
    <w:rsid w:val="005A6596"/>
    <w:rsid w:val="005A664A"/>
    <w:rsid w:val="005A67BB"/>
    <w:rsid w:val="005A68F9"/>
    <w:rsid w:val="005A6A51"/>
    <w:rsid w:val="005A715A"/>
    <w:rsid w:val="005A7256"/>
    <w:rsid w:val="005A76C6"/>
    <w:rsid w:val="005A76D0"/>
    <w:rsid w:val="005A771E"/>
    <w:rsid w:val="005A7C46"/>
    <w:rsid w:val="005A7FE7"/>
    <w:rsid w:val="005B028D"/>
    <w:rsid w:val="005B03FE"/>
    <w:rsid w:val="005B055D"/>
    <w:rsid w:val="005B094C"/>
    <w:rsid w:val="005B0A1B"/>
    <w:rsid w:val="005B0C13"/>
    <w:rsid w:val="005B10B7"/>
    <w:rsid w:val="005B10DF"/>
    <w:rsid w:val="005B1108"/>
    <w:rsid w:val="005B1295"/>
    <w:rsid w:val="005B24FB"/>
    <w:rsid w:val="005B2B73"/>
    <w:rsid w:val="005B2DE5"/>
    <w:rsid w:val="005B31C2"/>
    <w:rsid w:val="005B3350"/>
    <w:rsid w:val="005B3683"/>
    <w:rsid w:val="005B3773"/>
    <w:rsid w:val="005B3BC0"/>
    <w:rsid w:val="005B3C85"/>
    <w:rsid w:val="005B459B"/>
    <w:rsid w:val="005B4791"/>
    <w:rsid w:val="005B47A8"/>
    <w:rsid w:val="005B484C"/>
    <w:rsid w:val="005B485F"/>
    <w:rsid w:val="005B4F6C"/>
    <w:rsid w:val="005B503F"/>
    <w:rsid w:val="005B5198"/>
    <w:rsid w:val="005B52F1"/>
    <w:rsid w:val="005B55E2"/>
    <w:rsid w:val="005B58A2"/>
    <w:rsid w:val="005B58EA"/>
    <w:rsid w:val="005B5BB2"/>
    <w:rsid w:val="005B5BC9"/>
    <w:rsid w:val="005B5BED"/>
    <w:rsid w:val="005B5C7E"/>
    <w:rsid w:val="005B61A5"/>
    <w:rsid w:val="005B6CC0"/>
    <w:rsid w:val="005B6FEB"/>
    <w:rsid w:val="005B722D"/>
    <w:rsid w:val="005B7288"/>
    <w:rsid w:val="005B742F"/>
    <w:rsid w:val="005B76F1"/>
    <w:rsid w:val="005B7795"/>
    <w:rsid w:val="005B7CFA"/>
    <w:rsid w:val="005B7E19"/>
    <w:rsid w:val="005C00D8"/>
    <w:rsid w:val="005C0384"/>
    <w:rsid w:val="005C04E3"/>
    <w:rsid w:val="005C04FC"/>
    <w:rsid w:val="005C07A1"/>
    <w:rsid w:val="005C0B08"/>
    <w:rsid w:val="005C0BF4"/>
    <w:rsid w:val="005C0EE4"/>
    <w:rsid w:val="005C0F67"/>
    <w:rsid w:val="005C0F75"/>
    <w:rsid w:val="005C1009"/>
    <w:rsid w:val="005C174A"/>
    <w:rsid w:val="005C181F"/>
    <w:rsid w:val="005C186F"/>
    <w:rsid w:val="005C18E4"/>
    <w:rsid w:val="005C1956"/>
    <w:rsid w:val="005C197A"/>
    <w:rsid w:val="005C1A62"/>
    <w:rsid w:val="005C1EC8"/>
    <w:rsid w:val="005C1FA1"/>
    <w:rsid w:val="005C206C"/>
    <w:rsid w:val="005C2344"/>
    <w:rsid w:val="005C27B9"/>
    <w:rsid w:val="005C298B"/>
    <w:rsid w:val="005C2C27"/>
    <w:rsid w:val="005C300F"/>
    <w:rsid w:val="005C35FE"/>
    <w:rsid w:val="005C3B64"/>
    <w:rsid w:val="005C3F1B"/>
    <w:rsid w:val="005C4036"/>
    <w:rsid w:val="005C41C3"/>
    <w:rsid w:val="005C42F3"/>
    <w:rsid w:val="005C4390"/>
    <w:rsid w:val="005C4400"/>
    <w:rsid w:val="005C455B"/>
    <w:rsid w:val="005C4B9D"/>
    <w:rsid w:val="005C4F4D"/>
    <w:rsid w:val="005C5364"/>
    <w:rsid w:val="005C5A3C"/>
    <w:rsid w:val="005C5C43"/>
    <w:rsid w:val="005C641F"/>
    <w:rsid w:val="005C6874"/>
    <w:rsid w:val="005C6B17"/>
    <w:rsid w:val="005C6CFB"/>
    <w:rsid w:val="005C6EEF"/>
    <w:rsid w:val="005C70B3"/>
    <w:rsid w:val="005C7668"/>
    <w:rsid w:val="005C7769"/>
    <w:rsid w:val="005C77E0"/>
    <w:rsid w:val="005C799B"/>
    <w:rsid w:val="005C7B60"/>
    <w:rsid w:val="005C7C27"/>
    <w:rsid w:val="005C7CC2"/>
    <w:rsid w:val="005D0607"/>
    <w:rsid w:val="005D060E"/>
    <w:rsid w:val="005D0696"/>
    <w:rsid w:val="005D0A7C"/>
    <w:rsid w:val="005D0D72"/>
    <w:rsid w:val="005D121F"/>
    <w:rsid w:val="005D126A"/>
    <w:rsid w:val="005D13A1"/>
    <w:rsid w:val="005D147C"/>
    <w:rsid w:val="005D15AC"/>
    <w:rsid w:val="005D1A43"/>
    <w:rsid w:val="005D1D68"/>
    <w:rsid w:val="005D1E67"/>
    <w:rsid w:val="005D204F"/>
    <w:rsid w:val="005D219E"/>
    <w:rsid w:val="005D2438"/>
    <w:rsid w:val="005D244F"/>
    <w:rsid w:val="005D2A50"/>
    <w:rsid w:val="005D2B31"/>
    <w:rsid w:val="005D3021"/>
    <w:rsid w:val="005D3070"/>
    <w:rsid w:val="005D30AA"/>
    <w:rsid w:val="005D3382"/>
    <w:rsid w:val="005D3756"/>
    <w:rsid w:val="005D3865"/>
    <w:rsid w:val="005D3E89"/>
    <w:rsid w:val="005D41A4"/>
    <w:rsid w:val="005D48BD"/>
    <w:rsid w:val="005D4BA9"/>
    <w:rsid w:val="005D4EAC"/>
    <w:rsid w:val="005D50A7"/>
    <w:rsid w:val="005D586C"/>
    <w:rsid w:val="005D58CD"/>
    <w:rsid w:val="005D5CBE"/>
    <w:rsid w:val="005D5CDE"/>
    <w:rsid w:val="005D60DF"/>
    <w:rsid w:val="005D6222"/>
    <w:rsid w:val="005D63B3"/>
    <w:rsid w:val="005D641F"/>
    <w:rsid w:val="005D70C0"/>
    <w:rsid w:val="005D748B"/>
    <w:rsid w:val="005D76F5"/>
    <w:rsid w:val="005D7AB4"/>
    <w:rsid w:val="005D7F1A"/>
    <w:rsid w:val="005E080C"/>
    <w:rsid w:val="005E0ADD"/>
    <w:rsid w:val="005E0BF8"/>
    <w:rsid w:val="005E0CC0"/>
    <w:rsid w:val="005E1084"/>
    <w:rsid w:val="005E10A5"/>
    <w:rsid w:val="005E1316"/>
    <w:rsid w:val="005E16A0"/>
    <w:rsid w:val="005E1A0D"/>
    <w:rsid w:val="005E1B01"/>
    <w:rsid w:val="005E1D2C"/>
    <w:rsid w:val="005E1FE3"/>
    <w:rsid w:val="005E22A2"/>
    <w:rsid w:val="005E2390"/>
    <w:rsid w:val="005E23AF"/>
    <w:rsid w:val="005E24CB"/>
    <w:rsid w:val="005E29B1"/>
    <w:rsid w:val="005E2AEB"/>
    <w:rsid w:val="005E2BBF"/>
    <w:rsid w:val="005E2E2B"/>
    <w:rsid w:val="005E3174"/>
    <w:rsid w:val="005E3529"/>
    <w:rsid w:val="005E36AB"/>
    <w:rsid w:val="005E36FC"/>
    <w:rsid w:val="005E3AD3"/>
    <w:rsid w:val="005E3CFA"/>
    <w:rsid w:val="005E3D20"/>
    <w:rsid w:val="005E43AD"/>
    <w:rsid w:val="005E45AC"/>
    <w:rsid w:val="005E48DC"/>
    <w:rsid w:val="005E48DF"/>
    <w:rsid w:val="005E4A2F"/>
    <w:rsid w:val="005E4C11"/>
    <w:rsid w:val="005E4E55"/>
    <w:rsid w:val="005E516C"/>
    <w:rsid w:val="005E5777"/>
    <w:rsid w:val="005E5A96"/>
    <w:rsid w:val="005E5AE8"/>
    <w:rsid w:val="005E5BC4"/>
    <w:rsid w:val="005E6228"/>
    <w:rsid w:val="005E644B"/>
    <w:rsid w:val="005E6AF1"/>
    <w:rsid w:val="005E75B4"/>
    <w:rsid w:val="005E7873"/>
    <w:rsid w:val="005E79FD"/>
    <w:rsid w:val="005E7EAC"/>
    <w:rsid w:val="005F0062"/>
    <w:rsid w:val="005F034C"/>
    <w:rsid w:val="005F07C6"/>
    <w:rsid w:val="005F0F4D"/>
    <w:rsid w:val="005F1287"/>
    <w:rsid w:val="005F17A8"/>
    <w:rsid w:val="005F19BF"/>
    <w:rsid w:val="005F2028"/>
    <w:rsid w:val="005F20D8"/>
    <w:rsid w:val="005F29F6"/>
    <w:rsid w:val="005F2AEE"/>
    <w:rsid w:val="005F2D80"/>
    <w:rsid w:val="005F2F96"/>
    <w:rsid w:val="005F2FB5"/>
    <w:rsid w:val="005F3355"/>
    <w:rsid w:val="005F3416"/>
    <w:rsid w:val="005F37BD"/>
    <w:rsid w:val="005F38AF"/>
    <w:rsid w:val="005F3C0D"/>
    <w:rsid w:val="005F3FC2"/>
    <w:rsid w:val="005F40D4"/>
    <w:rsid w:val="005F40E1"/>
    <w:rsid w:val="005F4847"/>
    <w:rsid w:val="005F504D"/>
    <w:rsid w:val="005F50A7"/>
    <w:rsid w:val="005F52BD"/>
    <w:rsid w:val="005F556B"/>
    <w:rsid w:val="005F57C6"/>
    <w:rsid w:val="005F635B"/>
    <w:rsid w:val="005F648F"/>
    <w:rsid w:val="005F67F0"/>
    <w:rsid w:val="005F6845"/>
    <w:rsid w:val="005F6998"/>
    <w:rsid w:val="005F6BED"/>
    <w:rsid w:val="005F6D82"/>
    <w:rsid w:val="005F6F11"/>
    <w:rsid w:val="005F7068"/>
    <w:rsid w:val="005F709D"/>
    <w:rsid w:val="005F7159"/>
    <w:rsid w:val="005F7278"/>
    <w:rsid w:val="005F7840"/>
    <w:rsid w:val="005F7A1A"/>
    <w:rsid w:val="005F7C2F"/>
    <w:rsid w:val="005F7DD1"/>
    <w:rsid w:val="0060001B"/>
    <w:rsid w:val="00600213"/>
    <w:rsid w:val="00600A49"/>
    <w:rsid w:val="00600DEF"/>
    <w:rsid w:val="00601D00"/>
    <w:rsid w:val="00601EA5"/>
    <w:rsid w:val="00602465"/>
    <w:rsid w:val="00602531"/>
    <w:rsid w:val="00602A76"/>
    <w:rsid w:val="00602B48"/>
    <w:rsid w:val="006030F1"/>
    <w:rsid w:val="006032F2"/>
    <w:rsid w:val="0060383C"/>
    <w:rsid w:val="00604012"/>
    <w:rsid w:val="006041E3"/>
    <w:rsid w:val="0060440B"/>
    <w:rsid w:val="00604571"/>
    <w:rsid w:val="00604907"/>
    <w:rsid w:val="00604B97"/>
    <w:rsid w:val="00604EC3"/>
    <w:rsid w:val="00604F8C"/>
    <w:rsid w:val="0060554C"/>
    <w:rsid w:val="00605A51"/>
    <w:rsid w:val="00605B13"/>
    <w:rsid w:val="00605D4C"/>
    <w:rsid w:val="0060604F"/>
    <w:rsid w:val="00606309"/>
    <w:rsid w:val="00606736"/>
    <w:rsid w:val="0060679F"/>
    <w:rsid w:val="00606AAF"/>
    <w:rsid w:val="00606C2F"/>
    <w:rsid w:val="00606E14"/>
    <w:rsid w:val="006073D5"/>
    <w:rsid w:val="00607578"/>
    <w:rsid w:val="00607B70"/>
    <w:rsid w:val="00607C6A"/>
    <w:rsid w:val="006101C3"/>
    <w:rsid w:val="006101EC"/>
    <w:rsid w:val="00610482"/>
    <w:rsid w:val="00610568"/>
    <w:rsid w:val="0061088F"/>
    <w:rsid w:val="006108C4"/>
    <w:rsid w:val="00610C11"/>
    <w:rsid w:val="0061112C"/>
    <w:rsid w:val="00611369"/>
    <w:rsid w:val="0061153B"/>
    <w:rsid w:val="00611815"/>
    <w:rsid w:val="0061184D"/>
    <w:rsid w:val="00611B0C"/>
    <w:rsid w:val="00611B43"/>
    <w:rsid w:val="00611D01"/>
    <w:rsid w:val="00611EB0"/>
    <w:rsid w:val="00611FE7"/>
    <w:rsid w:val="00612024"/>
    <w:rsid w:val="006121D0"/>
    <w:rsid w:val="006121FC"/>
    <w:rsid w:val="006126A7"/>
    <w:rsid w:val="0061276C"/>
    <w:rsid w:val="0061291A"/>
    <w:rsid w:val="00612B1C"/>
    <w:rsid w:val="00612BFB"/>
    <w:rsid w:val="00612C63"/>
    <w:rsid w:val="00612CC4"/>
    <w:rsid w:val="0061312D"/>
    <w:rsid w:val="00613148"/>
    <w:rsid w:val="00613377"/>
    <w:rsid w:val="0061339F"/>
    <w:rsid w:val="006137A6"/>
    <w:rsid w:val="006139A8"/>
    <w:rsid w:val="00613CA4"/>
    <w:rsid w:val="00614E51"/>
    <w:rsid w:val="00614F59"/>
    <w:rsid w:val="00615111"/>
    <w:rsid w:val="006151BB"/>
    <w:rsid w:val="00615393"/>
    <w:rsid w:val="0061579C"/>
    <w:rsid w:val="00615850"/>
    <w:rsid w:val="00615A1D"/>
    <w:rsid w:val="00615C24"/>
    <w:rsid w:val="00615D9C"/>
    <w:rsid w:val="00616009"/>
    <w:rsid w:val="006161E9"/>
    <w:rsid w:val="00616366"/>
    <w:rsid w:val="0061644C"/>
    <w:rsid w:val="00616C7D"/>
    <w:rsid w:val="00616E0E"/>
    <w:rsid w:val="00616FD1"/>
    <w:rsid w:val="00617173"/>
    <w:rsid w:val="00617378"/>
    <w:rsid w:val="0061748A"/>
    <w:rsid w:val="00617494"/>
    <w:rsid w:val="006177FA"/>
    <w:rsid w:val="00617BB9"/>
    <w:rsid w:val="00617DD1"/>
    <w:rsid w:val="006202B6"/>
    <w:rsid w:val="00620B8D"/>
    <w:rsid w:val="00620CC0"/>
    <w:rsid w:val="00621694"/>
    <w:rsid w:val="006217D2"/>
    <w:rsid w:val="00621975"/>
    <w:rsid w:val="00621CCD"/>
    <w:rsid w:val="00621D91"/>
    <w:rsid w:val="00622220"/>
    <w:rsid w:val="00622343"/>
    <w:rsid w:val="0062243B"/>
    <w:rsid w:val="006228EF"/>
    <w:rsid w:val="00622B1B"/>
    <w:rsid w:val="00622CA1"/>
    <w:rsid w:val="0062307B"/>
    <w:rsid w:val="0062341C"/>
    <w:rsid w:val="00623526"/>
    <w:rsid w:val="0062354F"/>
    <w:rsid w:val="0062364B"/>
    <w:rsid w:val="00623D44"/>
    <w:rsid w:val="0062418D"/>
    <w:rsid w:val="006241A1"/>
    <w:rsid w:val="006243F9"/>
    <w:rsid w:val="006244B9"/>
    <w:rsid w:val="006247BB"/>
    <w:rsid w:val="00624B2D"/>
    <w:rsid w:val="00624B60"/>
    <w:rsid w:val="00624C90"/>
    <w:rsid w:val="00624F92"/>
    <w:rsid w:val="0062502A"/>
    <w:rsid w:val="006254AE"/>
    <w:rsid w:val="006254BB"/>
    <w:rsid w:val="00625A36"/>
    <w:rsid w:val="00625C32"/>
    <w:rsid w:val="00626353"/>
    <w:rsid w:val="006265F7"/>
    <w:rsid w:val="00626780"/>
    <w:rsid w:val="006267FD"/>
    <w:rsid w:val="00626938"/>
    <w:rsid w:val="00626C1B"/>
    <w:rsid w:val="00626CE5"/>
    <w:rsid w:val="00626D30"/>
    <w:rsid w:val="006272DF"/>
    <w:rsid w:val="006273F5"/>
    <w:rsid w:val="00627515"/>
    <w:rsid w:val="00627A99"/>
    <w:rsid w:val="00627D0B"/>
    <w:rsid w:val="00627E45"/>
    <w:rsid w:val="006302D7"/>
    <w:rsid w:val="00630315"/>
    <w:rsid w:val="0063058C"/>
    <w:rsid w:val="006306FA"/>
    <w:rsid w:val="006307C5"/>
    <w:rsid w:val="00630AA8"/>
    <w:rsid w:val="00630BE5"/>
    <w:rsid w:val="0063119C"/>
    <w:rsid w:val="006312FC"/>
    <w:rsid w:val="0063178C"/>
    <w:rsid w:val="00631864"/>
    <w:rsid w:val="006318A6"/>
    <w:rsid w:val="00631BF3"/>
    <w:rsid w:val="00631DE6"/>
    <w:rsid w:val="00631FFE"/>
    <w:rsid w:val="0063292A"/>
    <w:rsid w:val="00632F06"/>
    <w:rsid w:val="00632F19"/>
    <w:rsid w:val="00633453"/>
    <w:rsid w:val="0063391F"/>
    <w:rsid w:val="00633A11"/>
    <w:rsid w:val="00633B9C"/>
    <w:rsid w:val="00634155"/>
    <w:rsid w:val="00634342"/>
    <w:rsid w:val="006346A4"/>
    <w:rsid w:val="00634B6A"/>
    <w:rsid w:val="00634B71"/>
    <w:rsid w:val="00634C92"/>
    <w:rsid w:val="00634CC1"/>
    <w:rsid w:val="0063543A"/>
    <w:rsid w:val="006355FE"/>
    <w:rsid w:val="006356C2"/>
    <w:rsid w:val="00636603"/>
    <w:rsid w:val="00636700"/>
    <w:rsid w:val="006367DC"/>
    <w:rsid w:val="00636C1A"/>
    <w:rsid w:val="00636DDC"/>
    <w:rsid w:val="0064038B"/>
    <w:rsid w:val="006405F2"/>
    <w:rsid w:val="006406D1"/>
    <w:rsid w:val="006408C6"/>
    <w:rsid w:val="00640EE6"/>
    <w:rsid w:val="00641224"/>
    <w:rsid w:val="006416BD"/>
    <w:rsid w:val="00641A95"/>
    <w:rsid w:val="00641C44"/>
    <w:rsid w:val="00641D3A"/>
    <w:rsid w:val="006420A5"/>
    <w:rsid w:val="006421A3"/>
    <w:rsid w:val="0064226E"/>
    <w:rsid w:val="00642283"/>
    <w:rsid w:val="006424B8"/>
    <w:rsid w:val="0064269B"/>
    <w:rsid w:val="00642A17"/>
    <w:rsid w:val="00643060"/>
    <w:rsid w:val="006431D1"/>
    <w:rsid w:val="00643377"/>
    <w:rsid w:val="00643702"/>
    <w:rsid w:val="00643BFF"/>
    <w:rsid w:val="00643D18"/>
    <w:rsid w:val="00644374"/>
    <w:rsid w:val="0064487F"/>
    <w:rsid w:val="00644885"/>
    <w:rsid w:val="00644949"/>
    <w:rsid w:val="00644A41"/>
    <w:rsid w:val="00644CCD"/>
    <w:rsid w:val="0064506F"/>
    <w:rsid w:val="00645868"/>
    <w:rsid w:val="00645B53"/>
    <w:rsid w:val="00645C24"/>
    <w:rsid w:val="00645DBF"/>
    <w:rsid w:val="00645DE8"/>
    <w:rsid w:val="0064607B"/>
    <w:rsid w:val="006460F9"/>
    <w:rsid w:val="00646289"/>
    <w:rsid w:val="006463D0"/>
    <w:rsid w:val="00646777"/>
    <w:rsid w:val="00646ACB"/>
    <w:rsid w:val="00646D98"/>
    <w:rsid w:val="00646DE4"/>
    <w:rsid w:val="00646F58"/>
    <w:rsid w:val="00646F80"/>
    <w:rsid w:val="00647465"/>
    <w:rsid w:val="00647466"/>
    <w:rsid w:val="00647603"/>
    <w:rsid w:val="00647CDC"/>
    <w:rsid w:val="00647E9D"/>
    <w:rsid w:val="006504BB"/>
    <w:rsid w:val="00650578"/>
    <w:rsid w:val="006507B3"/>
    <w:rsid w:val="0065084C"/>
    <w:rsid w:val="00650F6C"/>
    <w:rsid w:val="006515D9"/>
    <w:rsid w:val="00652216"/>
    <w:rsid w:val="00652409"/>
    <w:rsid w:val="00652623"/>
    <w:rsid w:val="00652661"/>
    <w:rsid w:val="00652C7F"/>
    <w:rsid w:val="00652D44"/>
    <w:rsid w:val="00652D4A"/>
    <w:rsid w:val="00652E54"/>
    <w:rsid w:val="006530C7"/>
    <w:rsid w:val="006533CC"/>
    <w:rsid w:val="006533EB"/>
    <w:rsid w:val="00653D66"/>
    <w:rsid w:val="00653EC6"/>
    <w:rsid w:val="0065587A"/>
    <w:rsid w:val="006558DE"/>
    <w:rsid w:val="00655C6F"/>
    <w:rsid w:val="00655D29"/>
    <w:rsid w:val="00655E28"/>
    <w:rsid w:val="00656090"/>
    <w:rsid w:val="00656686"/>
    <w:rsid w:val="00656BAF"/>
    <w:rsid w:val="00656BD2"/>
    <w:rsid w:val="00656D00"/>
    <w:rsid w:val="00656DA2"/>
    <w:rsid w:val="006571A4"/>
    <w:rsid w:val="00657359"/>
    <w:rsid w:val="00657396"/>
    <w:rsid w:val="006574BE"/>
    <w:rsid w:val="006577ED"/>
    <w:rsid w:val="00657C77"/>
    <w:rsid w:val="00660105"/>
    <w:rsid w:val="00660195"/>
    <w:rsid w:val="006601EA"/>
    <w:rsid w:val="006602ED"/>
    <w:rsid w:val="00660357"/>
    <w:rsid w:val="006605A8"/>
    <w:rsid w:val="00660A97"/>
    <w:rsid w:val="00660AB9"/>
    <w:rsid w:val="00660CA0"/>
    <w:rsid w:val="006610EC"/>
    <w:rsid w:val="0066133D"/>
    <w:rsid w:val="006614E0"/>
    <w:rsid w:val="0066151F"/>
    <w:rsid w:val="006615A2"/>
    <w:rsid w:val="00661916"/>
    <w:rsid w:val="00661A64"/>
    <w:rsid w:val="00661D6C"/>
    <w:rsid w:val="006622A8"/>
    <w:rsid w:val="006624A0"/>
    <w:rsid w:val="00662C08"/>
    <w:rsid w:val="00662C76"/>
    <w:rsid w:val="00662CFE"/>
    <w:rsid w:val="006631F2"/>
    <w:rsid w:val="006635C8"/>
    <w:rsid w:val="00663662"/>
    <w:rsid w:val="006637F2"/>
    <w:rsid w:val="00663932"/>
    <w:rsid w:val="00663A7C"/>
    <w:rsid w:val="00663C29"/>
    <w:rsid w:val="006640B7"/>
    <w:rsid w:val="0066427E"/>
    <w:rsid w:val="0066428F"/>
    <w:rsid w:val="00664582"/>
    <w:rsid w:val="006647BC"/>
    <w:rsid w:val="00664B1F"/>
    <w:rsid w:val="0066502E"/>
    <w:rsid w:val="0066509E"/>
    <w:rsid w:val="00665409"/>
    <w:rsid w:val="006654C7"/>
    <w:rsid w:val="006655BA"/>
    <w:rsid w:val="00665C32"/>
    <w:rsid w:val="00665DF9"/>
    <w:rsid w:val="00665FED"/>
    <w:rsid w:val="006663C6"/>
    <w:rsid w:val="00666473"/>
    <w:rsid w:val="00666509"/>
    <w:rsid w:val="00666698"/>
    <w:rsid w:val="00666968"/>
    <w:rsid w:val="00666D19"/>
    <w:rsid w:val="00667091"/>
    <w:rsid w:val="006670AE"/>
    <w:rsid w:val="00667B74"/>
    <w:rsid w:val="00667DA2"/>
    <w:rsid w:val="00670137"/>
    <w:rsid w:val="00670634"/>
    <w:rsid w:val="00670635"/>
    <w:rsid w:val="00670B67"/>
    <w:rsid w:val="00670C3B"/>
    <w:rsid w:val="00670F39"/>
    <w:rsid w:val="006710C9"/>
    <w:rsid w:val="00671498"/>
    <w:rsid w:val="006714FC"/>
    <w:rsid w:val="00671677"/>
    <w:rsid w:val="0067182F"/>
    <w:rsid w:val="00671A52"/>
    <w:rsid w:val="00671B4E"/>
    <w:rsid w:val="00671CF9"/>
    <w:rsid w:val="00672262"/>
    <w:rsid w:val="006725D1"/>
    <w:rsid w:val="00672DF3"/>
    <w:rsid w:val="006736E4"/>
    <w:rsid w:val="0067375B"/>
    <w:rsid w:val="00673A37"/>
    <w:rsid w:val="00673A97"/>
    <w:rsid w:val="00673C18"/>
    <w:rsid w:val="00673D1E"/>
    <w:rsid w:val="00673E2A"/>
    <w:rsid w:val="00673EB0"/>
    <w:rsid w:val="0067407B"/>
    <w:rsid w:val="006740A5"/>
    <w:rsid w:val="0067443E"/>
    <w:rsid w:val="006749BB"/>
    <w:rsid w:val="00674F5B"/>
    <w:rsid w:val="006752AD"/>
    <w:rsid w:val="006752B9"/>
    <w:rsid w:val="00675461"/>
    <w:rsid w:val="00675E15"/>
    <w:rsid w:val="00676186"/>
    <w:rsid w:val="00676223"/>
    <w:rsid w:val="00676618"/>
    <w:rsid w:val="00676816"/>
    <w:rsid w:val="0067738B"/>
    <w:rsid w:val="006773CA"/>
    <w:rsid w:val="00680000"/>
    <w:rsid w:val="0068029D"/>
    <w:rsid w:val="006804CA"/>
    <w:rsid w:val="006808D5"/>
    <w:rsid w:val="006808F1"/>
    <w:rsid w:val="0068137E"/>
    <w:rsid w:val="00681765"/>
    <w:rsid w:val="006817F7"/>
    <w:rsid w:val="006819AC"/>
    <w:rsid w:val="00681A94"/>
    <w:rsid w:val="00681B11"/>
    <w:rsid w:val="0068239C"/>
    <w:rsid w:val="00682992"/>
    <w:rsid w:val="00682B61"/>
    <w:rsid w:val="00682EC4"/>
    <w:rsid w:val="006834B2"/>
    <w:rsid w:val="00683AFC"/>
    <w:rsid w:val="00683CC8"/>
    <w:rsid w:val="0068440A"/>
    <w:rsid w:val="0068443D"/>
    <w:rsid w:val="006849F9"/>
    <w:rsid w:val="00684B42"/>
    <w:rsid w:val="006850B4"/>
    <w:rsid w:val="00685383"/>
    <w:rsid w:val="0068538F"/>
    <w:rsid w:val="0068546D"/>
    <w:rsid w:val="00685956"/>
    <w:rsid w:val="00685B5D"/>
    <w:rsid w:val="00685D8E"/>
    <w:rsid w:val="00685EB2"/>
    <w:rsid w:val="00685F99"/>
    <w:rsid w:val="00686071"/>
    <w:rsid w:val="00686378"/>
    <w:rsid w:val="00686856"/>
    <w:rsid w:val="00686C60"/>
    <w:rsid w:val="00686E31"/>
    <w:rsid w:val="0068722A"/>
    <w:rsid w:val="0068738D"/>
    <w:rsid w:val="006876A5"/>
    <w:rsid w:val="006878A5"/>
    <w:rsid w:val="006878C7"/>
    <w:rsid w:val="00687A46"/>
    <w:rsid w:val="00687B6F"/>
    <w:rsid w:val="0069024E"/>
    <w:rsid w:val="006905FB"/>
    <w:rsid w:val="006906FF"/>
    <w:rsid w:val="00690755"/>
    <w:rsid w:val="006907ED"/>
    <w:rsid w:val="00690EE0"/>
    <w:rsid w:val="0069185A"/>
    <w:rsid w:val="006918DF"/>
    <w:rsid w:val="00691925"/>
    <w:rsid w:val="00691A75"/>
    <w:rsid w:val="00691BAF"/>
    <w:rsid w:val="00692162"/>
    <w:rsid w:val="00692227"/>
    <w:rsid w:val="00692335"/>
    <w:rsid w:val="006928B5"/>
    <w:rsid w:val="00692909"/>
    <w:rsid w:val="00692947"/>
    <w:rsid w:val="0069295D"/>
    <w:rsid w:val="00692B7C"/>
    <w:rsid w:val="00692E88"/>
    <w:rsid w:val="00693567"/>
    <w:rsid w:val="00693725"/>
    <w:rsid w:val="00693880"/>
    <w:rsid w:val="00693892"/>
    <w:rsid w:val="00693943"/>
    <w:rsid w:val="00693B3F"/>
    <w:rsid w:val="00693B53"/>
    <w:rsid w:val="00693B8E"/>
    <w:rsid w:val="00694072"/>
    <w:rsid w:val="0069414E"/>
    <w:rsid w:val="0069430B"/>
    <w:rsid w:val="006943B6"/>
    <w:rsid w:val="00694521"/>
    <w:rsid w:val="0069477D"/>
    <w:rsid w:val="006947C6"/>
    <w:rsid w:val="00694A95"/>
    <w:rsid w:val="00694B06"/>
    <w:rsid w:val="00694E42"/>
    <w:rsid w:val="00694F83"/>
    <w:rsid w:val="00694FF8"/>
    <w:rsid w:val="006950CE"/>
    <w:rsid w:val="006950DD"/>
    <w:rsid w:val="00695113"/>
    <w:rsid w:val="006954F4"/>
    <w:rsid w:val="006959A6"/>
    <w:rsid w:val="00695BED"/>
    <w:rsid w:val="00695BF9"/>
    <w:rsid w:val="00695C04"/>
    <w:rsid w:val="00695C30"/>
    <w:rsid w:val="006966AB"/>
    <w:rsid w:val="00696868"/>
    <w:rsid w:val="006968DF"/>
    <w:rsid w:val="00696A7B"/>
    <w:rsid w:val="00696C38"/>
    <w:rsid w:val="00696D87"/>
    <w:rsid w:val="00697512"/>
    <w:rsid w:val="006979A6"/>
    <w:rsid w:val="006979E6"/>
    <w:rsid w:val="006A01A2"/>
    <w:rsid w:val="006A03C8"/>
    <w:rsid w:val="006A0644"/>
    <w:rsid w:val="006A0867"/>
    <w:rsid w:val="006A0A74"/>
    <w:rsid w:val="006A0BD5"/>
    <w:rsid w:val="006A0E3A"/>
    <w:rsid w:val="006A109C"/>
    <w:rsid w:val="006A15AF"/>
    <w:rsid w:val="006A15FF"/>
    <w:rsid w:val="006A1736"/>
    <w:rsid w:val="006A1957"/>
    <w:rsid w:val="006A1CDA"/>
    <w:rsid w:val="006A1E41"/>
    <w:rsid w:val="006A1EE6"/>
    <w:rsid w:val="006A2396"/>
    <w:rsid w:val="006A25DD"/>
    <w:rsid w:val="006A26CB"/>
    <w:rsid w:val="006A278D"/>
    <w:rsid w:val="006A2951"/>
    <w:rsid w:val="006A29E8"/>
    <w:rsid w:val="006A2D16"/>
    <w:rsid w:val="006A2D87"/>
    <w:rsid w:val="006A2EB0"/>
    <w:rsid w:val="006A308B"/>
    <w:rsid w:val="006A310F"/>
    <w:rsid w:val="006A32B2"/>
    <w:rsid w:val="006A3562"/>
    <w:rsid w:val="006A36DF"/>
    <w:rsid w:val="006A3AF5"/>
    <w:rsid w:val="006A3D10"/>
    <w:rsid w:val="006A4341"/>
    <w:rsid w:val="006A43A4"/>
    <w:rsid w:val="006A45EB"/>
    <w:rsid w:val="006A47B9"/>
    <w:rsid w:val="006A4811"/>
    <w:rsid w:val="006A4937"/>
    <w:rsid w:val="006A4B05"/>
    <w:rsid w:val="006A4B1D"/>
    <w:rsid w:val="006A4BB2"/>
    <w:rsid w:val="006A513D"/>
    <w:rsid w:val="006A5410"/>
    <w:rsid w:val="006A5A5F"/>
    <w:rsid w:val="006A5FFE"/>
    <w:rsid w:val="006A6958"/>
    <w:rsid w:val="006A6A5A"/>
    <w:rsid w:val="006A6A7E"/>
    <w:rsid w:val="006A6A97"/>
    <w:rsid w:val="006A6B21"/>
    <w:rsid w:val="006A6D99"/>
    <w:rsid w:val="006A6E58"/>
    <w:rsid w:val="006A7755"/>
    <w:rsid w:val="006A7A7D"/>
    <w:rsid w:val="006A7C31"/>
    <w:rsid w:val="006A7ED5"/>
    <w:rsid w:val="006B0033"/>
    <w:rsid w:val="006B03A8"/>
    <w:rsid w:val="006B04CB"/>
    <w:rsid w:val="006B05A7"/>
    <w:rsid w:val="006B0716"/>
    <w:rsid w:val="006B09A8"/>
    <w:rsid w:val="006B0A38"/>
    <w:rsid w:val="006B0B01"/>
    <w:rsid w:val="006B0E42"/>
    <w:rsid w:val="006B1288"/>
    <w:rsid w:val="006B1653"/>
    <w:rsid w:val="006B1A25"/>
    <w:rsid w:val="006B1EF6"/>
    <w:rsid w:val="006B243E"/>
    <w:rsid w:val="006B278E"/>
    <w:rsid w:val="006B383A"/>
    <w:rsid w:val="006B393D"/>
    <w:rsid w:val="006B3B3B"/>
    <w:rsid w:val="006B416F"/>
    <w:rsid w:val="006B41FD"/>
    <w:rsid w:val="006B449C"/>
    <w:rsid w:val="006B44F9"/>
    <w:rsid w:val="006B46B7"/>
    <w:rsid w:val="006B47B6"/>
    <w:rsid w:val="006B4D51"/>
    <w:rsid w:val="006B5160"/>
    <w:rsid w:val="006B5496"/>
    <w:rsid w:val="006B562D"/>
    <w:rsid w:val="006B56B9"/>
    <w:rsid w:val="006B5F94"/>
    <w:rsid w:val="006B652A"/>
    <w:rsid w:val="006B6B98"/>
    <w:rsid w:val="006B700B"/>
    <w:rsid w:val="006B70E3"/>
    <w:rsid w:val="006B71F4"/>
    <w:rsid w:val="006B72F0"/>
    <w:rsid w:val="006B7BD8"/>
    <w:rsid w:val="006B7C34"/>
    <w:rsid w:val="006B7DAD"/>
    <w:rsid w:val="006C026D"/>
    <w:rsid w:val="006C057E"/>
    <w:rsid w:val="006C078D"/>
    <w:rsid w:val="006C0EF4"/>
    <w:rsid w:val="006C0F36"/>
    <w:rsid w:val="006C10B0"/>
    <w:rsid w:val="006C19B8"/>
    <w:rsid w:val="006C1A3B"/>
    <w:rsid w:val="006C1B79"/>
    <w:rsid w:val="006C21DD"/>
    <w:rsid w:val="006C2315"/>
    <w:rsid w:val="006C2402"/>
    <w:rsid w:val="006C2779"/>
    <w:rsid w:val="006C2B51"/>
    <w:rsid w:val="006C2D77"/>
    <w:rsid w:val="006C2E02"/>
    <w:rsid w:val="006C2E3F"/>
    <w:rsid w:val="006C2E56"/>
    <w:rsid w:val="006C2E5E"/>
    <w:rsid w:val="006C324E"/>
    <w:rsid w:val="006C354D"/>
    <w:rsid w:val="006C36E6"/>
    <w:rsid w:val="006C37EE"/>
    <w:rsid w:val="006C38F2"/>
    <w:rsid w:val="006C4142"/>
    <w:rsid w:val="006C4623"/>
    <w:rsid w:val="006C4783"/>
    <w:rsid w:val="006C4869"/>
    <w:rsid w:val="006C4D00"/>
    <w:rsid w:val="006C51D1"/>
    <w:rsid w:val="006C531D"/>
    <w:rsid w:val="006C5429"/>
    <w:rsid w:val="006C54C4"/>
    <w:rsid w:val="006C569F"/>
    <w:rsid w:val="006C59FA"/>
    <w:rsid w:val="006C5AF2"/>
    <w:rsid w:val="006C5B33"/>
    <w:rsid w:val="006C6063"/>
    <w:rsid w:val="006C6389"/>
    <w:rsid w:val="006C6400"/>
    <w:rsid w:val="006C66E6"/>
    <w:rsid w:val="006C67A2"/>
    <w:rsid w:val="006C69C9"/>
    <w:rsid w:val="006C6C6D"/>
    <w:rsid w:val="006C6EF7"/>
    <w:rsid w:val="006C72E1"/>
    <w:rsid w:val="006C72EB"/>
    <w:rsid w:val="006C7EA4"/>
    <w:rsid w:val="006D0060"/>
    <w:rsid w:val="006D0114"/>
    <w:rsid w:val="006D0175"/>
    <w:rsid w:val="006D07AA"/>
    <w:rsid w:val="006D083A"/>
    <w:rsid w:val="006D0B3E"/>
    <w:rsid w:val="006D0C76"/>
    <w:rsid w:val="006D171D"/>
    <w:rsid w:val="006D19AF"/>
    <w:rsid w:val="006D1CF2"/>
    <w:rsid w:val="006D1EA1"/>
    <w:rsid w:val="006D24AA"/>
    <w:rsid w:val="006D2689"/>
    <w:rsid w:val="006D26F7"/>
    <w:rsid w:val="006D2BA4"/>
    <w:rsid w:val="006D2BE0"/>
    <w:rsid w:val="006D2C34"/>
    <w:rsid w:val="006D31A8"/>
    <w:rsid w:val="006D3AC6"/>
    <w:rsid w:val="006D3C49"/>
    <w:rsid w:val="006D3C4F"/>
    <w:rsid w:val="006D3DD6"/>
    <w:rsid w:val="006D3E11"/>
    <w:rsid w:val="006D401D"/>
    <w:rsid w:val="006D4544"/>
    <w:rsid w:val="006D494E"/>
    <w:rsid w:val="006D4D77"/>
    <w:rsid w:val="006D4DA5"/>
    <w:rsid w:val="006D4E50"/>
    <w:rsid w:val="006D4F1A"/>
    <w:rsid w:val="006D537C"/>
    <w:rsid w:val="006D5972"/>
    <w:rsid w:val="006D5E14"/>
    <w:rsid w:val="006D5FA8"/>
    <w:rsid w:val="006D6044"/>
    <w:rsid w:val="006D60E1"/>
    <w:rsid w:val="006D63E5"/>
    <w:rsid w:val="006D65BB"/>
    <w:rsid w:val="006D662E"/>
    <w:rsid w:val="006D685D"/>
    <w:rsid w:val="006D68B2"/>
    <w:rsid w:val="006D69CC"/>
    <w:rsid w:val="006D6B22"/>
    <w:rsid w:val="006D7029"/>
    <w:rsid w:val="006D72EF"/>
    <w:rsid w:val="006D7300"/>
    <w:rsid w:val="006D7469"/>
    <w:rsid w:val="006D74EE"/>
    <w:rsid w:val="006D788E"/>
    <w:rsid w:val="006D7D92"/>
    <w:rsid w:val="006D7EC7"/>
    <w:rsid w:val="006E068F"/>
    <w:rsid w:val="006E0708"/>
    <w:rsid w:val="006E0B6A"/>
    <w:rsid w:val="006E1B74"/>
    <w:rsid w:val="006E1E63"/>
    <w:rsid w:val="006E23D1"/>
    <w:rsid w:val="006E2443"/>
    <w:rsid w:val="006E2E93"/>
    <w:rsid w:val="006E312C"/>
    <w:rsid w:val="006E3309"/>
    <w:rsid w:val="006E3523"/>
    <w:rsid w:val="006E3610"/>
    <w:rsid w:val="006E366B"/>
    <w:rsid w:val="006E3DB1"/>
    <w:rsid w:val="006E3F92"/>
    <w:rsid w:val="006E41A8"/>
    <w:rsid w:val="006E4356"/>
    <w:rsid w:val="006E47FF"/>
    <w:rsid w:val="006E497C"/>
    <w:rsid w:val="006E5041"/>
    <w:rsid w:val="006E516D"/>
    <w:rsid w:val="006E5470"/>
    <w:rsid w:val="006E5A61"/>
    <w:rsid w:val="006E62FB"/>
    <w:rsid w:val="006E6A76"/>
    <w:rsid w:val="006E6E22"/>
    <w:rsid w:val="006E713D"/>
    <w:rsid w:val="006E71D2"/>
    <w:rsid w:val="006E7358"/>
    <w:rsid w:val="006E740F"/>
    <w:rsid w:val="006E7C3C"/>
    <w:rsid w:val="006E7F98"/>
    <w:rsid w:val="006F0702"/>
    <w:rsid w:val="006F0740"/>
    <w:rsid w:val="006F0888"/>
    <w:rsid w:val="006F09C4"/>
    <w:rsid w:val="006F09D3"/>
    <w:rsid w:val="006F0D9E"/>
    <w:rsid w:val="006F1414"/>
    <w:rsid w:val="006F1A01"/>
    <w:rsid w:val="006F2433"/>
    <w:rsid w:val="006F24FF"/>
    <w:rsid w:val="006F2A82"/>
    <w:rsid w:val="006F2DA3"/>
    <w:rsid w:val="006F2F6C"/>
    <w:rsid w:val="006F2F9C"/>
    <w:rsid w:val="006F3130"/>
    <w:rsid w:val="006F3580"/>
    <w:rsid w:val="006F3590"/>
    <w:rsid w:val="006F377C"/>
    <w:rsid w:val="006F4073"/>
    <w:rsid w:val="006F410B"/>
    <w:rsid w:val="006F43E8"/>
    <w:rsid w:val="006F4689"/>
    <w:rsid w:val="006F46D1"/>
    <w:rsid w:val="006F4AE5"/>
    <w:rsid w:val="006F4B20"/>
    <w:rsid w:val="006F4B36"/>
    <w:rsid w:val="006F4E36"/>
    <w:rsid w:val="006F50B8"/>
    <w:rsid w:val="006F52C8"/>
    <w:rsid w:val="006F5A73"/>
    <w:rsid w:val="006F5B17"/>
    <w:rsid w:val="006F5B4B"/>
    <w:rsid w:val="006F5E63"/>
    <w:rsid w:val="006F61AC"/>
    <w:rsid w:val="006F6322"/>
    <w:rsid w:val="006F68F8"/>
    <w:rsid w:val="006F6A1F"/>
    <w:rsid w:val="006F6CB8"/>
    <w:rsid w:val="006F7126"/>
    <w:rsid w:val="006F78D8"/>
    <w:rsid w:val="006F79CA"/>
    <w:rsid w:val="006F7B0B"/>
    <w:rsid w:val="006F7B39"/>
    <w:rsid w:val="006F7B6D"/>
    <w:rsid w:val="006F7BB0"/>
    <w:rsid w:val="006F7E67"/>
    <w:rsid w:val="0070010A"/>
    <w:rsid w:val="007001B4"/>
    <w:rsid w:val="00700414"/>
    <w:rsid w:val="007004CD"/>
    <w:rsid w:val="007006F5"/>
    <w:rsid w:val="007007F1"/>
    <w:rsid w:val="00700BB9"/>
    <w:rsid w:val="007010DB"/>
    <w:rsid w:val="00701371"/>
    <w:rsid w:val="007014E1"/>
    <w:rsid w:val="00701765"/>
    <w:rsid w:val="0070180A"/>
    <w:rsid w:val="00701850"/>
    <w:rsid w:val="007019F7"/>
    <w:rsid w:val="00701AA1"/>
    <w:rsid w:val="00702368"/>
    <w:rsid w:val="00702545"/>
    <w:rsid w:val="007027B7"/>
    <w:rsid w:val="00702CA8"/>
    <w:rsid w:val="007034E0"/>
    <w:rsid w:val="00703D15"/>
    <w:rsid w:val="00703D8C"/>
    <w:rsid w:val="00703FF4"/>
    <w:rsid w:val="00704125"/>
    <w:rsid w:val="0070459E"/>
    <w:rsid w:val="00704B33"/>
    <w:rsid w:val="00704C15"/>
    <w:rsid w:val="00704DF1"/>
    <w:rsid w:val="0070506F"/>
    <w:rsid w:val="007052E9"/>
    <w:rsid w:val="007057CC"/>
    <w:rsid w:val="0070661C"/>
    <w:rsid w:val="00706744"/>
    <w:rsid w:val="00706789"/>
    <w:rsid w:val="007069B1"/>
    <w:rsid w:val="00706AF6"/>
    <w:rsid w:val="00706C7E"/>
    <w:rsid w:val="00706E0D"/>
    <w:rsid w:val="0070702C"/>
    <w:rsid w:val="007070B5"/>
    <w:rsid w:val="007073F1"/>
    <w:rsid w:val="0070777B"/>
    <w:rsid w:val="00707C01"/>
    <w:rsid w:val="00707DC7"/>
    <w:rsid w:val="00707E5F"/>
    <w:rsid w:val="0071006C"/>
    <w:rsid w:val="007103C3"/>
    <w:rsid w:val="00710CAD"/>
    <w:rsid w:val="00710CBE"/>
    <w:rsid w:val="00710E15"/>
    <w:rsid w:val="00710E32"/>
    <w:rsid w:val="00710F4A"/>
    <w:rsid w:val="00711330"/>
    <w:rsid w:val="0071136E"/>
    <w:rsid w:val="00711375"/>
    <w:rsid w:val="0071142C"/>
    <w:rsid w:val="00711753"/>
    <w:rsid w:val="0071189B"/>
    <w:rsid w:val="00711B6D"/>
    <w:rsid w:val="00711C12"/>
    <w:rsid w:val="0071201E"/>
    <w:rsid w:val="0071204B"/>
    <w:rsid w:val="00712429"/>
    <w:rsid w:val="0071256C"/>
    <w:rsid w:val="007129C3"/>
    <w:rsid w:val="00712AC6"/>
    <w:rsid w:val="00712CD1"/>
    <w:rsid w:val="00712D9D"/>
    <w:rsid w:val="00712E67"/>
    <w:rsid w:val="00713338"/>
    <w:rsid w:val="007133A6"/>
    <w:rsid w:val="00713484"/>
    <w:rsid w:val="007135DC"/>
    <w:rsid w:val="00713AC6"/>
    <w:rsid w:val="00713CCA"/>
    <w:rsid w:val="00713EBB"/>
    <w:rsid w:val="00713FFF"/>
    <w:rsid w:val="00714059"/>
    <w:rsid w:val="0071416B"/>
    <w:rsid w:val="007141A6"/>
    <w:rsid w:val="007141A7"/>
    <w:rsid w:val="007142E8"/>
    <w:rsid w:val="007144BF"/>
    <w:rsid w:val="007146C5"/>
    <w:rsid w:val="007147AD"/>
    <w:rsid w:val="0071489C"/>
    <w:rsid w:val="007151B9"/>
    <w:rsid w:val="00715950"/>
    <w:rsid w:val="00715952"/>
    <w:rsid w:val="007161C2"/>
    <w:rsid w:val="0071622B"/>
    <w:rsid w:val="0071638E"/>
    <w:rsid w:val="007168A3"/>
    <w:rsid w:val="00716B5E"/>
    <w:rsid w:val="00716E8F"/>
    <w:rsid w:val="00717707"/>
    <w:rsid w:val="007179C5"/>
    <w:rsid w:val="00717A13"/>
    <w:rsid w:val="00717D71"/>
    <w:rsid w:val="007207B6"/>
    <w:rsid w:val="007207BB"/>
    <w:rsid w:val="00720E78"/>
    <w:rsid w:val="007211D5"/>
    <w:rsid w:val="007212A8"/>
    <w:rsid w:val="0072141F"/>
    <w:rsid w:val="00721556"/>
    <w:rsid w:val="00721771"/>
    <w:rsid w:val="00721883"/>
    <w:rsid w:val="00721912"/>
    <w:rsid w:val="00721BA7"/>
    <w:rsid w:val="00721C4C"/>
    <w:rsid w:val="00721E11"/>
    <w:rsid w:val="007222EB"/>
    <w:rsid w:val="007224E3"/>
    <w:rsid w:val="00722BF8"/>
    <w:rsid w:val="0072313C"/>
    <w:rsid w:val="0072370A"/>
    <w:rsid w:val="00723D55"/>
    <w:rsid w:val="00723DA0"/>
    <w:rsid w:val="00723E57"/>
    <w:rsid w:val="0072413B"/>
    <w:rsid w:val="007244B5"/>
    <w:rsid w:val="0072496A"/>
    <w:rsid w:val="00724D41"/>
    <w:rsid w:val="00724DDD"/>
    <w:rsid w:val="007254AB"/>
    <w:rsid w:val="007254AE"/>
    <w:rsid w:val="007255A9"/>
    <w:rsid w:val="007256CE"/>
    <w:rsid w:val="00725711"/>
    <w:rsid w:val="007257C6"/>
    <w:rsid w:val="007259E9"/>
    <w:rsid w:val="00725AFB"/>
    <w:rsid w:val="00725B03"/>
    <w:rsid w:val="007267F5"/>
    <w:rsid w:val="00726974"/>
    <w:rsid w:val="00726E0D"/>
    <w:rsid w:val="00727027"/>
    <w:rsid w:val="00727149"/>
    <w:rsid w:val="0072717D"/>
    <w:rsid w:val="00727D31"/>
    <w:rsid w:val="00727D61"/>
    <w:rsid w:val="0073020A"/>
    <w:rsid w:val="0073040F"/>
    <w:rsid w:val="00730449"/>
    <w:rsid w:val="007306D3"/>
    <w:rsid w:val="0073094E"/>
    <w:rsid w:val="00730CE6"/>
    <w:rsid w:val="00730D19"/>
    <w:rsid w:val="00730EC5"/>
    <w:rsid w:val="00731047"/>
    <w:rsid w:val="007314DF"/>
    <w:rsid w:val="00731701"/>
    <w:rsid w:val="007317A5"/>
    <w:rsid w:val="00731EA7"/>
    <w:rsid w:val="00731EBD"/>
    <w:rsid w:val="007321B2"/>
    <w:rsid w:val="00732A6C"/>
    <w:rsid w:val="00732BE2"/>
    <w:rsid w:val="00732C9E"/>
    <w:rsid w:val="00732FB1"/>
    <w:rsid w:val="00733027"/>
    <w:rsid w:val="0073307C"/>
    <w:rsid w:val="0073322B"/>
    <w:rsid w:val="007332FF"/>
    <w:rsid w:val="007335FF"/>
    <w:rsid w:val="00733637"/>
    <w:rsid w:val="007337CF"/>
    <w:rsid w:val="00733948"/>
    <w:rsid w:val="00733F5D"/>
    <w:rsid w:val="0073406F"/>
    <w:rsid w:val="007343BA"/>
    <w:rsid w:val="007343DC"/>
    <w:rsid w:val="00734786"/>
    <w:rsid w:val="00734862"/>
    <w:rsid w:val="00734A40"/>
    <w:rsid w:val="00734B04"/>
    <w:rsid w:val="00734BCE"/>
    <w:rsid w:val="00734F5E"/>
    <w:rsid w:val="007353E8"/>
    <w:rsid w:val="007353EB"/>
    <w:rsid w:val="0073581E"/>
    <w:rsid w:val="00735A02"/>
    <w:rsid w:val="00735A1F"/>
    <w:rsid w:val="00735BD8"/>
    <w:rsid w:val="00735D75"/>
    <w:rsid w:val="007368AE"/>
    <w:rsid w:val="007368EE"/>
    <w:rsid w:val="00736DB9"/>
    <w:rsid w:val="007371B7"/>
    <w:rsid w:val="00737428"/>
    <w:rsid w:val="00737498"/>
    <w:rsid w:val="007377C6"/>
    <w:rsid w:val="007409FF"/>
    <w:rsid w:val="00740C55"/>
    <w:rsid w:val="00741113"/>
    <w:rsid w:val="00741AFE"/>
    <w:rsid w:val="00741D4D"/>
    <w:rsid w:val="00741FB5"/>
    <w:rsid w:val="007422F9"/>
    <w:rsid w:val="0074232E"/>
    <w:rsid w:val="00742514"/>
    <w:rsid w:val="00742585"/>
    <w:rsid w:val="007429BC"/>
    <w:rsid w:val="00742FDC"/>
    <w:rsid w:val="0074303E"/>
    <w:rsid w:val="00743576"/>
    <w:rsid w:val="00743909"/>
    <w:rsid w:val="007442B1"/>
    <w:rsid w:val="007443D5"/>
    <w:rsid w:val="007445E4"/>
    <w:rsid w:val="00744677"/>
    <w:rsid w:val="007447BC"/>
    <w:rsid w:val="00744A0B"/>
    <w:rsid w:val="00744BEF"/>
    <w:rsid w:val="00744E50"/>
    <w:rsid w:val="00744F35"/>
    <w:rsid w:val="00745120"/>
    <w:rsid w:val="007453ED"/>
    <w:rsid w:val="00745630"/>
    <w:rsid w:val="00745B19"/>
    <w:rsid w:val="00745E5A"/>
    <w:rsid w:val="007462B6"/>
    <w:rsid w:val="007463E5"/>
    <w:rsid w:val="00746A44"/>
    <w:rsid w:val="00746AFA"/>
    <w:rsid w:val="00746CB1"/>
    <w:rsid w:val="00746E3B"/>
    <w:rsid w:val="00747417"/>
    <w:rsid w:val="0074752B"/>
    <w:rsid w:val="00747559"/>
    <w:rsid w:val="007477E0"/>
    <w:rsid w:val="00747B64"/>
    <w:rsid w:val="00747CDA"/>
    <w:rsid w:val="00747D82"/>
    <w:rsid w:val="00747DBB"/>
    <w:rsid w:val="0075035B"/>
    <w:rsid w:val="00750424"/>
    <w:rsid w:val="0075073D"/>
    <w:rsid w:val="00751175"/>
    <w:rsid w:val="0075130C"/>
    <w:rsid w:val="00751678"/>
    <w:rsid w:val="00751DE3"/>
    <w:rsid w:val="00752158"/>
    <w:rsid w:val="00752355"/>
    <w:rsid w:val="007523E0"/>
    <w:rsid w:val="00752613"/>
    <w:rsid w:val="007528C7"/>
    <w:rsid w:val="00752F70"/>
    <w:rsid w:val="00752FCF"/>
    <w:rsid w:val="007530E2"/>
    <w:rsid w:val="007534A0"/>
    <w:rsid w:val="007534FA"/>
    <w:rsid w:val="00753986"/>
    <w:rsid w:val="00753A5E"/>
    <w:rsid w:val="00753B80"/>
    <w:rsid w:val="00754268"/>
    <w:rsid w:val="00754306"/>
    <w:rsid w:val="0075468C"/>
    <w:rsid w:val="0075514A"/>
    <w:rsid w:val="007553E1"/>
    <w:rsid w:val="00755701"/>
    <w:rsid w:val="007557DD"/>
    <w:rsid w:val="007558C8"/>
    <w:rsid w:val="00755A38"/>
    <w:rsid w:val="00755AE3"/>
    <w:rsid w:val="00756298"/>
    <w:rsid w:val="0075629E"/>
    <w:rsid w:val="007562DD"/>
    <w:rsid w:val="00756320"/>
    <w:rsid w:val="007565F9"/>
    <w:rsid w:val="00756644"/>
    <w:rsid w:val="00756AD5"/>
    <w:rsid w:val="00756B33"/>
    <w:rsid w:val="00756F19"/>
    <w:rsid w:val="00757235"/>
    <w:rsid w:val="007573BD"/>
    <w:rsid w:val="00757CD5"/>
    <w:rsid w:val="00757E95"/>
    <w:rsid w:val="0076025A"/>
    <w:rsid w:val="00761063"/>
    <w:rsid w:val="00761137"/>
    <w:rsid w:val="0076144D"/>
    <w:rsid w:val="00761467"/>
    <w:rsid w:val="007615A7"/>
    <w:rsid w:val="00761BA4"/>
    <w:rsid w:val="00761F94"/>
    <w:rsid w:val="007624C3"/>
    <w:rsid w:val="007624C5"/>
    <w:rsid w:val="007626DB"/>
    <w:rsid w:val="00762A38"/>
    <w:rsid w:val="00762C19"/>
    <w:rsid w:val="00763072"/>
    <w:rsid w:val="0076333C"/>
    <w:rsid w:val="007634AF"/>
    <w:rsid w:val="00763705"/>
    <w:rsid w:val="007637F7"/>
    <w:rsid w:val="00763A93"/>
    <w:rsid w:val="00763ADB"/>
    <w:rsid w:val="00763B8A"/>
    <w:rsid w:val="00763BEC"/>
    <w:rsid w:val="00763E78"/>
    <w:rsid w:val="00763F10"/>
    <w:rsid w:val="007641B6"/>
    <w:rsid w:val="0076456C"/>
    <w:rsid w:val="00764B57"/>
    <w:rsid w:val="00764BA7"/>
    <w:rsid w:val="00764F0A"/>
    <w:rsid w:val="00765115"/>
    <w:rsid w:val="007654B9"/>
    <w:rsid w:val="007655AC"/>
    <w:rsid w:val="007655B9"/>
    <w:rsid w:val="007656C0"/>
    <w:rsid w:val="00765920"/>
    <w:rsid w:val="00765E03"/>
    <w:rsid w:val="00765E88"/>
    <w:rsid w:val="0076627D"/>
    <w:rsid w:val="0076660F"/>
    <w:rsid w:val="00766957"/>
    <w:rsid w:val="00767020"/>
    <w:rsid w:val="007675A7"/>
    <w:rsid w:val="00767713"/>
    <w:rsid w:val="00767750"/>
    <w:rsid w:val="00767BAA"/>
    <w:rsid w:val="00767CC4"/>
    <w:rsid w:val="00767F4C"/>
    <w:rsid w:val="00770406"/>
    <w:rsid w:val="007710CF"/>
    <w:rsid w:val="007710E8"/>
    <w:rsid w:val="00771399"/>
    <w:rsid w:val="00771C64"/>
    <w:rsid w:val="00771D65"/>
    <w:rsid w:val="0077203E"/>
    <w:rsid w:val="0077229C"/>
    <w:rsid w:val="0077297B"/>
    <w:rsid w:val="00772F1E"/>
    <w:rsid w:val="00773226"/>
    <w:rsid w:val="0077383C"/>
    <w:rsid w:val="00773ABC"/>
    <w:rsid w:val="0077404C"/>
    <w:rsid w:val="007741F7"/>
    <w:rsid w:val="00774609"/>
    <w:rsid w:val="007747FB"/>
    <w:rsid w:val="00774B3F"/>
    <w:rsid w:val="00774BB2"/>
    <w:rsid w:val="00774FDA"/>
    <w:rsid w:val="00775181"/>
    <w:rsid w:val="007756D3"/>
    <w:rsid w:val="00775A13"/>
    <w:rsid w:val="00775A9B"/>
    <w:rsid w:val="00775C95"/>
    <w:rsid w:val="00775EFC"/>
    <w:rsid w:val="00775F94"/>
    <w:rsid w:val="00776174"/>
    <w:rsid w:val="0077644E"/>
    <w:rsid w:val="007768C1"/>
    <w:rsid w:val="0077696D"/>
    <w:rsid w:val="00776A11"/>
    <w:rsid w:val="00776BB3"/>
    <w:rsid w:val="00776F4C"/>
    <w:rsid w:val="00776FA8"/>
    <w:rsid w:val="00777094"/>
    <w:rsid w:val="007774E8"/>
    <w:rsid w:val="00777607"/>
    <w:rsid w:val="007778D1"/>
    <w:rsid w:val="00777923"/>
    <w:rsid w:val="00777A2F"/>
    <w:rsid w:val="00777CB1"/>
    <w:rsid w:val="00777F53"/>
    <w:rsid w:val="007800A2"/>
    <w:rsid w:val="007800E7"/>
    <w:rsid w:val="007804A3"/>
    <w:rsid w:val="007806B5"/>
    <w:rsid w:val="00780961"/>
    <w:rsid w:val="007809C7"/>
    <w:rsid w:val="00780C62"/>
    <w:rsid w:val="00781350"/>
    <w:rsid w:val="00781426"/>
    <w:rsid w:val="007817CF"/>
    <w:rsid w:val="00782001"/>
    <w:rsid w:val="00782017"/>
    <w:rsid w:val="00782213"/>
    <w:rsid w:val="0078297D"/>
    <w:rsid w:val="007829B5"/>
    <w:rsid w:val="00782BF7"/>
    <w:rsid w:val="007831C3"/>
    <w:rsid w:val="007835EB"/>
    <w:rsid w:val="00783676"/>
    <w:rsid w:val="0078367F"/>
    <w:rsid w:val="00783D90"/>
    <w:rsid w:val="00784238"/>
    <w:rsid w:val="007848BF"/>
    <w:rsid w:val="00784BC3"/>
    <w:rsid w:val="00784CE8"/>
    <w:rsid w:val="00784F39"/>
    <w:rsid w:val="00785005"/>
    <w:rsid w:val="007852FE"/>
    <w:rsid w:val="007858CC"/>
    <w:rsid w:val="00785A5E"/>
    <w:rsid w:val="00785BAF"/>
    <w:rsid w:val="00785CBD"/>
    <w:rsid w:val="0078627F"/>
    <w:rsid w:val="007863EE"/>
    <w:rsid w:val="007863FE"/>
    <w:rsid w:val="00786531"/>
    <w:rsid w:val="0078668B"/>
    <w:rsid w:val="00786DA8"/>
    <w:rsid w:val="00786E9A"/>
    <w:rsid w:val="007870E1"/>
    <w:rsid w:val="007873D0"/>
    <w:rsid w:val="007875A6"/>
    <w:rsid w:val="007877DD"/>
    <w:rsid w:val="007877F4"/>
    <w:rsid w:val="00787847"/>
    <w:rsid w:val="00787C12"/>
    <w:rsid w:val="007901BA"/>
    <w:rsid w:val="007904AE"/>
    <w:rsid w:val="00790592"/>
    <w:rsid w:val="00790C49"/>
    <w:rsid w:val="00790C7D"/>
    <w:rsid w:val="00790EBF"/>
    <w:rsid w:val="00790FA5"/>
    <w:rsid w:val="0079102F"/>
    <w:rsid w:val="007910AC"/>
    <w:rsid w:val="0079179C"/>
    <w:rsid w:val="00791ED9"/>
    <w:rsid w:val="00792033"/>
    <w:rsid w:val="00792574"/>
    <w:rsid w:val="00792897"/>
    <w:rsid w:val="00792A99"/>
    <w:rsid w:val="00793429"/>
    <w:rsid w:val="007934CB"/>
    <w:rsid w:val="007935B1"/>
    <w:rsid w:val="00793CC5"/>
    <w:rsid w:val="00794941"/>
    <w:rsid w:val="00794BD5"/>
    <w:rsid w:val="00795BD2"/>
    <w:rsid w:val="00795CE9"/>
    <w:rsid w:val="00795FBF"/>
    <w:rsid w:val="0079671C"/>
    <w:rsid w:val="00796CD4"/>
    <w:rsid w:val="00796D8F"/>
    <w:rsid w:val="00796DE5"/>
    <w:rsid w:val="00796E6E"/>
    <w:rsid w:val="00796F51"/>
    <w:rsid w:val="0079701A"/>
    <w:rsid w:val="007972F9"/>
    <w:rsid w:val="00797419"/>
    <w:rsid w:val="00797560"/>
    <w:rsid w:val="00797947"/>
    <w:rsid w:val="00797C7B"/>
    <w:rsid w:val="00797CE9"/>
    <w:rsid w:val="00797D4C"/>
    <w:rsid w:val="00797EBF"/>
    <w:rsid w:val="007A018D"/>
    <w:rsid w:val="007A0646"/>
    <w:rsid w:val="007A18C6"/>
    <w:rsid w:val="007A1C51"/>
    <w:rsid w:val="007A231D"/>
    <w:rsid w:val="007A26DF"/>
    <w:rsid w:val="007A2BAA"/>
    <w:rsid w:val="007A2E46"/>
    <w:rsid w:val="007A30C9"/>
    <w:rsid w:val="007A3BEC"/>
    <w:rsid w:val="007A3F59"/>
    <w:rsid w:val="007A410C"/>
    <w:rsid w:val="007A41C6"/>
    <w:rsid w:val="007A43F3"/>
    <w:rsid w:val="007A4727"/>
    <w:rsid w:val="007A4A1A"/>
    <w:rsid w:val="007A54DC"/>
    <w:rsid w:val="007A5516"/>
    <w:rsid w:val="007A5526"/>
    <w:rsid w:val="007A5BB3"/>
    <w:rsid w:val="007A5C93"/>
    <w:rsid w:val="007A5E22"/>
    <w:rsid w:val="007A600A"/>
    <w:rsid w:val="007A6237"/>
    <w:rsid w:val="007A6352"/>
    <w:rsid w:val="007A68C1"/>
    <w:rsid w:val="007A7211"/>
    <w:rsid w:val="007A731F"/>
    <w:rsid w:val="007A7729"/>
    <w:rsid w:val="007A78BC"/>
    <w:rsid w:val="007A78CB"/>
    <w:rsid w:val="007A78D2"/>
    <w:rsid w:val="007A7D00"/>
    <w:rsid w:val="007A7D8A"/>
    <w:rsid w:val="007B059A"/>
    <w:rsid w:val="007B0C25"/>
    <w:rsid w:val="007B152A"/>
    <w:rsid w:val="007B172C"/>
    <w:rsid w:val="007B1854"/>
    <w:rsid w:val="007B19D8"/>
    <w:rsid w:val="007B19E1"/>
    <w:rsid w:val="007B1B47"/>
    <w:rsid w:val="007B1CD6"/>
    <w:rsid w:val="007B1D0D"/>
    <w:rsid w:val="007B1DB1"/>
    <w:rsid w:val="007B2080"/>
    <w:rsid w:val="007B2524"/>
    <w:rsid w:val="007B2598"/>
    <w:rsid w:val="007B27B9"/>
    <w:rsid w:val="007B2A2A"/>
    <w:rsid w:val="007B2FCA"/>
    <w:rsid w:val="007B3441"/>
    <w:rsid w:val="007B346C"/>
    <w:rsid w:val="007B3ACA"/>
    <w:rsid w:val="007B3C78"/>
    <w:rsid w:val="007B4399"/>
    <w:rsid w:val="007B4570"/>
    <w:rsid w:val="007B463C"/>
    <w:rsid w:val="007B4DA8"/>
    <w:rsid w:val="007B4ECF"/>
    <w:rsid w:val="007B4F92"/>
    <w:rsid w:val="007B538F"/>
    <w:rsid w:val="007B5427"/>
    <w:rsid w:val="007B5AD8"/>
    <w:rsid w:val="007B5E2B"/>
    <w:rsid w:val="007B5E8B"/>
    <w:rsid w:val="007B5F5A"/>
    <w:rsid w:val="007B60F2"/>
    <w:rsid w:val="007B6148"/>
    <w:rsid w:val="007B6205"/>
    <w:rsid w:val="007B63C3"/>
    <w:rsid w:val="007B6449"/>
    <w:rsid w:val="007B6540"/>
    <w:rsid w:val="007B667D"/>
    <w:rsid w:val="007B679D"/>
    <w:rsid w:val="007B67A1"/>
    <w:rsid w:val="007B6D03"/>
    <w:rsid w:val="007B70DD"/>
    <w:rsid w:val="007B757E"/>
    <w:rsid w:val="007B792B"/>
    <w:rsid w:val="007B79EE"/>
    <w:rsid w:val="007B7B33"/>
    <w:rsid w:val="007B7B76"/>
    <w:rsid w:val="007B7C94"/>
    <w:rsid w:val="007C01F9"/>
    <w:rsid w:val="007C0A7E"/>
    <w:rsid w:val="007C0CEA"/>
    <w:rsid w:val="007C0DA2"/>
    <w:rsid w:val="007C0DA7"/>
    <w:rsid w:val="007C0F03"/>
    <w:rsid w:val="007C14ED"/>
    <w:rsid w:val="007C1580"/>
    <w:rsid w:val="007C1738"/>
    <w:rsid w:val="007C194F"/>
    <w:rsid w:val="007C1B10"/>
    <w:rsid w:val="007C1D85"/>
    <w:rsid w:val="007C1FEC"/>
    <w:rsid w:val="007C222E"/>
    <w:rsid w:val="007C239A"/>
    <w:rsid w:val="007C23E0"/>
    <w:rsid w:val="007C27E4"/>
    <w:rsid w:val="007C2C7D"/>
    <w:rsid w:val="007C2FF6"/>
    <w:rsid w:val="007C34B4"/>
    <w:rsid w:val="007C34D0"/>
    <w:rsid w:val="007C3884"/>
    <w:rsid w:val="007C3933"/>
    <w:rsid w:val="007C3D20"/>
    <w:rsid w:val="007C430E"/>
    <w:rsid w:val="007C4985"/>
    <w:rsid w:val="007C49EC"/>
    <w:rsid w:val="007C4D55"/>
    <w:rsid w:val="007C54B8"/>
    <w:rsid w:val="007C5AD9"/>
    <w:rsid w:val="007C5B78"/>
    <w:rsid w:val="007C5D0A"/>
    <w:rsid w:val="007C5D25"/>
    <w:rsid w:val="007C5EDA"/>
    <w:rsid w:val="007C6009"/>
    <w:rsid w:val="007C600F"/>
    <w:rsid w:val="007C64EE"/>
    <w:rsid w:val="007C6962"/>
    <w:rsid w:val="007C6C79"/>
    <w:rsid w:val="007C6DF7"/>
    <w:rsid w:val="007C702F"/>
    <w:rsid w:val="007C72C2"/>
    <w:rsid w:val="007C7313"/>
    <w:rsid w:val="007C784E"/>
    <w:rsid w:val="007C7A4A"/>
    <w:rsid w:val="007C7ACC"/>
    <w:rsid w:val="007C7E3F"/>
    <w:rsid w:val="007C7F41"/>
    <w:rsid w:val="007D04BD"/>
    <w:rsid w:val="007D06ED"/>
    <w:rsid w:val="007D0750"/>
    <w:rsid w:val="007D0790"/>
    <w:rsid w:val="007D09E3"/>
    <w:rsid w:val="007D0C39"/>
    <w:rsid w:val="007D0EBA"/>
    <w:rsid w:val="007D11E9"/>
    <w:rsid w:val="007D1357"/>
    <w:rsid w:val="007D165E"/>
    <w:rsid w:val="007D18E4"/>
    <w:rsid w:val="007D1DCB"/>
    <w:rsid w:val="007D1E9D"/>
    <w:rsid w:val="007D1F18"/>
    <w:rsid w:val="007D2096"/>
    <w:rsid w:val="007D229A"/>
    <w:rsid w:val="007D2460"/>
    <w:rsid w:val="007D2524"/>
    <w:rsid w:val="007D282C"/>
    <w:rsid w:val="007D29C0"/>
    <w:rsid w:val="007D3168"/>
    <w:rsid w:val="007D31E5"/>
    <w:rsid w:val="007D344A"/>
    <w:rsid w:val="007D35EF"/>
    <w:rsid w:val="007D35F0"/>
    <w:rsid w:val="007D3714"/>
    <w:rsid w:val="007D3AE5"/>
    <w:rsid w:val="007D3B17"/>
    <w:rsid w:val="007D3C93"/>
    <w:rsid w:val="007D470D"/>
    <w:rsid w:val="007D47B4"/>
    <w:rsid w:val="007D49DC"/>
    <w:rsid w:val="007D4A94"/>
    <w:rsid w:val="007D4BFB"/>
    <w:rsid w:val="007D4DCF"/>
    <w:rsid w:val="007D4FCE"/>
    <w:rsid w:val="007D509B"/>
    <w:rsid w:val="007D62FD"/>
    <w:rsid w:val="007D6AFE"/>
    <w:rsid w:val="007D6E8D"/>
    <w:rsid w:val="007D70AD"/>
    <w:rsid w:val="007D7451"/>
    <w:rsid w:val="007D779A"/>
    <w:rsid w:val="007D77D2"/>
    <w:rsid w:val="007D7A1D"/>
    <w:rsid w:val="007D7CB6"/>
    <w:rsid w:val="007D7E81"/>
    <w:rsid w:val="007D7FC3"/>
    <w:rsid w:val="007E0134"/>
    <w:rsid w:val="007E0344"/>
    <w:rsid w:val="007E034C"/>
    <w:rsid w:val="007E087D"/>
    <w:rsid w:val="007E0885"/>
    <w:rsid w:val="007E089D"/>
    <w:rsid w:val="007E0CC5"/>
    <w:rsid w:val="007E0F94"/>
    <w:rsid w:val="007E14D3"/>
    <w:rsid w:val="007E180D"/>
    <w:rsid w:val="007E1B5E"/>
    <w:rsid w:val="007E1C20"/>
    <w:rsid w:val="007E1C3C"/>
    <w:rsid w:val="007E2213"/>
    <w:rsid w:val="007E23B4"/>
    <w:rsid w:val="007E2697"/>
    <w:rsid w:val="007E2D1A"/>
    <w:rsid w:val="007E2E57"/>
    <w:rsid w:val="007E3DD1"/>
    <w:rsid w:val="007E3E79"/>
    <w:rsid w:val="007E3F3B"/>
    <w:rsid w:val="007E41B8"/>
    <w:rsid w:val="007E423C"/>
    <w:rsid w:val="007E4610"/>
    <w:rsid w:val="007E483B"/>
    <w:rsid w:val="007E4E1E"/>
    <w:rsid w:val="007E4EE3"/>
    <w:rsid w:val="007E51C3"/>
    <w:rsid w:val="007E563C"/>
    <w:rsid w:val="007E5944"/>
    <w:rsid w:val="007E64F1"/>
    <w:rsid w:val="007E6785"/>
    <w:rsid w:val="007E68F5"/>
    <w:rsid w:val="007E69AF"/>
    <w:rsid w:val="007E71F7"/>
    <w:rsid w:val="007E761D"/>
    <w:rsid w:val="007E7AD7"/>
    <w:rsid w:val="007E7B0C"/>
    <w:rsid w:val="007E7BD9"/>
    <w:rsid w:val="007E7C97"/>
    <w:rsid w:val="007E7D33"/>
    <w:rsid w:val="007E7E53"/>
    <w:rsid w:val="007F0393"/>
    <w:rsid w:val="007F0798"/>
    <w:rsid w:val="007F0F2E"/>
    <w:rsid w:val="007F11E0"/>
    <w:rsid w:val="007F12A5"/>
    <w:rsid w:val="007F1512"/>
    <w:rsid w:val="007F1A14"/>
    <w:rsid w:val="007F1AB2"/>
    <w:rsid w:val="007F1AC6"/>
    <w:rsid w:val="007F1D95"/>
    <w:rsid w:val="007F235B"/>
    <w:rsid w:val="007F26A5"/>
    <w:rsid w:val="007F27B1"/>
    <w:rsid w:val="007F287F"/>
    <w:rsid w:val="007F2EF6"/>
    <w:rsid w:val="007F303E"/>
    <w:rsid w:val="007F3060"/>
    <w:rsid w:val="007F31D5"/>
    <w:rsid w:val="007F3633"/>
    <w:rsid w:val="007F38FF"/>
    <w:rsid w:val="007F3BCF"/>
    <w:rsid w:val="007F4845"/>
    <w:rsid w:val="007F48CF"/>
    <w:rsid w:val="007F48DF"/>
    <w:rsid w:val="007F494C"/>
    <w:rsid w:val="007F4AF1"/>
    <w:rsid w:val="007F4BD1"/>
    <w:rsid w:val="007F5095"/>
    <w:rsid w:val="007F5537"/>
    <w:rsid w:val="007F5922"/>
    <w:rsid w:val="007F5C31"/>
    <w:rsid w:val="007F6CC7"/>
    <w:rsid w:val="007F6D41"/>
    <w:rsid w:val="007F763B"/>
    <w:rsid w:val="007F7893"/>
    <w:rsid w:val="007F793A"/>
    <w:rsid w:val="007F79E0"/>
    <w:rsid w:val="007F7EC9"/>
    <w:rsid w:val="007F7F4D"/>
    <w:rsid w:val="007F7F7C"/>
    <w:rsid w:val="007F7FE5"/>
    <w:rsid w:val="008000D3"/>
    <w:rsid w:val="008000E2"/>
    <w:rsid w:val="008003AF"/>
    <w:rsid w:val="008003EF"/>
    <w:rsid w:val="0080092D"/>
    <w:rsid w:val="00800B43"/>
    <w:rsid w:val="00800C63"/>
    <w:rsid w:val="00800F7A"/>
    <w:rsid w:val="0080104C"/>
    <w:rsid w:val="0080107C"/>
    <w:rsid w:val="00801518"/>
    <w:rsid w:val="00801668"/>
    <w:rsid w:val="008017A8"/>
    <w:rsid w:val="008018CC"/>
    <w:rsid w:val="00801E5A"/>
    <w:rsid w:val="0080215F"/>
    <w:rsid w:val="00802176"/>
    <w:rsid w:val="008021E6"/>
    <w:rsid w:val="008022D1"/>
    <w:rsid w:val="00802322"/>
    <w:rsid w:val="008035FD"/>
    <w:rsid w:val="00803A8A"/>
    <w:rsid w:val="00803D66"/>
    <w:rsid w:val="00804096"/>
    <w:rsid w:val="008041A1"/>
    <w:rsid w:val="00804312"/>
    <w:rsid w:val="00804E4E"/>
    <w:rsid w:val="00804E73"/>
    <w:rsid w:val="00804F88"/>
    <w:rsid w:val="00805251"/>
    <w:rsid w:val="00805FCA"/>
    <w:rsid w:val="00806030"/>
    <w:rsid w:val="00806346"/>
    <w:rsid w:val="00806922"/>
    <w:rsid w:val="00806A43"/>
    <w:rsid w:val="00806E3A"/>
    <w:rsid w:val="00806EAD"/>
    <w:rsid w:val="008070F0"/>
    <w:rsid w:val="008072ED"/>
    <w:rsid w:val="0080768E"/>
    <w:rsid w:val="008077F4"/>
    <w:rsid w:val="0080782D"/>
    <w:rsid w:val="00807C33"/>
    <w:rsid w:val="00807D1C"/>
    <w:rsid w:val="00810545"/>
    <w:rsid w:val="00810788"/>
    <w:rsid w:val="00810959"/>
    <w:rsid w:val="00810F2A"/>
    <w:rsid w:val="008110D2"/>
    <w:rsid w:val="00811375"/>
    <w:rsid w:val="00811784"/>
    <w:rsid w:val="008117A3"/>
    <w:rsid w:val="00811A98"/>
    <w:rsid w:val="0081248C"/>
    <w:rsid w:val="008128A3"/>
    <w:rsid w:val="00812964"/>
    <w:rsid w:val="00812B10"/>
    <w:rsid w:val="00812B38"/>
    <w:rsid w:val="00812FBD"/>
    <w:rsid w:val="008130D5"/>
    <w:rsid w:val="00813327"/>
    <w:rsid w:val="008133DB"/>
    <w:rsid w:val="00813AB7"/>
    <w:rsid w:val="00813CE1"/>
    <w:rsid w:val="0081418C"/>
    <w:rsid w:val="008141D2"/>
    <w:rsid w:val="008146F2"/>
    <w:rsid w:val="00814772"/>
    <w:rsid w:val="008147B5"/>
    <w:rsid w:val="00814B99"/>
    <w:rsid w:val="00815E8C"/>
    <w:rsid w:val="008160FF"/>
    <w:rsid w:val="008168BD"/>
    <w:rsid w:val="00816BB9"/>
    <w:rsid w:val="00816BCE"/>
    <w:rsid w:val="0081719F"/>
    <w:rsid w:val="0081727F"/>
    <w:rsid w:val="00817330"/>
    <w:rsid w:val="0081766B"/>
    <w:rsid w:val="008177D2"/>
    <w:rsid w:val="00817989"/>
    <w:rsid w:val="00817A58"/>
    <w:rsid w:val="00817C33"/>
    <w:rsid w:val="00817E31"/>
    <w:rsid w:val="00817E3F"/>
    <w:rsid w:val="00820012"/>
    <w:rsid w:val="00820519"/>
    <w:rsid w:val="0082059F"/>
    <w:rsid w:val="00820709"/>
    <w:rsid w:val="00820788"/>
    <w:rsid w:val="00820F36"/>
    <w:rsid w:val="00820FE7"/>
    <w:rsid w:val="00821509"/>
    <w:rsid w:val="00821B21"/>
    <w:rsid w:val="00821B51"/>
    <w:rsid w:val="00821B83"/>
    <w:rsid w:val="00821E89"/>
    <w:rsid w:val="008220C3"/>
    <w:rsid w:val="008223D5"/>
    <w:rsid w:val="008225FE"/>
    <w:rsid w:val="00822823"/>
    <w:rsid w:val="00822F36"/>
    <w:rsid w:val="0082304E"/>
    <w:rsid w:val="008232D6"/>
    <w:rsid w:val="00823423"/>
    <w:rsid w:val="008237A0"/>
    <w:rsid w:val="008242CC"/>
    <w:rsid w:val="008252AF"/>
    <w:rsid w:val="008254F2"/>
    <w:rsid w:val="0082557A"/>
    <w:rsid w:val="008255AF"/>
    <w:rsid w:val="00825756"/>
    <w:rsid w:val="008257F3"/>
    <w:rsid w:val="00825A0D"/>
    <w:rsid w:val="00825ECA"/>
    <w:rsid w:val="00825F52"/>
    <w:rsid w:val="00826565"/>
    <w:rsid w:val="00826637"/>
    <w:rsid w:val="00826B76"/>
    <w:rsid w:val="00826BAC"/>
    <w:rsid w:val="00826C0C"/>
    <w:rsid w:val="00826F0C"/>
    <w:rsid w:val="00826FA4"/>
    <w:rsid w:val="0082729B"/>
    <w:rsid w:val="008272EB"/>
    <w:rsid w:val="008272F1"/>
    <w:rsid w:val="00827350"/>
    <w:rsid w:val="008273CE"/>
    <w:rsid w:val="008276C7"/>
    <w:rsid w:val="00827BE8"/>
    <w:rsid w:val="00827C2E"/>
    <w:rsid w:val="0083048A"/>
    <w:rsid w:val="00830A50"/>
    <w:rsid w:val="00830BB1"/>
    <w:rsid w:val="00830BC4"/>
    <w:rsid w:val="00830CFB"/>
    <w:rsid w:val="00831334"/>
    <w:rsid w:val="00831449"/>
    <w:rsid w:val="008318AE"/>
    <w:rsid w:val="00831BC9"/>
    <w:rsid w:val="00831D6A"/>
    <w:rsid w:val="00831FA6"/>
    <w:rsid w:val="008320C9"/>
    <w:rsid w:val="008320FA"/>
    <w:rsid w:val="00832191"/>
    <w:rsid w:val="008324AC"/>
    <w:rsid w:val="00832966"/>
    <w:rsid w:val="00832A13"/>
    <w:rsid w:val="00833335"/>
    <w:rsid w:val="00833E75"/>
    <w:rsid w:val="00834089"/>
    <w:rsid w:val="008340FF"/>
    <w:rsid w:val="008343F9"/>
    <w:rsid w:val="00834C78"/>
    <w:rsid w:val="00834CAC"/>
    <w:rsid w:val="00834E37"/>
    <w:rsid w:val="00835941"/>
    <w:rsid w:val="00835FBC"/>
    <w:rsid w:val="0083614F"/>
    <w:rsid w:val="0083622B"/>
    <w:rsid w:val="008366D8"/>
    <w:rsid w:val="00836CCA"/>
    <w:rsid w:val="00836E5A"/>
    <w:rsid w:val="00836FD4"/>
    <w:rsid w:val="008375B3"/>
    <w:rsid w:val="00837807"/>
    <w:rsid w:val="008378C2"/>
    <w:rsid w:val="00837964"/>
    <w:rsid w:val="00837971"/>
    <w:rsid w:val="008379E7"/>
    <w:rsid w:val="00837A73"/>
    <w:rsid w:val="00837CE8"/>
    <w:rsid w:val="00837FBA"/>
    <w:rsid w:val="00840468"/>
    <w:rsid w:val="008404AC"/>
    <w:rsid w:val="008408A8"/>
    <w:rsid w:val="008409A4"/>
    <w:rsid w:val="008409F4"/>
    <w:rsid w:val="00840B42"/>
    <w:rsid w:val="00840E7E"/>
    <w:rsid w:val="00840F1D"/>
    <w:rsid w:val="00841184"/>
    <w:rsid w:val="0084118C"/>
    <w:rsid w:val="0084166F"/>
    <w:rsid w:val="0084167C"/>
    <w:rsid w:val="008419A7"/>
    <w:rsid w:val="00841C8D"/>
    <w:rsid w:val="00841F19"/>
    <w:rsid w:val="00841F34"/>
    <w:rsid w:val="00842075"/>
    <w:rsid w:val="0084272F"/>
    <w:rsid w:val="008428B1"/>
    <w:rsid w:val="00842B23"/>
    <w:rsid w:val="00842CC2"/>
    <w:rsid w:val="00843500"/>
    <w:rsid w:val="00843556"/>
    <w:rsid w:val="00843873"/>
    <w:rsid w:val="008439F8"/>
    <w:rsid w:val="00843E67"/>
    <w:rsid w:val="008441F2"/>
    <w:rsid w:val="0084426A"/>
    <w:rsid w:val="00844860"/>
    <w:rsid w:val="00844935"/>
    <w:rsid w:val="008449EC"/>
    <w:rsid w:val="00844BCF"/>
    <w:rsid w:val="00844CF9"/>
    <w:rsid w:val="008451F6"/>
    <w:rsid w:val="00845320"/>
    <w:rsid w:val="008453A5"/>
    <w:rsid w:val="00845613"/>
    <w:rsid w:val="00845716"/>
    <w:rsid w:val="00845C14"/>
    <w:rsid w:val="00845E4A"/>
    <w:rsid w:val="00845F07"/>
    <w:rsid w:val="00846107"/>
    <w:rsid w:val="008465F7"/>
    <w:rsid w:val="00846B34"/>
    <w:rsid w:val="00846B45"/>
    <w:rsid w:val="0084715E"/>
    <w:rsid w:val="00847179"/>
    <w:rsid w:val="008473FD"/>
    <w:rsid w:val="008475D7"/>
    <w:rsid w:val="008477B1"/>
    <w:rsid w:val="00847C93"/>
    <w:rsid w:val="00847D32"/>
    <w:rsid w:val="00847F04"/>
    <w:rsid w:val="00847F27"/>
    <w:rsid w:val="00850A93"/>
    <w:rsid w:val="00850AB4"/>
    <w:rsid w:val="00850AED"/>
    <w:rsid w:val="00850DBF"/>
    <w:rsid w:val="00850F5F"/>
    <w:rsid w:val="00851404"/>
    <w:rsid w:val="00851427"/>
    <w:rsid w:val="00851438"/>
    <w:rsid w:val="008516C4"/>
    <w:rsid w:val="0085178C"/>
    <w:rsid w:val="00851838"/>
    <w:rsid w:val="00851D55"/>
    <w:rsid w:val="00851F49"/>
    <w:rsid w:val="00852036"/>
    <w:rsid w:val="00852275"/>
    <w:rsid w:val="0085232D"/>
    <w:rsid w:val="0085250F"/>
    <w:rsid w:val="008526E0"/>
    <w:rsid w:val="0085313D"/>
    <w:rsid w:val="008531B8"/>
    <w:rsid w:val="00853251"/>
    <w:rsid w:val="0085326B"/>
    <w:rsid w:val="00853DEC"/>
    <w:rsid w:val="0085463E"/>
    <w:rsid w:val="008547F4"/>
    <w:rsid w:val="00854D31"/>
    <w:rsid w:val="00855423"/>
    <w:rsid w:val="0085576B"/>
    <w:rsid w:val="00855888"/>
    <w:rsid w:val="008559A6"/>
    <w:rsid w:val="00856299"/>
    <w:rsid w:val="008562AC"/>
    <w:rsid w:val="00856E5B"/>
    <w:rsid w:val="00856F4D"/>
    <w:rsid w:val="0085744D"/>
    <w:rsid w:val="008577AC"/>
    <w:rsid w:val="008578B7"/>
    <w:rsid w:val="008578E2"/>
    <w:rsid w:val="00857DB4"/>
    <w:rsid w:val="00857EB5"/>
    <w:rsid w:val="008607E4"/>
    <w:rsid w:val="00860EEF"/>
    <w:rsid w:val="00861069"/>
    <w:rsid w:val="00861073"/>
    <w:rsid w:val="008613ED"/>
    <w:rsid w:val="00861458"/>
    <w:rsid w:val="00861873"/>
    <w:rsid w:val="00861B89"/>
    <w:rsid w:val="00861BB4"/>
    <w:rsid w:val="00861E08"/>
    <w:rsid w:val="008620FD"/>
    <w:rsid w:val="008622D0"/>
    <w:rsid w:val="00862349"/>
    <w:rsid w:val="008627E3"/>
    <w:rsid w:val="00862975"/>
    <w:rsid w:val="00862D29"/>
    <w:rsid w:val="00862EF8"/>
    <w:rsid w:val="00863046"/>
    <w:rsid w:val="008630B1"/>
    <w:rsid w:val="0086321F"/>
    <w:rsid w:val="008636D5"/>
    <w:rsid w:val="00863B68"/>
    <w:rsid w:val="00863BEF"/>
    <w:rsid w:val="00863C76"/>
    <w:rsid w:val="00863C9D"/>
    <w:rsid w:val="00863CCD"/>
    <w:rsid w:val="00863D21"/>
    <w:rsid w:val="00863F75"/>
    <w:rsid w:val="00864105"/>
    <w:rsid w:val="00864547"/>
    <w:rsid w:val="00864585"/>
    <w:rsid w:val="0086464F"/>
    <w:rsid w:val="008647A7"/>
    <w:rsid w:val="00864C35"/>
    <w:rsid w:val="00864DCD"/>
    <w:rsid w:val="00865338"/>
    <w:rsid w:val="00865382"/>
    <w:rsid w:val="00865431"/>
    <w:rsid w:val="00865C37"/>
    <w:rsid w:val="0086621B"/>
    <w:rsid w:val="0086638B"/>
    <w:rsid w:val="0086645D"/>
    <w:rsid w:val="0086653E"/>
    <w:rsid w:val="00866CC8"/>
    <w:rsid w:val="00866DF0"/>
    <w:rsid w:val="0086715B"/>
    <w:rsid w:val="0086765E"/>
    <w:rsid w:val="008677FA"/>
    <w:rsid w:val="0086792E"/>
    <w:rsid w:val="00867AA1"/>
    <w:rsid w:val="00867C27"/>
    <w:rsid w:val="00867F3A"/>
    <w:rsid w:val="00870571"/>
    <w:rsid w:val="008706C7"/>
    <w:rsid w:val="00870AF2"/>
    <w:rsid w:val="00870FFE"/>
    <w:rsid w:val="0087131A"/>
    <w:rsid w:val="0087150E"/>
    <w:rsid w:val="00871587"/>
    <w:rsid w:val="008716AC"/>
    <w:rsid w:val="008719C3"/>
    <w:rsid w:val="008719D4"/>
    <w:rsid w:val="00871D7C"/>
    <w:rsid w:val="0087235E"/>
    <w:rsid w:val="00872491"/>
    <w:rsid w:val="0087263A"/>
    <w:rsid w:val="0087264A"/>
    <w:rsid w:val="0087281F"/>
    <w:rsid w:val="00872FC6"/>
    <w:rsid w:val="00873375"/>
    <w:rsid w:val="008733C8"/>
    <w:rsid w:val="0087346D"/>
    <w:rsid w:val="008734BD"/>
    <w:rsid w:val="008736ED"/>
    <w:rsid w:val="00873936"/>
    <w:rsid w:val="008746ED"/>
    <w:rsid w:val="0087481F"/>
    <w:rsid w:val="00874BD3"/>
    <w:rsid w:val="00874E57"/>
    <w:rsid w:val="0087516A"/>
    <w:rsid w:val="008752EE"/>
    <w:rsid w:val="0087547A"/>
    <w:rsid w:val="008754C3"/>
    <w:rsid w:val="00875B91"/>
    <w:rsid w:val="00875EB2"/>
    <w:rsid w:val="00875EBA"/>
    <w:rsid w:val="00876639"/>
    <w:rsid w:val="0087679A"/>
    <w:rsid w:val="008767D3"/>
    <w:rsid w:val="00876847"/>
    <w:rsid w:val="008769EF"/>
    <w:rsid w:val="00876C27"/>
    <w:rsid w:val="00876D25"/>
    <w:rsid w:val="00877028"/>
    <w:rsid w:val="00877C68"/>
    <w:rsid w:val="008805B4"/>
    <w:rsid w:val="0088069E"/>
    <w:rsid w:val="00880777"/>
    <w:rsid w:val="00880A07"/>
    <w:rsid w:val="00880AC1"/>
    <w:rsid w:val="00880DBB"/>
    <w:rsid w:val="00880F07"/>
    <w:rsid w:val="00881458"/>
    <w:rsid w:val="008816A7"/>
    <w:rsid w:val="008819F3"/>
    <w:rsid w:val="00881D98"/>
    <w:rsid w:val="00881FB8"/>
    <w:rsid w:val="008824EE"/>
    <w:rsid w:val="008825B1"/>
    <w:rsid w:val="0088268B"/>
    <w:rsid w:val="008828DF"/>
    <w:rsid w:val="0088348C"/>
    <w:rsid w:val="00883B3C"/>
    <w:rsid w:val="00883FA4"/>
    <w:rsid w:val="00884F25"/>
    <w:rsid w:val="00884F53"/>
    <w:rsid w:val="0088537B"/>
    <w:rsid w:val="008857FE"/>
    <w:rsid w:val="00885D8B"/>
    <w:rsid w:val="00885ED8"/>
    <w:rsid w:val="008863B1"/>
    <w:rsid w:val="0088646A"/>
    <w:rsid w:val="0088685B"/>
    <w:rsid w:val="008868DF"/>
    <w:rsid w:val="00886B13"/>
    <w:rsid w:val="00886C40"/>
    <w:rsid w:val="00886C69"/>
    <w:rsid w:val="00887002"/>
    <w:rsid w:val="0089019F"/>
    <w:rsid w:val="0089020A"/>
    <w:rsid w:val="0089045E"/>
    <w:rsid w:val="008906BB"/>
    <w:rsid w:val="00890812"/>
    <w:rsid w:val="00890A67"/>
    <w:rsid w:val="00890C99"/>
    <w:rsid w:val="00890D51"/>
    <w:rsid w:val="00890E3F"/>
    <w:rsid w:val="00890E61"/>
    <w:rsid w:val="00890FD6"/>
    <w:rsid w:val="0089128A"/>
    <w:rsid w:val="008912E5"/>
    <w:rsid w:val="008917D3"/>
    <w:rsid w:val="00891AB8"/>
    <w:rsid w:val="00891BC6"/>
    <w:rsid w:val="00892392"/>
    <w:rsid w:val="008926FD"/>
    <w:rsid w:val="0089288E"/>
    <w:rsid w:val="00892F4E"/>
    <w:rsid w:val="008936CF"/>
    <w:rsid w:val="008937DE"/>
    <w:rsid w:val="008938FF"/>
    <w:rsid w:val="008939FF"/>
    <w:rsid w:val="00893A46"/>
    <w:rsid w:val="00893A52"/>
    <w:rsid w:val="00893A96"/>
    <w:rsid w:val="00893CE4"/>
    <w:rsid w:val="00893CFC"/>
    <w:rsid w:val="00893DA8"/>
    <w:rsid w:val="00894100"/>
    <w:rsid w:val="008942A9"/>
    <w:rsid w:val="008945B1"/>
    <w:rsid w:val="00895119"/>
    <w:rsid w:val="00895175"/>
    <w:rsid w:val="008958B1"/>
    <w:rsid w:val="00895CEA"/>
    <w:rsid w:val="008965C2"/>
    <w:rsid w:val="0089684A"/>
    <w:rsid w:val="00896A70"/>
    <w:rsid w:val="00896AFB"/>
    <w:rsid w:val="00896B0C"/>
    <w:rsid w:val="00896DB2"/>
    <w:rsid w:val="0089736C"/>
    <w:rsid w:val="00897962"/>
    <w:rsid w:val="00897988"/>
    <w:rsid w:val="008979A9"/>
    <w:rsid w:val="00897D0E"/>
    <w:rsid w:val="00897DDB"/>
    <w:rsid w:val="008A0328"/>
    <w:rsid w:val="008A0494"/>
    <w:rsid w:val="008A0740"/>
    <w:rsid w:val="008A093F"/>
    <w:rsid w:val="008A1152"/>
    <w:rsid w:val="008A141B"/>
    <w:rsid w:val="008A1824"/>
    <w:rsid w:val="008A1C63"/>
    <w:rsid w:val="008A1D4A"/>
    <w:rsid w:val="008A1F5B"/>
    <w:rsid w:val="008A26D7"/>
    <w:rsid w:val="008A296D"/>
    <w:rsid w:val="008A2E69"/>
    <w:rsid w:val="008A2F06"/>
    <w:rsid w:val="008A2F5F"/>
    <w:rsid w:val="008A3076"/>
    <w:rsid w:val="008A3224"/>
    <w:rsid w:val="008A33F0"/>
    <w:rsid w:val="008A38B7"/>
    <w:rsid w:val="008A3C7E"/>
    <w:rsid w:val="008A3D76"/>
    <w:rsid w:val="008A435B"/>
    <w:rsid w:val="008A4979"/>
    <w:rsid w:val="008A4A64"/>
    <w:rsid w:val="008A4C1C"/>
    <w:rsid w:val="008A4F5B"/>
    <w:rsid w:val="008A58C5"/>
    <w:rsid w:val="008A58DE"/>
    <w:rsid w:val="008A6018"/>
    <w:rsid w:val="008A631D"/>
    <w:rsid w:val="008A6618"/>
    <w:rsid w:val="008A6C26"/>
    <w:rsid w:val="008A6E01"/>
    <w:rsid w:val="008A7960"/>
    <w:rsid w:val="008A7AA7"/>
    <w:rsid w:val="008A7D66"/>
    <w:rsid w:val="008A7DC1"/>
    <w:rsid w:val="008A7DF4"/>
    <w:rsid w:val="008B0329"/>
    <w:rsid w:val="008B041B"/>
    <w:rsid w:val="008B0600"/>
    <w:rsid w:val="008B06B1"/>
    <w:rsid w:val="008B06D6"/>
    <w:rsid w:val="008B07F3"/>
    <w:rsid w:val="008B0C3D"/>
    <w:rsid w:val="008B0D54"/>
    <w:rsid w:val="008B0E87"/>
    <w:rsid w:val="008B0EB3"/>
    <w:rsid w:val="008B11AD"/>
    <w:rsid w:val="008B13B5"/>
    <w:rsid w:val="008B1402"/>
    <w:rsid w:val="008B1444"/>
    <w:rsid w:val="008B1569"/>
    <w:rsid w:val="008B18EA"/>
    <w:rsid w:val="008B1BBC"/>
    <w:rsid w:val="008B1FFF"/>
    <w:rsid w:val="008B23A1"/>
    <w:rsid w:val="008B2534"/>
    <w:rsid w:val="008B254D"/>
    <w:rsid w:val="008B2D3E"/>
    <w:rsid w:val="008B2EA6"/>
    <w:rsid w:val="008B3122"/>
    <w:rsid w:val="008B313A"/>
    <w:rsid w:val="008B355B"/>
    <w:rsid w:val="008B35DA"/>
    <w:rsid w:val="008B37D7"/>
    <w:rsid w:val="008B3802"/>
    <w:rsid w:val="008B3A03"/>
    <w:rsid w:val="008B3BE9"/>
    <w:rsid w:val="008B4177"/>
    <w:rsid w:val="008B4184"/>
    <w:rsid w:val="008B421B"/>
    <w:rsid w:val="008B4268"/>
    <w:rsid w:val="008B4460"/>
    <w:rsid w:val="008B535F"/>
    <w:rsid w:val="008B5526"/>
    <w:rsid w:val="008B5884"/>
    <w:rsid w:val="008B5CBF"/>
    <w:rsid w:val="008B5F61"/>
    <w:rsid w:val="008B6746"/>
    <w:rsid w:val="008B67DD"/>
    <w:rsid w:val="008B6CAC"/>
    <w:rsid w:val="008B6EC8"/>
    <w:rsid w:val="008B702F"/>
    <w:rsid w:val="008B7180"/>
    <w:rsid w:val="008B718D"/>
    <w:rsid w:val="008B720F"/>
    <w:rsid w:val="008B74CB"/>
    <w:rsid w:val="008B7AE8"/>
    <w:rsid w:val="008B7D2D"/>
    <w:rsid w:val="008B7E96"/>
    <w:rsid w:val="008C0055"/>
    <w:rsid w:val="008C0531"/>
    <w:rsid w:val="008C079F"/>
    <w:rsid w:val="008C091F"/>
    <w:rsid w:val="008C0949"/>
    <w:rsid w:val="008C17E5"/>
    <w:rsid w:val="008C1CCE"/>
    <w:rsid w:val="008C1FC1"/>
    <w:rsid w:val="008C21A5"/>
    <w:rsid w:val="008C2558"/>
    <w:rsid w:val="008C2C2A"/>
    <w:rsid w:val="008C302B"/>
    <w:rsid w:val="008C331A"/>
    <w:rsid w:val="008C333B"/>
    <w:rsid w:val="008C33E0"/>
    <w:rsid w:val="008C3586"/>
    <w:rsid w:val="008C3889"/>
    <w:rsid w:val="008C3D1B"/>
    <w:rsid w:val="008C3DC1"/>
    <w:rsid w:val="008C4A84"/>
    <w:rsid w:val="008C4BD7"/>
    <w:rsid w:val="008C504E"/>
    <w:rsid w:val="008C51CB"/>
    <w:rsid w:val="008C534C"/>
    <w:rsid w:val="008C569E"/>
    <w:rsid w:val="008C5D1C"/>
    <w:rsid w:val="008C5D32"/>
    <w:rsid w:val="008C5D88"/>
    <w:rsid w:val="008C6267"/>
    <w:rsid w:val="008C66D9"/>
    <w:rsid w:val="008C695D"/>
    <w:rsid w:val="008C6975"/>
    <w:rsid w:val="008C69BF"/>
    <w:rsid w:val="008C6B69"/>
    <w:rsid w:val="008C6F61"/>
    <w:rsid w:val="008C70D1"/>
    <w:rsid w:val="008C76C4"/>
    <w:rsid w:val="008C77B0"/>
    <w:rsid w:val="008C7846"/>
    <w:rsid w:val="008C7919"/>
    <w:rsid w:val="008C793F"/>
    <w:rsid w:val="008C79E0"/>
    <w:rsid w:val="008C7B33"/>
    <w:rsid w:val="008C7F84"/>
    <w:rsid w:val="008C7F9A"/>
    <w:rsid w:val="008C7FD6"/>
    <w:rsid w:val="008D02DB"/>
    <w:rsid w:val="008D0745"/>
    <w:rsid w:val="008D0ACF"/>
    <w:rsid w:val="008D0BA6"/>
    <w:rsid w:val="008D0CC9"/>
    <w:rsid w:val="008D10DE"/>
    <w:rsid w:val="008D10F5"/>
    <w:rsid w:val="008D1C4C"/>
    <w:rsid w:val="008D2102"/>
    <w:rsid w:val="008D2113"/>
    <w:rsid w:val="008D211D"/>
    <w:rsid w:val="008D2265"/>
    <w:rsid w:val="008D247D"/>
    <w:rsid w:val="008D2B24"/>
    <w:rsid w:val="008D3046"/>
    <w:rsid w:val="008D40AF"/>
    <w:rsid w:val="008D487B"/>
    <w:rsid w:val="008D496F"/>
    <w:rsid w:val="008D4BE7"/>
    <w:rsid w:val="008D4D4C"/>
    <w:rsid w:val="008D50E3"/>
    <w:rsid w:val="008D5408"/>
    <w:rsid w:val="008D577D"/>
    <w:rsid w:val="008D5836"/>
    <w:rsid w:val="008D5DBA"/>
    <w:rsid w:val="008D5EFB"/>
    <w:rsid w:val="008D6043"/>
    <w:rsid w:val="008D6113"/>
    <w:rsid w:val="008D6176"/>
    <w:rsid w:val="008D62DC"/>
    <w:rsid w:val="008D6521"/>
    <w:rsid w:val="008D6717"/>
    <w:rsid w:val="008D68D5"/>
    <w:rsid w:val="008D694C"/>
    <w:rsid w:val="008D6CBF"/>
    <w:rsid w:val="008D6E57"/>
    <w:rsid w:val="008D6EE2"/>
    <w:rsid w:val="008D6F96"/>
    <w:rsid w:val="008D6FDF"/>
    <w:rsid w:val="008D7AC3"/>
    <w:rsid w:val="008D7B34"/>
    <w:rsid w:val="008D7F39"/>
    <w:rsid w:val="008E0283"/>
    <w:rsid w:val="008E02FF"/>
    <w:rsid w:val="008E0996"/>
    <w:rsid w:val="008E0C05"/>
    <w:rsid w:val="008E0E09"/>
    <w:rsid w:val="008E0F3C"/>
    <w:rsid w:val="008E142A"/>
    <w:rsid w:val="008E15E5"/>
    <w:rsid w:val="008E172F"/>
    <w:rsid w:val="008E17A2"/>
    <w:rsid w:val="008E18E2"/>
    <w:rsid w:val="008E1B96"/>
    <w:rsid w:val="008E219B"/>
    <w:rsid w:val="008E22BC"/>
    <w:rsid w:val="008E2361"/>
    <w:rsid w:val="008E2A61"/>
    <w:rsid w:val="008E2B6C"/>
    <w:rsid w:val="008E2D41"/>
    <w:rsid w:val="008E2DF8"/>
    <w:rsid w:val="008E32FB"/>
    <w:rsid w:val="008E348F"/>
    <w:rsid w:val="008E3499"/>
    <w:rsid w:val="008E351E"/>
    <w:rsid w:val="008E3550"/>
    <w:rsid w:val="008E3619"/>
    <w:rsid w:val="008E36E8"/>
    <w:rsid w:val="008E3741"/>
    <w:rsid w:val="008E3A2B"/>
    <w:rsid w:val="008E3AF0"/>
    <w:rsid w:val="008E3AF8"/>
    <w:rsid w:val="008E3F08"/>
    <w:rsid w:val="008E3F52"/>
    <w:rsid w:val="008E411B"/>
    <w:rsid w:val="008E4216"/>
    <w:rsid w:val="008E42BB"/>
    <w:rsid w:val="008E4CEC"/>
    <w:rsid w:val="008E51D9"/>
    <w:rsid w:val="008E5972"/>
    <w:rsid w:val="008E59FB"/>
    <w:rsid w:val="008E5BF6"/>
    <w:rsid w:val="008E5C55"/>
    <w:rsid w:val="008E5EAF"/>
    <w:rsid w:val="008E5EF8"/>
    <w:rsid w:val="008E6365"/>
    <w:rsid w:val="008E657F"/>
    <w:rsid w:val="008E6D3C"/>
    <w:rsid w:val="008E7B1B"/>
    <w:rsid w:val="008E7BE9"/>
    <w:rsid w:val="008F019C"/>
    <w:rsid w:val="008F0372"/>
    <w:rsid w:val="008F05D9"/>
    <w:rsid w:val="008F0BCD"/>
    <w:rsid w:val="008F1BA1"/>
    <w:rsid w:val="008F1DAA"/>
    <w:rsid w:val="008F1E15"/>
    <w:rsid w:val="008F1FBA"/>
    <w:rsid w:val="008F2301"/>
    <w:rsid w:val="008F255D"/>
    <w:rsid w:val="008F2930"/>
    <w:rsid w:val="008F29F9"/>
    <w:rsid w:val="008F2AB3"/>
    <w:rsid w:val="008F2BFC"/>
    <w:rsid w:val="008F2EFC"/>
    <w:rsid w:val="008F341A"/>
    <w:rsid w:val="008F3599"/>
    <w:rsid w:val="008F3819"/>
    <w:rsid w:val="008F38C6"/>
    <w:rsid w:val="008F39AA"/>
    <w:rsid w:val="008F3A0C"/>
    <w:rsid w:val="008F3B89"/>
    <w:rsid w:val="008F3CB2"/>
    <w:rsid w:val="008F3EED"/>
    <w:rsid w:val="008F40FF"/>
    <w:rsid w:val="008F433E"/>
    <w:rsid w:val="008F438F"/>
    <w:rsid w:val="008F43BF"/>
    <w:rsid w:val="008F4C2A"/>
    <w:rsid w:val="008F5029"/>
    <w:rsid w:val="008F536F"/>
    <w:rsid w:val="008F5A14"/>
    <w:rsid w:val="008F5A33"/>
    <w:rsid w:val="008F5C64"/>
    <w:rsid w:val="008F6263"/>
    <w:rsid w:val="008F66D4"/>
    <w:rsid w:val="008F67DC"/>
    <w:rsid w:val="008F6C92"/>
    <w:rsid w:val="008F72E8"/>
    <w:rsid w:val="008F7901"/>
    <w:rsid w:val="008F7927"/>
    <w:rsid w:val="008F7A71"/>
    <w:rsid w:val="00900316"/>
    <w:rsid w:val="009004DD"/>
    <w:rsid w:val="009006DA"/>
    <w:rsid w:val="00900935"/>
    <w:rsid w:val="00900AAA"/>
    <w:rsid w:val="00900D2B"/>
    <w:rsid w:val="00900DA0"/>
    <w:rsid w:val="00900DCC"/>
    <w:rsid w:val="009012CD"/>
    <w:rsid w:val="00901660"/>
    <w:rsid w:val="00901F3F"/>
    <w:rsid w:val="00901FD2"/>
    <w:rsid w:val="00902040"/>
    <w:rsid w:val="009023CD"/>
    <w:rsid w:val="00902489"/>
    <w:rsid w:val="00902528"/>
    <w:rsid w:val="009026A0"/>
    <w:rsid w:val="00902B80"/>
    <w:rsid w:val="00902F55"/>
    <w:rsid w:val="00903020"/>
    <w:rsid w:val="00903322"/>
    <w:rsid w:val="00903360"/>
    <w:rsid w:val="009038D6"/>
    <w:rsid w:val="009047A8"/>
    <w:rsid w:val="0090498D"/>
    <w:rsid w:val="00904F35"/>
    <w:rsid w:val="00904F5F"/>
    <w:rsid w:val="0090514D"/>
    <w:rsid w:val="009051A4"/>
    <w:rsid w:val="00905212"/>
    <w:rsid w:val="009054C2"/>
    <w:rsid w:val="009056D2"/>
    <w:rsid w:val="0090598A"/>
    <w:rsid w:val="00905A6D"/>
    <w:rsid w:val="00905C09"/>
    <w:rsid w:val="00905DD0"/>
    <w:rsid w:val="00905E77"/>
    <w:rsid w:val="0090633E"/>
    <w:rsid w:val="009065D5"/>
    <w:rsid w:val="00906985"/>
    <w:rsid w:val="00906AA7"/>
    <w:rsid w:val="00906B22"/>
    <w:rsid w:val="00906C44"/>
    <w:rsid w:val="00906D23"/>
    <w:rsid w:val="00906D2D"/>
    <w:rsid w:val="00906DC9"/>
    <w:rsid w:val="00907182"/>
    <w:rsid w:val="00907309"/>
    <w:rsid w:val="009075C2"/>
    <w:rsid w:val="00907653"/>
    <w:rsid w:val="00907C29"/>
    <w:rsid w:val="00907EC1"/>
    <w:rsid w:val="00910382"/>
    <w:rsid w:val="00910557"/>
    <w:rsid w:val="00910650"/>
    <w:rsid w:val="0091071A"/>
    <w:rsid w:val="00910933"/>
    <w:rsid w:val="009110BB"/>
    <w:rsid w:val="009110C5"/>
    <w:rsid w:val="009115D1"/>
    <w:rsid w:val="009116A5"/>
    <w:rsid w:val="0091178E"/>
    <w:rsid w:val="00911841"/>
    <w:rsid w:val="0091186C"/>
    <w:rsid w:val="00911EE6"/>
    <w:rsid w:val="0091290B"/>
    <w:rsid w:val="00912B2A"/>
    <w:rsid w:val="00913007"/>
    <w:rsid w:val="00913097"/>
    <w:rsid w:val="009131F9"/>
    <w:rsid w:val="009133DF"/>
    <w:rsid w:val="0091369B"/>
    <w:rsid w:val="00913A01"/>
    <w:rsid w:val="00913C58"/>
    <w:rsid w:val="00913E51"/>
    <w:rsid w:val="00914482"/>
    <w:rsid w:val="009148C5"/>
    <w:rsid w:val="00914C5C"/>
    <w:rsid w:val="00915067"/>
    <w:rsid w:val="00915376"/>
    <w:rsid w:val="009153B7"/>
    <w:rsid w:val="0091552A"/>
    <w:rsid w:val="00915CBC"/>
    <w:rsid w:val="00915E7C"/>
    <w:rsid w:val="00915F68"/>
    <w:rsid w:val="00916103"/>
    <w:rsid w:val="00916167"/>
    <w:rsid w:val="0091620F"/>
    <w:rsid w:val="009167AB"/>
    <w:rsid w:val="00916E8B"/>
    <w:rsid w:val="00916E91"/>
    <w:rsid w:val="00917001"/>
    <w:rsid w:val="009174F4"/>
    <w:rsid w:val="009175AD"/>
    <w:rsid w:val="00917A23"/>
    <w:rsid w:val="00917C8A"/>
    <w:rsid w:val="00917E7C"/>
    <w:rsid w:val="0092028D"/>
    <w:rsid w:val="0092039B"/>
    <w:rsid w:val="0092045C"/>
    <w:rsid w:val="0092064E"/>
    <w:rsid w:val="00920656"/>
    <w:rsid w:val="00920858"/>
    <w:rsid w:val="009209E9"/>
    <w:rsid w:val="009210AE"/>
    <w:rsid w:val="009211C1"/>
    <w:rsid w:val="0092125B"/>
    <w:rsid w:val="0092128D"/>
    <w:rsid w:val="00921325"/>
    <w:rsid w:val="0092132F"/>
    <w:rsid w:val="00921439"/>
    <w:rsid w:val="0092145E"/>
    <w:rsid w:val="00921517"/>
    <w:rsid w:val="00921879"/>
    <w:rsid w:val="00921920"/>
    <w:rsid w:val="009219C3"/>
    <w:rsid w:val="00921B00"/>
    <w:rsid w:val="00921B3D"/>
    <w:rsid w:val="00921BE6"/>
    <w:rsid w:val="00921D11"/>
    <w:rsid w:val="0092210E"/>
    <w:rsid w:val="009226B8"/>
    <w:rsid w:val="00922A49"/>
    <w:rsid w:val="00922DD1"/>
    <w:rsid w:val="00922E86"/>
    <w:rsid w:val="00922F52"/>
    <w:rsid w:val="0092316B"/>
    <w:rsid w:val="0092323E"/>
    <w:rsid w:val="00923A24"/>
    <w:rsid w:val="00923D4D"/>
    <w:rsid w:val="00923FC2"/>
    <w:rsid w:val="0092496C"/>
    <w:rsid w:val="00924A81"/>
    <w:rsid w:val="00924D60"/>
    <w:rsid w:val="00924DE0"/>
    <w:rsid w:val="009258D6"/>
    <w:rsid w:val="0092595E"/>
    <w:rsid w:val="009259B3"/>
    <w:rsid w:val="00925C67"/>
    <w:rsid w:val="00925DFD"/>
    <w:rsid w:val="00925E29"/>
    <w:rsid w:val="00925E36"/>
    <w:rsid w:val="00925E8D"/>
    <w:rsid w:val="00925E93"/>
    <w:rsid w:val="00925EC6"/>
    <w:rsid w:val="0092600F"/>
    <w:rsid w:val="00926440"/>
    <w:rsid w:val="00926860"/>
    <w:rsid w:val="00926937"/>
    <w:rsid w:val="00926B76"/>
    <w:rsid w:val="00926C85"/>
    <w:rsid w:val="00926F6C"/>
    <w:rsid w:val="009270F0"/>
    <w:rsid w:val="00927377"/>
    <w:rsid w:val="00927561"/>
    <w:rsid w:val="00927B14"/>
    <w:rsid w:val="00927E86"/>
    <w:rsid w:val="00927F3E"/>
    <w:rsid w:val="00927FD2"/>
    <w:rsid w:val="0093017A"/>
    <w:rsid w:val="009305F8"/>
    <w:rsid w:val="00930753"/>
    <w:rsid w:val="00930D8E"/>
    <w:rsid w:val="00930F4F"/>
    <w:rsid w:val="00930F7B"/>
    <w:rsid w:val="00931098"/>
    <w:rsid w:val="00931212"/>
    <w:rsid w:val="00931673"/>
    <w:rsid w:val="00931685"/>
    <w:rsid w:val="00931C57"/>
    <w:rsid w:val="00931E25"/>
    <w:rsid w:val="00931E56"/>
    <w:rsid w:val="00931EB4"/>
    <w:rsid w:val="009320A4"/>
    <w:rsid w:val="009320E3"/>
    <w:rsid w:val="00932423"/>
    <w:rsid w:val="00932720"/>
    <w:rsid w:val="00932C0E"/>
    <w:rsid w:val="009331C9"/>
    <w:rsid w:val="00933221"/>
    <w:rsid w:val="00933A29"/>
    <w:rsid w:val="00933A45"/>
    <w:rsid w:val="00933C4C"/>
    <w:rsid w:val="00934411"/>
    <w:rsid w:val="0093496E"/>
    <w:rsid w:val="00934C38"/>
    <w:rsid w:val="00934F92"/>
    <w:rsid w:val="00935161"/>
    <w:rsid w:val="00935415"/>
    <w:rsid w:val="00935687"/>
    <w:rsid w:val="00935718"/>
    <w:rsid w:val="00935AD2"/>
    <w:rsid w:val="00935BDD"/>
    <w:rsid w:val="0093673F"/>
    <w:rsid w:val="0093683D"/>
    <w:rsid w:val="00936966"/>
    <w:rsid w:val="00936D8D"/>
    <w:rsid w:val="00936E23"/>
    <w:rsid w:val="00936EEA"/>
    <w:rsid w:val="00937228"/>
    <w:rsid w:val="0093751D"/>
    <w:rsid w:val="00937547"/>
    <w:rsid w:val="0093782B"/>
    <w:rsid w:val="00937C73"/>
    <w:rsid w:val="00937E6D"/>
    <w:rsid w:val="00937FC5"/>
    <w:rsid w:val="009401A6"/>
    <w:rsid w:val="00940417"/>
    <w:rsid w:val="00940418"/>
    <w:rsid w:val="0094096E"/>
    <w:rsid w:val="00940985"/>
    <w:rsid w:val="00940A00"/>
    <w:rsid w:val="00940B81"/>
    <w:rsid w:val="00940EEA"/>
    <w:rsid w:val="00940F43"/>
    <w:rsid w:val="00941218"/>
    <w:rsid w:val="00941261"/>
    <w:rsid w:val="00941340"/>
    <w:rsid w:val="0094154B"/>
    <w:rsid w:val="0094200D"/>
    <w:rsid w:val="0094207C"/>
    <w:rsid w:val="009422A8"/>
    <w:rsid w:val="009422F9"/>
    <w:rsid w:val="00942421"/>
    <w:rsid w:val="00942B45"/>
    <w:rsid w:val="00942C3D"/>
    <w:rsid w:val="00942D48"/>
    <w:rsid w:val="00942DBC"/>
    <w:rsid w:val="00943736"/>
    <w:rsid w:val="009438D7"/>
    <w:rsid w:val="009440D8"/>
    <w:rsid w:val="009443D1"/>
    <w:rsid w:val="00944553"/>
    <w:rsid w:val="009446A9"/>
    <w:rsid w:val="0094470B"/>
    <w:rsid w:val="009447F3"/>
    <w:rsid w:val="00944F2D"/>
    <w:rsid w:val="00945A92"/>
    <w:rsid w:val="00945D5B"/>
    <w:rsid w:val="00945FB3"/>
    <w:rsid w:val="009463D1"/>
    <w:rsid w:val="0094643F"/>
    <w:rsid w:val="00946AB2"/>
    <w:rsid w:val="00946B11"/>
    <w:rsid w:val="00946BD7"/>
    <w:rsid w:val="00946C23"/>
    <w:rsid w:val="00947262"/>
    <w:rsid w:val="00947361"/>
    <w:rsid w:val="00947755"/>
    <w:rsid w:val="00947BA3"/>
    <w:rsid w:val="00947DA5"/>
    <w:rsid w:val="00947E58"/>
    <w:rsid w:val="0095023E"/>
    <w:rsid w:val="00950246"/>
    <w:rsid w:val="009502D0"/>
    <w:rsid w:val="00950535"/>
    <w:rsid w:val="009507D5"/>
    <w:rsid w:val="0095092B"/>
    <w:rsid w:val="00950B3D"/>
    <w:rsid w:val="00950E1A"/>
    <w:rsid w:val="0095116A"/>
    <w:rsid w:val="009512C9"/>
    <w:rsid w:val="00951453"/>
    <w:rsid w:val="0095213E"/>
    <w:rsid w:val="0095228B"/>
    <w:rsid w:val="0095259B"/>
    <w:rsid w:val="009525DC"/>
    <w:rsid w:val="00952B4A"/>
    <w:rsid w:val="00952CD2"/>
    <w:rsid w:val="0095385A"/>
    <w:rsid w:val="00953D37"/>
    <w:rsid w:val="009543D7"/>
    <w:rsid w:val="00954C13"/>
    <w:rsid w:val="00954F5B"/>
    <w:rsid w:val="00954F7B"/>
    <w:rsid w:val="00954FAB"/>
    <w:rsid w:val="0095573E"/>
    <w:rsid w:val="00955AF7"/>
    <w:rsid w:val="00955B66"/>
    <w:rsid w:val="00955E7C"/>
    <w:rsid w:val="009561C6"/>
    <w:rsid w:val="00956366"/>
    <w:rsid w:val="0095695C"/>
    <w:rsid w:val="00956A05"/>
    <w:rsid w:val="00956A18"/>
    <w:rsid w:val="00956CC3"/>
    <w:rsid w:val="00956D74"/>
    <w:rsid w:val="00956DA5"/>
    <w:rsid w:val="00957398"/>
    <w:rsid w:val="00957736"/>
    <w:rsid w:val="00957950"/>
    <w:rsid w:val="00957AA9"/>
    <w:rsid w:val="00957F12"/>
    <w:rsid w:val="009600BF"/>
    <w:rsid w:val="00960516"/>
    <w:rsid w:val="009607BF"/>
    <w:rsid w:val="00960803"/>
    <w:rsid w:val="0096095B"/>
    <w:rsid w:val="00960C06"/>
    <w:rsid w:val="00960C88"/>
    <w:rsid w:val="00960D7A"/>
    <w:rsid w:val="00960FB8"/>
    <w:rsid w:val="00961288"/>
    <w:rsid w:val="009617D3"/>
    <w:rsid w:val="00961C55"/>
    <w:rsid w:val="00961E1F"/>
    <w:rsid w:val="00962061"/>
    <w:rsid w:val="00962077"/>
    <w:rsid w:val="009621A1"/>
    <w:rsid w:val="009621B5"/>
    <w:rsid w:val="0096223A"/>
    <w:rsid w:val="00962965"/>
    <w:rsid w:val="009637BF"/>
    <w:rsid w:val="0096395F"/>
    <w:rsid w:val="00964305"/>
    <w:rsid w:val="009645B9"/>
    <w:rsid w:val="009647B3"/>
    <w:rsid w:val="0096486E"/>
    <w:rsid w:val="009648C1"/>
    <w:rsid w:val="00964E6C"/>
    <w:rsid w:val="00965403"/>
    <w:rsid w:val="0096565F"/>
    <w:rsid w:val="0096594F"/>
    <w:rsid w:val="00965B30"/>
    <w:rsid w:val="00965C38"/>
    <w:rsid w:val="00965C5A"/>
    <w:rsid w:val="00966070"/>
    <w:rsid w:val="0096613C"/>
    <w:rsid w:val="0096633F"/>
    <w:rsid w:val="00966488"/>
    <w:rsid w:val="00966612"/>
    <w:rsid w:val="009667FE"/>
    <w:rsid w:val="009668D2"/>
    <w:rsid w:val="00966A55"/>
    <w:rsid w:val="00966B40"/>
    <w:rsid w:val="009675CD"/>
    <w:rsid w:val="009677A5"/>
    <w:rsid w:val="009677B2"/>
    <w:rsid w:val="009677C7"/>
    <w:rsid w:val="00967CD2"/>
    <w:rsid w:val="00967E0A"/>
    <w:rsid w:val="00970301"/>
    <w:rsid w:val="00970513"/>
    <w:rsid w:val="009707CB"/>
    <w:rsid w:val="00970A7C"/>
    <w:rsid w:val="00970D9D"/>
    <w:rsid w:val="0097142F"/>
    <w:rsid w:val="00971583"/>
    <w:rsid w:val="00972138"/>
    <w:rsid w:val="00972296"/>
    <w:rsid w:val="0097232D"/>
    <w:rsid w:val="009723DA"/>
    <w:rsid w:val="00972645"/>
    <w:rsid w:val="00972B3E"/>
    <w:rsid w:val="00972EC3"/>
    <w:rsid w:val="00973311"/>
    <w:rsid w:val="00973470"/>
    <w:rsid w:val="0097357C"/>
    <w:rsid w:val="009735E3"/>
    <w:rsid w:val="009736CE"/>
    <w:rsid w:val="009737A1"/>
    <w:rsid w:val="009739D1"/>
    <w:rsid w:val="00973A20"/>
    <w:rsid w:val="00973B05"/>
    <w:rsid w:val="00973E00"/>
    <w:rsid w:val="00973E0C"/>
    <w:rsid w:val="00973E7F"/>
    <w:rsid w:val="00973FF4"/>
    <w:rsid w:val="00974469"/>
    <w:rsid w:val="0097463C"/>
    <w:rsid w:val="00974E05"/>
    <w:rsid w:val="00974E84"/>
    <w:rsid w:val="00975498"/>
    <w:rsid w:val="0097559D"/>
    <w:rsid w:val="00975884"/>
    <w:rsid w:val="009758C6"/>
    <w:rsid w:val="009758E0"/>
    <w:rsid w:val="00975D3B"/>
    <w:rsid w:val="00976428"/>
    <w:rsid w:val="0097656D"/>
    <w:rsid w:val="00976655"/>
    <w:rsid w:val="00976BCC"/>
    <w:rsid w:val="00976DF9"/>
    <w:rsid w:val="00976FE4"/>
    <w:rsid w:val="009770A6"/>
    <w:rsid w:val="009771F1"/>
    <w:rsid w:val="00977806"/>
    <w:rsid w:val="0097787B"/>
    <w:rsid w:val="00977A1E"/>
    <w:rsid w:val="00977BE7"/>
    <w:rsid w:val="00977E8E"/>
    <w:rsid w:val="00977ED9"/>
    <w:rsid w:val="00980176"/>
    <w:rsid w:val="009801B4"/>
    <w:rsid w:val="009801E4"/>
    <w:rsid w:val="0098052D"/>
    <w:rsid w:val="0098070B"/>
    <w:rsid w:val="00980825"/>
    <w:rsid w:val="00980AFD"/>
    <w:rsid w:val="00980F11"/>
    <w:rsid w:val="00980FFC"/>
    <w:rsid w:val="00981092"/>
    <w:rsid w:val="00981188"/>
    <w:rsid w:val="0098136A"/>
    <w:rsid w:val="009817A6"/>
    <w:rsid w:val="00981B3E"/>
    <w:rsid w:val="00981B73"/>
    <w:rsid w:val="009820F7"/>
    <w:rsid w:val="0098235E"/>
    <w:rsid w:val="00982441"/>
    <w:rsid w:val="00982507"/>
    <w:rsid w:val="009828E9"/>
    <w:rsid w:val="00982923"/>
    <w:rsid w:val="0098308C"/>
    <w:rsid w:val="009837F9"/>
    <w:rsid w:val="0098382C"/>
    <w:rsid w:val="00983B40"/>
    <w:rsid w:val="00983BFF"/>
    <w:rsid w:val="009842AF"/>
    <w:rsid w:val="009843DD"/>
    <w:rsid w:val="00984AEC"/>
    <w:rsid w:val="00984BC0"/>
    <w:rsid w:val="00984E58"/>
    <w:rsid w:val="009850FA"/>
    <w:rsid w:val="00985104"/>
    <w:rsid w:val="009854A8"/>
    <w:rsid w:val="009854E8"/>
    <w:rsid w:val="009859A2"/>
    <w:rsid w:val="00985EC5"/>
    <w:rsid w:val="00985EEF"/>
    <w:rsid w:val="00985FEF"/>
    <w:rsid w:val="0098645B"/>
    <w:rsid w:val="009869FF"/>
    <w:rsid w:val="00986ADB"/>
    <w:rsid w:val="00986B7D"/>
    <w:rsid w:val="00987146"/>
    <w:rsid w:val="009871D9"/>
    <w:rsid w:val="0098720B"/>
    <w:rsid w:val="00987278"/>
    <w:rsid w:val="00987AF9"/>
    <w:rsid w:val="00987C23"/>
    <w:rsid w:val="00987FE3"/>
    <w:rsid w:val="009900F2"/>
    <w:rsid w:val="00990123"/>
    <w:rsid w:val="00990B1E"/>
    <w:rsid w:val="00990B30"/>
    <w:rsid w:val="00990B96"/>
    <w:rsid w:val="00990B9F"/>
    <w:rsid w:val="00990F0E"/>
    <w:rsid w:val="009912D1"/>
    <w:rsid w:val="00991573"/>
    <w:rsid w:val="0099176C"/>
    <w:rsid w:val="009919C2"/>
    <w:rsid w:val="00991B92"/>
    <w:rsid w:val="00991D11"/>
    <w:rsid w:val="00991E87"/>
    <w:rsid w:val="00991EE1"/>
    <w:rsid w:val="00992481"/>
    <w:rsid w:val="00992846"/>
    <w:rsid w:val="0099285E"/>
    <w:rsid w:val="009928A5"/>
    <w:rsid w:val="00992AF4"/>
    <w:rsid w:val="00992C85"/>
    <w:rsid w:val="00992DEE"/>
    <w:rsid w:val="00992E7C"/>
    <w:rsid w:val="00992E9B"/>
    <w:rsid w:val="00992FCA"/>
    <w:rsid w:val="0099316F"/>
    <w:rsid w:val="00993587"/>
    <w:rsid w:val="00993692"/>
    <w:rsid w:val="00993DC9"/>
    <w:rsid w:val="00994055"/>
    <w:rsid w:val="00994114"/>
    <w:rsid w:val="0099448E"/>
    <w:rsid w:val="009946C6"/>
    <w:rsid w:val="0099471F"/>
    <w:rsid w:val="0099498D"/>
    <w:rsid w:val="00994BEF"/>
    <w:rsid w:val="0099509E"/>
    <w:rsid w:val="00995245"/>
    <w:rsid w:val="009956C0"/>
    <w:rsid w:val="009958D7"/>
    <w:rsid w:val="00995A73"/>
    <w:rsid w:val="00995E03"/>
    <w:rsid w:val="00996254"/>
    <w:rsid w:val="00996670"/>
    <w:rsid w:val="00996671"/>
    <w:rsid w:val="00996BC8"/>
    <w:rsid w:val="00996C7F"/>
    <w:rsid w:val="00996EBD"/>
    <w:rsid w:val="00997B99"/>
    <w:rsid w:val="009A0168"/>
    <w:rsid w:val="009A0677"/>
    <w:rsid w:val="009A1071"/>
    <w:rsid w:val="009A1082"/>
    <w:rsid w:val="009A140E"/>
    <w:rsid w:val="009A14D3"/>
    <w:rsid w:val="009A16EE"/>
    <w:rsid w:val="009A1969"/>
    <w:rsid w:val="009A1A40"/>
    <w:rsid w:val="009A1A76"/>
    <w:rsid w:val="009A1B30"/>
    <w:rsid w:val="009A1CF6"/>
    <w:rsid w:val="009A20DF"/>
    <w:rsid w:val="009A2154"/>
    <w:rsid w:val="009A24BC"/>
    <w:rsid w:val="009A2500"/>
    <w:rsid w:val="009A2676"/>
    <w:rsid w:val="009A268A"/>
    <w:rsid w:val="009A2940"/>
    <w:rsid w:val="009A2D14"/>
    <w:rsid w:val="009A2DF4"/>
    <w:rsid w:val="009A3332"/>
    <w:rsid w:val="009A3347"/>
    <w:rsid w:val="009A3410"/>
    <w:rsid w:val="009A341A"/>
    <w:rsid w:val="009A34C6"/>
    <w:rsid w:val="009A350A"/>
    <w:rsid w:val="009A3534"/>
    <w:rsid w:val="009A3766"/>
    <w:rsid w:val="009A3F35"/>
    <w:rsid w:val="009A441B"/>
    <w:rsid w:val="009A45EF"/>
    <w:rsid w:val="009A4870"/>
    <w:rsid w:val="009A53B7"/>
    <w:rsid w:val="009A53F1"/>
    <w:rsid w:val="009A5509"/>
    <w:rsid w:val="009A5961"/>
    <w:rsid w:val="009A5D5E"/>
    <w:rsid w:val="009A6314"/>
    <w:rsid w:val="009A67AC"/>
    <w:rsid w:val="009A6D85"/>
    <w:rsid w:val="009A71C0"/>
    <w:rsid w:val="009A71CC"/>
    <w:rsid w:val="009A727A"/>
    <w:rsid w:val="009A760F"/>
    <w:rsid w:val="009A771A"/>
    <w:rsid w:val="009A780C"/>
    <w:rsid w:val="009A7819"/>
    <w:rsid w:val="009A792F"/>
    <w:rsid w:val="009A7EF3"/>
    <w:rsid w:val="009B0387"/>
    <w:rsid w:val="009B0A10"/>
    <w:rsid w:val="009B1CCC"/>
    <w:rsid w:val="009B1F42"/>
    <w:rsid w:val="009B220F"/>
    <w:rsid w:val="009B2870"/>
    <w:rsid w:val="009B2D38"/>
    <w:rsid w:val="009B2EE4"/>
    <w:rsid w:val="009B331E"/>
    <w:rsid w:val="009B3331"/>
    <w:rsid w:val="009B33BC"/>
    <w:rsid w:val="009B34DC"/>
    <w:rsid w:val="009B3828"/>
    <w:rsid w:val="009B3BDA"/>
    <w:rsid w:val="009B3C9F"/>
    <w:rsid w:val="009B3D49"/>
    <w:rsid w:val="009B3E79"/>
    <w:rsid w:val="009B4055"/>
    <w:rsid w:val="009B42C0"/>
    <w:rsid w:val="009B4444"/>
    <w:rsid w:val="009B4601"/>
    <w:rsid w:val="009B468F"/>
    <w:rsid w:val="009B4AAE"/>
    <w:rsid w:val="009B4B67"/>
    <w:rsid w:val="009B4D66"/>
    <w:rsid w:val="009B4D87"/>
    <w:rsid w:val="009B4DA8"/>
    <w:rsid w:val="009B4F4C"/>
    <w:rsid w:val="009B5253"/>
    <w:rsid w:val="009B542E"/>
    <w:rsid w:val="009B56B2"/>
    <w:rsid w:val="009B57B1"/>
    <w:rsid w:val="009B57BA"/>
    <w:rsid w:val="009B5929"/>
    <w:rsid w:val="009B5A6E"/>
    <w:rsid w:val="009B5B53"/>
    <w:rsid w:val="009B5D1C"/>
    <w:rsid w:val="009B5FC3"/>
    <w:rsid w:val="009B6394"/>
    <w:rsid w:val="009B64AF"/>
    <w:rsid w:val="009B6754"/>
    <w:rsid w:val="009B6C81"/>
    <w:rsid w:val="009B70EE"/>
    <w:rsid w:val="009B7511"/>
    <w:rsid w:val="009B754E"/>
    <w:rsid w:val="009C01E4"/>
    <w:rsid w:val="009C01EE"/>
    <w:rsid w:val="009C04F0"/>
    <w:rsid w:val="009C08F4"/>
    <w:rsid w:val="009C0C15"/>
    <w:rsid w:val="009C1235"/>
    <w:rsid w:val="009C13C6"/>
    <w:rsid w:val="009C16A8"/>
    <w:rsid w:val="009C1F92"/>
    <w:rsid w:val="009C228C"/>
    <w:rsid w:val="009C269E"/>
    <w:rsid w:val="009C2F13"/>
    <w:rsid w:val="009C30BF"/>
    <w:rsid w:val="009C311B"/>
    <w:rsid w:val="009C324A"/>
    <w:rsid w:val="009C3281"/>
    <w:rsid w:val="009C3BCE"/>
    <w:rsid w:val="009C3F68"/>
    <w:rsid w:val="009C408A"/>
    <w:rsid w:val="009C41C9"/>
    <w:rsid w:val="009C4455"/>
    <w:rsid w:val="009C45A5"/>
    <w:rsid w:val="009C481C"/>
    <w:rsid w:val="009C48A9"/>
    <w:rsid w:val="009C48FB"/>
    <w:rsid w:val="009C519C"/>
    <w:rsid w:val="009C51B8"/>
    <w:rsid w:val="009C53C2"/>
    <w:rsid w:val="009C53E1"/>
    <w:rsid w:val="009C5815"/>
    <w:rsid w:val="009C5F70"/>
    <w:rsid w:val="009C5F82"/>
    <w:rsid w:val="009C612B"/>
    <w:rsid w:val="009C6175"/>
    <w:rsid w:val="009C698C"/>
    <w:rsid w:val="009C6E55"/>
    <w:rsid w:val="009C716F"/>
    <w:rsid w:val="009C72C3"/>
    <w:rsid w:val="009C787B"/>
    <w:rsid w:val="009C7E72"/>
    <w:rsid w:val="009C7FDF"/>
    <w:rsid w:val="009D057A"/>
    <w:rsid w:val="009D05BA"/>
    <w:rsid w:val="009D0AAD"/>
    <w:rsid w:val="009D0ABE"/>
    <w:rsid w:val="009D0E3B"/>
    <w:rsid w:val="009D15B9"/>
    <w:rsid w:val="009D1713"/>
    <w:rsid w:val="009D184E"/>
    <w:rsid w:val="009D1C83"/>
    <w:rsid w:val="009D22B7"/>
    <w:rsid w:val="009D2654"/>
    <w:rsid w:val="009D26FF"/>
    <w:rsid w:val="009D27C1"/>
    <w:rsid w:val="009D28D1"/>
    <w:rsid w:val="009D28EF"/>
    <w:rsid w:val="009D2A4C"/>
    <w:rsid w:val="009D2C25"/>
    <w:rsid w:val="009D2C5B"/>
    <w:rsid w:val="009D2D09"/>
    <w:rsid w:val="009D2EC1"/>
    <w:rsid w:val="009D3122"/>
    <w:rsid w:val="009D3183"/>
    <w:rsid w:val="009D3387"/>
    <w:rsid w:val="009D36E8"/>
    <w:rsid w:val="009D3C3F"/>
    <w:rsid w:val="009D3EC9"/>
    <w:rsid w:val="009D437D"/>
    <w:rsid w:val="009D4387"/>
    <w:rsid w:val="009D4578"/>
    <w:rsid w:val="009D47CC"/>
    <w:rsid w:val="009D4A2E"/>
    <w:rsid w:val="009D4A37"/>
    <w:rsid w:val="009D4E3F"/>
    <w:rsid w:val="009D4EDF"/>
    <w:rsid w:val="009D533F"/>
    <w:rsid w:val="009D5524"/>
    <w:rsid w:val="009D565F"/>
    <w:rsid w:val="009D56A6"/>
    <w:rsid w:val="009D5C82"/>
    <w:rsid w:val="009D5F4E"/>
    <w:rsid w:val="009D5F55"/>
    <w:rsid w:val="009D68A5"/>
    <w:rsid w:val="009D6AE9"/>
    <w:rsid w:val="009D6CB7"/>
    <w:rsid w:val="009D7573"/>
    <w:rsid w:val="009D774A"/>
    <w:rsid w:val="009D77C8"/>
    <w:rsid w:val="009D77FF"/>
    <w:rsid w:val="009D7817"/>
    <w:rsid w:val="009D78B7"/>
    <w:rsid w:val="009D7905"/>
    <w:rsid w:val="009D798B"/>
    <w:rsid w:val="009D7B98"/>
    <w:rsid w:val="009D7FE3"/>
    <w:rsid w:val="009E02BC"/>
    <w:rsid w:val="009E0431"/>
    <w:rsid w:val="009E0740"/>
    <w:rsid w:val="009E0858"/>
    <w:rsid w:val="009E0881"/>
    <w:rsid w:val="009E0BC3"/>
    <w:rsid w:val="009E0C8A"/>
    <w:rsid w:val="009E0DBA"/>
    <w:rsid w:val="009E0DD2"/>
    <w:rsid w:val="009E0E8A"/>
    <w:rsid w:val="009E0F66"/>
    <w:rsid w:val="009E1077"/>
    <w:rsid w:val="009E12E9"/>
    <w:rsid w:val="009E1503"/>
    <w:rsid w:val="009E1829"/>
    <w:rsid w:val="009E18DE"/>
    <w:rsid w:val="009E1B2B"/>
    <w:rsid w:val="009E1B6E"/>
    <w:rsid w:val="009E1CBA"/>
    <w:rsid w:val="009E1E23"/>
    <w:rsid w:val="009E2AE3"/>
    <w:rsid w:val="009E2BFC"/>
    <w:rsid w:val="009E2CBD"/>
    <w:rsid w:val="009E3131"/>
    <w:rsid w:val="009E3171"/>
    <w:rsid w:val="009E31FF"/>
    <w:rsid w:val="009E3481"/>
    <w:rsid w:val="009E3F80"/>
    <w:rsid w:val="009E48D6"/>
    <w:rsid w:val="009E4CB9"/>
    <w:rsid w:val="009E4E6D"/>
    <w:rsid w:val="009E5182"/>
    <w:rsid w:val="009E554F"/>
    <w:rsid w:val="009E5728"/>
    <w:rsid w:val="009E5761"/>
    <w:rsid w:val="009E58DB"/>
    <w:rsid w:val="009E6078"/>
    <w:rsid w:val="009E619C"/>
    <w:rsid w:val="009E64F3"/>
    <w:rsid w:val="009E6F23"/>
    <w:rsid w:val="009E711E"/>
    <w:rsid w:val="009E7CA9"/>
    <w:rsid w:val="009E7CE3"/>
    <w:rsid w:val="009E7E65"/>
    <w:rsid w:val="009F0368"/>
    <w:rsid w:val="009F049D"/>
    <w:rsid w:val="009F04F0"/>
    <w:rsid w:val="009F0919"/>
    <w:rsid w:val="009F0950"/>
    <w:rsid w:val="009F0DA3"/>
    <w:rsid w:val="009F0DB0"/>
    <w:rsid w:val="009F0F56"/>
    <w:rsid w:val="009F0F88"/>
    <w:rsid w:val="009F1517"/>
    <w:rsid w:val="009F16D1"/>
    <w:rsid w:val="009F2017"/>
    <w:rsid w:val="009F2177"/>
    <w:rsid w:val="009F229E"/>
    <w:rsid w:val="009F24A7"/>
    <w:rsid w:val="009F26DF"/>
    <w:rsid w:val="009F29DE"/>
    <w:rsid w:val="009F2D02"/>
    <w:rsid w:val="009F2F61"/>
    <w:rsid w:val="009F2F98"/>
    <w:rsid w:val="009F2FC1"/>
    <w:rsid w:val="009F317A"/>
    <w:rsid w:val="009F32E0"/>
    <w:rsid w:val="009F331D"/>
    <w:rsid w:val="009F3577"/>
    <w:rsid w:val="009F3904"/>
    <w:rsid w:val="009F3D40"/>
    <w:rsid w:val="009F3E72"/>
    <w:rsid w:val="009F477F"/>
    <w:rsid w:val="009F48E7"/>
    <w:rsid w:val="009F4BB0"/>
    <w:rsid w:val="009F4D39"/>
    <w:rsid w:val="009F4E11"/>
    <w:rsid w:val="009F4E5C"/>
    <w:rsid w:val="009F4F74"/>
    <w:rsid w:val="009F5078"/>
    <w:rsid w:val="009F511B"/>
    <w:rsid w:val="009F5170"/>
    <w:rsid w:val="009F51F6"/>
    <w:rsid w:val="009F5290"/>
    <w:rsid w:val="009F537E"/>
    <w:rsid w:val="009F5A02"/>
    <w:rsid w:val="009F5CB6"/>
    <w:rsid w:val="009F5F13"/>
    <w:rsid w:val="009F67C8"/>
    <w:rsid w:val="009F6DF6"/>
    <w:rsid w:val="009F6E84"/>
    <w:rsid w:val="009F6EB2"/>
    <w:rsid w:val="009F7263"/>
    <w:rsid w:val="009F7587"/>
    <w:rsid w:val="009F7E3B"/>
    <w:rsid w:val="00A0056A"/>
    <w:rsid w:val="00A01199"/>
    <w:rsid w:val="00A011A0"/>
    <w:rsid w:val="00A0120A"/>
    <w:rsid w:val="00A020D0"/>
    <w:rsid w:val="00A020F0"/>
    <w:rsid w:val="00A034EA"/>
    <w:rsid w:val="00A035F8"/>
    <w:rsid w:val="00A0376F"/>
    <w:rsid w:val="00A0425E"/>
    <w:rsid w:val="00A043B5"/>
    <w:rsid w:val="00A0455C"/>
    <w:rsid w:val="00A04B25"/>
    <w:rsid w:val="00A051CB"/>
    <w:rsid w:val="00A054E2"/>
    <w:rsid w:val="00A055B2"/>
    <w:rsid w:val="00A0593D"/>
    <w:rsid w:val="00A05D7E"/>
    <w:rsid w:val="00A05D87"/>
    <w:rsid w:val="00A05FB3"/>
    <w:rsid w:val="00A062A9"/>
    <w:rsid w:val="00A062BE"/>
    <w:rsid w:val="00A065DE"/>
    <w:rsid w:val="00A067F6"/>
    <w:rsid w:val="00A06BAF"/>
    <w:rsid w:val="00A06DE2"/>
    <w:rsid w:val="00A07030"/>
    <w:rsid w:val="00A071F3"/>
    <w:rsid w:val="00A075FA"/>
    <w:rsid w:val="00A07932"/>
    <w:rsid w:val="00A07A00"/>
    <w:rsid w:val="00A07CE9"/>
    <w:rsid w:val="00A07D7B"/>
    <w:rsid w:val="00A07F4A"/>
    <w:rsid w:val="00A07F6E"/>
    <w:rsid w:val="00A07FA5"/>
    <w:rsid w:val="00A1059D"/>
    <w:rsid w:val="00A105B7"/>
    <w:rsid w:val="00A10935"/>
    <w:rsid w:val="00A10A77"/>
    <w:rsid w:val="00A10BDD"/>
    <w:rsid w:val="00A10C5B"/>
    <w:rsid w:val="00A10C61"/>
    <w:rsid w:val="00A10CE6"/>
    <w:rsid w:val="00A111B0"/>
    <w:rsid w:val="00A111F9"/>
    <w:rsid w:val="00A11691"/>
    <w:rsid w:val="00A11716"/>
    <w:rsid w:val="00A1177B"/>
    <w:rsid w:val="00A118C1"/>
    <w:rsid w:val="00A11B45"/>
    <w:rsid w:val="00A11C80"/>
    <w:rsid w:val="00A11CA2"/>
    <w:rsid w:val="00A122A2"/>
    <w:rsid w:val="00A12335"/>
    <w:rsid w:val="00A1239B"/>
    <w:rsid w:val="00A1273D"/>
    <w:rsid w:val="00A12887"/>
    <w:rsid w:val="00A12A16"/>
    <w:rsid w:val="00A12C17"/>
    <w:rsid w:val="00A12EC7"/>
    <w:rsid w:val="00A130F0"/>
    <w:rsid w:val="00A13595"/>
    <w:rsid w:val="00A13F75"/>
    <w:rsid w:val="00A141D3"/>
    <w:rsid w:val="00A14E51"/>
    <w:rsid w:val="00A14E53"/>
    <w:rsid w:val="00A14F74"/>
    <w:rsid w:val="00A157D7"/>
    <w:rsid w:val="00A158D6"/>
    <w:rsid w:val="00A1604C"/>
    <w:rsid w:val="00A163E7"/>
    <w:rsid w:val="00A16961"/>
    <w:rsid w:val="00A16A17"/>
    <w:rsid w:val="00A16A33"/>
    <w:rsid w:val="00A16B18"/>
    <w:rsid w:val="00A16BC8"/>
    <w:rsid w:val="00A16BF7"/>
    <w:rsid w:val="00A171C1"/>
    <w:rsid w:val="00A17202"/>
    <w:rsid w:val="00A17301"/>
    <w:rsid w:val="00A173B1"/>
    <w:rsid w:val="00A17BB0"/>
    <w:rsid w:val="00A17FCA"/>
    <w:rsid w:val="00A203D4"/>
    <w:rsid w:val="00A21142"/>
    <w:rsid w:val="00A214AF"/>
    <w:rsid w:val="00A2162D"/>
    <w:rsid w:val="00A2193F"/>
    <w:rsid w:val="00A21B63"/>
    <w:rsid w:val="00A21EE7"/>
    <w:rsid w:val="00A220F9"/>
    <w:rsid w:val="00A2225A"/>
    <w:rsid w:val="00A222F3"/>
    <w:rsid w:val="00A22863"/>
    <w:rsid w:val="00A22986"/>
    <w:rsid w:val="00A22D03"/>
    <w:rsid w:val="00A23319"/>
    <w:rsid w:val="00A2333E"/>
    <w:rsid w:val="00A234C8"/>
    <w:rsid w:val="00A23570"/>
    <w:rsid w:val="00A23662"/>
    <w:rsid w:val="00A23979"/>
    <w:rsid w:val="00A248A7"/>
    <w:rsid w:val="00A24B30"/>
    <w:rsid w:val="00A25120"/>
    <w:rsid w:val="00A25195"/>
    <w:rsid w:val="00A25226"/>
    <w:rsid w:val="00A2598C"/>
    <w:rsid w:val="00A25A48"/>
    <w:rsid w:val="00A25B4D"/>
    <w:rsid w:val="00A26242"/>
    <w:rsid w:val="00A2646C"/>
    <w:rsid w:val="00A26A21"/>
    <w:rsid w:val="00A26B3D"/>
    <w:rsid w:val="00A26E51"/>
    <w:rsid w:val="00A26E80"/>
    <w:rsid w:val="00A27573"/>
    <w:rsid w:val="00A27767"/>
    <w:rsid w:val="00A27CF7"/>
    <w:rsid w:val="00A27E78"/>
    <w:rsid w:val="00A30220"/>
    <w:rsid w:val="00A307D6"/>
    <w:rsid w:val="00A3080E"/>
    <w:rsid w:val="00A3090C"/>
    <w:rsid w:val="00A3096E"/>
    <w:rsid w:val="00A30D93"/>
    <w:rsid w:val="00A30DCB"/>
    <w:rsid w:val="00A30EF3"/>
    <w:rsid w:val="00A30FCE"/>
    <w:rsid w:val="00A31104"/>
    <w:rsid w:val="00A31AFF"/>
    <w:rsid w:val="00A31BDA"/>
    <w:rsid w:val="00A31C1E"/>
    <w:rsid w:val="00A326D1"/>
    <w:rsid w:val="00A32D2A"/>
    <w:rsid w:val="00A33090"/>
    <w:rsid w:val="00A34691"/>
    <w:rsid w:val="00A3490B"/>
    <w:rsid w:val="00A35202"/>
    <w:rsid w:val="00A3530F"/>
    <w:rsid w:val="00A353EF"/>
    <w:rsid w:val="00A3555E"/>
    <w:rsid w:val="00A35910"/>
    <w:rsid w:val="00A35C02"/>
    <w:rsid w:val="00A35C70"/>
    <w:rsid w:val="00A35EC1"/>
    <w:rsid w:val="00A361DC"/>
    <w:rsid w:val="00A36331"/>
    <w:rsid w:val="00A36357"/>
    <w:rsid w:val="00A3678A"/>
    <w:rsid w:val="00A367B3"/>
    <w:rsid w:val="00A369E1"/>
    <w:rsid w:val="00A36DF8"/>
    <w:rsid w:val="00A36F2E"/>
    <w:rsid w:val="00A37342"/>
    <w:rsid w:val="00A378F0"/>
    <w:rsid w:val="00A40110"/>
    <w:rsid w:val="00A402B4"/>
    <w:rsid w:val="00A403E0"/>
    <w:rsid w:val="00A4052B"/>
    <w:rsid w:val="00A405A2"/>
    <w:rsid w:val="00A40BEE"/>
    <w:rsid w:val="00A41011"/>
    <w:rsid w:val="00A41488"/>
    <w:rsid w:val="00A414FE"/>
    <w:rsid w:val="00A415D9"/>
    <w:rsid w:val="00A41A26"/>
    <w:rsid w:val="00A41CBA"/>
    <w:rsid w:val="00A42144"/>
    <w:rsid w:val="00A42159"/>
    <w:rsid w:val="00A422F8"/>
    <w:rsid w:val="00A42767"/>
    <w:rsid w:val="00A42DA8"/>
    <w:rsid w:val="00A436AB"/>
    <w:rsid w:val="00A43789"/>
    <w:rsid w:val="00A43A7F"/>
    <w:rsid w:val="00A43C8F"/>
    <w:rsid w:val="00A43CE3"/>
    <w:rsid w:val="00A43FFD"/>
    <w:rsid w:val="00A442A2"/>
    <w:rsid w:val="00A44310"/>
    <w:rsid w:val="00A446E4"/>
    <w:rsid w:val="00A4471E"/>
    <w:rsid w:val="00A44B44"/>
    <w:rsid w:val="00A44B9A"/>
    <w:rsid w:val="00A44D48"/>
    <w:rsid w:val="00A44E04"/>
    <w:rsid w:val="00A44E19"/>
    <w:rsid w:val="00A45056"/>
    <w:rsid w:val="00A453E2"/>
    <w:rsid w:val="00A454C1"/>
    <w:rsid w:val="00A45C71"/>
    <w:rsid w:val="00A4601B"/>
    <w:rsid w:val="00A463D3"/>
    <w:rsid w:val="00A46719"/>
    <w:rsid w:val="00A46986"/>
    <w:rsid w:val="00A469F3"/>
    <w:rsid w:val="00A46A4A"/>
    <w:rsid w:val="00A46A69"/>
    <w:rsid w:val="00A46DAB"/>
    <w:rsid w:val="00A4758A"/>
    <w:rsid w:val="00A47743"/>
    <w:rsid w:val="00A47E0E"/>
    <w:rsid w:val="00A47FB1"/>
    <w:rsid w:val="00A5008E"/>
    <w:rsid w:val="00A500FA"/>
    <w:rsid w:val="00A503D3"/>
    <w:rsid w:val="00A504C4"/>
    <w:rsid w:val="00A50E82"/>
    <w:rsid w:val="00A50E84"/>
    <w:rsid w:val="00A50F96"/>
    <w:rsid w:val="00A51547"/>
    <w:rsid w:val="00A52001"/>
    <w:rsid w:val="00A52765"/>
    <w:rsid w:val="00A5281A"/>
    <w:rsid w:val="00A52B6F"/>
    <w:rsid w:val="00A52E34"/>
    <w:rsid w:val="00A532AF"/>
    <w:rsid w:val="00A53739"/>
    <w:rsid w:val="00A53749"/>
    <w:rsid w:val="00A53960"/>
    <w:rsid w:val="00A53E00"/>
    <w:rsid w:val="00A54C39"/>
    <w:rsid w:val="00A54CED"/>
    <w:rsid w:val="00A550A7"/>
    <w:rsid w:val="00A55159"/>
    <w:rsid w:val="00A55BA7"/>
    <w:rsid w:val="00A55DC1"/>
    <w:rsid w:val="00A55E52"/>
    <w:rsid w:val="00A55F6C"/>
    <w:rsid w:val="00A55F79"/>
    <w:rsid w:val="00A562C4"/>
    <w:rsid w:val="00A56368"/>
    <w:rsid w:val="00A56649"/>
    <w:rsid w:val="00A56652"/>
    <w:rsid w:val="00A56653"/>
    <w:rsid w:val="00A56741"/>
    <w:rsid w:val="00A569FC"/>
    <w:rsid w:val="00A56A1C"/>
    <w:rsid w:val="00A56C24"/>
    <w:rsid w:val="00A56E96"/>
    <w:rsid w:val="00A571E9"/>
    <w:rsid w:val="00A5759A"/>
    <w:rsid w:val="00A577DF"/>
    <w:rsid w:val="00A57CCF"/>
    <w:rsid w:val="00A57E93"/>
    <w:rsid w:val="00A60057"/>
    <w:rsid w:val="00A6029B"/>
    <w:rsid w:val="00A605B1"/>
    <w:rsid w:val="00A608EB"/>
    <w:rsid w:val="00A60C31"/>
    <w:rsid w:val="00A60D7D"/>
    <w:rsid w:val="00A612BE"/>
    <w:rsid w:val="00A61599"/>
    <w:rsid w:val="00A61713"/>
    <w:rsid w:val="00A6187C"/>
    <w:rsid w:val="00A618B3"/>
    <w:rsid w:val="00A619B4"/>
    <w:rsid w:val="00A61BBB"/>
    <w:rsid w:val="00A61F2E"/>
    <w:rsid w:val="00A61F65"/>
    <w:rsid w:val="00A62003"/>
    <w:rsid w:val="00A621B2"/>
    <w:rsid w:val="00A62201"/>
    <w:rsid w:val="00A62622"/>
    <w:rsid w:val="00A62761"/>
    <w:rsid w:val="00A62C2B"/>
    <w:rsid w:val="00A62E8E"/>
    <w:rsid w:val="00A632A2"/>
    <w:rsid w:val="00A6334D"/>
    <w:rsid w:val="00A63593"/>
    <w:rsid w:val="00A63765"/>
    <w:rsid w:val="00A63C20"/>
    <w:rsid w:val="00A63C61"/>
    <w:rsid w:val="00A644A1"/>
    <w:rsid w:val="00A64841"/>
    <w:rsid w:val="00A64A1F"/>
    <w:rsid w:val="00A64CE5"/>
    <w:rsid w:val="00A64F17"/>
    <w:rsid w:val="00A650FA"/>
    <w:rsid w:val="00A65191"/>
    <w:rsid w:val="00A6543A"/>
    <w:rsid w:val="00A6594D"/>
    <w:rsid w:val="00A65EB4"/>
    <w:rsid w:val="00A66001"/>
    <w:rsid w:val="00A660A5"/>
    <w:rsid w:val="00A66769"/>
    <w:rsid w:val="00A66EE5"/>
    <w:rsid w:val="00A67080"/>
    <w:rsid w:val="00A67108"/>
    <w:rsid w:val="00A672E4"/>
    <w:rsid w:val="00A674E0"/>
    <w:rsid w:val="00A67721"/>
    <w:rsid w:val="00A67CDD"/>
    <w:rsid w:val="00A7034B"/>
    <w:rsid w:val="00A7047A"/>
    <w:rsid w:val="00A70492"/>
    <w:rsid w:val="00A70B31"/>
    <w:rsid w:val="00A70CDF"/>
    <w:rsid w:val="00A70F17"/>
    <w:rsid w:val="00A71214"/>
    <w:rsid w:val="00A71991"/>
    <w:rsid w:val="00A71D48"/>
    <w:rsid w:val="00A71FF7"/>
    <w:rsid w:val="00A722A3"/>
    <w:rsid w:val="00A72335"/>
    <w:rsid w:val="00A7238A"/>
    <w:rsid w:val="00A724E7"/>
    <w:rsid w:val="00A7253D"/>
    <w:rsid w:val="00A7264E"/>
    <w:rsid w:val="00A7287C"/>
    <w:rsid w:val="00A728BF"/>
    <w:rsid w:val="00A72977"/>
    <w:rsid w:val="00A729F4"/>
    <w:rsid w:val="00A72A30"/>
    <w:rsid w:val="00A72EB4"/>
    <w:rsid w:val="00A73625"/>
    <w:rsid w:val="00A73964"/>
    <w:rsid w:val="00A73B20"/>
    <w:rsid w:val="00A73D34"/>
    <w:rsid w:val="00A73F10"/>
    <w:rsid w:val="00A744C8"/>
    <w:rsid w:val="00A744F0"/>
    <w:rsid w:val="00A746DB"/>
    <w:rsid w:val="00A747B3"/>
    <w:rsid w:val="00A747FA"/>
    <w:rsid w:val="00A74B1F"/>
    <w:rsid w:val="00A75726"/>
    <w:rsid w:val="00A75B5C"/>
    <w:rsid w:val="00A75DE3"/>
    <w:rsid w:val="00A760AA"/>
    <w:rsid w:val="00A76805"/>
    <w:rsid w:val="00A76ADC"/>
    <w:rsid w:val="00A77127"/>
    <w:rsid w:val="00A77172"/>
    <w:rsid w:val="00A77378"/>
    <w:rsid w:val="00A7778D"/>
    <w:rsid w:val="00A779A1"/>
    <w:rsid w:val="00A77A24"/>
    <w:rsid w:val="00A77A95"/>
    <w:rsid w:val="00A801BF"/>
    <w:rsid w:val="00A802F1"/>
    <w:rsid w:val="00A80406"/>
    <w:rsid w:val="00A80490"/>
    <w:rsid w:val="00A809CB"/>
    <w:rsid w:val="00A80A88"/>
    <w:rsid w:val="00A80AFF"/>
    <w:rsid w:val="00A80D9C"/>
    <w:rsid w:val="00A80FD8"/>
    <w:rsid w:val="00A8140A"/>
    <w:rsid w:val="00A8160C"/>
    <w:rsid w:val="00A817A1"/>
    <w:rsid w:val="00A818AD"/>
    <w:rsid w:val="00A81F81"/>
    <w:rsid w:val="00A8202C"/>
    <w:rsid w:val="00A82153"/>
    <w:rsid w:val="00A82248"/>
    <w:rsid w:val="00A82433"/>
    <w:rsid w:val="00A82D69"/>
    <w:rsid w:val="00A82F3E"/>
    <w:rsid w:val="00A82FED"/>
    <w:rsid w:val="00A832DB"/>
    <w:rsid w:val="00A8349E"/>
    <w:rsid w:val="00A834FF"/>
    <w:rsid w:val="00A83595"/>
    <w:rsid w:val="00A838A7"/>
    <w:rsid w:val="00A83E0E"/>
    <w:rsid w:val="00A8428F"/>
    <w:rsid w:val="00A84443"/>
    <w:rsid w:val="00A84462"/>
    <w:rsid w:val="00A846F8"/>
    <w:rsid w:val="00A8474A"/>
    <w:rsid w:val="00A84808"/>
    <w:rsid w:val="00A85765"/>
    <w:rsid w:val="00A857DF"/>
    <w:rsid w:val="00A85E64"/>
    <w:rsid w:val="00A86A8D"/>
    <w:rsid w:val="00A86E3D"/>
    <w:rsid w:val="00A86ECA"/>
    <w:rsid w:val="00A87078"/>
    <w:rsid w:val="00A8736B"/>
    <w:rsid w:val="00A87402"/>
    <w:rsid w:val="00A87AEC"/>
    <w:rsid w:val="00A87B82"/>
    <w:rsid w:val="00A87F2C"/>
    <w:rsid w:val="00A87F32"/>
    <w:rsid w:val="00A900EA"/>
    <w:rsid w:val="00A90131"/>
    <w:rsid w:val="00A90601"/>
    <w:rsid w:val="00A908C2"/>
    <w:rsid w:val="00A90D6D"/>
    <w:rsid w:val="00A90DF0"/>
    <w:rsid w:val="00A911D8"/>
    <w:rsid w:val="00A9124D"/>
    <w:rsid w:val="00A91BB1"/>
    <w:rsid w:val="00A91DD0"/>
    <w:rsid w:val="00A9224B"/>
    <w:rsid w:val="00A923F6"/>
    <w:rsid w:val="00A924D5"/>
    <w:rsid w:val="00A92685"/>
    <w:rsid w:val="00A92C0A"/>
    <w:rsid w:val="00A92DD7"/>
    <w:rsid w:val="00A930A2"/>
    <w:rsid w:val="00A9329B"/>
    <w:rsid w:val="00A933DC"/>
    <w:rsid w:val="00A93EEE"/>
    <w:rsid w:val="00A941BD"/>
    <w:rsid w:val="00A94C81"/>
    <w:rsid w:val="00A94C9F"/>
    <w:rsid w:val="00A9524E"/>
    <w:rsid w:val="00A95834"/>
    <w:rsid w:val="00A958CD"/>
    <w:rsid w:val="00A960F3"/>
    <w:rsid w:val="00A963DD"/>
    <w:rsid w:val="00A96542"/>
    <w:rsid w:val="00A96788"/>
    <w:rsid w:val="00A969A7"/>
    <w:rsid w:val="00A971E6"/>
    <w:rsid w:val="00A972E7"/>
    <w:rsid w:val="00A972F4"/>
    <w:rsid w:val="00A975EE"/>
    <w:rsid w:val="00A976B4"/>
    <w:rsid w:val="00A97701"/>
    <w:rsid w:val="00A97791"/>
    <w:rsid w:val="00A97815"/>
    <w:rsid w:val="00A97A12"/>
    <w:rsid w:val="00A97EAB"/>
    <w:rsid w:val="00AA01FE"/>
    <w:rsid w:val="00AA05FE"/>
    <w:rsid w:val="00AA072B"/>
    <w:rsid w:val="00AA088B"/>
    <w:rsid w:val="00AA0B31"/>
    <w:rsid w:val="00AA0C79"/>
    <w:rsid w:val="00AA14E8"/>
    <w:rsid w:val="00AA1E46"/>
    <w:rsid w:val="00AA2109"/>
    <w:rsid w:val="00AA2301"/>
    <w:rsid w:val="00AA23F2"/>
    <w:rsid w:val="00AA289F"/>
    <w:rsid w:val="00AA2BB0"/>
    <w:rsid w:val="00AA2CED"/>
    <w:rsid w:val="00AA3380"/>
    <w:rsid w:val="00AA344E"/>
    <w:rsid w:val="00AA3C7C"/>
    <w:rsid w:val="00AA3CE9"/>
    <w:rsid w:val="00AA3D3D"/>
    <w:rsid w:val="00AA41FE"/>
    <w:rsid w:val="00AA4225"/>
    <w:rsid w:val="00AA433C"/>
    <w:rsid w:val="00AA45C3"/>
    <w:rsid w:val="00AA468C"/>
    <w:rsid w:val="00AA4879"/>
    <w:rsid w:val="00AA4919"/>
    <w:rsid w:val="00AA4B7E"/>
    <w:rsid w:val="00AA52B8"/>
    <w:rsid w:val="00AA53FE"/>
    <w:rsid w:val="00AA5546"/>
    <w:rsid w:val="00AA5E0A"/>
    <w:rsid w:val="00AA6057"/>
    <w:rsid w:val="00AA60E8"/>
    <w:rsid w:val="00AA657D"/>
    <w:rsid w:val="00AA67EB"/>
    <w:rsid w:val="00AA684C"/>
    <w:rsid w:val="00AA6AFC"/>
    <w:rsid w:val="00AA70FA"/>
    <w:rsid w:val="00AA7272"/>
    <w:rsid w:val="00AA73AF"/>
    <w:rsid w:val="00AA75BC"/>
    <w:rsid w:val="00AA77D7"/>
    <w:rsid w:val="00AA7B0C"/>
    <w:rsid w:val="00AA7BE3"/>
    <w:rsid w:val="00AA7C66"/>
    <w:rsid w:val="00AA7D18"/>
    <w:rsid w:val="00AA7D43"/>
    <w:rsid w:val="00AA7E3D"/>
    <w:rsid w:val="00AA7E9E"/>
    <w:rsid w:val="00AB03D3"/>
    <w:rsid w:val="00AB0C0F"/>
    <w:rsid w:val="00AB1704"/>
    <w:rsid w:val="00AB192B"/>
    <w:rsid w:val="00AB1D6E"/>
    <w:rsid w:val="00AB2453"/>
    <w:rsid w:val="00AB286F"/>
    <w:rsid w:val="00AB293E"/>
    <w:rsid w:val="00AB2B43"/>
    <w:rsid w:val="00AB2C8B"/>
    <w:rsid w:val="00AB30DD"/>
    <w:rsid w:val="00AB39CA"/>
    <w:rsid w:val="00AB3ADC"/>
    <w:rsid w:val="00AB3D66"/>
    <w:rsid w:val="00AB3D78"/>
    <w:rsid w:val="00AB4862"/>
    <w:rsid w:val="00AB48E9"/>
    <w:rsid w:val="00AB4ACA"/>
    <w:rsid w:val="00AB4AFA"/>
    <w:rsid w:val="00AB5292"/>
    <w:rsid w:val="00AB57D3"/>
    <w:rsid w:val="00AB5CF4"/>
    <w:rsid w:val="00AB61EC"/>
    <w:rsid w:val="00AB62D1"/>
    <w:rsid w:val="00AB69FA"/>
    <w:rsid w:val="00AB6CCD"/>
    <w:rsid w:val="00AB6CF5"/>
    <w:rsid w:val="00AB702B"/>
    <w:rsid w:val="00AB7085"/>
    <w:rsid w:val="00AB7940"/>
    <w:rsid w:val="00AB795F"/>
    <w:rsid w:val="00AB7CA2"/>
    <w:rsid w:val="00AC0439"/>
    <w:rsid w:val="00AC0950"/>
    <w:rsid w:val="00AC0E48"/>
    <w:rsid w:val="00AC0F9A"/>
    <w:rsid w:val="00AC1039"/>
    <w:rsid w:val="00AC1187"/>
    <w:rsid w:val="00AC11FB"/>
    <w:rsid w:val="00AC140A"/>
    <w:rsid w:val="00AC16AD"/>
    <w:rsid w:val="00AC1E5C"/>
    <w:rsid w:val="00AC229A"/>
    <w:rsid w:val="00AC288D"/>
    <w:rsid w:val="00AC2AA6"/>
    <w:rsid w:val="00AC2D43"/>
    <w:rsid w:val="00AC34A9"/>
    <w:rsid w:val="00AC34CC"/>
    <w:rsid w:val="00AC378F"/>
    <w:rsid w:val="00AC3932"/>
    <w:rsid w:val="00AC41F7"/>
    <w:rsid w:val="00AC4222"/>
    <w:rsid w:val="00AC43A4"/>
    <w:rsid w:val="00AC4AE1"/>
    <w:rsid w:val="00AC4DB0"/>
    <w:rsid w:val="00AC5E4C"/>
    <w:rsid w:val="00AC6635"/>
    <w:rsid w:val="00AC671F"/>
    <w:rsid w:val="00AC67C1"/>
    <w:rsid w:val="00AC67D7"/>
    <w:rsid w:val="00AC6991"/>
    <w:rsid w:val="00AC6BBE"/>
    <w:rsid w:val="00AC6E89"/>
    <w:rsid w:val="00AC7566"/>
    <w:rsid w:val="00AC78A1"/>
    <w:rsid w:val="00AC7BAC"/>
    <w:rsid w:val="00AC7BE0"/>
    <w:rsid w:val="00AD0095"/>
    <w:rsid w:val="00AD01A2"/>
    <w:rsid w:val="00AD04A1"/>
    <w:rsid w:val="00AD06B2"/>
    <w:rsid w:val="00AD08C4"/>
    <w:rsid w:val="00AD0CB4"/>
    <w:rsid w:val="00AD0D1C"/>
    <w:rsid w:val="00AD0D5C"/>
    <w:rsid w:val="00AD1650"/>
    <w:rsid w:val="00AD1D6C"/>
    <w:rsid w:val="00AD1EDA"/>
    <w:rsid w:val="00AD2028"/>
    <w:rsid w:val="00AD2178"/>
    <w:rsid w:val="00AD2361"/>
    <w:rsid w:val="00AD25BE"/>
    <w:rsid w:val="00AD29E1"/>
    <w:rsid w:val="00AD2AA4"/>
    <w:rsid w:val="00AD2C84"/>
    <w:rsid w:val="00AD2EBB"/>
    <w:rsid w:val="00AD320B"/>
    <w:rsid w:val="00AD356B"/>
    <w:rsid w:val="00AD3702"/>
    <w:rsid w:val="00AD383F"/>
    <w:rsid w:val="00AD3A8B"/>
    <w:rsid w:val="00AD3D39"/>
    <w:rsid w:val="00AD3DDA"/>
    <w:rsid w:val="00AD4104"/>
    <w:rsid w:val="00AD4141"/>
    <w:rsid w:val="00AD427D"/>
    <w:rsid w:val="00AD47B0"/>
    <w:rsid w:val="00AD562F"/>
    <w:rsid w:val="00AD5A72"/>
    <w:rsid w:val="00AD5CFD"/>
    <w:rsid w:val="00AD5E40"/>
    <w:rsid w:val="00AD61C4"/>
    <w:rsid w:val="00AD629F"/>
    <w:rsid w:val="00AD6327"/>
    <w:rsid w:val="00AD67B8"/>
    <w:rsid w:val="00AD6885"/>
    <w:rsid w:val="00AD6AFB"/>
    <w:rsid w:val="00AD6F2D"/>
    <w:rsid w:val="00AD7047"/>
    <w:rsid w:val="00AD745C"/>
    <w:rsid w:val="00AD7971"/>
    <w:rsid w:val="00AD7AC7"/>
    <w:rsid w:val="00AE031B"/>
    <w:rsid w:val="00AE0DE5"/>
    <w:rsid w:val="00AE0E47"/>
    <w:rsid w:val="00AE0FD2"/>
    <w:rsid w:val="00AE1214"/>
    <w:rsid w:val="00AE1249"/>
    <w:rsid w:val="00AE1273"/>
    <w:rsid w:val="00AE12FB"/>
    <w:rsid w:val="00AE15FB"/>
    <w:rsid w:val="00AE17A7"/>
    <w:rsid w:val="00AE17C3"/>
    <w:rsid w:val="00AE1B61"/>
    <w:rsid w:val="00AE1D8B"/>
    <w:rsid w:val="00AE1ED5"/>
    <w:rsid w:val="00AE1FD8"/>
    <w:rsid w:val="00AE2215"/>
    <w:rsid w:val="00AE24BF"/>
    <w:rsid w:val="00AE2553"/>
    <w:rsid w:val="00AE2562"/>
    <w:rsid w:val="00AE2749"/>
    <w:rsid w:val="00AE2837"/>
    <w:rsid w:val="00AE2DED"/>
    <w:rsid w:val="00AE3306"/>
    <w:rsid w:val="00AE35D2"/>
    <w:rsid w:val="00AE3971"/>
    <w:rsid w:val="00AE3DC2"/>
    <w:rsid w:val="00AE42DF"/>
    <w:rsid w:val="00AE4406"/>
    <w:rsid w:val="00AE450C"/>
    <w:rsid w:val="00AE47B0"/>
    <w:rsid w:val="00AE4A37"/>
    <w:rsid w:val="00AE4A82"/>
    <w:rsid w:val="00AE4BE2"/>
    <w:rsid w:val="00AE5035"/>
    <w:rsid w:val="00AE5AEF"/>
    <w:rsid w:val="00AE65A6"/>
    <w:rsid w:val="00AE6686"/>
    <w:rsid w:val="00AE68E1"/>
    <w:rsid w:val="00AE6B3B"/>
    <w:rsid w:val="00AE6C75"/>
    <w:rsid w:val="00AE6DE7"/>
    <w:rsid w:val="00AE6E36"/>
    <w:rsid w:val="00AE738B"/>
    <w:rsid w:val="00AE73CA"/>
    <w:rsid w:val="00AE73FB"/>
    <w:rsid w:val="00AE7C23"/>
    <w:rsid w:val="00AE7E79"/>
    <w:rsid w:val="00AF0007"/>
    <w:rsid w:val="00AF02CD"/>
    <w:rsid w:val="00AF0495"/>
    <w:rsid w:val="00AF07B3"/>
    <w:rsid w:val="00AF0965"/>
    <w:rsid w:val="00AF0BF8"/>
    <w:rsid w:val="00AF0F02"/>
    <w:rsid w:val="00AF0F0E"/>
    <w:rsid w:val="00AF11FA"/>
    <w:rsid w:val="00AF141B"/>
    <w:rsid w:val="00AF1805"/>
    <w:rsid w:val="00AF1AD5"/>
    <w:rsid w:val="00AF1B80"/>
    <w:rsid w:val="00AF1B90"/>
    <w:rsid w:val="00AF1EB3"/>
    <w:rsid w:val="00AF1F6B"/>
    <w:rsid w:val="00AF2538"/>
    <w:rsid w:val="00AF28D2"/>
    <w:rsid w:val="00AF2A43"/>
    <w:rsid w:val="00AF2C1D"/>
    <w:rsid w:val="00AF2EAD"/>
    <w:rsid w:val="00AF3B8D"/>
    <w:rsid w:val="00AF3EB2"/>
    <w:rsid w:val="00AF417B"/>
    <w:rsid w:val="00AF4359"/>
    <w:rsid w:val="00AF436E"/>
    <w:rsid w:val="00AF472D"/>
    <w:rsid w:val="00AF486B"/>
    <w:rsid w:val="00AF486F"/>
    <w:rsid w:val="00AF4AD2"/>
    <w:rsid w:val="00AF4C38"/>
    <w:rsid w:val="00AF4D55"/>
    <w:rsid w:val="00AF4D70"/>
    <w:rsid w:val="00AF4DC9"/>
    <w:rsid w:val="00AF5192"/>
    <w:rsid w:val="00AF5273"/>
    <w:rsid w:val="00AF531A"/>
    <w:rsid w:val="00AF546C"/>
    <w:rsid w:val="00AF57DF"/>
    <w:rsid w:val="00AF5A06"/>
    <w:rsid w:val="00AF5D99"/>
    <w:rsid w:val="00AF642E"/>
    <w:rsid w:val="00AF6B70"/>
    <w:rsid w:val="00AF6BD6"/>
    <w:rsid w:val="00AF6BFE"/>
    <w:rsid w:val="00AF721A"/>
    <w:rsid w:val="00AF73C8"/>
    <w:rsid w:val="00AF7527"/>
    <w:rsid w:val="00AF77CC"/>
    <w:rsid w:val="00AF7825"/>
    <w:rsid w:val="00AF78F7"/>
    <w:rsid w:val="00AF7954"/>
    <w:rsid w:val="00AF7CE9"/>
    <w:rsid w:val="00B00218"/>
    <w:rsid w:val="00B0074C"/>
    <w:rsid w:val="00B00CC6"/>
    <w:rsid w:val="00B00EDA"/>
    <w:rsid w:val="00B01542"/>
    <w:rsid w:val="00B01615"/>
    <w:rsid w:val="00B0167B"/>
    <w:rsid w:val="00B01876"/>
    <w:rsid w:val="00B01893"/>
    <w:rsid w:val="00B01B4E"/>
    <w:rsid w:val="00B01C8A"/>
    <w:rsid w:val="00B020D8"/>
    <w:rsid w:val="00B02615"/>
    <w:rsid w:val="00B02699"/>
    <w:rsid w:val="00B02949"/>
    <w:rsid w:val="00B036BF"/>
    <w:rsid w:val="00B037B0"/>
    <w:rsid w:val="00B03A19"/>
    <w:rsid w:val="00B03B1D"/>
    <w:rsid w:val="00B03D44"/>
    <w:rsid w:val="00B04473"/>
    <w:rsid w:val="00B044F7"/>
    <w:rsid w:val="00B046E5"/>
    <w:rsid w:val="00B0479C"/>
    <w:rsid w:val="00B04D30"/>
    <w:rsid w:val="00B04F21"/>
    <w:rsid w:val="00B052D1"/>
    <w:rsid w:val="00B0547E"/>
    <w:rsid w:val="00B05970"/>
    <w:rsid w:val="00B059F9"/>
    <w:rsid w:val="00B0615E"/>
    <w:rsid w:val="00B062C2"/>
    <w:rsid w:val="00B06360"/>
    <w:rsid w:val="00B06710"/>
    <w:rsid w:val="00B069DA"/>
    <w:rsid w:val="00B06B0A"/>
    <w:rsid w:val="00B06E68"/>
    <w:rsid w:val="00B07272"/>
    <w:rsid w:val="00B0733B"/>
    <w:rsid w:val="00B07347"/>
    <w:rsid w:val="00B07701"/>
    <w:rsid w:val="00B07829"/>
    <w:rsid w:val="00B07977"/>
    <w:rsid w:val="00B07A87"/>
    <w:rsid w:val="00B07DBC"/>
    <w:rsid w:val="00B100DF"/>
    <w:rsid w:val="00B10396"/>
    <w:rsid w:val="00B10F28"/>
    <w:rsid w:val="00B11381"/>
    <w:rsid w:val="00B117E3"/>
    <w:rsid w:val="00B11901"/>
    <w:rsid w:val="00B11992"/>
    <w:rsid w:val="00B11AA3"/>
    <w:rsid w:val="00B11DFF"/>
    <w:rsid w:val="00B12B46"/>
    <w:rsid w:val="00B12CA5"/>
    <w:rsid w:val="00B1364C"/>
    <w:rsid w:val="00B13740"/>
    <w:rsid w:val="00B13D93"/>
    <w:rsid w:val="00B14558"/>
    <w:rsid w:val="00B1459C"/>
    <w:rsid w:val="00B14792"/>
    <w:rsid w:val="00B14883"/>
    <w:rsid w:val="00B1498A"/>
    <w:rsid w:val="00B14B7E"/>
    <w:rsid w:val="00B14EF3"/>
    <w:rsid w:val="00B14F27"/>
    <w:rsid w:val="00B15448"/>
    <w:rsid w:val="00B15BA5"/>
    <w:rsid w:val="00B15F79"/>
    <w:rsid w:val="00B16012"/>
    <w:rsid w:val="00B161A6"/>
    <w:rsid w:val="00B1622D"/>
    <w:rsid w:val="00B164DC"/>
    <w:rsid w:val="00B16659"/>
    <w:rsid w:val="00B16670"/>
    <w:rsid w:val="00B16724"/>
    <w:rsid w:val="00B167AF"/>
    <w:rsid w:val="00B16C8E"/>
    <w:rsid w:val="00B16D9A"/>
    <w:rsid w:val="00B1700E"/>
    <w:rsid w:val="00B178E3"/>
    <w:rsid w:val="00B17A86"/>
    <w:rsid w:val="00B17B1A"/>
    <w:rsid w:val="00B200C3"/>
    <w:rsid w:val="00B204F2"/>
    <w:rsid w:val="00B209FB"/>
    <w:rsid w:val="00B20C5E"/>
    <w:rsid w:val="00B21339"/>
    <w:rsid w:val="00B21612"/>
    <w:rsid w:val="00B21832"/>
    <w:rsid w:val="00B224F5"/>
    <w:rsid w:val="00B22969"/>
    <w:rsid w:val="00B22B7F"/>
    <w:rsid w:val="00B22ED9"/>
    <w:rsid w:val="00B234B9"/>
    <w:rsid w:val="00B238CD"/>
    <w:rsid w:val="00B23FC8"/>
    <w:rsid w:val="00B24025"/>
    <w:rsid w:val="00B24123"/>
    <w:rsid w:val="00B24305"/>
    <w:rsid w:val="00B24588"/>
    <w:rsid w:val="00B246BE"/>
    <w:rsid w:val="00B24A7E"/>
    <w:rsid w:val="00B24CBC"/>
    <w:rsid w:val="00B2508C"/>
    <w:rsid w:val="00B25525"/>
    <w:rsid w:val="00B25AAD"/>
    <w:rsid w:val="00B25C69"/>
    <w:rsid w:val="00B26342"/>
    <w:rsid w:val="00B269EE"/>
    <w:rsid w:val="00B2738D"/>
    <w:rsid w:val="00B27CF6"/>
    <w:rsid w:val="00B27E7E"/>
    <w:rsid w:val="00B3050A"/>
    <w:rsid w:val="00B31274"/>
    <w:rsid w:val="00B312C6"/>
    <w:rsid w:val="00B31391"/>
    <w:rsid w:val="00B31461"/>
    <w:rsid w:val="00B315FA"/>
    <w:rsid w:val="00B3160C"/>
    <w:rsid w:val="00B3184C"/>
    <w:rsid w:val="00B31F68"/>
    <w:rsid w:val="00B32027"/>
    <w:rsid w:val="00B32B09"/>
    <w:rsid w:val="00B32CF5"/>
    <w:rsid w:val="00B32D5B"/>
    <w:rsid w:val="00B32FDB"/>
    <w:rsid w:val="00B331F6"/>
    <w:rsid w:val="00B332D9"/>
    <w:rsid w:val="00B333A0"/>
    <w:rsid w:val="00B333D1"/>
    <w:rsid w:val="00B336BF"/>
    <w:rsid w:val="00B3396D"/>
    <w:rsid w:val="00B33B12"/>
    <w:rsid w:val="00B345CA"/>
    <w:rsid w:val="00B347B7"/>
    <w:rsid w:val="00B347F2"/>
    <w:rsid w:val="00B34A65"/>
    <w:rsid w:val="00B34AB3"/>
    <w:rsid w:val="00B34D5A"/>
    <w:rsid w:val="00B34E83"/>
    <w:rsid w:val="00B34EA7"/>
    <w:rsid w:val="00B351E8"/>
    <w:rsid w:val="00B3530B"/>
    <w:rsid w:val="00B3542C"/>
    <w:rsid w:val="00B35473"/>
    <w:rsid w:val="00B35834"/>
    <w:rsid w:val="00B359EC"/>
    <w:rsid w:val="00B35A03"/>
    <w:rsid w:val="00B35FCC"/>
    <w:rsid w:val="00B36170"/>
    <w:rsid w:val="00B3655E"/>
    <w:rsid w:val="00B367AB"/>
    <w:rsid w:val="00B36810"/>
    <w:rsid w:val="00B369EA"/>
    <w:rsid w:val="00B36EA0"/>
    <w:rsid w:val="00B36F49"/>
    <w:rsid w:val="00B37033"/>
    <w:rsid w:val="00B3710C"/>
    <w:rsid w:val="00B3734D"/>
    <w:rsid w:val="00B3736D"/>
    <w:rsid w:val="00B37A9E"/>
    <w:rsid w:val="00B37AEB"/>
    <w:rsid w:val="00B37E42"/>
    <w:rsid w:val="00B4023F"/>
    <w:rsid w:val="00B404F5"/>
    <w:rsid w:val="00B4062D"/>
    <w:rsid w:val="00B407CF"/>
    <w:rsid w:val="00B408BF"/>
    <w:rsid w:val="00B40B52"/>
    <w:rsid w:val="00B4104C"/>
    <w:rsid w:val="00B41144"/>
    <w:rsid w:val="00B4125C"/>
    <w:rsid w:val="00B412BE"/>
    <w:rsid w:val="00B4151C"/>
    <w:rsid w:val="00B416C7"/>
    <w:rsid w:val="00B41937"/>
    <w:rsid w:val="00B41C91"/>
    <w:rsid w:val="00B41CBF"/>
    <w:rsid w:val="00B41DA7"/>
    <w:rsid w:val="00B42029"/>
    <w:rsid w:val="00B42064"/>
    <w:rsid w:val="00B420E4"/>
    <w:rsid w:val="00B42159"/>
    <w:rsid w:val="00B42279"/>
    <w:rsid w:val="00B4270F"/>
    <w:rsid w:val="00B42F5E"/>
    <w:rsid w:val="00B43002"/>
    <w:rsid w:val="00B4355A"/>
    <w:rsid w:val="00B43E48"/>
    <w:rsid w:val="00B43EA7"/>
    <w:rsid w:val="00B43F1A"/>
    <w:rsid w:val="00B43F5E"/>
    <w:rsid w:val="00B44481"/>
    <w:rsid w:val="00B4482F"/>
    <w:rsid w:val="00B449DA"/>
    <w:rsid w:val="00B44A33"/>
    <w:rsid w:val="00B44B78"/>
    <w:rsid w:val="00B44BC6"/>
    <w:rsid w:val="00B44D76"/>
    <w:rsid w:val="00B453EF"/>
    <w:rsid w:val="00B45506"/>
    <w:rsid w:val="00B45634"/>
    <w:rsid w:val="00B4587D"/>
    <w:rsid w:val="00B45942"/>
    <w:rsid w:val="00B45A5D"/>
    <w:rsid w:val="00B45EAE"/>
    <w:rsid w:val="00B463E1"/>
    <w:rsid w:val="00B469D7"/>
    <w:rsid w:val="00B46EAD"/>
    <w:rsid w:val="00B476FE"/>
    <w:rsid w:val="00B4791F"/>
    <w:rsid w:val="00B47AA9"/>
    <w:rsid w:val="00B47B1B"/>
    <w:rsid w:val="00B47BB9"/>
    <w:rsid w:val="00B47D12"/>
    <w:rsid w:val="00B47EB1"/>
    <w:rsid w:val="00B47FAF"/>
    <w:rsid w:val="00B47FC8"/>
    <w:rsid w:val="00B50472"/>
    <w:rsid w:val="00B50BCE"/>
    <w:rsid w:val="00B51019"/>
    <w:rsid w:val="00B510C1"/>
    <w:rsid w:val="00B511F9"/>
    <w:rsid w:val="00B514E5"/>
    <w:rsid w:val="00B5160D"/>
    <w:rsid w:val="00B51CDA"/>
    <w:rsid w:val="00B51D94"/>
    <w:rsid w:val="00B52010"/>
    <w:rsid w:val="00B521D7"/>
    <w:rsid w:val="00B525FD"/>
    <w:rsid w:val="00B52717"/>
    <w:rsid w:val="00B5287E"/>
    <w:rsid w:val="00B52E57"/>
    <w:rsid w:val="00B53402"/>
    <w:rsid w:val="00B53A10"/>
    <w:rsid w:val="00B53BA7"/>
    <w:rsid w:val="00B54022"/>
    <w:rsid w:val="00B541B9"/>
    <w:rsid w:val="00B54233"/>
    <w:rsid w:val="00B547D5"/>
    <w:rsid w:val="00B549DC"/>
    <w:rsid w:val="00B54B58"/>
    <w:rsid w:val="00B5520A"/>
    <w:rsid w:val="00B55709"/>
    <w:rsid w:val="00B56215"/>
    <w:rsid w:val="00B5636B"/>
    <w:rsid w:val="00B563FD"/>
    <w:rsid w:val="00B56792"/>
    <w:rsid w:val="00B56831"/>
    <w:rsid w:val="00B56855"/>
    <w:rsid w:val="00B5731F"/>
    <w:rsid w:val="00B57701"/>
    <w:rsid w:val="00B5784C"/>
    <w:rsid w:val="00B57E24"/>
    <w:rsid w:val="00B57E7E"/>
    <w:rsid w:val="00B6067D"/>
    <w:rsid w:val="00B60BB0"/>
    <w:rsid w:val="00B60D79"/>
    <w:rsid w:val="00B61007"/>
    <w:rsid w:val="00B61076"/>
    <w:rsid w:val="00B61117"/>
    <w:rsid w:val="00B61199"/>
    <w:rsid w:val="00B612D8"/>
    <w:rsid w:val="00B61A6B"/>
    <w:rsid w:val="00B624ED"/>
    <w:rsid w:val="00B62569"/>
    <w:rsid w:val="00B628C1"/>
    <w:rsid w:val="00B62C2E"/>
    <w:rsid w:val="00B62C7D"/>
    <w:rsid w:val="00B62DAF"/>
    <w:rsid w:val="00B62E9F"/>
    <w:rsid w:val="00B6318F"/>
    <w:rsid w:val="00B632EF"/>
    <w:rsid w:val="00B6337A"/>
    <w:rsid w:val="00B6339D"/>
    <w:rsid w:val="00B63B04"/>
    <w:rsid w:val="00B64647"/>
    <w:rsid w:val="00B64719"/>
    <w:rsid w:val="00B64C88"/>
    <w:rsid w:val="00B64E30"/>
    <w:rsid w:val="00B64FD2"/>
    <w:rsid w:val="00B65311"/>
    <w:rsid w:val="00B653B3"/>
    <w:rsid w:val="00B657AC"/>
    <w:rsid w:val="00B658A3"/>
    <w:rsid w:val="00B65A33"/>
    <w:rsid w:val="00B65E8F"/>
    <w:rsid w:val="00B65FDE"/>
    <w:rsid w:val="00B660AE"/>
    <w:rsid w:val="00B6638D"/>
    <w:rsid w:val="00B66588"/>
    <w:rsid w:val="00B665E1"/>
    <w:rsid w:val="00B6664D"/>
    <w:rsid w:val="00B66E21"/>
    <w:rsid w:val="00B66E8D"/>
    <w:rsid w:val="00B67378"/>
    <w:rsid w:val="00B6780F"/>
    <w:rsid w:val="00B67978"/>
    <w:rsid w:val="00B67BDD"/>
    <w:rsid w:val="00B67D2D"/>
    <w:rsid w:val="00B67ED0"/>
    <w:rsid w:val="00B70194"/>
    <w:rsid w:val="00B702BF"/>
    <w:rsid w:val="00B703E3"/>
    <w:rsid w:val="00B705E2"/>
    <w:rsid w:val="00B705F3"/>
    <w:rsid w:val="00B707D9"/>
    <w:rsid w:val="00B70918"/>
    <w:rsid w:val="00B7091E"/>
    <w:rsid w:val="00B70AF8"/>
    <w:rsid w:val="00B70C4F"/>
    <w:rsid w:val="00B71556"/>
    <w:rsid w:val="00B718DD"/>
    <w:rsid w:val="00B71A17"/>
    <w:rsid w:val="00B71CC1"/>
    <w:rsid w:val="00B72044"/>
    <w:rsid w:val="00B72239"/>
    <w:rsid w:val="00B7295F"/>
    <w:rsid w:val="00B72FA5"/>
    <w:rsid w:val="00B7312E"/>
    <w:rsid w:val="00B73253"/>
    <w:rsid w:val="00B73463"/>
    <w:rsid w:val="00B74071"/>
    <w:rsid w:val="00B74281"/>
    <w:rsid w:val="00B746D8"/>
    <w:rsid w:val="00B7499E"/>
    <w:rsid w:val="00B74CE9"/>
    <w:rsid w:val="00B74E79"/>
    <w:rsid w:val="00B751F9"/>
    <w:rsid w:val="00B75217"/>
    <w:rsid w:val="00B754FF"/>
    <w:rsid w:val="00B7584E"/>
    <w:rsid w:val="00B759DA"/>
    <w:rsid w:val="00B75B07"/>
    <w:rsid w:val="00B75CC0"/>
    <w:rsid w:val="00B75D47"/>
    <w:rsid w:val="00B75EAD"/>
    <w:rsid w:val="00B75F7D"/>
    <w:rsid w:val="00B760FA"/>
    <w:rsid w:val="00B763D4"/>
    <w:rsid w:val="00B76433"/>
    <w:rsid w:val="00B7668E"/>
    <w:rsid w:val="00B766BE"/>
    <w:rsid w:val="00B76F35"/>
    <w:rsid w:val="00B7760E"/>
    <w:rsid w:val="00B7770C"/>
    <w:rsid w:val="00B7792E"/>
    <w:rsid w:val="00B77F80"/>
    <w:rsid w:val="00B77FE4"/>
    <w:rsid w:val="00B8006F"/>
    <w:rsid w:val="00B803F9"/>
    <w:rsid w:val="00B80630"/>
    <w:rsid w:val="00B8078A"/>
    <w:rsid w:val="00B80A4A"/>
    <w:rsid w:val="00B80C4A"/>
    <w:rsid w:val="00B80CDE"/>
    <w:rsid w:val="00B80E84"/>
    <w:rsid w:val="00B80F16"/>
    <w:rsid w:val="00B81022"/>
    <w:rsid w:val="00B8125A"/>
    <w:rsid w:val="00B81793"/>
    <w:rsid w:val="00B81988"/>
    <w:rsid w:val="00B81BF5"/>
    <w:rsid w:val="00B81DB5"/>
    <w:rsid w:val="00B81E16"/>
    <w:rsid w:val="00B8204F"/>
    <w:rsid w:val="00B82246"/>
    <w:rsid w:val="00B82362"/>
    <w:rsid w:val="00B82854"/>
    <w:rsid w:val="00B82BBA"/>
    <w:rsid w:val="00B82C4F"/>
    <w:rsid w:val="00B82DE8"/>
    <w:rsid w:val="00B82EBE"/>
    <w:rsid w:val="00B8378A"/>
    <w:rsid w:val="00B83897"/>
    <w:rsid w:val="00B83B21"/>
    <w:rsid w:val="00B83CE5"/>
    <w:rsid w:val="00B83D5E"/>
    <w:rsid w:val="00B84219"/>
    <w:rsid w:val="00B843D4"/>
    <w:rsid w:val="00B84895"/>
    <w:rsid w:val="00B84C08"/>
    <w:rsid w:val="00B85776"/>
    <w:rsid w:val="00B8596A"/>
    <w:rsid w:val="00B85BE6"/>
    <w:rsid w:val="00B85D09"/>
    <w:rsid w:val="00B85DF5"/>
    <w:rsid w:val="00B86432"/>
    <w:rsid w:val="00B865AA"/>
    <w:rsid w:val="00B86D0C"/>
    <w:rsid w:val="00B8719A"/>
    <w:rsid w:val="00B87333"/>
    <w:rsid w:val="00B8735D"/>
    <w:rsid w:val="00B8746F"/>
    <w:rsid w:val="00B8776E"/>
    <w:rsid w:val="00B8784C"/>
    <w:rsid w:val="00B878AB"/>
    <w:rsid w:val="00B87A05"/>
    <w:rsid w:val="00B87BCE"/>
    <w:rsid w:val="00B87D0F"/>
    <w:rsid w:val="00B87E39"/>
    <w:rsid w:val="00B90312"/>
    <w:rsid w:val="00B903D8"/>
    <w:rsid w:val="00B90435"/>
    <w:rsid w:val="00B90C07"/>
    <w:rsid w:val="00B90D20"/>
    <w:rsid w:val="00B91264"/>
    <w:rsid w:val="00B91484"/>
    <w:rsid w:val="00B9198E"/>
    <w:rsid w:val="00B91A96"/>
    <w:rsid w:val="00B91D19"/>
    <w:rsid w:val="00B91D58"/>
    <w:rsid w:val="00B91D91"/>
    <w:rsid w:val="00B92506"/>
    <w:rsid w:val="00B926E7"/>
    <w:rsid w:val="00B928DC"/>
    <w:rsid w:val="00B928FB"/>
    <w:rsid w:val="00B92980"/>
    <w:rsid w:val="00B92A35"/>
    <w:rsid w:val="00B92F2A"/>
    <w:rsid w:val="00B93119"/>
    <w:rsid w:val="00B931F9"/>
    <w:rsid w:val="00B93A5E"/>
    <w:rsid w:val="00B93DDF"/>
    <w:rsid w:val="00B944DD"/>
    <w:rsid w:val="00B94AE6"/>
    <w:rsid w:val="00B94F7D"/>
    <w:rsid w:val="00B95173"/>
    <w:rsid w:val="00B953A5"/>
    <w:rsid w:val="00B95849"/>
    <w:rsid w:val="00B95854"/>
    <w:rsid w:val="00B95980"/>
    <w:rsid w:val="00B9609E"/>
    <w:rsid w:val="00B963F3"/>
    <w:rsid w:val="00B96559"/>
    <w:rsid w:val="00B96AE7"/>
    <w:rsid w:val="00B96F0A"/>
    <w:rsid w:val="00B96FB2"/>
    <w:rsid w:val="00B970E4"/>
    <w:rsid w:val="00B97227"/>
    <w:rsid w:val="00B97654"/>
    <w:rsid w:val="00B9769A"/>
    <w:rsid w:val="00B978C6"/>
    <w:rsid w:val="00B97A13"/>
    <w:rsid w:val="00B97A69"/>
    <w:rsid w:val="00B97A81"/>
    <w:rsid w:val="00B97B0D"/>
    <w:rsid w:val="00B97B61"/>
    <w:rsid w:val="00B97C64"/>
    <w:rsid w:val="00B97CAE"/>
    <w:rsid w:val="00B97DC8"/>
    <w:rsid w:val="00B97DCB"/>
    <w:rsid w:val="00BA016F"/>
    <w:rsid w:val="00BA0592"/>
    <w:rsid w:val="00BA12B9"/>
    <w:rsid w:val="00BA1F6D"/>
    <w:rsid w:val="00BA2190"/>
    <w:rsid w:val="00BA2254"/>
    <w:rsid w:val="00BA229C"/>
    <w:rsid w:val="00BA24E2"/>
    <w:rsid w:val="00BA26CA"/>
    <w:rsid w:val="00BA27FF"/>
    <w:rsid w:val="00BA35C3"/>
    <w:rsid w:val="00BA3618"/>
    <w:rsid w:val="00BA3830"/>
    <w:rsid w:val="00BA3E4C"/>
    <w:rsid w:val="00BA3EF0"/>
    <w:rsid w:val="00BA4272"/>
    <w:rsid w:val="00BA4899"/>
    <w:rsid w:val="00BA4A21"/>
    <w:rsid w:val="00BA4AB2"/>
    <w:rsid w:val="00BA4C00"/>
    <w:rsid w:val="00BA533C"/>
    <w:rsid w:val="00BA5B1B"/>
    <w:rsid w:val="00BA605F"/>
    <w:rsid w:val="00BA67DB"/>
    <w:rsid w:val="00BA6823"/>
    <w:rsid w:val="00BA6F41"/>
    <w:rsid w:val="00BA708F"/>
    <w:rsid w:val="00BA70E2"/>
    <w:rsid w:val="00BA7729"/>
    <w:rsid w:val="00BA7D80"/>
    <w:rsid w:val="00BB052C"/>
    <w:rsid w:val="00BB063D"/>
    <w:rsid w:val="00BB07AC"/>
    <w:rsid w:val="00BB0843"/>
    <w:rsid w:val="00BB0C37"/>
    <w:rsid w:val="00BB0F03"/>
    <w:rsid w:val="00BB13C9"/>
    <w:rsid w:val="00BB163D"/>
    <w:rsid w:val="00BB1649"/>
    <w:rsid w:val="00BB16AC"/>
    <w:rsid w:val="00BB18A4"/>
    <w:rsid w:val="00BB1DAE"/>
    <w:rsid w:val="00BB1E82"/>
    <w:rsid w:val="00BB2FFF"/>
    <w:rsid w:val="00BB3267"/>
    <w:rsid w:val="00BB332F"/>
    <w:rsid w:val="00BB3495"/>
    <w:rsid w:val="00BB3F87"/>
    <w:rsid w:val="00BB4369"/>
    <w:rsid w:val="00BB4552"/>
    <w:rsid w:val="00BB45F5"/>
    <w:rsid w:val="00BB4689"/>
    <w:rsid w:val="00BB49BC"/>
    <w:rsid w:val="00BB49EA"/>
    <w:rsid w:val="00BB4C18"/>
    <w:rsid w:val="00BB5140"/>
    <w:rsid w:val="00BB546D"/>
    <w:rsid w:val="00BB57D9"/>
    <w:rsid w:val="00BB5930"/>
    <w:rsid w:val="00BB59FF"/>
    <w:rsid w:val="00BB5ACF"/>
    <w:rsid w:val="00BB5B0E"/>
    <w:rsid w:val="00BB5D1B"/>
    <w:rsid w:val="00BB631A"/>
    <w:rsid w:val="00BB63FE"/>
    <w:rsid w:val="00BB6A86"/>
    <w:rsid w:val="00BB6AE8"/>
    <w:rsid w:val="00BB6E94"/>
    <w:rsid w:val="00BB70B3"/>
    <w:rsid w:val="00BB7315"/>
    <w:rsid w:val="00BB75B7"/>
    <w:rsid w:val="00BB75E9"/>
    <w:rsid w:val="00BC06D8"/>
    <w:rsid w:val="00BC119F"/>
    <w:rsid w:val="00BC1223"/>
    <w:rsid w:val="00BC16ED"/>
    <w:rsid w:val="00BC1A72"/>
    <w:rsid w:val="00BC1B60"/>
    <w:rsid w:val="00BC1F92"/>
    <w:rsid w:val="00BC2240"/>
    <w:rsid w:val="00BC23C0"/>
    <w:rsid w:val="00BC29F5"/>
    <w:rsid w:val="00BC2FC1"/>
    <w:rsid w:val="00BC3059"/>
    <w:rsid w:val="00BC31B2"/>
    <w:rsid w:val="00BC3965"/>
    <w:rsid w:val="00BC3C8A"/>
    <w:rsid w:val="00BC3E40"/>
    <w:rsid w:val="00BC4B24"/>
    <w:rsid w:val="00BC4D66"/>
    <w:rsid w:val="00BC4ED6"/>
    <w:rsid w:val="00BC5170"/>
    <w:rsid w:val="00BC5364"/>
    <w:rsid w:val="00BC54BC"/>
    <w:rsid w:val="00BC57A5"/>
    <w:rsid w:val="00BC58D6"/>
    <w:rsid w:val="00BC591B"/>
    <w:rsid w:val="00BC5BB6"/>
    <w:rsid w:val="00BC671C"/>
    <w:rsid w:val="00BC6A31"/>
    <w:rsid w:val="00BC6BD0"/>
    <w:rsid w:val="00BC6DFD"/>
    <w:rsid w:val="00BC6EA1"/>
    <w:rsid w:val="00BC6EA3"/>
    <w:rsid w:val="00BC706C"/>
    <w:rsid w:val="00BC70FA"/>
    <w:rsid w:val="00BC72D5"/>
    <w:rsid w:val="00BC7305"/>
    <w:rsid w:val="00BC7399"/>
    <w:rsid w:val="00BD0522"/>
    <w:rsid w:val="00BD1052"/>
    <w:rsid w:val="00BD14C3"/>
    <w:rsid w:val="00BD1689"/>
    <w:rsid w:val="00BD185A"/>
    <w:rsid w:val="00BD1DDB"/>
    <w:rsid w:val="00BD2137"/>
    <w:rsid w:val="00BD23A0"/>
    <w:rsid w:val="00BD248D"/>
    <w:rsid w:val="00BD2A40"/>
    <w:rsid w:val="00BD2AF3"/>
    <w:rsid w:val="00BD2E88"/>
    <w:rsid w:val="00BD333C"/>
    <w:rsid w:val="00BD3AB4"/>
    <w:rsid w:val="00BD3E7F"/>
    <w:rsid w:val="00BD3E97"/>
    <w:rsid w:val="00BD4528"/>
    <w:rsid w:val="00BD4CD1"/>
    <w:rsid w:val="00BD4E30"/>
    <w:rsid w:val="00BD5199"/>
    <w:rsid w:val="00BD58FC"/>
    <w:rsid w:val="00BD5A7E"/>
    <w:rsid w:val="00BD5D86"/>
    <w:rsid w:val="00BD5E28"/>
    <w:rsid w:val="00BD5E32"/>
    <w:rsid w:val="00BD6110"/>
    <w:rsid w:val="00BD6310"/>
    <w:rsid w:val="00BD6733"/>
    <w:rsid w:val="00BD6807"/>
    <w:rsid w:val="00BD6A57"/>
    <w:rsid w:val="00BD6BE2"/>
    <w:rsid w:val="00BD6D27"/>
    <w:rsid w:val="00BD77C0"/>
    <w:rsid w:val="00BD77C8"/>
    <w:rsid w:val="00BD7867"/>
    <w:rsid w:val="00BD7883"/>
    <w:rsid w:val="00BD78F8"/>
    <w:rsid w:val="00BD7A6F"/>
    <w:rsid w:val="00BD7ABE"/>
    <w:rsid w:val="00BD7C25"/>
    <w:rsid w:val="00BD7DBB"/>
    <w:rsid w:val="00BE016F"/>
    <w:rsid w:val="00BE057D"/>
    <w:rsid w:val="00BE05BD"/>
    <w:rsid w:val="00BE07D0"/>
    <w:rsid w:val="00BE1254"/>
    <w:rsid w:val="00BE1624"/>
    <w:rsid w:val="00BE189D"/>
    <w:rsid w:val="00BE1BC4"/>
    <w:rsid w:val="00BE1DF4"/>
    <w:rsid w:val="00BE1EDF"/>
    <w:rsid w:val="00BE1F16"/>
    <w:rsid w:val="00BE23C3"/>
    <w:rsid w:val="00BE2C8C"/>
    <w:rsid w:val="00BE2F45"/>
    <w:rsid w:val="00BE36FB"/>
    <w:rsid w:val="00BE3721"/>
    <w:rsid w:val="00BE37A4"/>
    <w:rsid w:val="00BE446A"/>
    <w:rsid w:val="00BE4687"/>
    <w:rsid w:val="00BE479F"/>
    <w:rsid w:val="00BE480A"/>
    <w:rsid w:val="00BE4A80"/>
    <w:rsid w:val="00BE4D87"/>
    <w:rsid w:val="00BE51AA"/>
    <w:rsid w:val="00BE5219"/>
    <w:rsid w:val="00BE52E8"/>
    <w:rsid w:val="00BE530B"/>
    <w:rsid w:val="00BE534B"/>
    <w:rsid w:val="00BE5559"/>
    <w:rsid w:val="00BE55CB"/>
    <w:rsid w:val="00BE5A4B"/>
    <w:rsid w:val="00BE5B13"/>
    <w:rsid w:val="00BE5CBA"/>
    <w:rsid w:val="00BE6024"/>
    <w:rsid w:val="00BE6106"/>
    <w:rsid w:val="00BE6456"/>
    <w:rsid w:val="00BE64A2"/>
    <w:rsid w:val="00BE6564"/>
    <w:rsid w:val="00BE6A53"/>
    <w:rsid w:val="00BE747C"/>
    <w:rsid w:val="00BE7803"/>
    <w:rsid w:val="00BE7A44"/>
    <w:rsid w:val="00BE7AA2"/>
    <w:rsid w:val="00BF04E4"/>
    <w:rsid w:val="00BF064E"/>
    <w:rsid w:val="00BF069C"/>
    <w:rsid w:val="00BF07B7"/>
    <w:rsid w:val="00BF0B81"/>
    <w:rsid w:val="00BF0E48"/>
    <w:rsid w:val="00BF0FAE"/>
    <w:rsid w:val="00BF1368"/>
    <w:rsid w:val="00BF1436"/>
    <w:rsid w:val="00BF16CE"/>
    <w:rsid w:val="00BF171C"/>
    <w:rsid w:val="00BF1A98"/>
    <w:rsid w:val="00BF2059"/>
    <w:rsid w:val="00BF265B"/>
    <w:rsid w:val="00BF2CF5"/>
    <w:rsid w:val="00BF2F70"/>
    <w:rsid w:val="00BF3437"/>
    <w:rsid w:val="00BF3632"/>
    <w:rsid w:val="00BF3858"/>
    <w:rsid w:val="00BF39C6"/>
    <w:rsid w:val="00BF3D6F"/>
    <w:rsid w:val="00BF3F07"/>
    <w:rsid w:val="00BF4146"/>
    <w:rsid w:val="00BF4705"/>
    <w:rsid w:val="00BF4D55"/>
    <w:rsid w:val="00BF5168"/>
    <w:rsid w:val="00BF52C3"/>
    <w:rsid w:val="00BF52D5"/>
    <w:rsid w:val="00BF56D1"/>
    <w:rsid w:val="00BF5EBA"/>
    <w:rsid w:val="00BF60F6"/>
    <w:rsid w:val="00BF6305"/>
    <w:rsid w:val="00BF64AD"/>
    <w:rsid w:val="00BF6BDE"/>
    <w:rsid w:val="00BF6C88"/>
    <w:rsid w:val="00BF7551"/>
    <w:rsid w:val="00BF764E"/>
    <w:rsid w:val="00BF7725"/>
    <w:rsid w:val="00BF7966"/>
    <w:rsid w:val="00BF79A5"/>
    <w:rsid w:val="00BF7A0B"/>
    <w:rsid w:val="00BF7A25"/>
    <w:rsid w:val="00BF7C23"/>
    <w:rsid w:val="00BF7DA6"/>
    <w:rsid w:val="00BF7EAE"/>
    <w:rsid w:val="00BF7F0F"/>
    <w:rsid w:val="00C001CC"/>
    <w:rsid w:val="00C00523"/>
    <w:rsid w:val="00C00F06"/>
    <w:rsid w:val="00C015BD"/>
    <w:rsid w:val="00C0167A"/>
    <w:rsid w:val="00C0171C"/>
    <w:rsid w:val="00C01C02"/>
    <w:rsid w:val="00C01C9B"/>
    <w:rsid w:val="00C01EA3"/>
    <w:rsid w:val="00C0222F"/>
    <w:rsid w:val="00C023C5"/>
    <w:rsid w:val="00C024A6"/>
    <w:rsid w:val="00C02984"/>
    <w:rsid w:val="00C02CEE"/>
    <w:rsid w:val="00C0398C"/>
    <w:rsid w:val="00C03A48"/>
    <w:rsid w:val="00C03D25"/>
    <w:rsid w:val="00C03D91"/>
    <w:rsid w:val="00C03EE7"/>
    <w:rsid w:val="00C03F2B"/>
    <w:rsid w:val="00C042A2"/>
    <w:rsid w:val="00C04A78"/>
    <w:rsid w:val="00C04F54"/>
    <w:rsid w:val="00C04FB0"/>
    <w:rsid w:val="00C05110"/>
    <w:rsid w:val="00C053D5"/>
    <w:rsid w:val="00C0551D"/>
    <w:rsid w:val="00C057FC"/>
    <w:rsid w:val="00C05CB5"/>
    <w:rsid w:val="00C05D78"/>
    <w:rsid w:val="00C05DB0"/>
    <w:rsid w:val="00C06211"/>
    <w:rsid w:val="00C06679"/>
    <w:rsid w:val="00C069C9"/>
    <w:rsid w:val="00C06AAA"/>
    <w:rsid w:val="00C06D19"/>
    <w:rsid w:val="00C06F52"/>
    <w:rsid w:val="00C07140"/>
    <w:rsid w:val="00C07475"/>
    <w:rsid w:val="00C0759A"/>
    <w:rsid w:val="00C0772C"/>
    <w:rsid w:val="00C0779F"/>
    <w:rsid w:val="00C078BD"/>
    <w:rsid w:val="00C07AC1"/>
    <w:rsid w:val="00C1024A"/>
    <w:rsid w:val="00C10590"/>
    <w:rsid w:val="00C10D4F"/>
    <w:rsid w:val="00C10F15"/>
    <w:rsid w:val="00C113B7"/>
    <w:rsid w:val="00C1161A"/>
    <w:rsid w:val="00C11933"/>
    <w:rsid w:val="00C11B80"/>
    <w:rsid w:val="00C11CEB"/>
    <w:rsid w:val="00C11E30"/>
    <w:rsid w:val="00C1205F"/>
    <w:rsid w:val="00C121B9"/>
    <w:rsid w:val="00C124CC"/>
    <w:rsid w:val="00C125E3"/>
    <w:rsid w:val="00C1291D"/>
    <w:rsid w:val="00C12A44"/>
    <w:rsid w:val="00C12D30"/>
    <w:rsid w:val="00C12E86"/>
    <w:rsid w:val="00C13980"/>
    <w:rsid w:val="00C14415"/>
    <w:rsid w:val="00C144E6"/>
    <w:rsid w:val="00C14F10"/>
    <w:rsid w:val="00C15D98"/>
    <w:rsid w:val="00C15EC7"/>
    <w:rsid w:val="00C16201"/>
    <w:rsid w:val="00C1645C"/>
    <w:rsid w:val="00C16A14"/>
    <w:rsid w:val="00C16CC4"/>
    <w:rsid w:val="00C170E9"/>
    <w:rsid w:val="00C172BF"/>
    <w:rsid w:val="00C17325"/>
    <w:rsid w:val="00C1743A"/>
    <w:rsid w:val="00C17499"/>
    <w:rsid w:val="00C175AD"/>
    <w:rsid w:val="00C178CE"/>
    <w:rsid w:val="00C17A53"/>
    <w:rsid w:val="00C17D04"/>
    <w:rsid w:val="00C17E98"/>
    <w:rsid w:val="00C17F64"/>
    <w:rsid w:val="00C200C1"/>
    <w:rsid w:val="00C20274"/>
    <w:rsid w:val="00C202B2"/>
    <w:rsid w:val="00C2079D"/>
    <w:rsid w:val="00C207B9"/>
    <w:rsid w:val="00C2099A"/>
    <w:rsid w:val="00C209A9"/>
    <w:rsid w:val="00C21127"/>
    <w:rsid w:val="00C21139"/>
    <w:rsid w:val="00C211B7"/>
    <w:rsid w:val="00C21734"/>
    <w:rsid w:val="00C2177D"/>
    <w:rsid w:val="00C218A2"/>
    <w:rsid w:val="00C21C88"/>
    <w:rsid w:val="00C21EF1"/>
    <w:rsid w:val="00C21F29"/>
    <w:rsid w:val="00C22215"/>
    <w:rsid w:val="00C22302"/>
    <w:rsid w:val="00C225E7"/>
    <w:rsid w:val="00C22705"/>
    <w:rsid w:val="00C22949"/>
    <w:rsid w:val="00C22B1C"/>
    <w:rsid w:val="00C22C9B"/>
    <w:rsid w:val="00C22F26"/>
    <w:rsid w:val="00C23501"/>
    <w:rsid w:val="00C2422F"/>
    <w:rsid w:val="00C2479B"/>
    <w:rsid w:val="00C248F9"/>
    <w:rsid w:val="00C2492C"/>
    <w:rsid w:val="00C24CB4"/>
    <w:rsid w:val="00C24D48"/>
    <w:rsid w:val="00C24F52"/>
    <w:rsid w:val="00C25089"/>
    <w:rsid w:val="00C25395"/>
    <w:rsid w:val="00C25A39"/>
    <w:rsid w:val="00C25D2D"/>
    <w:rsid w:val="00C26299"/>
    <w:rsid w:val="00C26599"/>
    <w:rsid w:val="00C269A2"/>
    <w:rsid w:val="00C26D95"/>
    <w:rsid w:val="00C26E18"/>
    <w:rsid w:val="00C26FC3"/>
    <w:rsid w:val="00C27130"/>
    <w:rsid w:val="00C27187"/>
    <w:rsid w:val="00C272A3"/>
    <w:rsid w:val="00C272B8"/>
    <w:rsid w:val="00C27442"/>
    <w:rsid w:val="00C2784B"/>
    <w:rsid w:val="00C302FE"/>
    <w:rsid w:val="00C306B8"/>
    <w:rsid w:val="00C30A55"/>
    <w:rsid w:val="00C30B80"/>
    <w:rsid w:val="00C31334"/>
    <w:rsid w:val="00C31392"/>
    <w:rsid w:val="00C31410"/>
    <w:rsid w:val="00C31426"/>
    <w:rsid w:val="00C31507"/>
    <w:rsid w:val="00C31556"/>
    <w:rsid w:val="00C31C00"/>
    <w:rsid w:val="00C31F52"/>
    <w:rsid w:val="00C322DA"/>
    <w:rsid w:val="00C32404"/>
    <w:rsid w:val="00C32729"/>
    <w:rsid w:val="00C32765"/>
    <w:rsid w:val="00C327C3"/>
    <w:rsid w:val="00C32C61"/>
    <w:rsid w:val="00C33291"/>
    <w:rsid w:val="00C3336B"/>
    <w:rsid w:val="00C33567"/>
    <w:rsid w:val="00C3387C"/>
    <w:rsid w:val="00C3407F"/>
    <w:rsid w:val="00C340A9"/>
    <w:rsid w:val="00C3430A"/>
    <w:rsid w:val="00C34374"/>
    <w:rsid w:val="00C345F6"/>
    <w:rsid w:val="00C34735"/>
    <w:rsid w:val="00C347B9"/>
    <w:rsid w:val="00C34C7B"/>
    <w:rsid w:val="00C34D24"/>
    <w:rsid w:val="00C34DDB"/>
    <w:rsid w:val="00C351CD"/>
    <w:rsid w:val="00C35414"/>
    <w:rsid w:val="00C35A99"/>
    <w:rsid w:val="00C35DF3"/>
    <w:rsid w:val="00C36177"/>
    <w:rsid w:val="00C36197"/>
    <w:rsid w:val="00C3625E"/>
    <w:rsid w:val="00C364E9"/>
    <w:rsid w:val="00C36660"/>
    <w:rsid w:val="00C367DE"/>
    <w:rsid w:val="00C369B2"/>
    <w:rsid w:val="00C36DDE"/>
    <w:rsid w:val="00C36E4E"/>
    <w:rsid w:val="00C37275"/>
    <w:rsid w:val="00C373CF"/>
    <w:rsid w:val="00C373ED"/>
    <w:rsid w:val="00C3768C"/>
    <w:rsid w:val="00C37946"/>
    <w:rsid w:val="00C37A8A"/>
    <w:rsid w:val="00C37CF4"/>
    <w:rsid w:val="00C37E4F"/>
    <w:rsid w:val="00C40458"/>
    <w:rsid w:val="00C40AEC"/>
    <w:rsid w:val="00C41138"/>
    <w:rsid w:val="00C41369"/>
    <w:rsid w:val="00C41456"/>
    <w:rsid w:val="00C414E6"/>
    <w:rsid w:val="00C416CE"/>
    <w:rsid w:val="00C417D9"/>
    <w:rsid w:val="00C42160"/>
    <w:rsid w:val="00C425F1"/>
    <w:rsid w:val="00C42B31"/>
    <w:rsid w:val="00C4367C"/>
    <w:rsid w:val="00C43741"/>
    <w:rsid w:val="00C4385C"/>
    <w:rsid w:val="00C4397C"/>
    <w:rsid w:val="00C4397F"/>
    <w:rsid w:val="00C439DC"/>
    <w:rsid w:val="00C440F6"/>
    <w:rsid w:val="00C4413D"/>
    <w:rsid w:val="00C446B2"/>
    <w:rsid w:val="00C4495A"/>
    <w:rsid w:val="00C44A5F"/>
    <w:rsid w:val="00C44B4F"/>
    <w:rsid w:val="00C44BB8"/>
    <w:rsid w:val="00C44C13"/>
    <w:rsid w:val="00C44D6A"/>
    <w:rsid w:val="00C45816"/>
    <w:rsid w:val="00C45873"/>
    <w:rsid w:val="00C45A13"/>
    <w:rsid w:val="00C45B29"/>
    <w:rsid w:val="00C45C3C"/>
    <w:rsid w:val="00C45C3F"/>
    <w:rsid w:val="00C46280"/>
    <w:rsid w:val="00C46304"/>
    <w:rsid w:val="00C46374"/>
    <w:rsid w:val="00C46458"/>
    <w:rsid w:val="00C465D5"/>
    <w:rsid w:val="00C4703C"/>
    <w:rsid w:val="00C4711D"/>
    <w:rsid w:val="00C47956"/>
    <w:rsid w:val="00C47AB6"/>
    <w:rsid w:val="00C47C97"/>
    <w:rsid w:val="00C47EE9"/>
    <w:rsid w:val="00C47F59"/>
    <w:rsid w:val="00C50090"/>
    <w:rsid w:val="00C50417"/>
    <w:rsid w:val="00C507AE"/>
    <w:rsid w:val="00C5173D"/>
    <w:rsid w:val="00C51866"/>
    <w:rsid w:val="00C51EE1"/>
    <w:rsid w:val="00C5204E"/>
    <w:rsid w:val="00C52152"/>
    <w:rsid w:val="00C521F9"/>
    <w:rsid w:val="00C525CF"/>
    <w:rsid w:val="00C527CD"/>
    <w:rsid w:val="00C528E8"/>
    <w:rsid w:val="00C52943"/>
    <w:rsid w:val="00C52989"/>
    <w:rsid w:val="00C529FF"/>
    <w:rsid w:val="00C52BA2"/>
    <w:rsid w:val="00C52E02"/>
    <w:rsid w:val="00C53411"/>
    <w:rsid w:val="00C5354D"/>
    <w:rsid w:val="00C53C14"/>
    <w:rsid w:val="00C53C22"/>
    <w:rsid w:val="00C53FEF"/>
    <w:rsid w:val="00C54081"/>
    <w:rsid w:val="00C540AD"/>
    <w:rsid w:val="00C54715"/>
    <w:rsid w:val="00C54CAA"/>
    <w:rsid w:val="00C551D4"/>
    <w:rsid w:val="00C55210"/>
    <w:rsid w:val="00C554B8"/>
    <w:rsid w:val="00C560EC"/>
    <w:rsid w:val="00C562C1"/>
    <w:rsid w:val="00C5643A"/>
    <w:rsid w:val="00C567D3"/>
    <w:rsid w:val="00C56A43"/>
    <w:rsid w:val="00C56AD7"/>
    <w:rsid w:val="00C56CC3"/>
    <w:rsid w:val="00C56D08"/>
    <w:rsid w:val="00C56E5B"/>
    <w:rsid w:val="00C56EA9"/>
    <w:rsid w:val="00C56FFF"/>
    <w:rsid w:val="00C570AF"/>
    <w:rsid w:val="00C57228"/>
    <w:rsid w:val="00C57593"/>
    <w:rsid w:val="00C57596"/>
    <w:rsid w:val="00C57A9D"/>
    <w:rsid w:val="00C57C3D"/>
    <w:rsid w:val="00C57FD7"/>
    <w:rsid w:val="00C6006D"/>
    <w:rsid w:val="00C60218"/>
    <w:rsid w:val="00C602FC"/>
    <w:rsid w:val="00C6037B"/>
    <w:rsid w:val="00C60645"/>
    <w:rsid w:val="00C60922"/>
    <w:rsid w:val="00C60CAF"/>
    <w:rsid w:val="00C60F6E"/>
    <w:rsid w:val="00C6120A"/>
    <w:rsid w:val="00C61A94"/>
    <w:rsid w:val="00C61AD1"/>
    <w:rsid w:val="00C62186"/>
    <w:rsid w:val="00C625A0"/>
    <w:rsid w:val="00C626BB"/>
    <w:rsid w:val="00C62C54"/>
    <w:rsid w:val="00C62D03"/>
    <w:rsid w:val="00C6323F"/>
    <w:rsid w:val="00C632F7"/>
    <w:rsid w:val="00C634CE"/>
    <w:rsid w:val="00C638BC"/>
    <w:rsid w:val="00C63F51"/>
    <w:rsid w:val="00C64003"/>
    <w:rsid w:val="00C6416F"/>
    <w:rsid w:val="00C647E7"/>
    <w:rsid w:val="00C64A10"/>
    <w:rsid w:val="00C64D1B"/>
    <w:rsid w:val="00C65021"/>
    <w:rsid w:val="00C651F8"/>
    <w:rsid w:val="00C653DB"/>
    <w:rsid w:val="00C65507"/>
    <w:rsid w:val="00C65EA5"/>
    <w:rsid w:val="00C65F24"/>
    <w:rsid w:val="00C660C3"/>
    <w:rsid w:val="00C663E9"/>
    <w:rsid w:val="00C66537"/>
    <w:rsid w:val="00C66554"/>
    <w:rsid w:val="00C6656D"/>
    <w:rsid w:val="00C666A3"/>
    <w:rsid w:val="00C66799"/>
    <w:rsid w:val="00C67140"/>
    <w:rsid w:val="00C67517"/>
    <w:rsid w:val="00C67766"/>
    <w:rsid w:val="00C67CFE"/>
    <w:rsid w:val="00C67F12"/>
    <w:rsid w:val="00C7029B"/>
    <w:rsid w:val="00C705E4"/>
    <w:rsid w:val="00C70E1C"/>
    <w:rsid w:val="00C70EAC"/>
    <w:rsid w:val="00C70F86"/>
    <w:rsid w:val="00C71020"/>
    <w:rsid w:val="00C71299"/>
    <w:rsid w:val="00C714FB"/>
    <w:rsid w:val="00C71946"/>
    <w:rsid w:val="00C71AC5"/>
    <w:rsid w:val="00C71B13"/>
    <w:rsid w:val="00C720DB"/>
    <w:rsid w:val="00C722E1"/>
    <w:rsid w:val="00C722FB"/>
    <w:rsid w:val="00C72508"/>
    <w:rsid w:val="00C7291A"/>
    <w:rsid w:val="00C7299D"/>
    <w:rsid w:val="00C72D47"/>
    <w:rsid w:val="00C7324D"/>
    <w:rsid w:val="00C734E9"/>
    <w:rsid w:val="00C739EE"/>
    <w:rsid w:val="00C73D7D"/>
    <w:rsid w:val="00C73DAF"/>
    <w:rsid w:val="00C73E59"/>
    <w:rsid w:val="00C73EB2"/>
    <w:rsid w:val="00C74066"/>
    <w:rsid w:val="00C74074"/>
    <w:rsid w:val="00C74183"/>
    <w:rsid w:val="00C74357"/>
    <w:rsid w:val="00C74454"/>
    <w:rsid w:val="00C74564"/>
    <w:rsid w:val="00C747EF"/>
    <w:rsid w:val="00C74851"/>
    <w:rsid w:val="00C748E2"/>
    <w:rsid w:val="00C748F0"/>
    <w:rsid w:val="00C74C93"/>
    <w:rsid w:val="00C74CEB"/>
    <w:rsid w:val="00C74DDD"/>
    <w:rsid w:val="00C7500E"/>
    <w:rsid w:val="00C750A1"/>
    <w:rsid w:val="00C75511"/>
    <w:rsid w:val="00C75AA9"/>
    <w:rsid w:val="00C75ADC"/>
    <w:rsid w:val="00C75B8A"/>
    <w:rsid w:val="00C75DF2"/>
    <w:rsid w:val="00C762A8"/>
    <w:rsid w:val="00C763B3"/>
    <w:rsid w:val="00C765D0"/>
    <w:rsid w:val="00C765EE"/>
    <w:rsid w:val="00C76A3F"/>
    <w:rsid w:val="00C76C01"/>
    <w:rsid w:val="00C76D48"/>
    <w:rsid w:val="00C76D4E"/>
    <w:rsid w:val="00C7759C"/>
    <w:rsid w:val="00C7761A"/>
    <w:rsid w:val="00C7780B"/>
    <w:rsid w:val="00C77A1C"/>
    <w:rsid w:val="00C77BBC"/>
    <w:rsid w:val="00C77F69"/>
    <w:rsid w:val="00C77F85"/>
    <w:rsid w:val="00C80011"/>
    <w:rsid w:val="00C80314"/>
    <w:rsid w:val="00C805EF"/>
    <w:rsid w:val="00C80700"/>
    <w:rsid w:val="00C8108F"/>
    <w:rsid w:val="00C81248"/>
    <w:rsid w:val="00C816E4"/>
    <w:rsid w:val="00C819AD"/>
    <w:rsid w:val="00C81B66"/>
    <w:rsid w:val="00C81F08"/>
    <w:rsid w:val="00C82B48"/>
    <w:rsid w:val="00C82C25"/>
    <w:rsid w:val="00C83033"/>
    <w:rsid w:val="00C835DC"/>
    <w:rsid w:val="00C83C2F"/>
    <w:rsid w:val="00C83EEC"/>
    <w:rsid w:val="00C83FBA"/>
    <w:rsid w:val="00C8414C"/>
    <w:rsid w:val="00C84769"/>
    <w:rsid w:val="00C84CF4"/>
    <w:rsid w:val="00C852AE"/>
    <w:rsid w:val="00C858F6"/>
    <w:rsid w:val="00C85F27"/>
    <w:rsid w:val="00C86155"/>
    <w:rsid w:val="00C8641D"/>
    <w:rsid w:val="00C8644F"/>
    <w:rsid w:val="00C8662F"/>
    <w:rsid w:val="00C8668C"/>
    <w:rsid w:val="00C86704"/>
    <w:rsid w:val="00C86732"/>
    <w:rsid w:val="00C8680B"/>
    <w:rsid w:val="00C868F0"/>
    <w:rsid w:val="00C86B16"/>
    <w:rsid w:val="00C86BD9"/>
    <w:rsid w:val="00C86C8E"/>
    <w:rsid w:val="00C86F2E"/>
    <w:rsid w:val="00C87182"/>
    <w:rsid w:val="00C8724C"/>
    <w:rsid w:val="00C872D1"/>
    <w:rsid w:val="00C873AF"/>
    <w:rsid w:val="00C8766B"/>
    <w:rsid w:val="00C87948"/>
    <w:rsid w:val="00C87A04"/>
    <w:rsid w:val="00C87B7B"/>
    <w:rsid w:val="00C87FDA"/>
    <w:rsid w:val="00C9031C"/>
    <w:rsid w:val="00C90348"/>
    <w:rsid w:val="00C9034F"/>
    <w:rsid w:val="00C90684"/>
    <w:rsid w:val="00C90A44"/>
    <w:rsid w:val="00C9154D"/>
    <w:rsid w:val="00C91553"/>
    <w:rsid w:val="00C91662"/>
    <w:rsid w:val="00C917E0"/>
    <w:rsid w:val="00C91935"/>
    <w:rsid w:val="00C91F86"/>
    <w:rsid w:val="00C9213F"/>
    <w:rsid w:val="00C92163"/>
    <w:rsid w:val="00C9276E"/>
    <w:rsid w:val="00C928AD"/>
    <w:rsid w:val="00C929A8"/>
    <w:rsid w:val="00C93525"/>
    <w:rsid w:val="00C93776"/>
    <w:rsid w:val="00C93878"/>
    <w:rsid w:val="00C9394E"/>
    <w:rsid w:val="00C93D70"/>
    <w:rsid w:val="00C94594"/>
    <w:rsid w:val="00C94648"/>
    <w:rsid w:val="00C94725"/>
    <w:rsid w:val="00C94730"/>
    <w:rsid w:val="00C94948"/>
    <w:rsid w:val="00C949E7"/>
    <w:rsid w:val="00C94C46"/>
    <w:rsid w:val="00C94C9F"/>
    <w:rsid w:val="00C94E5B"/>
    <w:rsid w:val="00C951EC"/>
    <w:rsid w:val="00C9555D"/>
    <w:rsid w:val="00C95812"/>
    <w:rsid w:val="00C9582C"/>
    <w:rsid w:val="00C95BC2"/>
    <w:rsid w:val="00C96229"/>
    <w:rsid w:val="00C962DA"/>
    <w:rsid w:val="00C96566"/>
    <w:rsid w:val="00C968ED"/>
    <w:rsid w:val="00C97019"/>
    <w:rsid w:val="00C9713B"/>
    <w:rsid w:val="00C973E4"/>
    <w:rsid w:val="00C9744A"/>
    <w:rsid w:val="00C9792C"/>
    <w:rsid w:val="00C97ACA"/>
    <w:rsid w:val="00CA016C"/>
    <w:rsid w:val="00CA01CF"/>
    <w:rsid w:val="00CA04C4"/>
    <w:rsid w:val="00CA0617"/>
    <w:rsid w:val="00CA0E32"/>
    <w:rsid w:val="00CA0E56"/>
    <w:rsid w:val="00CA0EA7"/>
    <w:rsid w:val="00CA1050"/>
    <w:rsid w:val="00CA139A"/>
    <w:rsid w:val="00CA1D0F"/>
    <w:rsid w:val="00CA245F"/>
    <w:rsid w:val="00CA24C3"/>
    <w:rsid w:val="00CA2710"/>
    <w:rsid w:val="00CA276B"/>
    <w:rsid w:val="00CA2833"/>
    <w:rsid w:val="00CA2999"/>
    <w:rsid w:val="00CA2AA9"/>
    <w:rsid w:val="00CA2B06"/>
    <w:rsid w:val="00CA2E3E"/>
    <w:rsid w:val="00CA3392"/>
    <w:rsid w:val="00CA3970"/>
    <w:rsid w:val="00CA3D58"/>
    <w:rsid w:val="00CA446A"/>
    <w:rsid w:val="00CA44B6"/>
    <w:rsid w:val="00CA4740"/>
    <w:rsid w:val="00CA524F"/>
    <w:rsid w:val="00CA544E"/>
    <w:rsid w:val="00CA5504"/>
    <w:rsid w:val="00CA5B9E"/>
    <w:rsid w:val="00CA5C96"/>
    <w:rsid w:val="00CA5CE5"/>
    <w:rsid w:val="00CA5F55"/>
    <w:rsid w:val="00CA61AF"/>
    <w:rsid w:val="00CA6635"/>
    <w:rsid w:val="00CA6C63"/>
    <w:rsid w:val="00CA6CC6"/>
    <w:rsid w:val="00CA6DD9"/>
    <w:rsid w:val="00CA70CB"/>
    <w:rsid w:val="00CA7184"/>
    <w:rsid w:val="00CA732D"/>
    <w:rsid w:val="00CA7905"/>
    <w:rsid w:val="00CA7948"/>
    <w:rsid w:val="00CB0018"/>
    <w:rsid w:val="00CB00C7"/>
    <w:rsid w:val="00CB03D1"/>
    <w:rsid w:val="00CB0564"/>
    <w:rsid w:val="00CB0A3E"/>
    <w:rsid w:val="00CB0F16"/>
    <w:rsid w:val="00CB1140"/>
    <w:rsid w:val="00CB165C"/>
    <w:rsid w:val="00CB169A"/>
    <w:rsid w:val="00CB1991"/>
    <w:rsid w:val="00CB1CD6"/>
    <w:rsid w:val="00CB1D6C"/>
    <w:rsid w:val="00CB21C2"/>
    <w:rsid w:val="00CB2259"/>
    <w:rsid w:val="00CB23D1"/>
    <w:rsid w:val="00CB241F"/>
    <w:rsid w:val="00CB2C19"/>
    <w:rsid w:val="00CB2C6B"/>
    <w:rsid w:val="00CB2DBD"/>
    <w:rsid w:val="00CB2F23"/>
    <w:rsid w:val="00CB3174"/>
    <w:rsid w:val="00CB3426"/>
    <w:rsid w:val="00CB343D"/>
    <w:rsid w:val="00CB372E"/>
    <w:rsid w:val="00CB3784"/>
    <w:rsid w:val="00CB3AF0"/>
    <w:rsid w:val="00CB3DD4"/>
    <w:rsid w:val="00CB3E27"/>
    <w:rsid w:val="00CB42A8"/>
    <w:rsid w:val="00CB42C5"/>
    <w:rsid w:val="00CB4695"/>
    <w:rsid w:val="00CB4CC1"/>
    <w:rsid w:val="00CB5530"/>
    <w:rsid w:val="00CB5843"/>
    <w:rsid w:val="00CB5E3E"/>
    <w:rsid w:val="00CB616A"/>
    <w:rsid w:val="00CB6281"/>
    <w:rsid w:val="00CB64E9"/>
    <w:rsid w:val="00CB6C46"/>
    <w:rsid w:val="00CB7354"/>
    <w:rsid w:val="00CB75D5"/>
    <w:rsid w:val="00CB78B1"/>
    <w:rsid w:val="00CC05DA"/>
    <w:rsid w:val="00CC0787"/>
    <w:rsid w:val="00CC0DB4"/>
    <w:rsid w:val="00CC0F8B"/>
    <w:rsid w:val="00CC1505"/>
    <w:rsid w:val="00CC18A3"/>
    <w:rsid w:val="00CC1A44"/>
    <w:rsid w:val="00CC1D72"/>
    <w:rsid w:val="00CC1F3C"/>
    <w:rsid w:val="00CC2135"/>
    <w:rsid w:val="00CC272A"/>
    <w:rsid w:val="00CC28C6"/>
    <w:rsid w:val="00CC2D10"/>
    <w:rsid w:val="00CC384B"/>
    <w:rsid w:val="00CC3D4F"/>
    <w:rsid w:val="00CC47B7"/>
    <w:rsid w:val="00CC4A7A"/>
    <w:rsid w:val="00CC4BF5"/>
    <w:rsid w:val="00CC4C83"/>
    <w:rsid w:val="00CC4D09"/>
    <w:rsid w:val="00CC4F23"/>
    <w:rsid w:val="00CC4F2D"/>
    <w:rsid w:val="00CC501E"/>
    <w:rsid w:val="00CC54DA"/>
    <w:rsid w:val="00CC5B2A"/>
    <w:rsid w:val="00CC5B3E"/>
    <w:rsid w:val="00CC5C8B"/>
    <w:rsid w:val="00CC5DBF"/>
    <w:rsid w:val="00CC6AB6"/>
    <w:rsid w:val="00CC6B45"/>
    <w:rsid w:val="00CC6CF0"/>
    <w:rsid w:val="00CC6CF8"/>
    <w:rsid w:val="00CC76C1"/>
    <w:rsid w:val="00CC7B9B"/>
    <w:rsid w:val="00CC7C22"/>
    <w:rsid w:val="00CC7CBF"/>
    <w:rsid w:val="00CC7E4E"/>
    <w:rsid w:val="00CC7EEC"/>
    <w:rsid w:val="00CD00AC"/>
    <w:rsid w:val="00CD0A95"/>
    <w:rsid w:val="00CD16C3"/>
    <w:rsid w:val="00CD1A3F"/>
    <w:rsid w:val="00CD1B23"/>
    <w:rsid w:val="00CD1CDF"/>
    <w:rsid w:val="00CD1EFE"/>
    <w:rsid w:val="00CD2758"/>
    <w:rsid w:val="00CD2781"/>
    <w:rsid w:val="00CD2850"/>
    <w:rsid w:val="00CD2D3B"/>
    <w:rsid w:val="00CD2F0A"/>
    <w:rsid w:val="00CD2F88"/>
    <w:rsid w:val="00CD3280"/>
    <w:rsid w:val="00CD3823"/>
    <w:rsid w:val="00CD3B7F"/>
    <w:rsid w:val="00CD3FD8"/>
    <w:rsid w:val="00CD4163"/>
    <w:rsid w:val="00CD41B7"/>
    <w:rsid w:val="00CD44DB"/>
    <w:rsid w:val="00CD4BBD"/>
    <w:rsid w:val="00CD4D9F"/>
    <w:rsid w:val="00CD4DD5"/>
    <w:rsid w:val="00CD4DF6"/>
    <w:rsid w:val="00CD4EF2"/>
    <w:rsid w:val="00CD542A"/>
    <w:rsid w:val="00CD5834"/>
    <w:rsid w:val="00CD5840"/>
    <w:rsid w:val="00CD5B31"/>
    <w:rsid w:val="00CD5C81"/>
    <w:rsid w:val="00CD5D3B"/>
    <w:rsid w:val="00CD5D61"/>
    <w:rsid w:val="00CD5EB1"/>
    <w:rsid w:val="00CD6267"/>
    <w:rsid w:val="00CD63EA"/>
    <w:rsid w:val="00CD661E"/>
    <w:rsid w:val="00CD6AF8"/>
    <w:rsid w:val="00CD6E40"/>
    <w:rsid w:val="00CD6FCC"/>
    <w:rsid w:val="00CD6FD7"/>
    <w:rsid w:val="00CD7007"/>
    <w:rsid w:val="00CD727E"/>
    <w:rsid w:val="00CD73F0"/>
    <w:rsid w:val="00CD7B69"/>
    <w:rsid w:val="00CD7B78"/>
    <w:rsid w:val="00CE04F8"/>
    <w:rsid w:val="00CE07EB"/>
    <w:rsid w:val="00CE0B7C"/>
    <w:rsid w:val="00CE0C96"/>
    <w:rsid w:val="00CE10D6"/>
    <w:rsid w:val="00CE1ABC"/>
    <w:rsid w:val="00CE1D06"/>
    <w:rsid w:val="00CE1D85"/>
    <w:rsid w:val="00CE1FDA"/>
    <w:rsid w:val="00CE21B0"/>
    <w:rsid w:val="00CE2236"/>
    <w:rsid w:val="00CE228B"/>
    <w:rsid w:val="00CE2527"/>
    <w:rsid w:val="00CE253F"/>
    <w:rsid w:val="00CE27EF"/>
    <w:rsid w:val="00CE2864"/>
    <w:rsid w:val="00CE291D"/>
    <w:rsid w:val="00CE2BC1"/>
    <w:rsid w:val="00CE2EF6"/>
    <w:rsid w:val="00CE2FC9"/>
    <w:rsid w:val="00CE3254"/>
    <w:rsid w:val="00CE3392"/>
    <w:rsid w:val="00CE354F"/>
    <w:rsid w:val="00CE35B0"/>
    <w:rsid w:val="00CE3750"/>
    <w:rsid w:val="00CE377A"/>
    <w:rsid w:val="00CE3935"/>
    <w:rsid w:val="00CE4905"/>
    <w:rsid w:val="00CE4AEE"/>
    <w:rsid w:val="00CE4B7F"/>
    <w:rsid w:val="00CE4BF8"/>
    <w:rsid w:val="00CE4DA5"/>
    <w:rsid w:val="00CE4DF1"/>
    <w:rsid w:val="00CE4FB3"/>
    <w:rsid w:val="00CE517C"/>
    <w:rsid w:val="00CE521A"/>
    <w:rsid w:val="00CE524C"/>
    <w:rsid w:val="00CE5292"/>
    <w:rsid w:val="00CE58E6"/>
    <w:rsid w:val="00CE5C3F"/>
    <w:rsid w:val="00CE5CFE"/>
    <w:rsid w:val="00CE5EDE"/>
    <w:rsid w:val="00CE5FAB"/>
    <w:rsid w:val="00CE679B"/>
    <w:rsid w:val="00CE6802"/>
    <w:rsid w:val="00CE680F"/>
    <w:rsid w:val="00CE69C3"/>
    <w:rsid w:val="00CE6F3A"/>
    <w:rsid w:val="00CE75E9"/>
    <w:rsid w:val="00CE764D"/>
    <w:rsid w:val="00CE7771"/>
    <w:rsid w:val="00CE778F"/>
    <w:rsid w:val="00CE79AE"/>
    <w:rsid w:val="00CE7A4D"/>
    <w:rsid w:val="00CF0358"/>
    <w:rsid w:val="00CF0543"/>
    <w:rsid w:val="00CF0732"/>
    <w:rsid w:val="00CF0E7D"/>
    <w:rsid w:val="00CF0F78"/>
    <w:rsid w:val="00CF136D"/>
    <w:rsid w:val="00CF13D1"/>
    <w:rsid w:val="00CF1633"/>
    <w:rsid w:val="00CF1803"/>
    <w:rsid w:val="00CF1BEE"/>
    <w:rsid w:val="00CF229B"/>
    <w:rsid w:val="00CF23F7"/>
    <w:rsid w:val="00CF2580"/>
    <w:rsid w:val="00CF2599"/>
    <w:rsid w:val="00CF25C8"/>
    <w:rsid w:val="00CF26FD"/>
    <w:rsid w:val="00CF28A1"/>
    <w:rsid w:val="00CF2D41"/>
    <w:rsid w:val="00CF3A92"/>
    <w:rsid w:val="00CF3E85"/>
    <w:rsid w:val="00CF45BF"/>
    <w:rsid w:val="00CF476B"/>
    <w:rsid w:val="00CF4DC8"/>
    <w:rsid w:val="00CF4FA0"/>
    <w:rsid w:val="00CF51A1"/>
    <w:rsid w:val="00CF5341"/>
    <w:rsid w:val="00CF58F3"/>
    <w:rsid w:val="00CF5A57"/>
    <w:rsid w:val="00CF5B07"/>
    <w:rsid w:val="00CF5B12"/>
    <w:rsid w:val="00CF5B81"/>
    <w:rsid w:val="00CF5EF4"/>
    <w:rsid w:val="00CF60E5"/>
    <w:rsid w:val="00CF68BE"/>
    <w:rsid w:val="00CF69FB"/>
    <w:rsid w:val="00CF6A17"/>
    <w:rsid w:val="00CF6D5C"/>
    <w:rsid w:val="00CF7001"/>
    <w:rsid w:val="00CF7058"/>
    <w:rsid w:val="00CF709A"/>
    <w:rsid w:val="00CF72CA"/>
    <w:rsid w:val="00CF767D"/>
    <w:rsid w:val="00CF7819"/>
    <w:rsid w:val="00CF78CC"/>
    <w:rsid w:val="00CF7B4E"/>
    <w:rsid w:val="00CF7F55"/>
    <w:rsid w:val="00D00022"/>
    <w:rsid w:val="00D00403"/>
    <w:rsid w:val="00D0054F"/>
    <w:rsid w:val="00D0089A"/>
    <w:rsid w:val="00D00AA7"/>
    <w:rsid w:val="00D00B39"/>
    <w:rsid w:val="00D00F66"/>
    <w:rsid w:val="00D0123F"/>
    <w:rsid w:val="00D01405"/>
    <w:rsid w:val="00D0148E"/>
    <w:rsid w:val="00D01576"/>
    <w:rsid w:val="00D01C7B"/>
    <w:rsid w:val="00D01CD3"/>
    <w:rsid w:val="00D01E58"/>
    <w:rsid w:val="00D020FD"/>
    <w:rsid w:val="00D02760"/>
    <w:rsid w:val="00D0285F"/>
    <w:rsid w:val="00D02ADC"/>
    <w:rsid w:val="00D02AE3"/>
    <w:rsid w:val="00D02E99"/>
    <w:rsid w:val="00D02ECD"/>
    <w:rsid w:val="00D034E9"/>
    <w:rsid w:val="00D03719"/>
    <w:rsid w:val="00D038FC"/>
    <w:rsid w:val="00D03AE0"/>
    <w:rsid w:val="00D03DDA"/>
    <w:rsid w:val="00D0407B"/>
    <w:rsid w:val="00D0432C"/>
    <w:rsid w:val="00D04421"/>
    <w:rsid w:val="00D0469A"/>
    <w:rsid w:val="00D046ED"/>
    <w:rsid w:val="00D046F1"/>
    <w:rsid w:val="00D0494B"/>
    <w:rsid w:val="00D04C08"/>
    <w:rsid w:val="00D04CEA"/>
    <w:rsid w:val="00D04FFD"/>
    <w:rsid w:val="00D05181"/>
    <w:rsid w:val="00D051E5"/>
    <w:rsid w:val="00D05853"/>
    <w:rsid w:val="00D05B81"/>
    <w:rsid w:val="00D05F03"/>
    <w:rsid w:val="00D05F8E"/>
    <w:rsid w:val="00D0625A"/>
    <w:rsid w:val="00D06776"/>
    <w:rsid w:val="00D067F3"/>
    <w:rsid w:val="00D068CA"/>
    <w:rsid w:val="00D069E9"/>
    <w:rsid w:val="00D06AB5"/>
    <w:rsid w:val="00D072ED"/>
    <w:rsid w:val="00D073E3"/>
    <w:rsid w:val="00D07C83"/>
    <w:rsid w:val="00D107DF"/>
    <w:rsid w:val="00D1097A"/>
    <w:rsid w:val="00D10B60"/>
    <w:rsid w:val="00D10E63"/>
    <w:rsid w:val="00D113A6"/>
    <w:rsid w:val="00D117EE"/>
    <w:rsid w:val="00D1180A"/>
    <w:rsid w:val="00D118C7"/>
    <w:rsid w:val="00D11B0C"/>
    <w:rsid w:val="00D11C54"/>
    <w:rsid w:val="00D11D59"/>
    <w:rsid w:val="00D11E22"/>
    <w:rsid w:val="00D12237"/>
    <w:rsid w:val="00D122C6"/>
    <w:rsid w:val="00D1298A"/>
    <w:rsid w:val="00D129AA"/>
    <w:rsid w:val="00D130D8"/>
    <w:rsid w:val="00D13395"/>
    <w:rsid w:val="00D1340A"/>
    <w:rsid w:val="00D1361D"/>
    <w:rsid w:val="00D13987"/>
    <w:rsid w:val="00D13CE7"/>
    <w:rsid w:val="00D13E80"/>
    <w:rsid w:val="00D143C8"/>
    <w:rsid w:val="00D14485"/>
    <w:rsid w:val="00D14C46"/>
    <w:rsid w:val="00D14E9E"/>
    <w:rsid w:val="00D15013"/>
    <w:rsid w:val="00D1542C"/>
    <w:rsid w:val="00D155B4"/>
    <w:rsid w:val="00D159A7"/>
    <w:rsid w:val="00D15A6B"/>
    <w:rsid w:val="00D15C38"/>
    <w:rsid w:val="00D15E14"/>
    <w:rsid w:val="00D1637A"/>
    <w:rsid w:val="00D1666D"/>
    <w:rsid w:val="00D167B3"/>
    <w:rsid w:val="00D16AD5"/>
    <w:rsid w:val="00D16B52"/>
    <w:rsid w:val="00D16BD3"/>
    <w:rsid w:val="00D17286"/>
    <w:rsid w:val="00D17976"/>
    <w:rsid w:val="00D20174"/>
    <w:rsid w:val="00D20283"/>
    <w:rsid w:val="00D20662"/>
    <w:rsid w:val="00D2124F"/>
    <w:rsid w:val="00D21425"/>
    <w:rsid w:val="00D214F8"/>
    <w:rsid w:val="00D21546"/>
    <w:rsid w:val="00D21570"/>
    <w:rsid w:val="00D21D81"/>
    <w:rsid w:val="00D221B5"/>
    <w:rsid w:val="00D22396"/>
    <w:rsid w:val="00D223A2"/>
    <w:rsid w:val="00D2256F"/>
    <w:rsid w:val="00D2287A"/>
    <w:rsid w:val="00D22B1B"/>
    <w:rsid w:val="00D22BEF"/>
    <w:rsid w:val="00D22EE5"/>
    <w:rsid w:val="00D23338"/>
    <w:rsid w:val="00D233B0"/>
    <w:rsid w:val="00D2342F"/>
    <w:rsid w:val="00D23B96"/>
    <w:rsid w:val="00D2409E"/>
    <w:rsid w:val="00D24E8B"/>
    <w:rsid w:val="00D2507B"/>
    <w:rsid w:val="00D252D9"/>
    <w:rsid w:val="00D2530A"/>
    <w:rsid w:val="00D2595A"/>
    <w:rsid w:val="00D25B3E"/>
    <w:rsid w:val="00D25BF9"/>
    <w:rsid w:val="00D260F4"/>
    <w:rsid w:val="00D263AA"/>
    <w:rsid w:val="00D263E8"/>
    <w:rsid w:val="00D26569"/>
    <w:rsid w:val="00D26A9F"/>
    <w:rsid w:val="00D26EA3"/>
    <w:rsid w:val="00D27637"/>
    <w:rsid w:val="00D27A43"/>
    <w:rsid w:val="00D27B60"/>
    <w:rsid w:val="00D27ECF"/>
    <w:rsid w:val="00D302DB"/>
    <w:rsid w:val="00D303DE"/>
    <w:rsid w:val="00D304EB"/>
    <w:rsid w:val="00D3051E"/>
    <w:rsid w:val="00D30683"/>
    <w:rsid w:val="00D30696"/>
    <w:rsid w:val="00D30823"/>
    <w:rsid w:val="00D311C3"/>
    <w:rsid w:val="00D3136F"/>
    <w:rsid w:val="00D313E4"/>
    <w:rsid w:val="00D3163C"/>
    <w:rsid w:val="00D31E5D"/>
    <w:rsid w:val="00D3222B"/>
    <w:rsid w:val="00D3271C"/>
    <w:rsid w:val="00D32789"/>
    <w:rsid w:val="00D32AE4"/>
    <w:rsid w:val="00D33088"/>
    <w:rsid w:val="00D331CB"/>
    <w:rsid w:val="00D333CA"/>
    <w:rsid w:val="00D33891"/>
    <w:rsid w:val="00D33904"/>
    <w:rsid w:val="00D33A58"/>
    <w:rsid w:val="00D34139"/>
    <w:rsid w:val="00D34B5F"/>
    <w:rsid w:val="00D34C88"/>
    <w:rsid w:val="00D35065"/>
    <w:rsid w:val="00D351BE"/>
    <w:rsid w:val="00D3537B"/>
    <w:rsid w:val="00D354BC"/>
    <w:rsid w:val="00D3555D"/>
    <w:rsid w:val="00D3560F"/>
    <w:rsid w:val="00D35F17"/>
    <w:rsid w:val="00D35FCA"/>
    <w:rsid w:val="00D361A7"/>
    <w:rsid w:val="00D362D2"/>
    <w:rsid w:val="00D36433"/>
    <w:rsid w:val="00D365F8"/>
    <w:rsid w:val="00D36646"/>
    <w:rsid w:val="00D3677A"/>
    <w:rsid w:val="00D367E3"/>
    <w:rsid w:val="00D36A3E"/>
    <w:rsid w:val="00D371FF"/>
    <w:rsid w:val="00D3732F"/>
    <w:rsid w:val="00D37378"/>
    <w:rsid w:val="00D37733"/>
    <w:rsid w:val="00D378BD"/>
    <w:rsid w:val="00D37B27"/>
    <w:rsid w:val="00D37B61"/>
    <w:rsid w:val="00D37D89"/>
    <w:rsid w:val="00D40277"/>
    <w:rsid w:val="00D40701"/>
    <w:rsid w:val="00D40745"/>
    <w:rsid w:val="00D407D5"/>
    <w:rsid w:val="00D40A1C"/>
    <w:rsid w:val="00D40BBE"/>
    <w:rsid w:val="00D40D1D"/>
    <w:rsid w:val="00D40DA3"/>
    <w:rsid w:val="00D40E40"/>
    <w:rsid w:val="00D412C5"/>
    <w:rsid w:val="00D4157A"/>
    <w:rsid w:val="00D41656"/>
    <w:rsid w:val="00D416E4"/>
    <w:rsid w:val="00D4189E"/>
    <w:rsid w:val="00D41942"/>
    <w:rsid w:val="00D42078"/>
    <w:rsid w:val="00D4235C"/>
    <w:rsid w:val="00D4244B"/>
    <w:rsid w:val="00D424A0"/>
    <w:rsid w:val="00D42743"/>
    <w:rsid w:val="00D4279E"/>
    <w:rsid w:val="00D43032"/>
    <w:rsid w:val="00D43134"/>
    <w:rsid w:val="00D432DB"/>
    <w:rsid w:val="00D4334E"/>
    <w:rsid w:val="00D4408D"/>
    <w:rsid w:val="00D44105"/>
    <w:rsid w:val="00D443D2"/>
    <w:rsid w:val="00D445C7"/>
    <w:rsid w:val="00D44778"/>
    <w:rsid w:val="00D4479B"/>
    <w:rsid w:val="00D4550E"/>
    <w:rsid w:val="00D45577"/>
    <w:rsid w:val="00D45B79"/>
    <w:rsid w:val="00D45C8E"/>
    <w:rsid w:val="00D45EB0"/>
    <w:rsid w:val="00D45EC2"/>
    <w:rsid w:val="00D46094"/>
    <w:rsid w:val="00D4627A"/>
    <w:rsid w:val="00D46648"/>
    <w:rsid w:val="00D46E4D"/>
    <w:rsid w:val="00D47114"/>
    <w:rsid w:val="00D471BB"/>
    <w:rsid w:val="00D47279"/>
    <w:rsid w:val="00D50193"/>
    <w:rsid w:val="00D503EF"/>
    <w:rsid w:val="00D504EC"/>
    <w:rsid w:val="00D505AD"/>
    <w:rsid w:val="00D50696"/>
    <w:rsid w:val="00D508B7"/>
    <w:rsid w:val="00D50D36"/>
    <w:rsid w:val="00D511B5"/>
    <w:rsid w:val="00D513A8"/>
    <w:rsid w:val="00D51424"/>
    <w:rsid w:val="00D51608"/>
    <w:rsid w:val="00D51ABF"/>
    <w:rsid w:val="00D51BC1"/>
    <w:rsid w:val="00D51C9E"/>
    <w:rsid w:val="00D51CE7"/>
    <w:rsid w:val="00D51CEE"/>
    <w:rsid w:val="00D520F9"/>
    <w:rsid w:val="00D52281"/>
    <w:rsid w:val="00D52584"/>
    <w:rsid w:val="00D52748"/>
    <w:rsid w:val="00D52786"/>
    <w:rsid w:val="00D527EB"/>
    <w:rsid w:val="00D52C6A"/>
    <w:rsid w:val="00D5306F"/>
    <w:rsid w:val="00D53786"/>
    <w:rsid w:val="00D5384A"/>
    <w:rsid w:val="00D53B13"/>
    <w:rsid w:val="00D54168"/>
    <w:rsid w:val="00D54264"/>
    <w:rsid w:val="00D54335"/>
    <w:rsid w:val="00D54662"/>
    <w:rsid w:val="00D5472C"/>
    <w:rsid w:val="00D547DE"/>
    <w:rsid w:val="00D548BF"/>
    <w:rsid w:val="00D5543A"/>
    <w:rsid w:val="00D55660"/>
    <w:rsid w:val="00D55850"/>
    <w:rsid w:val="00D563EB"/>
    <w:rsid w:val="00D5642E"/>
    <w:rsid w:val="00D5646C"/>
    <w:rsid w:val="00D56737"/>
    <w:rsid w:val="00D56812"/>
    <w:rsid w:val="00D56978"/>
    <w:rsid w:val="00D569D0"/>
    <w:rsid w:val="00D57148"/>
    <w:rsid w:val="00D571C2"/>
    <w:rsid w:val="00D573E6"/>
    <w:rsid w:val="00D5773F"/>
    <w:rsid w:val="00D57BA5"/>
    <w:rsid w:val="00D6012D"/>
    <w:rsid w:val="00D6021D"/>
    <w:rsid w:val="00D60325"/>
    <w:rsid w:val="00D60438"/>
    <w:rsid w:val="00D606EC"/>
    <w:rsid w:val="00D60B63"/>
    <w:rsid w:val="00D60C45"/>
    <w:rsid w:val="00D60E11"/>
    <w:rsid w:val="00D60F5F"/>
    <w:rsid w:val="00D61AC7"/>
    <w:rsid w:val="00D61CC1"/>
    <w:rsid w:val="00D61DB9"/>
    <w:rsid w:val="00D61E80"/>
    <w:rsid w:val="00D62231"/>
    <w:rsid w:val="00D62408"/>
    <w:rsid w:val="00D62415"/>
    <w:rsid w:val="00D6256B"/>
    <w:rsid w:val="00D6292D"/>
    <w:rsid w:val="00D62ACE"/>
    <w:rsid w:val="00D6392B"/>
    <w:rsid w:val="00D63C0B"/>
    <w:rsid w:val="00D63D52"/>
    <w:rsid w:val="00D64224"/>
    <w:rsid w:val="00D6476C"/>
    <w:rsid w:val="00D64814"/>
    <w:rsid w:val="00D64A9F"/>
    <w:rsid w:val="00D64BB2"/>
    <w:rsid w:val="00D64DB4"/>
    <w:rsid w:val="00D6533C"/>
    <w:rsid w:val="00D6553B"/>
    <w:rsid w:val="00D655E7"/>
    <w:rsid w:val="00D6591B"/>
    <w:rsid w:val="00D65C84"/>
    <w:rsid w:val="00D65CC7"/>
    <w:rsid w:val="00D65F68"/>
    <w:rsid w:val="00D660D3"/>
    <w:rsid w:val="00D66474"/>
    <w:rsid w:val="00D664AA"/>
    <w:rsid w:val="00D66664"/>
    <w:rsid w:val="00D66687"/>
    <w:rsid w:val="00D6672D"/>
    <w:rsid w:val="00D667CC"/>
    <w:rsid w:val="00D66C49"/>
    <w:rsid w:val="00D66D31"/>
    <w:rsid w:val="00D66F23"/>
    <w:rsid w:val="00D6707A"/>
    <w:rsid w:val="00D670B3"/>
    <w:rsid w:val="00D6731A"/>
    <w:rsid w:val="00D6752A"/>
    <w:rsid w:val="00D6777E"/>
    <w:rsid w:val="00D67A64"/>
    <w:rsid w:val="00D67DCA"/>
    <w:rsid w:val="00D67E6C"/>
    <w:rsid w:val="00D70322"/>
    <w:rsid w:val="00D706CD"/>
    <w:rsid w:val="00D70913"/>
    <w:rsid w:val="00D709E6"/>
    <w:rsid w:val="00D70D71"/>
    <w:rsid w:val="00D70E84"/>
    <w:rsid w:val="00D7147A"/>
    <w:rsid w:val="00D7174D"/>
    <w:rsid w:val="00D71878"/>
    <w:rsid w:val="00D7197B"/>
    <w:rsid w:val="00D71AE2"/>
    <w:rsid w:val="00D71C48"/>
    <w:rsid w:val="00D72297"/>
    <w:rsid w:val="00D728A3"/>
    <w:rsid w:val="00D72AC1"/>
    <w:rsid w:val="00D72D45"/>
    <w:rsid w:val="00D72DF4"/>
    <w:rsid w:val="00D7304F"/>
    <w:rsid w:val="00D733AC"/>
    <w:rsid w:val="00D73466"/>
    <w:rsid w:val="00D745CE"/>
    <w:rsid w:val="00D7479D"/>
    <w:rsid w:val="00D74D31"/>
    <w:rsid w:val="00D75640"/>
    <w:rsid w:val="00D756AB"/>
    <w:rsid w:val="00D75D76"/>
    <w:rsid w:val="00D75DC1"/>
    <w:rsid w:val="00D75E9A"/>
    <w:rsid w:val="00D75F48"/>
    <w:rsid w:val="00D76112"/>
    <w:rsid w:val="00D762DB"/>
    <w:rsid w:val="00D7634E"/>
    <w:rsid w:val="00D76423"/>
    <w:rsid w:val="00D766C4"/>
    <w:rsid w:val="00D7679D"/>
    <w:rsid w:val="00D770C1"/>
    <w:rsid w:val="00D774FD"/>
    <w:rsid w:val="00D7778A"/>
    <w:rsid w:val="00D77857"/>
    <w:rsid w:val="00D77B7E"/>
    <w:rsid w:val="00D77CCA"/>
    <w:rsid w:val="00D77DE3"/>
    <w:rsid w:val="00D77E15"/>
    <w:rsid w:val="00D77EE3"/>
    <w:rsid w:val="00D77F36"/>
    <w:rsid w:val="00D77F48"/>
    <w:rsid w:val="00D80C18"/>
    <w:rsid w:val="00D817CA"/>
    <w:rsid w:val="00D818EC"/>
    <w:rsid w:val="00D81F14"/>
    <w:rsid w:val="00D820AA"/>
    <w:rsid w:val="00D821CF"/>
    <w:rsid w:val="00D828E6"/>
    <w:rsid w:val="00D829E6"/>
    <w:rsid w:val="00D82A4F"/>
    <w:rsid w:val="00D832BB"/>
    <w:rsid w:val="00D837E1"/>
    <w:rsid w:val="00D83C43"/>
    <w:rsid w:val="00D84324"/>
    <w:rsid w:val="00D8486A"/>
    <w:rsid w:val="00D84A8A"/>
    <w:rsid w:val="00D84E1B"/>
    <w:rsid w:val="00D84E36"/>
    <w:rsid w:val="00D85307"/>
    <w:rsid w:val="00D8574E"/>
    <w:rsid w:val="00D859AF"/>
    <w:rsid w:val="00D863CD"/>
    <w:rsid w:val="00D863F9"/>
    <w:rsid w:val="00D8641B"/>
    <w:rsid w:val="00D8678A"/>
    <w:rsid w:val="00D869C1"/>
    <w:rsid w:val="00D86EB1"/>
    <w:rsid w:val="00D86F56"/>
    <w:rsid w:val="00D876AF"/>
    <w:rsid w:val="00D8773F"/>
    <w:rsid w:val="00D8778D"/>
    <w:rsid w:val="00D87800"/>
    <w:rsid w:val="00D87B16"/>
    <w:rsid w:val="00D87B54"/>
    <w:rsid w:val="00D87DB8"/>
    <w:rsid w:val="00D901EC"/>
    <w:rsid w:val="00D90501"/>
    <w:rsid w:val="00D906CC"/>
    <w:rsid w:val="00D90B6E"/>
    <w:rsid w:val="00D90C4E"/>
    <w:rsid w:val="00D90E79"/>
    <w:rsid w:val="00D910F6"/>
    <w:rsid w:val="00D9128E"/>
    <w:rsid w:val="00D91525"/>
    <w:rsid w:val="00D91560"/>
    <w:rsid w:val="00D917DD"/>
    <w:rsid w:val="00D92997"/>
    <w:rsid w:val="00D929C9"/>
    <w:rsid w:val="00D92ACE"/>
    <w:rsid w:val="00D92EC5"/>
    <w:rsid w:val="00D92F30"/>
    <w:rsid w:val="00D93226"/>
    <w:rsid w:val="00D93309"/>
    <w:rsid w:val="00D93598"/>
    <w:rsid w:val="00D935FD"/>
    <w:rsid w:val="00D938D4"/>
    <w:rsid w:val="00D93DE5"/>
    <w:rsid w:val="00D93F0D"/>
    <w:rsid w:val="00D94344"/>
    <w:rsid w:val="00D9453C"/>
    <w:rsid w:val="00D945AE"/>
    <w:rsid w:val="00D94722"/>
    <w:rsid w:val="00D94D01"/>
    <w:rsid w:val="00D94FBB"/>
    <w:rsid w:val="00D95621"/>
    <w:rsid w:val="00D959F4"/>
    <w:rsid w:val="00D95B5C"/>
    <w:rsid w:val="00D95D03"/>
    <w:rsid w:val="00D963AF"/>
    <w:rsid w:val="00D965D4"/>
    <w:rsid w:val="00D96613"/>
    <w:rsid w:val="00D969FF"/>
    <w:rsid w:val="00D972D5"/>
    <w:rsid w:val="00D973DA"/>
    <w:rsid w:val="00D97E09"/>
    <w:rsid w:val="00D97FE5"/>
    <w:rsid w:val="00DA06FA"/>
    <w:rsid w:val="00DA072C"/>
    <w:rsid w:val="00DA0AC4"/>
    <w:rsid w:val="00DA2222"/>
    <w:rsid w:val="00DA2893"/>
    <w:rsid w:val="00DA2961"/>
    <w:rsid w:val="00DA2B2A"/>
    <w:rsid w:val="00DA2C10"/>
    <w:rsid w:val="00DA2EAA"/>
    <w:rsid w:val="00DA2FCF"/>
    <w:rsid w:val="00DA3164"/>
    <w:rsid w:val="00DA3194"/>
    <w:rsid w:val="00DA31C9"/>
    <w:rsid w:val="00DA361D"/>
    <w:rsid w:val="00DA3794"/>
    <w:rsid w:val="00DA3804"/>
    <w:rsid w:val="00DA3907"/>
    <w:rsid w:val="00DA3BDC"/>
    <w:rsid w:val="00DA3C28"/>
    <w:rsid w:val="00DA442F"/>
    <w:rsid w:val="00DA4596"/>
    <w:rsid w:val="00DA48D7"/>
    <w:rsid w:val="00DA49B5"/>
    <w:rsid w:val="00DA4AA2"/>
    <w:rsid w:val="00DA52A0"/>
    <w:rsid w:val="00DA5484"/>
    <w:rsid w:val="00DA5638"/>
    <w:rsid w:val="00DA5670"/>
    <w:rsid w:val="00DA5733"/>
    <w:rsid w:val="00DA57BC"/>
    <w:rsid w:val="00DA59CF"/>
    <w:rsid w:val="00DA5A3B"/>
    <w:rsid w:val="00DA5C17"/>
    <w:rsid w:val="00DA5C33"/>
    <w:rsid w:val="00DA5D6A"/>
    <w:rsid w:val="00DA5ECD"/>
    <w:rsid w:val="00DA6563"/>
    <w:rsid w:val="00DA69EB"/>
    <w:rsid w:val="00DA6CA6"/>
    <w:rsid w:val="00DA6D7D"/>
    <w:rsid w:val="00DB034B"/>
    <w:rsid w:val="00DB03DC"/>
    <w:rsid w:val="00DB0552"/>
    <w:rsid w:val="00DB07D2"/>
    <w:rsid w:val="00DB0877"/>
    <w:rsid w:val="00DB0B83"/>
    <w:rsid w:val="00DB0D22"/>
    <w:rsid w:val="00DB10EE"/>
    <w:rsid w:val="00DB11C1"/>
    <w:rsid w:val="00DB152F"/>
    <w:rsid w:val="00DB16F3"/>
    <w:rsid w:val="00DB1D40"/>
    <w:rsid w:val="00DB1EE7"/>
    <w:rsid w:val="00DB1F19"/>
    <w:rsid w:val="00DB219D"/>
    <w:rsid w:val="00DB22A1"/>
    <w:rsid w:val="00DB2489"/>
    <w:rsid w:val="00DB2524"/>
    <w:rsid w:val="00DB25D3"/>
    <w:rsid w:val="00DB2B52"/>
    <w:rsid w:val="00DB2EA6"/>
    <w:rsid w:val="00DB3079"/>
    <w:rsid w:val="00DB361B"/>
    <w:rsid w:val="00DB3D5F"/>
    <w:rsid w:val="00DB44A2"/>
    <w:rsid w:val="00DB45CF"/>
    <w:rsid w:val="00DB4640"/>
    <w:rsid w:val="00DB4674"/>
    <w:rsid w:val="00DB5046"/>
    <w:rsid w:val="00DB5095"/>
    <w:rsid w:val="00DB50BA"/>
    <w:rsid w:val="00DB51C4"/>
    <w:rsid w:val="00DB59B0"/>
    <w:rsid w:val="00DB5B29"/>
    <w:rsid w:val="00DB5CDA"/>
    <w:rsid w:val="00DB64B3"/>
    <w:rsid w:val="00DB6529"/>
    <w:rsid w:val="00DB6867"/>
    <w:rsid w:val="00DB6AFA"/>
    <w:rsid w:val="00DB6D1E"/>
    <w:rsid w:val="00DB6F82"/>
    <w:rsid w:val="00DB7448"/>
    <w:rsid w:val="00DB7553"/>
    <w:rsid w:val="00DB7C8B"/>
    <w:rsid w:val="00DB7DE5"/>
    <w:rsid w:val="00DB7E74"/>
    <w:rsid w:val="00DB7EDF"/>
    <w:rsid w:val="00DC0400"/>
    <w:rsid w:val="00DC068C"/>
    <w:rsid w:val="00DC0AAF"/>
    <w:rsid w:val="00DC0C3F"/>
    <w:rsid w:val="00DC1305"/>
    <w:rsid w:val="00DC1493"/>
    <w:rsid w:val="00DC15AE"/>
    <w:rsid w:val="00DC1887"/>
    <w:rsid w:val="00DC1979"/>
    <w:rsid w:val="00DC1AE3"/>
    <w:rsid w:val="00DC1C00"/>
    <w:rsid w:val="00DC28F8"/>
    <w:rsid w:val="00DC2CEE"/>
    <w:rsid w:val="00DC2E53"/>
    <w:rsid w:val="00DC32E5"/>
    <w:rsid w:val="00DC3425"/>
    <w:rsid w:val="00DC34B2"/>
    <w:rsid w:val="00DC3646"/>
    <w:rsid w:val="00DC3CDD"/>
    <w:rsid w:val="00DC3EF5"/>
    <w:rsid w:val="00DC459D"/>
    <w:rsid w:val="00DC4705"/>
    <w:rsid w:val="00DC4D1F"/>
    <w:rsid w:val="00DC5065"/>
    <w:rsid w:val="00DC5187"/>
    <w:rsid w:val="00DC547C"/>
    <w:rsid w:val="00DC54E1"/>
    <w:rsid w:val="00DC5839"/>
    <w:rsid w:val="00DC59E8"/>
    <w:rsid w:val="00DC62FF"/>
    <w:rsid w:val="00DC631B"/>
    <w:rsid w:val="00DC6438"/>
    <w:rsid w:val="00DC6666"/>
    <w:rsid w:val="00DC690D"/>
    <w:rsid w:val="00DC6B0F"/>
    <w:rsid w:val="00DC74E8"/>
    <w:rsid w:val="00DC78A6"/>
    <w:rsid w:val="00DC796A"/>
    <w:rsid w:val="00DC7D26"/>
    <w:rsid w:val="00DD0866"/>
    <w:rsid w:val="00DD0994"/>
    <w:rsid w:val="00DD0D0F"/>
    <w:rsid w:val="00DD1390"/>
    <w:rsid w:val="00DD145B"/>
    <w:rsid w:val="00DD1CAE"/>
    <w:rsid w:val="00DD1E9E"/>
    <w:rsid w:val="00DD1EF2"/>
    <w:rsid w:val="00DD1F05"/>
    <w:rsid w:val="00DD2089"/>
    <w:rsid w:val="00DD2118"/>
    <w:rsid w:val="00DD22E0"/>
    <w:rsid w:val="00DD264F"/>
    <w:rsid w:val="00DD2BA0"/>
    <w:rsid w:val="00DD2D38"/>
    <w:rsid w:val="00DD2E0D"/>
    <w:rsid w:val="00DD2E1C"/>
    <w:rsid w:val="00DD3009"/>
    <w:rsid w:val="00DD3295"/>
    <w:rsid w:val="00DD34ED"/>
    <w:rsid w:val="00DD359C"/>
    <w:rsid w:val="00DD35F8"/>
    <w:rsid w:val="00DD39A6"/>
    <w:rsid w:val="00DD3B38"/>
    <w:rsid w:val="00DD3BF4"/>
    <w:rsid w:val="00DD3ED0"/>
    <w:rsid w:val="00DD405B"/>
    <w:rsid w:val="00DD4233"/>
    <w:rsid w:val="00DD4718"/>
    <w:rsid w:val="00DD4940"/>
    <w:rsid w:val="00DD49DB"/>
    <w:rsid w:val="00DD4A9D"/>
    <w:rsid w:val="00DD4FE8"/>
    <w:rsid w:val="00DD5078"/>
    <w:rsid w:val="00DD5270"/>
    <w:rsid w:val="00DD5356"/>
    <w:rsid w:val="00DD5453"/>
    <w:rsid w:val="00DD54FE"/>
    <w:rsid w:val="00DD57DD"/>
    <w:rsid w:val="00DD5832"/>
    <w:rsid w:val="00DD5922"/>
    <w:rsid w:val="00DD5A5F"/>
    <w:rsid w:val="00DD6495"/>
    <w:rsid w:val="00DD6CCA"/>
    <w:rsid w:val="00DD6D16"/>
    <w:rsid w:val="00DD6ECC"/>
    <w:rsid w:val="00DD6FD3"/>
    <w:rsid w:val="00DD704E"/>
    <w:rsid w:val="00DD734B"/>
    <w:rsid w:val="00DD7406"/>
    <w:rsid w:val="00DD79C3"/>
    <w:rsid w:val="00DD7C37"/>
    <w:rsid w:val="00DE00C7"/>
    <w:rsid w:val="00DE0341"/>
    <w:rsid w:val="00DE0473"/>
    <w:rsid w:val="00DE05EA"/>
    <w:rsid w:val="00DE0647"/>
    <w:rsid w:val="00DE0A4D"/>
    <w:rsid w:val="00DE0DFE"/>
    <w:rsid w:val="00DE10A1"/>
    <w:rsid w:val="00DE1481"/>
    <w:rsid w:val="00DE19A8"/>
    <w:rsid w:val="00DE1B4D"/>
    <w:rsid w:val="00DE1B60"/>
    <w:rsid w:val="00DE1C60"/>
    <w:rsid w:val="00DE20C4"/>
    <w:rsid w:val="00DE2682"/>
    <w:rsid w:val="00DE27C5"/>
    <w:rsid w:val="00DE27CD"/>
    <w:rsid w:val="00DE2922"/>
    <w:rsid w:val="00DE30DC"/>
    <w:rsid w:val="00DE3469"/>
    <w:rsid w:val="00DE3781"/>
    <w:rsid w:val="00DE3984"/>
    <w:rsid w:val="00DE399D"/>
    <w:rsid w:val="00DE3E91"/>
    <w:rsid w:val="00DE4059"/>
    <w:rsid w:val="00DE4104"/>
    <w:rsid w:val="00DE4397"/>
    <w:rsid w:val="00DE43F9"/>
    <w:rsid w:val="00DE497E"/>
    <w:rsid w:val="00DE4C4F"/>
    <w:rsid w:val="00DE4D93"/>
    <w:rsid w:val="00DE4DF6"/>
    <w:rsid w:val="00DE4EE9"/>
    <w:rsid w:val="00DE4F76"/>
    <w:rsid w:val="00DE4FFA"/>
    <w:rsid w:val="00DE514A"/>
    <w:rsid w:val="00DE542F"/>
    <w:rsid w:val="00DE5587"/>
    <w:rsid w:val="00DE58C5"/>
    <w:rsid w:val="00DE5A1F"/>
    <w:rsid w:val="00DE5C5A"/>
    <w:rsid w:val="00DE5D59"/>
    <w:rsid w:val="00DE5F88"/>
    <w:rsid w:val="00DE5FC3"/>
    <w:rsid w:val="00DE61D3"/>
    <w:rsid w:val="00DE64D4"/>
    <w:rsid w:val="00DE69B4"/>
    <w:rsid w:val="00DE6B4E"/>
    <w:rsid w:val="00DE6C4E"/>
    <w:rsid w:val="00DE6C50"/>
    <w:rsid w:val="00DE6D00"/>
    <w:rsid w:val="00DE6F0C"/>
    <w:rsid w:val="00DE74D0"/>
    <w:rsid w:val="00DE7650"/>
    <w:rsid w:val="00DE7656"/>
    <w:rsid w:val="00DE775C"/>
    <w:rsid w:val="00DE7A5B"/>
    <w:rsid w:val="00DE7AEA"/>
    <w:rsid w:val="00DE7D82"/>
    <w:rsid w:val="00DE7DC1"/>
    <w:rsid w:val="00DE7EC4"/>
    <w:rsid w:val="00DF021D"/>
    <w:rsid w:val="00DF04D7"/>
    <w:rsid w:val="00DF08B9"/>
    <w:rsid w:val="00DF0A4D"/>
    <w:rsid w:val="00DF0BC3"/>
    <w:rsid w:val="00DF0DF8"/>
    <w:rsid w:val="00DF0F86"/>
    <w:rsid w:val="00DF1477"/>
    <w:rsid w:val="00DF151E"/>
    <w:rsid w:val="00DF1781"/>
    <w:rsid w:val="00DF1B9D"/>
    <w:rsid w:val="00DF1BEC"/>
    <w:rsid w:val="00DF1E6A"/>
    <w:rsid w:val="00DF23B3"/>
    <w:rsid w:val="00DF242F"/>
    <w:rsid w:val="00DF2744"/>
    <w:rsid w:val="00DF2A12"/>
    <w:rsid w:val="00DF2BCA"/>
    <w:rsid w:val="00DF3247"/>
    <w:rsid w:val="00DF3A77"/>
    <w:rsid w:val="00DF4FA3"/>
    <w:rsid w:val="00DF56A2"/>
    <w:rsid w:val="00DF5915"/>
    <w:rsid w:val="00DF5B7E"/>
    <w:rsid w:val="00DF5C65"/>
    <w:rsid w:val="00DF5F18"/>
    <w:rsid w:val="00DF60D9"/>
    <w:rsid w:val="00DF624E"/>
    <w:rsid w:val="00DF6272"/>
    <w:rsid w:val="00DF6356"/>
    <w:rsid w:val="00DF6389"/>
    <w:rsid w:val="00DF63D8"/>
    <w:rsid w:val="00DF6455"/>
    <w:rsid w:val="00DF6829"/>
    <w:rsid w:val="00DF6C10"/>
    <w:rsid w:val="00DF70DA"/>
    <w:rsid w:val="00DF71A1"/>
    <w:rsid w:val="00DF75BA"/>
    <w:rsid w:val="00DF7ABA"/>
    <w:rsid w:val="00E0007C"/>
    <w:rsid w:val="00E0017E"/>
    <w:rsid w:val="00E001D2"/>
    <w:rsid w:val="00E002D5"/>
    <w:rsid w:val="00E0061F"/>
    <w:rsid w:val="00E00C3F"/>
    <w:rsid w:val="00E00D2D"/>
    <w:rsid w:val="00E0121E"/>
    <w:rsid w:val="00E0127A"/>
    <w:rsid w:val="00E01764"/>
    <w:rsid w:val="00E01882"/>
    <w:rsid w:val="00E01983"/>
    <w:rsid w:val="00E01BE0"/>
    <w:rsid w:val="00E01F17"/>
    <w:rsid w:val="00E02506"/>
    <w:rsid w:val="00E0278E"/>
    <w:rsid w:val="00E028BB"/>
    <w:rsid w:val="00E02A6B"/>
    <w:rsid w:val="00E03073"/>
    <w:rsid w:val="00E032CC"/>
    <w:rsid w:val="00E032FC"/>
    <w:rsid w:val="00E039F1"/>
    <w:rsid w:val="00E039F7"/>
    <w:rsid w:val="00E03AB4"/>
    <w:rsid w:val="00E03C66"/>
    <w:rsid w:val="00E04162"/>
    <w:rsid w:val="00E0423B"/>
    <w:rsid w:val="00E043A3"/>
    <w:rsid w:val="00E043BE"/>
    <w:rsid w:val="00E0483D"/>
    <w:rsid w:val="00E048D1"/>
    <w:rsid w:val="00E04A2D"/>
    <w:rsid w:val="00E04C2D"/>
    <w:rsid w:val="00E04C37"/>
    <w:rsid w:val="00E04D69"/>
    <w:rsid w:val="00E04D7C"/>
    <w:rsid w:val="00E04EE8"/>
    <w:rsid w:val="00E0568F"/>
    <w:rsid w:val="00E056B1"/>
    <w:rsid w:val="00E05A4A"/>
    <w:rsid w:val="00E05BB1"/>
    <w:rsid w:val="00E05C2B"/>
    <w:rsid w:val="00E05D80"/>
    <w:rsid w:val="00E05DB9"/>
    <w:rsid w:val="00E06396"/>
    <w:rsid w:val="00E06418"/>
    <w:rsid w:val="00E066A1"/>
    <w:rsid w:val="00E06DD4"/>
    <w:rsid w:val="00E06EE8"/>
    <w:rsid w:val="00E06FD7"/>
    <w:rsid w:val="00E078F3"/>
    <w:rsid w:val="00E078FF"/>
    <w:rsid w:val="00E07B11"/>
    <w:rsid w:val="00E07C27"/>
    <w:rsid w:val="00E07E6B"/>
    <w:rsid w:val="00E10153"/>
    <w:rsid w:val="00E102D9"/>
    <w:rsid w:val="00E10342"/>
    <w:rsid w:val="00E1035B"/>
    <w:rsid w:val="00E1044F"/>
    <w:rsid w:val="00E104FF"/>
    <w:rsid w:val="00E1057A"/>
    <w:rsid w:val="00E10820"/>
    <w:rsid w:val="00E10A77"/>
    <w:rsid w:val="00E10DCF"/>
    <w:rsid w:val="00E10DD2"/>
    <w:rsid w:val="00E10ECA"/>
    <w:rsid w:val="00E110A6"/>
    <w:rsid w:val="00E113E3"/>
    <w:rsid w:val="00E11B75"/>
    <w:rsid w:val="00E12123"/>
    <w:rsid w:val="00E1218F"/>
    <w:rsid w:val="00E124BF"/>
    <w:rsid w:val="00E12840"/>
    <w:rsid w:val="00E12B9B"/>
    <w:rsid w:val="00E12E22"/>
    <w:rsid w:val="00E1316A"/>
    <w:rsid w:val="00E13380"/>
    <w:rsid w:val="00E134F8"/>
    <w:rsid w:val="00E13999"/>
    <w:rsid w:val="00E14018"/>
    <w:rsid w:val="00E14034"/>
    <w:rsid w:val="00E14171"/>
    <w:rsid w:val="00E14473"/>
    <w:rsid w:val="00E1514B"/>
    <w:rsid w:val="00E153EA"/>
    <w:rsid w:val="00E15940"/>
    <w:rsid w:val="00E15942"/>
    <w:rsid w:val="00E15D43"/>
    <w:rsid w:val="00E15E26"/>
    <w:rsid w:val="00E15E82"/>
    <w:rsid w:val="00E16004"/>
    <w:rsid w:val="00E16603"/>
    <w:rsid w:val="00E1660D"/>
    <w:rsid w:val="00E16A59"/>
    <w:rsid w:val="00E172C9"/>
    <w:rsid w:val="00E17CAC"/>
    <w:rsid w:val="00E200E9"/>
    <w:rsid w:val="00E20142"/>
    <w:rsid w:val="00E20340"/>
    <w:rsid w:val="00E20785"/>
    <w:rsid w:val="00E2123F"/>
    <w:rsid w:val="00E213B4"/>
    <w:rsid w:val="00E21432"/>
    <w:rsid w:val="00E2154D"/>
    <w:rsid w:val="00E217AF"/>
    <w:rsid w:val="00E21AA6"/>
    <w:rsid w:val="00E21C12"/>
    <w:rsid w:val="00E21E50"/>
    <w:rsid w:val="00E22504"/>
    <w:rsid w:val="00E22591"/>
    <w:rsid w:val="00E227E8"/>
    <w:rsid w:val="00E228B2"/>
    <w:rsid w:val="00E22CBB"/>
    <w:rsid w:val="00E22D48"/>
    <w:rsid w:val="00E22E58"/>
    <w:rsid w:val="00E23092"/>
    <w:rsid w:val="00E230E4"/>
    <w:rsid w:val="00E23207"/>
    <w:rsid w:val="00E23218"/>
    <w:rsid w:val="00E2364A"/>
    <w:rsid w:val="00E238AF"/>
    <w:rsid w:val="00E23D5A"/>
    <w:rsid w:val="00E23DBE"/>
    <w:rsid w:val="00E24312"/>
    <w:rsid w:val="00E2438D"/>
    <w:rsid w:val="00E24994"/>
    <w:rsid w:val="00E24CC0"/>
    <w:rsid w:val="00E25339"/>
    <w:rsid w:val="00E253D9"/>
    <w:rsid w:val="00E25966"/>
    <w:rsid w:val="00E259E1"/>
    <w:rsid w:val="00E259E5"/>
    <w:rsid w:val="00E25EEA"/>
    <w:rsid w:val="00E261CF"/>
    <w:rsid w:val="00E2635D"/>
    <w:rsid w:val="00E26409"/>
    <w:rsid w:val="00E26524"/>
    <w:rsid w:val="00E26BB0"/>
    <w:rsid w:val="00E26D7F"/>
    <w:rsid w:val="00E26E96"/>
    <w:rsid w:val="00E26F27"/>
    <w:rsid w:val="00E275F2"/>
    <w:rsid w:val="00E279F5"/>
    <w:rsid w:val="00E27A7D"/>
    <w:rsid w:val="00E300A2"/>
    <w:rsid w:val="00E3051D"/>
    <w:rsid w:val="00E306FF"/>
    <w:rsid w:val="00E30E08"/>
    <w:rsid w:val="00E30E3C"/>
    <w:rsid w:val="00E310CF"/>
    <w:rsid w:val="00E3143B"/>
    <w:rsid w:val="00E31AA7"/>
    <w:rsid w:val="00E31B09"/>
    <w:rsid w:val="00E31BF1"/>
    <w:rsid w:val="00E31FDD"/>
    <w:rsid w:val="00E320B1"/>
    <w:rsid w:val="00E322A3"/>
    <w:rsid w:val="00E322CB"/>
    <w:rsid w:val="00E3391F"/>
    <w:rsid w:val="00E33E63"/>
    <w:rsid w:val="00E3420F"/>
    <w:rsid w:val="00E3457C"/>
    <w:rsid w:val="00E34581"/>
    <w:rsid w:val="00E346AB"/>
    <w:rsid w:val="00E34875"/>
    <w:rsid w:val="00E3495D"/>
    <w:rsid w:val="00E34960"/>
    <w:rsid w:val="00E34F0E"/>
    <w:rsid w:val="00E34F1B"/>
    <w:rsid w:val="00E34F32"/>
    <w:rsid w:val="00E35230"/>
    <w:rsid w:val="00E3533B"/>
    <w:rsid w:val="00E3550A"/>
    <w:rsid w:val="00E35708"/>
    <w:rsid w:val="00E35766"/>
    <w:rsid w:val="00E35816"/>
    <w:rsid w:val="00E35984"/>
    <w:rsid w:val="00E35998"/>
    <w:rsid w:val="00E35F92"/>
    <w:rsid w:val="00E35FC2"/>
    <w:rsid w:val="00E3608C"/>
    <w:rsid w:val="00E36853"/>
    <w:rsid w:val="00E369E0"/>
    <w:rsid w:val="00E376DE"/>
    <w:rsid w:val="00E379D4"/>
    <w:rsid w:val="00E37BDD"/>
    <w:rsid w:val="00E37C71"/>
    <w:rsid w:val="00E37CC6"/>
    <w:rsid w:val="00E37DDC"/>
    <w:rsid w:val="00E403B0"/>
    <w:rsid w:val="00E40563"/>
    <w:rsid w:val="00E40BDC"/>
    <w:rsid w:val="00E40D89"/>
    <w:rsid w:val="00E40E6F"/>
    <w:rsid w:val="00E41449"/>
    <w:rsid w:val="00E41945"/>
    <w:rsid w:val="00E41ED8"/>
    <w:rsid w:val="00E42071"/>
    <w:rsid w:val="00E42314"/>
    <w:rsid w:val="00E42380"/>
    <w:rsid w:val="00E425D3"/>
    <w:rsid w:val="00E4270B"/>
    <w:rsid w:val="00E428B7"/>
    <w:rsid w:val="00E42975"/>
    <w:rsid w:val="00E4356E"/>
    <w:rsid w:val="00E43680"/>
    <w:rsid w:val="00E43992"/>
    <w:rsid w:val="00E44018"/>
    <w:rsid w:val="00E4411B"/>
    <w:rsid w:val="00E44610"/>
    <w:rsid w:val="00E44771"/>
    <w:rsid w:val="00E4478A"/>
    <w:rsid w:val="00E448AE"/>
    <w:rsid w:val="00E45043"/>
    <w:rsid w:val="00E4514B"/>
    <w:rsid w:val="00E451A0"/>
    <w:rsid w:val="00E455A9"/>
    <w:rsid w:val="00E456D4"/>
    <w:rsid w:val="00E457FB"/>
    <w:rsid w:val="00E45BFE"/>
    <w:rsid w:val="00E45D3D"/>
    <w:rsid w:val="00E463F9"/>
    <w:rsid w:val="00E467DC"/>
    <w:rsid w:val="00E470FB"/>
    <w:rsid w:val="00E478F9"/>
    <w:rsid w:val="00E47A3D"/>
    <w:rsid w:val="00E47C51"/>
    <w:rsid w:val="00E5052D"/>
    <w:rsid w:val="00E5076C"/>
    <w:rsid w:val="00E508FA"/>
    <w:rsid w:val="00E50EF7"/>
    <w:rsid w:val="00E51026"/>
    <w:rsid w:val="00E519F0"/>
    <w:rsid w:val="00E51AD5"/>
    <w:rsid w:val="00E51E89"/>
    <w:rsid w:val="00E52046"/>
    <w:rsid w:val="00E5204A"/>
    <w:rsid w:val="00E52124"/>
    <w:rsid w:val="00E52986"/>
    <w:rsid w:val="00E52BFE"/>
    <w:rsid w:val="00E52E0B"/>
    <w:rsid w:val="00E531AA"/>
    <w:rsid w:val="00E53386"/>
    <w:rsid w:val="00E534A7"/>
    <w:rsid w:val="00E534F6"/>
    <w:rsid w:val="00E53740"/>
    <w:rsid w:val="00E53A3D"/>
    <w:rsid w:val="00E53B4A"/>
    <w:rsid w:val="00E53BC3"/>
    <w:rsid w:val="00E53C2B"/>
    <w:rsid w:val="00E53C58"/>
    <w:rsid w:val="00E53D26"/>
    <w:rsid w:val="00E53ED6"/>
    <w:rsid w:val="00E5404D"/>
    <w:rsid w:val="00E54099"/>
    <w:rsid w:val="00E5449A"/>
    <w:rsid w:val="00E548BB"/>
    <w:rsid w:val="00E54CA8"/>
    <w:rsid w:val="00E5512E"/>
    <w:rsid w:val="00E5584F"/>
    <w:rsid w:val="00E55B9F"/>
    <w:rsid w:val="00E56148"/>
    <w:rsid w:val="00E566F4"/>
    <w:rsid w:val="00E567C2"/>
    <w:rsid w:val="00E56852"/>
    <w:rsid w:val="00E56932"/>
    <w:rsid w:val="00E5696D"/>
    <w:rsid w:val="00E56D55"/>
    <w:rsid w:val="00E56EA2"/>
    <w:rsid w:val="00E56FD2"/>
    <w:rsid w:val="00E57161"/>
    <w:rsid w:val="00E5751F"/>
    <w:rsid w:val="00E57B5B"/>
    <w:rsid w:val="00E57C15"/>
    <w:rsid w:val="00E57C1F"/>
    <w:rsid w:val="00E57C3A"/>
    <w:rsid w:val="00E57DBC"/>
    <w:rsid w:val="00E57E22"/>
    <w:rsid w:val="00E57E30"/>
    <w:rsid w:val="00E6012A"/>
    <w:rsid w:val="00E60560"/>
    <w:rsid w:val="00E60A3C"/>
    <w:rsid w:val="00E60D0F"/>
    <w:rsid w:val="00E60EDE"/>
    <w:rsid w:val="00E61294"/>
    <w:rsid w:val="00E6157E"/>
    <w:rsid w:val="00E619C4"/>
    <w:rsid w:val="00E61C4C"/>
    <w:rsid w:val="00E61FBD"/>
    <w:rsid w:val="00E6231A"/>
    <w:rsid w:val="00E628B3"/>
    <w:rsid w:val="00E62BA2"/>
    <w:rsid w:val="00E62BCE"/>
    <w:rsid w:val="00E62E78"/>
    <w:rsid w:val="00E62FB3"/>
    <w:rsid w:val="00E62FB8"/>
    <w:rsid w:val="00E637F3"/>
    <w:rsid w:val="00E638F0"/>
    <w:rsid w:val="00E64357"/>
    <w:rsid w:val="00E644FE"/>
    <w:rsid w:val="00E6482A"/>
    <w:rsid w:val="00E64A67"/>
    <w:rsid w:val="00E651E2"/>
    <w:rsid w:val="00E656E1"/>
    <w:rsid w:val="00E65719"/>
    <w:rsid w:val="00E65A53"/>
    <w:rsid w:val="00E65F1D"/>
    <w:rsid w:val="00E660D5"/>
    <w:rsid w:val="00E66297"/>
    <w:rsid w:val="00E664EE"/>
    <w:rsid w:val="00E66710"/>
    <w:rsid w:val="00E66916"/>
    <w:rsid w:val="00E6702F"/>
    <w:rsid w:val="00E67618"/>
    <w:rsid w:val="00E67804"/>
    <w:rsid w:val="00E67964"/>
    <w:rsid w:val="00E70498"/>
    <w:rsid w:val="00E70861"/>
    <w:rsid w:val="00E71494"/>
    <w:rsid w:val="00E715FB"/>
    <w:rsid w:val="00E71893"/>
    <w:rsid w:val="00E71FB4"/>
    <w:rsid w:val="00E72026"/>
    <w:rsid w:val="00E723B4"/>
    <w:rsid w:val="00E72AA4"/>
    <w:rsid w:val="00E7323B"/>
    <w:rsid w:val="00E73242"/>
    <w:rsid w:val="00E73921"/>
    <w:rsid w:val="00E73C24"/>
    <w:rsid w:val="00E73E95"/>
    <w:rsid w:val="00E73FAE"/>
    <w:rsid w:val="00E741B0"/>
    <w:rsid w:val="00E7427E"/>
    <w:rsid w:val="00E7466A"/>
    <w:rsid w:val="00E74865"/>
    <w:rsid w:val="00E74C13"/>
    <w:rsid w:val="00E74C4E"/>
    <w:rsid w:val="00E74C77"/>
    <w:rsid w:val="00E74E29"/>
    <w:rsid w:val="00E753D0"/>
    <w:rsid w:val="00E75417"/>
    <w:rsid w:val="00E75ADA"/>
    <w:rsid w:val="00E75C4D"/>
    <w:rsid w:val="00E7613E"/>
    <w:rsid w:val="00E768A5"/>
    <w:rsid w:val="00E76D58"/>
    <w:rsid w:val="00E7726F"/>
    <w:rsid w:val="00E774BA"/>
    <w:rsid w:val="00E77615"/>
    <w:rsid w:val="00E77746"/>
    <w:rsid w:val="00E77883"/>
    <w:rsid w:val="00E77A4A"/>
    <w:rsid w:val="00E80133"/>
    <w:rsid w:val="00E80DA3"/>
    <w:rsid w:val="00E810C6"/>
    <w:rsid w:val="00E816F8"/>
    <w:rsid w:val="00E8179F"/>
    <w:rsid w:val="00E81D54"/>
    <w:rsid w:val="00E81F4A"/>
    <w:rsid w:val="00E82046"/>
    <w:rsid w:val="00E8247A"/>
    <w:rsid w:val="00E82B45"/>
    <w:rsid w:val="00E82C04"/>
    <w:rsid w:val="00E82CB2"/>
    <w:rsid w:val="00E82CC4"/>
    <w:rsid w:val="00E8345C"/>
    <w:rsid w:val="00E8392C"/>
    <w:rsid w:val="00E83A4A"/>
    <w:rsid w:val="00E83A7C"/>
    <w:rsid w:val="00E83C7E"/>
    <w:rsid w:val="00E83F5E"/>
    <w:rsid w:val="00E83F92"/>
    <w:rsid w:val="00E8469C"/>
    <w:rsid w:val="00E846DF"/>
    <w:rsid w:val="00E846EC"/>
    <w:rsid w:val="00E847CC"/>
    <w:rsid w:val="00E8495A"/>
    <w:rsid w:val="00E854E7"/>
    <w:rsid w:val="00E8561D"/>
    <w:rsid w:val="00E8565C"/>
    <w:rsid w:val="00E856ED"/>
    <w:rsid w:val="00E8586E"/>
    <w:rsid w:val="00E85CF4"/>
    <w:rsid w:val="00E85D53"/>
    <w:rsid w:val="00E85D8C"/>
    <w:rsid w:val="00E85FDE"/>
    <w:rsid w:val="00E86426"/>
    <w:rsid w:val="00E864A9"/>
    <w:rsid w:val="00E868CD"/>
    <w:rsid w:val="00E86A86"/>
    <w:rsid w:val="00E86D33"/>
    <w:rsid w:val="00E86F8D"/>
    <w:rsid w:val="00E87920"/>
    <w:rsid w:val="00E87BF3"/>
    <w:rsid w:val="00E87F90"/>
    <w:rsid w:val="00E9019C"/>
    <w:rsid w:val="00E9048F"/>
    <w:rsid w:val="00E90522"/>
    <w:rsid w:val="00E90726"/>
    <w:rsid w:val="00E916B5"/>
    <w:rsid w:val="00E917C3"/>
    <w:rsid w:val="00E91B0F"/>
    <w:rsid w:val="00E91E97"/>
    <w:rsid w:val="00E920CF"/>
    <w:rsid w:val="00E9214D"/>
    <w:rsid w:val="00E921A8"/>
    <w:rsid w:val="00E92244"/>
    <w:rsid w:val="00E922A0"/>
    <w:rsid w:val="00E92591"/>
    <w:rsid w:val="00E925CC"/>
    <w:rsid w:val="00E928E8"/>
    <w:rsid w:val="00E92BBF"/>
    <w:rsid w:val="00E92BCC"/>
    <w:rsid w:val="00E92D52"/>
    <w:rsid w:val="00E930C7"/>
    <w:rsid w:val="00E934CA"/>
    <w:rsid w:val="00E9351A"/>
    <w:rsid w:val="00E9354A"/>
    <w:rsid w:val="00E9357C"/>
    <w:rsid w:val="00E936B8"/>
    <w:rsid w:val="00E93740"/>
    <w:rsid w:val="00E93B77"/>
    <w:rsid w:val="00E93D0B"/>
    <w:rsid w:val="00E94007"/>
    <w:rsid w:val="00E9418D"/>
    <w:rsid w:val="00E94311"/>
    <w:rsid w:val="00E94599"/>
    <w:rsid w:val="00E9464E"/>
    <w:rsid w:val="00E94C9B"/>
    <w:rsid w:val="00E94CAB"/>
    <w:rsid w:val="00E94F69"/>
    <w:rsid w:val="00E94F7D"/>
    <w:rsid w:val="00E94FB2"/>
    <w:rsid w:val="00E95109"/>
    <w:rsid w:val="00E95489"/>
    <w:rsid w:val="00E95990"/>
    <w:rsid w:val="00E95D7E"/>
    <w:rsid w:val="00E961DB"/>
    <w:rsid w:val="00E9626A"/>
    <w:rsid w:val="00E96511"/>
    <w:rsid w:val="00E96BAD"/>
    <w:rsid w:val="00E97239"/>
    <w:rsid w:val="00E972D9"/>
    <w:rsid w:val="00E976D2"/>
    <w:rsid w:val="00E977C0"/>
    <w:rsid w:val="00E979C3"/>
    <w:rsid w:val="00E97B0E"/>
    <w:rsid w:val="00E97F43"/>
    <w:rsid w:val="00E97F9C"/>
    <w:rsid w:val="00EA00A5"/>
    <w:rsid w:val="00EA01B6"/>
    <w:rsid w:val="00EA0276"/>
    <w:rsid w:val="00EA02FB"/>
    <w:rsid w:val="00EA09F6"/>
    <w:rsid w:val="00EA0C0D"/>
    <w:rsid w:val="00EA0FE2"/>
    <w:rsid w:val="00EA101A"/>
    <w:rsid w:val="00EA1152"/>
    <w:rsid w:val="00EA140C"/>
    <w:rsid w:val="00EA15B2"/>
    <w:rsid w:val="00EA1627"/>
    <w:rsid w:val="00EA1758"/>
    <w:rsid w:val="00EA17AD"/>
    <w:rsid w:val="00EA1894"/>
    <w:rsid w:val="00EA1C9C"/>
    <w:rsid w:val="00EA2071"/>
    <w:rsid w:val="00EA20E1"/>
    <w:rsid w:val="00EA20F7"/>
    <w:rsid w:val="00EA225B"/>
    <w:rsid w:val="00EA2299"/>
    <w:rsid w:val="00EA293F"/>
    <w:rsid w:val="00EA2B76"/>
    <w:rsid w:val="00EA2C1F"/>
    <w:rsid w:val="00EA2E71"/>
    <w:rsid w:val="00EA2EAB"/>
    <w:rsid w:val="00EA3090"/>
    <w:rsid w:val="00EA30F5"/>
    <w:rsid w:val="00EA3884"/>
    <w:rsid w:val="00EA45B7"/>
    <w:rsid w:val="00EA4891"/>
    <w:rsid w:val="00EA4A23"/>
    <w:rsid w:val="00EA4A6E"/>
    <w:rsid w:val="00EA4ACA"/>
    <w:rsid w:val="00EA5122"/>
    <w:rsid w:val="00EA5476"/>
    <w:rsid w:val="00EA557E"/>
    <w:rsid w:val="00EA568F"/>
    <w:rsid w:val="00EA598B"/>
    <w:rsid w:val="00EA5BD5"/>
    <w:rsid w:val="00EA5D5A"/>
    <w:rsid w:val="00EA6067"/>
    <w:rsid w:val="00EA6221"/>
    <w:rsid w:val="00EA6307"/>
    <w:rsid w:val="00EA651A"/>
    <w:rsid w:val="00EA6617"/>
    <w:rsid w:val="00EA6721"/>
    <w:rsid w:val="00EA6AF6"/>
    <w:rsid w:val="00EA6C8A"/>
    <w:rsid w:val="00EA6D1D"/>
    <w:rsid w:val="00EA6FDB"/>
    <w:rsid w:val="00EA70BF"/>
    <w:rsid w:val="00EA71FA"/>
    <w:rsid w:val="00EA7314"/>
    <w:rsid w:val="00EA7325"/>
    <w:rsid w:val="00EA7914"/>
    <w:rsid w:val="00EA7D4C"/>
    <w:rsid w:val="00EA7ECD"/>
    <w:rsid w:val="00EB07CC"/>
    <w:rsid w:val="00EB110C"/>
    <w:rsid w:val="00EB124E"/>
    <w:rsid w:val="00EB12F0"/>
    <w:rsid w:val="00EB1690"/>
    <w:rsid w:val="00EB18F1"/>
    <w:rsid w:val="00EB1B49"/>
    <w:rsid w:val="00EB1E7F"/>
    <w:rsid w:val="00EB2035"/>
    <w:rsid w:val="00EB20F5"/>
    <w:rsid w:val="00EB2412"/>
    <w:rsid w:val="00EB24BB"/>
    <w:rsid w:val="00EB2A5B"/>
    <w:rsid w:val="00EB2E5A"/>
    <w:rsid w:val="00EB2FA7"/>
    <w:rsid w:val="00EB33BB"/>
    <w:rsid w:val="00EB395B"/>
    <w:rsid w:val="00EB3DD6"/>
    <w:rsid w:val="00EB3F46"/>
    <w:rsid w:val="00EB4195"/>
    <w:rsid w:val="00EB4B18"/>
    <w:rsid w:val="00EB4BE2"/>
    <w:rsid w:val="00EB51CF"/>
    <w:rsid w:val="00EB53A5"/>
    <w:rsid w:val="00EB53E8"/>
    <w:rsid w:val="00EB54CF"/>
    <w:rsid w:val="00EB5787"/>
    <w:rsid w:val="00EB57F9"/>
    <w:rsid w:val="00EB5A30"/>
    <w:rsid w:val="00EB5AE8"/>
    <w:rsid w:val="00EB604C"/>
    <w:rsid w:val="00EB625B"/>
    <w:rsid w:val="00EB655D"/>
    <w:rsid w:val="00EB6780"/>
    <w:rsid w:val="00EB68F2"/>
    <w:rsid w:val="00EB690F"/>
    <w:rsid w:val="00EB69DA"/>
    <w:rsid w:val="00EB6A36"/>
    <w:rsid w:val="00EB6D4D"/>
    <w:rsid w:val="00EB716F"/>
    <w:rsid w:val="00EB7651"/>
    <w:rsid w:val="00EB7768"/>
    <w:rsid w:val="00EB7A82"/>
    <w:rsid w:val="00EB7AA4"/>
    <w:rsid w:val="00EB7BDE"/>
    <w:rsid w:val="00EB7D3F"/>
    <w:rsid w:val="00EB7E86"/>
    <w:rsid w:val="00EC02B6"/>
    <w:rsid w:val="00EC0779"/>
    <w:rsid w:val="00EC0856"/>
    <w:rsid w:val="00EC091D"/>
    <w:rsid w:val="00EC0B05"/>
    <w:rsid w:val="00EC0C70"/>
    <w:rsid w:val="00EC0D17"/>
    <w:rsid w:val="00EC0D3B"/>
    <w:rsid w:val="00EC0DDB"/>
    <w:rsid w:val="00EC1309"/>
    <w:rsid w:val="00EC15B0"/>
    <w:rsid w:val="00EC1A33"/>
    <w:rsid w:val="00EC1B88"/>
    <w:rsid w:val="00EC1D0B"/>
    <w:rsid w:val="00EC279A"/>
    <w:rsid w:val="00EC31ED"/>
    <w:rsid w:val="00EC32BC"/>
    <w:rsid w:val="00EC35D7"/>
    <w:rsid w:val="00EC3640"/>
    <w:rsid w:val="00EC364E"/>
    <w:rsid w:val="00EC3939"/>
    <w:rsid w:val="00EC3E75"/>
    <w:rsid w:val="00EC403B"/>
    <w:rsid w:val="00EC40FD"/>
    <w:rsid w:val="00EC421D"/>
    <w:rsid w:val="00EC44BA"/>
    <w:rsid w:val="00EC47F1"/>
    <w:rsid w:val="00EC4C3F"/>
    <w:rsid w:val="00EC4F6D"/>
    <w:rsid w:val="00EC5116"/>
    <w:rsid w:val="00EC5418"/>
    <w:rsid w:val="00EC551F"/>
    <w:rsid w:val="00EC5C3F"/>
    <w:rsid w:val="00EC5D47"/>
    <w:rsid w:val="00EC63AA"/>
    <w:rsid w:val="00EC63F4"/>
    <w:rsid w:val="00EC69DF"/>
    <w:rsid w:val="00EC6A62"/>
    <w:rsid w:val="00EC6AAA"/>
    <w:rsid w:val="00EC6EB0"/>
    <w:rsid w:val="00EC6EEF"/>
    <w:rsid w:val="00EC7206"/>
    <w:rsid w:val="00EC72DF"/>
    <w:rsid w:val="00EC74BD"/>
    <w:rsid w:val="00EC77EB"/>
    <w:rsid w:val="00EC7CA5"/>
    <w:rsid w:val="00EC7E62"/>
    <w:rsid w:val="00ED029B"/>
    <w:rsid w:val="00ED0343"/>
    <w:rsid w:val="00ED083E"/>
    <w:rsid w:val="00ED0881"/>
    <w:rsid w:val="00ED0D92"/>
    <w:rsid w:val="00ED1002"/>
    <w:rsid w:val="00ED1A25"/>
    <w:rsid w:val="00ED1E3E"/>
    <w:rsid w:val="00ED27B6"/>
    <w:rsid w:val="00ED27EE"/>
    <w:rsid w:val="00ED2B66"/>
    <w:rsid w:val="00ED2F97"/>
    <w:rsid w:val="00ED362A"/>
    <w:rsid w:val="00ED37F1"/>
    <w:rsid w:val="00ED38C2"/>
    <w:rsid w:val="00ED3F5E"/>
    <w:rsid w:val="00ED44DF"/>
    <w:rsid w:val="00ED4D5B"/>
    <w:rsid w:val="00ED4F2E"/>
    <w:rsid w:val="00ED558B"/>
    <w:rsid w:val="00ED6755"/>
    <w:rsid w:val="00ED68B9"/>
    <w:rsid w:val="00ED7204"/>
    <w:rsid w:val="00ED740D"/>
    <w:rsid w:val="00ED7972"/>
    <w:rsid w:val="00ED7AF7"/>
    <w:rsid w:val="00ED7C36"/>
    <w:rsid w:val="00EE038E"/>
    <w:rsid w:val="00EE0723"/>
    <w:rsid w:val="00EE0B2F"/>
    <w:rsid w:val="00EE0B9E"/>
    <w:rsid w:val="00EE0BB2"/>
    <w:rsid w:val="00EE0ED7"/>
    <w:rsid w:val="00EE1489"/>
    <w:rsid w:val="00EE1CD8"/>
    <w:rsid w:val="00EE1E43"/>
    <w:rsid w:val="00EE1F44"/>
    <w:rsid w:val="00EE22FA"/>
    <w:rsid w:val="00EE23B7"/>
    <w:rsid w:val="00EE2767"/>
    <w:rsid w:val="00EE2BF8"/>
    <w:rsid w:val="00EE2DDB"/>
    <w:rsid w:val="00EE322F"/>
    <w:rsid w:val="00EE33C4"/>
    <w:rsid w:val="00EE373F"/>
    <w:rsid w:val="00EE3A2F"/>
    <w:rsid w:val="00EE4234"/>
    <w:rsid w:val="00EE4277"/>
    <w:rsid w:val="00EE4309"/>
    <w:rsid w:val="00EE4363"/>
    <w:rsid w:val="00EE45A2"/>
    <w:rsid w:val="00EE4A42"/>
    <w:rsid w:val="00EE5090"/>
    <w:rsid w:val="00EE53AD"/>
    <w:rsid w:val="00EE56BF"/>
    <w:rsid w:val="00EE57CF"/>
    <w:rsid w:val="00EE5A71"/>
    <w:rsid w:val="00EE5CAC"/>
    <w:rsid w:val="00EE60B3"/>
    <w:rsid w:val="00EE6233"/>
    <w:rsid w:val="00EE6E5C"/>
    <w:rsid w:val="00EE70A6"/>
    <w:rsid w:val="00EE70F5"/>
    <w:rsid w:val="00EE73D5"/>
    <w:rsid w:val="00EE7B28"/>
    <w:rsid w:val="00EE7BCA"/>
    <w:rsid w:val="00EE7C1D"/>
    <w:rsid w:val="00EE7C29"/>
    <w:rsid w:val="00EE7CDB"/>
    <w:rsid w:val="00EE7DC1"/>
    <w:rsid w:val="00EF03BF"/>
    <w:rsid w:val="00EF04CD"/>
    <w:rsid w:val="00EF06AD"/>
    <w:rsid w:val="00EF0902"/>
    <w:rsid w:val="00EF0908"/>
    <w:rsid w:val="00EF094E"/>
    <w:rsid w:val="00EF0B30"/>
    <w:rsid w:val="00EF0BE5"/>
    <w:rsid w:val="00EF0F49"/>
    <w:rsid w:val="00EF1026"/>
    <w:rsid w:val="00EF128C"/>
    <w:rsid w:val="00EF13FF"/>
    <w:rsid w:val="00EF142F"/>
    <w:rsid w:val="00EF1754"/>
    <w:rsid w:val="00EF176C"/>
    <w:rsid w:val="00EF1BBF"/>
    <w:rsid w:val="00EF1FDE"/>
    <w:rsid w:val="00EF206B"/>
    <w:rsid w:val="00EF2095"/>
    <w:rsid w:val="00EF21AD"/>
    <w:rsid w:val="00EF2355"/>
    <w:rsid w:val="00EF2480"/>
    <w:rsid w:val="00EF2547"/>
    <w:rsid w:val="00EF2708"/>
    <w:rsid w:val="00EF282D"/>
    <w:rsid w:val="00EF2B97"/>
    <w:rsid w:val="00EF2D38"/>
    <w:rsid w:val="00EF33F1"/>
    <w:rsid w:val="00EF3443"/>
    <w:rsid w:val="00EF34E8"/>
    <w:rsid w:val="00EF397C"/>
    <w:rsid w:val="00EF423C"/>
    <w:rsid w:val="00EF4339"/>
    <w:rsid w:val="00EF4376"/>
    <w:rsid w:val="00EF451D"/>
    <w:rsid w:val="00EF4AE8"/>
    <w:rsid w:val="00EF4B6C"/>
    <w:rsid w:val="00EF4D1B"/>
    <w:rsid w:val="00EF4F7C"/>
    <w:rsid w:val="00EF568F"/>
    <w:rsid w:val="00EF5D99"/>
    <w:rsid w:val="00EF6056"/>
    <w:rsid w:val="00EF75AC"/>
    <w:rsid w:val="00EF769E"/>
    <w:rsid w:val="00EF789B"/>
    <w:rsid w:val="00EF792B"/>
    <w:rsid w:val="00EF7F77"/>
    <w:rsid w:val="00EF7F87"/>
    <w:rsid w:val="00F00498"/>
    <w:rsid w:val="00F01188"/>
    <w:rsid w:val="00F01351"/>
    <w:rsid w:val="00F014C4"/>
    <w:rsid w:val="00F017C0"/>
    <w:rsid w:val="00F01A63"/>
    <w:rsid w:val="00F01C05"/>
    <w:rsid w:val="00F01D2A"/>
    <w:rsid w:val="00F01E5A"/>
    <w:rsid w:val="00F0208F"/>
    <w:rsid w:val="00F02293"/>
    <w:rsid w:val="00F02300"/>
    <w:rsid w:val="00F026D5"/>
    <w:rsid w:val="00F0288F"/>
    <w:rsid w:val="00F02A27"/>
    <w:rsid w:val="00F02C1C"/>
    <w:rsid w:val="00F02C78"/>
    <w:rsid w:val="00F02EB6"/>
    <w:rsid w:val="00F02ED8"/>
    <w:rsid w:val="00F0361C"/>
    <w:rsid w:val="00F036DA"/>
    <w:rsid w:val="00F03791"/>
    <w:rsid w:val="00F039B1"/>
    <w:rsid w:val="00F03FAA"/>
    <w:rsid w:val="00F04102"/>
    <w:rsid w:val="00F0431F"/>
    <w:rsid w:val="00F043B6"/>
    <w:rsid w:val="00F044EF"/>
    <w:rsid w:val="00F0470F"/>
    <w:rsid w:val="00F049A2"/>
    <w:rsid w:val="00F0537A"/>
    <w:rsid w:val="00F0558C"/>
    <w:rsid w:val="00F05948"/>
    <w:rsid w:val="00F0596F"/>
    <w:rsid w:val="00F059D3"/>
    <w:rsid w:val="00F05AE1"/>
    <w:rsid w:val="00F065EC"/>
    <w:rsid w:val="00F067C0"/>
    <w:rsid w:val="00F06BDF"/>
    <w:rsid w:val="00F06D04"/>
    <w:rsid w:val="00F06D31"/>
    <w:rsid w:val="00F071B5"/>
    <w:rsid w:val="00F071CD"/>
    <w:rsid w:val="00F0756A"/>
    <w:rsid w:val="00F079EA"/>
    <w:rsid w:val="00F07C10"/>
    <w:rsid w:val="00F07E43"/>
    <w:rsid w:val="00F10776"/>
    <w:rsid w:val="00F10D9C"/>
    <w:rsid w:val="00F10E08"/>
    <w:rsid w:val="00F10E6F"/>
    <w:rsid w:val="00F114FB"/>
    <w:rsid w:val="00F115A1"/>
    <w:rsid w:val="00F11688"/>
    <w:rsid w:val="00F116E5"/>
    <w:rsid w:val="00F117B8"/>
    <w:rsid w:val="00F11C0E"/>
    <w:rsid w:val="00F11D0F"/>
    <w:rsid w:val="00F11F93"/>
    <w:rsid w:val="00F1244D"/>
    <w:rsid w:val="00F12670"/>
    <w:rsid w:val="00F12983"/>
    <w:rsid w:val="00F129F5"/>
    <w:rsid w:val="00F12A80"/>
    <w:rsid w:val="00F12DB0"/>
    <w:rsid w:val="00F12E12"/>
    <w:rsid w:val="00F131D7"/>
    <w:rsid w:val="00F132C6"/>
    <w:rsid w:val="00F13435"/>
    <w:rsid w:val="00F13B7D"/>
    <w:rsid w:val="00F14475"/>
    <w:rsid w:val="00F1456F"/>
    <w:rsid w:val="00F147C7"/>
    <w:rsid w:val="00F148D0"/>
    <w:rsid w:val="00F14ADD"/>
    <w:rsid w:val="00F14B00"/>
    <w:rsid w:val="00F14E4B"/>
    <w:rsid w:val="00F1503E"/>
    <w:rsid w:val="00F15951"/>
    <w:rsid w:val="00F15A32"/>
    <w:rsid w:val="00F15AAE"/>
    <w:rsid w:val="00F15AC5"/>
    <w:rsid w:val="00F15C4D"/>
    <w:rsid w:val="00F15F4A"/>
    <w:rsid w:val="00F16114"/>
    <w:rsid w:val="00F1655F"/>
    <w:rsid w:val="00F165FD"/>
    <w:rsid w:val="00F167B7"/>
    <w:rsid w:val="00F1717B"/>
    <w:rsid w:val="00F171EC"/>
    <w:rsid w:val="00F1734E"/>
    <w:rsid w:val="00F176DD"/>
    <w:rsid w:val="00F17A3A"/>
    <w:rsid w:val="00F17E79"/>
    <w:rsid w:val="00F2030C"/>
    <w:rsid w:val="00F204D4"/>
    <w:rsid w:val="00F205DD"/>
    <w:rsid w:val="00F20AC7"/>
    <w:rsid w:val="00F213CD"/>
    <w:rsid w:val="00F21892"/>
    <w:rsid w:val="00F21EE2"/>
    <w:rsid w:val="00F21EF9"/>
    <w:rsid w:val="00F21FF7"/>
    <w:rsid w:val="00F2280E"/>
    <w:rsid w:val="00F2289D"/>
    <w:rsid w:val="00F22AB6"/>
    <w:rsid w:val="00F22AE8"/>
    <w:rsid w:val="00F22AF8"/>
    <w:rsid w:val="00F22C39"/>
    <w:rsid w:val="00F237DB"/>
    <w:rsid w:val="00F23921"/>
    <w:rsid w:val="00F23A04"/>
    <w:rsid w:val="00F23BC1"/>
    <w:rsid w:val="00F23E68"/>
    <w:rsid w:val="00F24252"/>
    <w:rsid w:val="00F243D2"/>
    <w:rsid w:val="00F24BE2"/>
    <w:rsid w:val="00F24C3A"/>
    <w:rsid w:val="00F24CBE"/>
    <w:rsid w:val="00F24F13"/>
    <w:rsid w:val="00F255EF"/>
    <w:rsid w:val="00F25660"/>
    <w:rsid w:val="00F25792"/>
    <w:rsid w:val="00F257B4"/>
    <w:rsid w:val="00F259AC"/>
    <w:rsid w:val="00F259F4"/>
    <w:rsid w:val="00F25C21"/>
    <w:rsid w:val="00F25C31"/>
    <w:rsid w:val="00F25C8D"/>
    <w:rsid w:val="00F25E1D"/>
    <w:rsid w:val="00F2602F"/>
    <w:rsid w:val="00F2605D"/>
    <w:rsid w:val="00F26890"/>
    <w:rsid w:val="00F26A1D"/>
    <w:rsid w:val="00F26E67"/>
    <w:rsid w:val="00F27081"/>
    <w:rsid w:val="00F273B2"/>
    <w:rsid w:val="00F274DF"/>
    <w:rsid w:val="00F27ECF"/>
    <w:rsid w:val="00F300F8"/>
    <w:rsid w:val="00F301BE"/>
    <w:rsid w:val="00F3043C"/>
    <w:rsid w:val="00F30ECA"/>
    <w:rsid w:val="00F30F36"/>
    <w:rsid w:val="00F30FB7"/>
    <w:rsid w:val="00F31212"/>
    <w:rsid w:val="00F3148B"/>
    <w:rsid w:val="00F314D9"/>
    <w:rsid w:val="00F3195E"/>
    <w:rsid w:val="00F31D3D"/>
    <w:rsid w:val="00F31E64"/>
    <w:rsid w:val="00F31E91"/>
    <w:rsid w:val="00F320AF"/>
    <w:rsid w:val="00F321AC"/>
    <w:rsid w:val="00F321E6"/>
    <w:rsid w:val="00F3255B"/>
    <w:rsid w:val="00F329B6"/>
    <w:rsid w:val="00F32D4D"/>
    <w:rsid w:val="00F33211"/>
    <w:rsid w:val="00F33494"/>
    <w:rsid w:val="00F34258"/>
    <w:rsid w:val="00F3451A"/>
    <w:rsid w:val="00F34803"/>
    <w:rsid w:val="00F34865"/>
    <w:rsid w:val="00F348DF"/>
    <w:rsid w:val="00F34C56"/>
    <w:rsid w:val="00F34D25"/>
    <w:rsid w:val="00F34E20"/>
    <w:rsid w:val="00F34E6B"/>
    <w:rsid w:val="00F350B1"/>
    <w:rsid w:val="00F354FF"/>
    <w:rsid w:val="00F35539"/>
    <w:rsid w:val="00F355FF"/>
    <w:rsid w:val="00F357D6"/>
    <w:rsid w:val="00F35B67"/>
    <w:rsid w:val="00F35CD0"/>
    <w:rsid w:val="00F361BF"/>
    <w:rsid w:val="00F363DC"/>
    <w:rsid w:val="00F36895"/>
    <w:rsid w:val="00F36949"/>
    <w:rsid w:val="00F37026"/>
    <w:rsid w:val="00F37092"/>
    <w:rsid w:val="00F3709D"/>
    <w:rsid w:val="00F373EA"/>
    <w:rsid w:val="00F37729"/>
    <w:rsid w:val="00F37C76"/>
    <w:rsid w:val="00F4019F"/>
    <w:rsid w:val="00F406DF"/>
    <w:rsid w:val="00F4088F"/>
    <w:rsid w:val="00F40FC7"/>
    <w:rsid w:val="00F40FDB"/>
    <w:rsid w:val="00F41687"/>
    <w:rsid w:val="00F41712"/>
    <w:rsid w:val="00F4192C"/>
    <w:rsid w:val="00F41993"/>
    <w:rsid w:val="00F41AA3"/>
    <w:rsid w:val="00F41F3D"/>
    <w:rsid w:val="00F42084"/>
    <w:rsid w:val="00F420A1"/>
    <w:rsid w:val="00F42175"/>
    <w:rsid w:val="00F42C4A"/>
    <w:rsid w:val="00F43349"/>
    <w:rsid w:val="00F43432"/>
    <w:rsid w:val="00F43514"/>
    <w:rsid w:val="00F437FB"/>
    <w:rsid w:val="00F43B37"/>
    <w:rsid w:val="00F43BC4"/>
    <w:rsid w:val="00F43BE4"/>
    <w:rsid w:val="00F43FB8"/>
    <w:rsid w:val="00F4407A"/>
    <w:rsid w:val="00F44A9F"/>
    <w:rsid w:val="00F44B2D"/>
    <w:rsid w:val="00F44C2B"/>
    <w:rsid w:val="00F44CBB"/>
    <w:rsid w:val="00F44E75"/>
    <w:rsid w:val="00F45074"/>
    <w:rsid w:val="00F4538D"/>
    <w:rsid w:val="00F4556B"/>
    <w:rsid w:val="00F45951"/>
    <w:rsid w:val="00F45971"/>
    <w:rsid w:val="00F45CD4"/>
    <w:rsid w:val="00F45D07"/>
    <w:rsid w:val="00F45E1F"/>
    <w:rsid w:val="00F45E96"/>
    <w:rsid w:val="00F45EDD"/>
    <w:rsid w:val="00F4644C"/>
    <w:rsid w:val="00F46698"/>
    <w:rsid w:val="00F46762"/>
    <w:rsid w:val="00F468A1"/>
    <w:rsid w:val="00F469F7"/>
    <w:rsid w:val="00F46CBF"/>
    <w:rsid w:val="00F46F7E"/>
    <w:rsid w:val="00F47664"/>
    <w:rsid w:val="00F47818"/>
    <w:rsid w:val="00F47CF9"/>
    <w:rsid w:val="00F50035"/>
    <w:rsid w:val="00F503A0"/>
    <w:rsid w:val="00F506D1"/>
    <w:rsid w:val="00F50D2D"/>
    <w:rsid w:val="00F50DEB"/>
    <w:rsid w:val="00F50E8F"/>
    <w:rsid w:val="00F50F42"/>
    <w:rsid w:val="00F510E9"/>
    <w:rsid w:val="00F51187"/>
    <w:rsid w:val="00F51B38"/>
    <w:rsid w:val="00F51C46"/>
    <w:rsid w:val="00F51C91"/>
    <w:rsid w:val="00F529A8"/>
    <w:rsid w:val="00F52BBB"/>
    <w:rsid w:val="00F52D55"/>
    <w:rsid w:val="00F530A9"/>
    <w:rsid w:val="00F530AC"/>
    <w:rsid w:val="00F531A3"/>
    <w:rsid w:val="00F5325C"/>
    <w:rsid w:val="00F5329F"/>
    <w:rsid w:val="00F537B5"/>
    <w:rsid w:val="00F53867"/>
    <w:rsid w:val="00F53B76"/>
    <w:rsid w:val="00F53B85"/>
    <w:rsid w:val="00F53E10"/>
    <w:rsid w:val="00F53FDA"/>
    <w:rsid w:val="00F5465E"/>
    <w:rsid w:val="00F54727"/>
    <w:rsid w:val="00F54820"/>
    <w:rsid w:val="00F54DD8"/>
    <w:rsid w:val="00F54E0C"/>
    <w:rsid w:val="00F55405"/>
    <w:rsid w:val="00F5563F"/>
    <w:rsid w:val="00F55945"/>
    <w:rsid w:val="00F5599C"/>
    <w:rsid w:val="00F55FD1"/>
    <w:rsid w:val="00F56124"/>
    <w:rsid w:val="00F56242"/>
    <w:rsid w:val="00F5695E"/>
    <w:rsid w:val="00F56F93"/>
    <w:rsid w:val="00F579E2"/>
    <w:rsid w:val="00F57C45"/>
    <w:rsid w:val="00F601D6"/>
    <w:rsid w:val="00F6045D"/>
    <w:rsid w:val="00F60A94"/>
    <w:rsid w:val="00F60C6C"/>
    <w:rsid w:val="00F60EB7"/>
    <w:rsid w:val="00F6186C"/>
    <w:rsid w:val="00F61D61"/>
    <w:rsid w:val="00F61D77"/>
    <w:rsid w:val="00F6201D"/>
    <w:rsid w:val="00F62291"/>
    <w:rsid w:val="00F62353"/>
    <w:rsid w:val="00F6272F"/>
    <w:rsid w:val="00F62E4C"/>
    <w:rsid w:val="00F6306E"/>
    <w:rsid w:val="00F634FD"/>
    <w:rsid w:val="00F63788"/>
    <w:rsid w:val="00F63B76"/>
    <w:rsid w:val="00F63DB2"/>
    <w:rsid w:val="00F63FCF"/>
    <w:rsid w:val="00F644D9"/>
    <w:rsid w:val="00F64631"/>
    <w:rsid w:val="00F647CF"/>
    <w:rsid w:val="00F64BDD"/>
    <w:rsid w:val="00F64C9F"/>
    <w:rsid w:val="00F64D55"/>
    <w:rsid w:val="00F64DE2"/>
    <w:rsid w:val="00F64F92"/>
    <w:rsid w:val="00F65618"/>
    <w:rsid w:val="00F65745"/>
    <w:rsid w:val="00F6575E"/>
    <w:rsid w:val="00F65884"/>
    <w:rsid w:val="00F65901"/>
    <w:rsid w:val="00F65AE9"/>
    <w:rsid w:val="00F65D8C"/>
    <w:rsid w:val="00F66217"/>
    <w:rsid w:val="00F662C3"/>
    <w:rsid w:val="00F6658A"/>
    <w:rsid w:val="00F66C8D"/>
    <w:rsid w:val="00F673AB"/>
    <w:rsid w:val="00F6756B"/>
    <w:rsid w:val="00F677FF"/>
    <w:rsid w:val="00F6789F"/>
    <w:rsid w:val="00F67CA0"/>
    <w:rsid w:val="00F67F30"/>
    <w:rsid w:val="00F7008F"/>
    <w:rsid w:val="00F702B0"/>
    <w:rsid w:val="00F70491"/>
    <w:rsid w:val="00F706CC"/>
    <w:rsid w:val="00F70AC7"/>
    <w:rsid w:val="00F70EE3"/>
    <w:rsid w:val="00F71276"/>
    <w:rsid w:val="00F71554"/>
    <w:rsid w:val="00F7160B"/>
    <w:rsid w:val="00F7190C"/>
    <w:rsid w:val="00F71A62"/>
    <w:rsid w:val="00F71D98"/>
    <w:rsid w:val="00F71DA9"/>
    <w:rsid w:val="00F720E5"/>
    <w:rsid w:val="00F7211E"/>
    <w:rsid w:val="00F7230D"/>
    <w:rsid w:val="00F725DF"/>
    <w:rsid w:val="00F726C2"/>
    <w:rsid w:val="00F72CFE"/>
    <w:rsid w:val="00F72EEC"/>
    <w:rsid w:val="00F730E6"/>
    <w:rsid w:val="00F73122"/>
    <w:rsid w:val="00F73554"/>
    <w:rsid w:val="00F7371F"/>
    <w:rsid w:val="00F737A6"/>
    <w:rsid w:val="00F73F7E"/>
    <w:rsid w:val="00F74332"/>
    <w:rsid w:val="00F74580"/>
    <w:rsid w:val="00F7487B"/>
    <w:rsid w:val="00F74B28"/>
    <w:rsid w:val="00F74F37"/>
    <w:rsid w:val="00F750B6"/>
    <w:rsid w:val="00F750BB"/>
    <w:rsid w:val="00F75162"/>
    <w:rsid w:val="00F75242"/>
    <w:rsid w:val="00F75281"/>
    <w:rsid w:val="00F7549B"/>
    <w:rsid w:val="00F75A8E"/>
    <w:rsid w:val="00F75ABE"/>
    <w:rsid w:val="00F75C79"/>
    <w:rsid w:val="00F75DB0"/>
    <w:rsid w:val="00F75FE5"/>
    <w:rsid w:val="00F760E8"/>
    <w:rsid w:val="00F762E1"/>
    <w:rsid w:val="00F76B66"/>
    <w:rsid w:val="00F76C30"/>
    <w:rsid w:val="00F77B1B"/>
    <w:rsid w:val="00F80034"/>
    <w:rsid w:val="00F80134"/>
    <w:rsid w:val="00F80233"/>
    <w:rsid w:val="00F80CE9"/>
    <w:rsid w:val="00F81031"/>
    <w:rsid w:val="00F82220"/>
    <w:rsid w:val="00F82232"/>
    <w:rsid w:val="00F82688"/>
    <w:rsid w:val="00F828C9"/>
    <w:rsid w:val="00F8295A"/>
    <w:rsid w:val="00F82BCB"/>
    <w:rsid w:val="00F82D9B"/>
    <w:rsid w:val="00F83577"/>
    <w:rsid w:val="00F837BC"/>
    <w:rsid w:val="00F8383E"/>
    <w:rsid w:val="00F83976"/>
    <w:rsid w:val="00F83C5A"/>
    <w:rsid w:val="00F83CCE"/>
    <w:rsid w:val="00F840D2"/>
    <w:rsid w:val="00F843EF"/>
    <w:rsid w:val="00F8440C"/>
    <w:rsid w:val="00F84957"/>
    <w:rsid w:val="00F853B4"/>
    <w:rsid w:val="00F85443"/>
    <w:rsid w:val="00F857D5"/>
    <w:rsid w:val="00F858EA"/>
    <w:rsid w:val="00F85DB6"/>
    <w:rsid w:val="00F85EAA"/>
    <w:rsid w:val="00F85F2D"/>
    <w:rsid w:val="00F85FA3"/>
    <w:rsid w:val="00F860F6"/>
    <w:rsid w:val="00F86365"/>
    <w:rsid w:val="00F864EE"/>
    <w:rsid w:val="00F86876"/>
    <w:rsid w:val="00F868ED"/>
    <w:rsid w:val="00F869C9"/>
    <w:rsid w:val="00F870A9"/>
    <w:rsid w:val="00F87536"/>
    <w:rsid w:val="00F87583"/>
    <w:rsid w:val="00F875A6"/>
    <w:rsid w:val="00F87856"/>
    <w:rsid w:val="00F9031E"/>
    <w:rsid w:val="00F915E6"/>
    <w:rsid w:val="00F9178F"/>
    <w:rsid w:val="00F91825"/>
    <w:rsid w:val="00F91A44"/>
    <w:rsid w:val="00F91E24"/>
    <w:rsid w:val="00F91E9E"/>
    <w:rsid w:val="00F92039"/>
    <w:rsid w:val="00F922FC"/>
    <w:rsid w:val="00F92301"/>
    <w:rsid w:val="00F92368"/>
    <w:rsid w:val="00F92B39"/>
    <w:rsid w:val="00F92EED"/>
    <w:rsid w:val="00F931A2"/>
    <w:rsid w:val="00F93270"/>
    <w:rsid w:val="00F932D3"/>
    <w:rsid w:val="00F932DE"/>
    <w:rsid w:val="00F93B1A"/>
    <w:rsid w:val="00F93BFA"/>
    <w:rsid w:val="00F93CED"/>
    <w:rsid w:val="00F93DEF"/>
    <w:rsid w:val="00F93F54"/>
    <w:rsid w:val="00F93FD0"/>
    <w:rsid w:val="00F941DD"/>
    <w:rsid w:val="00F94500"/>
    <w:rsid w:val="00F9472D"/>
    <w:rsid w:val="00F94926"/>
    <w:rsid w:val="00F94AD2"/>
    <w:rsid w:val="00F94E17"/>
    <w:rsid w:val="00F94E55"/>
    <w:rsid w:val="00F94E98"/>
    <w:rsid w:val="00F94EE6"/>
    <w:rsid w:val="00F95526"/>
    <w:rsid w:val="00F958C5"/>
    <w:rsid w:val="00F95ACC"/>
    <w:rsid w:val="00F95D52"/>
    <w:rsid w:val="00F95D64"/>
    <w:rsid w:val="00F96277"/>
    <w:rsid w:val="00F96296"/>
    <w:rsid w:val="00F96734"/>
    <w:rsid w:val="00F96A5D"/>
    <w:rsid w:val="00F96AB7"/>
    <w:rsid w:val="00F96F54"/>
    <w:rsid w:val="00F96F8D"/>
    <w:rsid w:val="00F97167"/>
    <w:rsid w:val="00F97320"/>
    <w:rsid w:val="00F97702"/>
    <w:rsid w:val="00F9794F"/>
    <w:rsid w:val="00F97AEB"/>
    <w:rsid w:val="00F97D4C"/>
    <w:rsid w:val="00F97D89"/>
    <w:rsid w:val="00F97F16"/>
    <w:rsid w:val="00FA0463"/>
    <w:rsid w:val="00FA0A33"/>
    <w:rsid w:val="00FA0A46"/>
    <w:rsid w:val="00FA0B3D"/>
    <w:rsid w:val="00FA1E0C"/>
    <w:rsid w:val="00FA2424"/>
    <w:rsid w:val="00FA249B"/>
    <w:rsid w:val="00FA249D"/>
    <w:rsid w:val="00FA25A7"/>
    <w:rsid w:val="00FA2743"/>
    <w:rsid w:val="00FA2768"/>
    <w:rsid w:val="00FA27AA"/>
    <w:rsid w:val="00FA28AF"/>
    <w:rsid w:val="00FA28C7"/>
    <w:rsid w:val="00FA293E"/>
    <w:rsid w:val="00FA2D9E"/>
    <w:rsid w:val="00FA2E69"/>
    <w:rsid w:val="00FA3141"/>
    <w:rsid w:val="00FA3398"/>
    <w:rsid w:val="00FA3441"/>
    <w:rsid w:val="00FA3573"/>
    <w:rsid w:val="00FA3DD4"/>
    <w:rsid w:val="00FA413F"/>
    <w:rsid w:val="00FA49A7"/>
    <w:rsid w:val="00FA4D7D"/>
    <w:rsid w:val="00FA51C4"/>
    <w:rsid w:val="00FA54B2"/>
    <w:rsid w:val="00FA5824"/>
    <w:rsid w:val="00FA58EF"/>
    <w:rsid w:val="00FA5949"/>
    <w:rsid w:val="00FA5BE3"/>
    <w:rsid w:val="00FA5D91"/>
    <w:rsid w:val="00FA613B"/>
    <w:rsid w:val="00FA6284"/>
    <w:rsid w:val="00FA6584"/>
    <w:rsid w:val="00FA692D"/>
    <w:rsid w:val="00FA6975"/>
    <w:rsid w:val="00FA698F"/>
    <w:rsid w:val="00FA6AF7"/>
    <w:rsid w:val="00FA751F"/>
    <w:rsid w:val="00FA7560"/>
    <w:rsid w:val="00FA7722"/>
    <w:rsid w:val="00FA7AF5"/>
    <w:rsid w:val="00FB045C"/>
    <w:rsid w:val="00FB0519"/>
    <w:rsid w:val="00FB05C4"/>
    <w:rsid w:val="00FB0638"/>
    <w:rsid w:val="00FB065C"/>
    <w:rsid w:val="00FB0784"/>
    <w:rsid w:val="00FB07CF"/>
    <w:rsid w:val="00FB0ACB"/>
    <w:rsid w:val="00FB0C76"/>
    <w:rsid w:val="00FB1033"/>
    <w:rsid w:val="00FB135A"/>
    <w:rsid w:val="00FB1705"/>
    <w:rsid w:val="00FB1A99"/>
    <w:rsid w:val="00FB1FDD"/>
    <w:rsid w:val="00FB2027"/>
    <w:rsid w:val="00FB23BA"/>
    <w:rsid w:val="00FB23E9"/>
    <w:rsid w:val="00FB26AB"/>
    <w:rsid w:val="00FB283B"/>
    <w:rsid w:val="00FB2DB4"/>
    <w:rsid w:val="00FB2F63"/>
    <w:rsid w:val="00FB30E7"/>
    <w:rsid w:val="00FB321A"/>
    <w:rsid w:val="00FB3417"/>
    <w:rsid w:val="00FB3D9A"/>
    <w:rsid w:val="00FB3DE0"/>
    <w:rsid w:val="00FB429E"/>
    <w:rsid w:val="00FB48F9"/>
    <w:rsid w:val="00FB49B3"/>
    <w:rsid w:val="00FB4A4E"/>
    <w:rsid w:val="00FB4A51"/>
    <w:rsid w:val="00FB4C98"/>
    <w:rsid w:val="00FB4DEB"/>
    <w:rsid w:val="00FB4FA1"/>
    <w:rsid w:val="00FB5621"/>
    <w:rsid w:val="00FB5913"/>
    <w:rsid w:val="00FB600B"/>
    <w:rsid w:val="00FB6239"/>
    <w:rsid w:val="00FB63D4"/>
    <w:rsid w:val="00FB66B8"/>
    <w:rsid w:val="00FB69D7"/>
    <w:rsid w:val="00FB6C69"/>
    <w:rsid w:val="00FB6CDA"/>
    <w:rsid w:val="00FB7097"/>
    <w:rsid w:val="00FB70D8"/>
    <w:rsid w:val="00FB7287"/>
    <w:rsid w:val="00FB76B0"/>
    <w:rsid w:val="00FB76BF"/>
    <w:rsid w:val="00FB79C1"/>
    <w:rsid w:val="00FB7D18"/>
    <w:rsid w:val="00FC01A2"/>
    <w:rsid w:val="00FC052C"/>
    <w:rsid w:val="00FC0556"/>
    <w:rsid w:val="00FC05B5"/>
    <w:rsid w:val="00FC0828"/>
    <w:rsid w:val="00FC0990"/>
    <w:rsid w:val="00FC0D7B"/>
    <w:rsid w:val="00FC1166"/>
    <w:rsid w:val="00FC14DF"/>
    <w:rsid w:val="00FC15AD"/>
    <w:rsid w:val="00FC1AB2"/>
    <w:rsid w:val="00FC1BA2"/>
    <w:rsid w:val="00FC21C0"/>
    <w:rsid w:val="00FC223B"/>
    <w:rsid w:val="00FC23FE"/>
    <w:rsid w:val="00FC2511"/>
    <w:rsid w:val="00FC2ADA"/>
    <w:rsid w:val="00FC2C68"/>
    <w:rsid w:val="00FC2CAC"/>
    <w:rsid w:val="00FC2F34"/>
    <w:rsid w:val="00FC3376"/>
    <w:rsid w:val="00FC3558"/>
    <w:rsid w:val="00FC3815"/>
    <w:rsid w:val="00FC4024"/>
    <w:rsid w:val="00FC4502"/>
    <w:rsid w:val="00FC456B"/>
    <w:rsid w:val="00FC4976"/>
    <w:rsid w:val="00FC4A6D"/>
    <w:rsid w:val="00FC4C9B"/>
    <w:rsid w:val="00FC4FF5"/>
    <w:rsid w:val="00FC525A"/>
    <w:rsid w:val="00FC5523"/>
    <w:rsid w:val="00FC55B2"/>
    <w:rsid w:val="00FC5CD0"/>
    <w:rsid w:val="00FC5F36"/>
    <w:rsid w:val="00FC63E3"/>
    <w:rsid w:val="00FC64B1"/>
    <w:rsid w:val="00FC6E9D"/>
    <w:rsid w:val="00FC7616"/>
    <w:rsid w:val="00FC7E6B"/>
    <w:rsid w:val="00FC7F7D"/>
    <w:rsid w:val="00FD0237"/>
    <w:rsid w:val="00FD0681"/>
    <w:rsid w:val="00FD0BE3"/>
    <w:rsid w:val="00FD0CD2"/>
    <w:rsid w:val="00FD0F16"/>
    <w:rsid w:val="00FD0F80"/>
    <w:rsid w:val="00FD124C"/>
    <w:rsid w:val="00FD16BF"/>
    <w:rsid w:val="00FD177E"/>
    <w:rsid w:val="00FD1E76"/>
    <w:rsid w:val="00FD25EF"/>
    <w:rsid w:val="00FD27C7"/>
    <w:rsid w:val="00FD2B08"/>
    <w:rsid w:val="00FD32C5"/>
    <w:rsid w:val="00FD3676"/>
    <w:rsid w:val="00FD3C2C"/>
    <w:rsid w:val="00FD3C6F"/>
    <w:rsid w:val="00FD3E34"/>
    <w:rsid w:val="00FD47FD"/>
    <w:rsid w:val="00FD4803"/>
    <w:rsid w:val="00FD491E"/>
    <w:rsid w:val="00FD5043"/>
    <w:rsid w:val="00FD50F4"/>
    <w:rsid w:val="00FD556E"/>
    <w:rsid w:val="00FD56AA"/>
    <w:rsid w:val="00FD59CF"/>
    <w:rsid w:val="00FD5A86"/>
    <w:rsid w:val="00FD5CAC"/>
    <w:rsid w:val="00FD6290"/>
    <w:rsid w:val="00FD63EA"/>
    <w:rsid w:val="00FD6BFD"/>
    <w:rsid w:val="00FD6C41"/>
    <w:rsid w:val="00FD6C6C"/>
    <w:rsid w:val="00FD6C6D"/>
    <w:rsid w:val="00FD6FE4"/>
    <w:rsid w:val="00FD706F"/>
    <w:rsid w:val="00FD71EB"/>
    <w:rsid w:val="00FD733E"/>
    <w:rsid w:val="00FD747F"/>
    <w:rsid w:val="00FD7924"/>
    <w:rsid w:val="00FD7981"/>
    <w:rsid w:val="00FD7E06"/>
    <w:rsid w:val="00FE0306"/>
    <w:rsid w:val="00FE0342"/>
    <w:rsid w:val="00FE0476"/>
    <w:rsid w:val="00FE0565"/>
    <w:rsid w:val="00FE0858"/>
    <w:rsid w:val="00FE0A8A"/>
    <w:rsid w:val="00FE0C14"/>
    <w:rsid w:val="00FE0C24"/>
    <w:rsid w:val="00FE0CA7"/>
    <w:rsid w:val="00FE1561"/>
    <w:rsid w:val="00FE18D3"/>
    <w:rsid w:val="00FE1ED8"/>
    <w:rsid w:val="00FE22A2"/>
    <w:rsid w:val="00FE253D"/>
    <w:rsid w:val="00FE2A96"/>
    <w:rsid w:val="00FE2B82"/>
    <w:rsid w:val="00FE337F"/>
    <w:rsid w:val="00FE35A8"/>
    <w:rsid w:val="00FE39C7"/>
    <w:rsid w:val="00FE3C8B"/>
    <w:rsid w:val="00FE3D19"/>
    <w:rsid w:val="00FE3E35"/>
    <w:rsid w:val="00FE3EAC"/>
    <w:rsid w:val="00FE3F6F"/>
    <w:rsid w:val="00FE41E2"/>
    <w:rsid w:val="00FE4469"/>
    <w:rsid w:val="00FE4DD9"/>
    <w:rsid w:val="00FE5265"/>
    <w:rsid w:val="00FE540E"/>
    <w:rsid w:val="00FE5569"/>
    <w:rsid w:val="00FE5BE6"/>
    <w:rsid w:val="00FE5C6E"/>
    <w:rsid w:val="00FE5C86"/>
    <w:rsid w:val="00FE5EAC"/>
    <w:rsid w:val="00FE614F"/>
    <w:rsid w:val="00FE63F0"/>
    <w:rsid w:val="00FE640A"/>
    <w:rsid w:val="00FE70B7"/>
    <w:rsid w:val="00FE7170"/>
    <w:rsid w:val="00FE7301"/>
    <w:rsid w:val="00FE76C4"/>
    <w:rsid w:val="00FE79E9"/>
    <w:rsid w:val="00FE7D8C"/>
    <w:rsid w:val="00FF04E4"/>
    <w:rsid w:val="00FF058B"/>
    <w:rsid w:val="00FF078C"/>
    <w:rsid w:val="00FF089A"/>
    <w:rsid w:val="00FF0E5E"/>
    <w:rsid w:val="00FF0F2C"/>
    <w:rsid w:val="00FF10EB"/>
    <w:rsid w:val="00FF13B5"/>
    <w:rsid w:val="00FF1BF5"/>
    <w:rsid w:val="00FF1C8E"/>
    <w:rsid w:val="00FF2833"/>
    <w:rsid w:val="00FF28AE"/>
    <w:rsid w:val="00FF2A7E"/>
    <w:rsid w:val="00FF2B0A"/>
    <w:rsid w:val="00FF2C84"/>
    <w:rsid w:val="00FF2CDC"/>
    <w:rsid w:val="00FF2DB8"/>
    <w:rsid w:val="00FF3274"/>
    <w:rsid w:val="00FF34C0"/>
    <w:rsid w:val="00FF3E2E"/>
    <w:rsid w:val="00FF3E35"/>
    <w:rsid w:val="00FF3F37"/>
    <w:rsid w:val="00FF41DC"/>
    <w:rsid w:val="00FF49B9"/>
    <w:rsid w:val="00FF4E1B"/>
    <w:rsid w:val="00FF5021"/>
    <w:rsid w:val="00FF50D0"/>
    <w:rsid w:val="00FF55A3"/>
    <w:rsid w:val="00FF5680"/>
    <w:rsid w:val="00FF56AA"/>
    <w:rsid w:val="00FF5A04"/>
    <w:rsid w:val="00FF5CB8"/>
    <w:rsid w:val="00FF5E34"/>
    <w:rsid w:val="00FF603A"/>
    <w:rsid w:val="00FF63C4"/>
    <w:rsid w:val="00FF6553"/>
    <w:rsid w:val="00FF6594"/>
    <w:rsid w:val="00FF6AC3"/>
    <w:rsid w:val="00FF6CDD"/>
    <w:rsid w:val="00FF6D09"/>
    <w:rsid w:val="00FF6DB2"/>
    <w:rsid w:val="00FF6F31"/>
    <w:rsid w:val="00FF7127"/>
    <w:rsid w:val="00FF7372"/>
    <w:rsid w:val="00FF7453"/>
    <w:rsid w:val="00FF7462"/>
    <w:rsid w:val="00FF768D"/>
    <w:rsid w:val="00FF7F90"/>
    <w:rsid w:val="166A4B53"/>
    <w:rsid w:val="1C9B33A1"/>
    <w:rsid w:val="387C0580"/>
    <w:rsid w:val="3FF96E4B"/>
    <w:rsid w:val="43FB7017"/>
    <w:rsid w:val="7CDA47AF"/>
    <w:rsid w:val="7DBE4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l-GR" w:eastAsia="el-GR" w:bidi="ar-SA"/>
    </w:rPr>
  </w:style>
  <w:style w:type="paragraph" w:styleId="2">
    <w:name w:val="heading 1"/>
    <w:basedOn w:val="1"/>
    <w:next w:val="1"/>
    <w:qFormat/>
    <w:uiPriority w:val="0"/>
    <w:pPr>
      <w:spacing w:before="100" w:beforeAutospacing="1" w:after="100" w:afterAutospacing="1"/>
      <w:outlineLvl w:val="0"/>
    </w:pPr>
    <w:rPr>
      <w:b/>
      <w:bCs/>
      <w:kern w:val="36"/>
      <w:sz w:val="48"/>
      <w:szCs w:val="48"/>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semiHidden/>
    <w:qFormat/>
    <w:uiPriority w:val="0"/>
    <w:rPr>
      <w:rFonts w:ascii="Tahoma" w:hAnsi="Tahoma" w:cs="Tahoma"/>
      <w:sz w:val="16"/>
      <w:szCs w:val="16"/>
    </w:rPr>
  </w:style>
  <w:style w:type="paragraph" w:styleId="6">
    <w:name w:val="Body Text 2"/>
    <w:basedOn w:val="1"/>
    <w:qFormat/>
    <w:uiPriority w:val="0"/>
    <w:pPr>
      <w:ind w:firstLine="720"/>
      <w:jc w:val="both"/>
    </w:pPr>
    <w:rPr>
      <w:rFonts w:ascii="Μοντέρνα" w:hAnsi="Μοντέρνα"/>
      <w:lang w:val="en-US"/>
    </w:rPr>
  </w:style>
  <w:style w:type="paragraph" w:styleId="7">
    <w:name w:val="caption"/>
    <w:basedOn w:val="1"/>
    <w:next w:val="1"/>
    <w:qFormat/>
    <w:uiPriority w:val="0"/>
    <w:rPr>
      <w:b/>
      <w:bCs/>
      <w:sz w:val="20"/>
      <w:szCs w:val="20"/>
    </w:rPr>
  </w:style>
  <w:style w:type="character" w:styleId="8">
    <w:name w:val="annotation reference"/>
    <w:semiHidden/>
    <w:qFormat/>
    <w:uiPriority w:val="0"/>
    <w:rPr>
      <w:sz w:val="16"/>
      <w:szCs w:val="16"/>
    </w:rPr>
  </w:style>
  <w:style w:type="paragraph" w:styleId="9">
    <w:name w:val="annotation text"/>
    <w:basedOn w:val="1"/>
    <w:semiHidden/>
    <w:qFormat/>
    <w:uiPriority w:val="0"/>
    <w:rPr>
      <w:sz w:val="20"/>
      <w:szCs w:val="20"/>
    </w:rPr>
  </w:style>
  <w:style w:type="paragraph" w:styleId="10">
    <w:name w:val="annotation subject"/>
    <w:basedOn w:val="9"/>
    <w:next w:val="9"/>
    <w:semiHidden/>
    <w:qFormat/>
    <w:uiPriority w:val="0"/>
    <w:rPr>
      <w:b/>
      <w:bCs/>
    </w:rPr>
  </w:style>
  <w:style w:type="character" w:styleId="11">
    <w:name w:val="Emphasis"/>
    <w:qFormat/>
    <w:uiPriority w:val="0"/>
    <w:rPr>
      <w:i/>
      <w:iCs/>
    </w:rPr>
  </w:style>
  <w:style w:type="paragraph" w:styleId="12">
    <w:name w:val="footer"/>
    <w:basedOn w:val="1"/>
    <w:link w:val="41"/>
    <w:qFormat/>
    <w:uiPriority w:val="99"/>
    <w:pPr>
      <w:tabs>
        <w:tab w:val="center" w:pos="4153"/>
        <w:tab w:val="right" w:pos="8306"/>
      </w:tabs>
    </w:pPr>
  </w:style>
  <w:style w:type="paragraph" w:styleId="13">
    <w:name w:val="header"/>
    <w:basedOn w:val="1"/>
    <w:qFormat/>
    <w:uiPriority w:val="0"/>
    <w:pPr>
      <w:tabs>
        <w:tab w:val="center" w:pos="4153"/>
        <w:tab w:val="right" w:pos="8306"/>
      </w:tabs>
    </w:pPr>
  </w:style>
  <w:style w:type="character" w:styleId="14">
    <w:name w:val="HTML Cite"/>
    <w:qFormat/>
    <w:uiPriority w:val="0"/>
    <w:rPr>
      <w:i/>
      <w:iCs/>
    </w:rPr>
  </w:style>
  <w:style w:type="character" w:styleId="15">
    <w:name w:val="Hyperlink"/>
    <w:qFormat/>
    <w:uiPriority w:val="0"/>
    <w:rPr>
      <w:color w:val="0000FF"/>
      <w:u w:val="single"/>
    </w:rPr>
  </w:style>
  <w:style w:type="character" w:styleId="16">
    <w:name w:val="line number"/>
    <w:basedOn w:val="3"/>
    <w:qFormat/>
    <w:uiPriority w:val="0"/>
  </w:style>
  <w:style w:type="paragraph" w:styleId="17">
    <w:name w:val="Normal (Web)"/>
    <w:basedOn w:val="1"/>
    <w:unhideWhenUsed/>
    <w:qFormat/>
    <w:uiPriority w:val="99"/>
    <w:pPr>
      <w:spacing w:before="100" w:beforeAutospacing="1" w:after="100" w:afterAutospacing="1"/>
    </w:pPr>
  </w:style>
  <w:style w:type="character" w:styleId="18">
    <w:name w:val="page number"/>
    <w:basedOn w:val="3"/>
    <w:qFormat/>
    <w:uiPriority w:val="0"/>
  </w:style>
  <w:style w:type="table" w:styleId="19">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
    <w:name w:val="Όνομα εταιρείας"/>
    <w:basedOn w:val="1"/>
    <w:next w:val="1"/>
    <w:qFormat/>
    <w:uiPriority w:val="0"/>
    <w:pPr>
      <w:spacing w:line="480" w:lineRule="auto"/>
      <w:jc w:val="both"/>
    </w:pPr>
    <w:rPr>
      <w:szCs w:val="20"/>
      <w:lang w:val="en-US"/>
    </w:rPr>
  </w:style>
  <w:style w:type="paragraph" w:customStyle="1" w:styleId="21">
    <w:name w:val="Default"/>
    <w:qFormat/>
    <w:uiPriority w:val="0"/>
    <w:pPr>
      <w:autoSpaceDE w:val="0"/>
      <w:autoSpaceDN w:val="0"/>
      <w:adjustRightInd w:val="0"/>
    </w:pPr>
    <w:rPr>
      <w:rFonts w:ascii="HelveticaNeueLT Std" w:hAnsi="HelveticaNeueLT Std" w:eastAsia="Times New Roman" w:cs="HelveticaNeueLT Std"/>
      <w:color w:val="000000"/>
      <w:sz w:val="24"/>
      <w:szCs w:val="24"/>
      <w:lang w:val="el-GR" w:eastAsia="el-GR" w:bidi="ar-SA"/>
    </w:rPr>
  </w:style>
  <w:style w:type="character" w:customStyle="1" w:styleId="22">
    <w:name w:val="A3"/>
    <w:qFormat/>
    <w:uiPriority w:val="0"/>
    <w:rPr>
      <w:rFonts w:cs="HelveticaNeueLT Std"/>
      <w:color w:val="000000"/>
      <w:sz w:val="20"/>
      <w:szCs w:val="20"/>
    </w:rPr>
  </w:style>
  <w:style w:type="character" w:customStyle="1" w:styleId="23">
    <w:name w:val="simplepara"/>
    <w:basedOn w:val="3"/>
    <w:qFormat/>
    <w:uiPriority w:val="0"/>
  </w:style>
  <w:style w:type="character" w:customStyle="1" w:styleId="24">
    <w:name w:val="externalref"/>
    <w:basedOn w:val="3"/>
    <w:qFormat/>
    <w:uiPriority w:val="0"/>
  </w:style>
  <w:style w:type="character" w:customStyle="1" w:styleId="25">
    <w:name w:val="refsource"/>
    <w:basedOn w:val="3"/>
    <w:qFormat/>
    <w:uiPriority w:val="0"/>
  </w:style>
  <w:style w:type="character" w:customStyle="1" w:styleId="26">
    <w:name w:val="author"/>
    <w:basedOn w:val="3"/>
    <w:qFormat/>
    <w:uiPriority w:val="0"/>
  </w:style>
  <w:style w:type="character" w:customStyle="1" w:styleId="27">
    <w:name w:val="pubyear"/>
    <w:basedOn w:val="3"/>
    <w:qFormat/>
    <w:uiPriority w:val="0"/>
  </w:style>
  <w:style w:type="character" w:customStyle="1" w:styleId="28">
    <w:name w:val="booktitle"/>
    <w:basedOn w:val="3"/>
    <w:qFormat/>
    <w:uiPriority w:val="0"/>
  </w:style>
  <w:style w:type="character" w:customStyle="1" w:styleId="29">
    <w:name w:val="yiv4394142030logotext"/>
    <w:basedOn w:val="3"/>
    <w:qFormat/>
    <w:uiPriority w:val="0"/>
  </w:style>
  <w:style w:type="character" w:customStyle="1" w:styleId="30">
    <w:name w:val="mixed-citation"/>
    <w:basedOn w:val="3"/>
    <w:qFormat/>
    <w:uiPriority w:val="0"/>
  </w:style>
  <w:style w:type="character" w:customStyle="1" w:styleId="31">
    <w:name w:val="ref-title"/>
    <w:basedOn w:val="3"/>
    <w:qFormat/>
    <w:uiPriority w:val="0"/>
  </w:style>
  <w:style w:type="character" w:customStyle="1" w:styleId="32">
    <w:name w:val="ref-journal"/>
    <w:basedOn w:val="3"/>
    <w:qFormat/>
    <w:uiPriority w:val="0"/>
  </w:style>
  <w:style w:type="character" w:customStyle="1" w:styleId="33">
    <w:name w:val="ref-vol"/>
    <w:basedOn w:val="3"/>
    <w:qFormat/>
    <w:uiPriority w:val="0"/>
  </w:style>
  <w:style w:type="character" w:customStyle="1" w:styleId="34">
    <w:name w:val="nlm_string-name hlfld-contribauthor"/>
    <w:basedOn w:val="3"/>
    <w:qFormat/>
    <w:uiPriority w:val="0"/>
  </w:style>
  <w:style w:type="character" w:customStyle="1" w:styleId="35">
    <w:name w:val="st"/>
    <w:basedOn w:val="3"/>
    <w:qFormat/>
    <w:uiPriority w:val="0"/>
  </w:style>
  <w:style w:type="character" w:customStyle="1" w:styleId="36">
    <w:name w:val="Unresolved Mention1"/>
    <w:semiHidden/>
    <w:unhideWhenUsed/>
    <w:qFormat/>
    <w:uiPriority w:val="99"/>
    <w:rPr>
      <w:color w:val="605E5C"/>
      <w:shd w:val="clear" w:color="auto" w:fill="E1DFDD"/>
    </w:rPr>
  </w:style>
  <w:style w:type="paragraph" w:customStyle="1" w:styleId="37">
    <w:name w:val="Revision1"/>
    <w:hidden/>
    <w:semiHidden/>
    <w:qFormat/>
    <w:uiPriority w:val="99"/>
    <w:rPr>
      <w:rFonts w:ascii="Times New Roman" w:hAnsi="Times New Roman" w:eastAsia="Times New Roman" w:cs="Times New Roman"/>
      <w:sz w:val="24"/>
      <w:szCs w:val="24"/>
      <w:lang w:val="el-GR" w:eastAsia="el-GR" w:bidi="ar-SA"/>
    </w:rPr>
  </w:style>
  <w:style w:type="paragraph" w:customStyle="1" w:styleId="38">
    <w:name w:val="Αναθεώρηση1"/>
    <w:hidden/>
    <w:unhideWhenUsed/>
    <w:qFormat/>
    <w:uiPriority w:val="99"/>
    <w:rPr>
      <w:rFonts w:ascii="Times New Roman" w:hAnsi="Times New Roman" w:eastAsia="Times New Roman" w:cs="Times New Roman"/>
      <w:sz w:val="24"/>
      <w:szCs w:val="24"/>
      <w:lang w:val="el-GR" w:eastAsia="el-GR" w:bidi="ar-SA"/>
    </w:rPr>
  </w:style>
  <w:style w:type="paragraph" w:customStyle="1" w:styleId="39">
    <w:name w:val="Revision"/>
    <w:hidden/>
    <w:unhideWhenUsed/>
    <w:qFormat/>
    <w:uiPriority w:val="99"/>
    <w:rPr>
      <w:rFonts w:ascii="Times New Roman" w:hAnsi="Times New Roman" w:eastAsia="Times New Roman" w:cs="Times New Roman"/>
      <w:sz w:val="24"/>
      <w:szCs w:val="24"/>
      <w:lang w:val="el-GR" w:eastAsia="el-GR" w:bidi="ar-SA"/>
    </w:rPr>
  </w:style>
  <w:style w:type="paragraph" w:styleId="40">
    <w:name w:val="List Paragraph"/>
    <w:basedOn w:val="1"/>
    <w:unhideWhenUsed/>
    <w:qFormat/>
    <w:uiPriority w:val="99"/>
    <w:pPr>
      <w:ind w:left="720"/>
      <w:contextualSpacing/>
    </w:pPr>
  </w:style>
  <w:style w:type="character" w:customStyle="1" w:styleId="41">
    <w:name w:val="Υποσέλιδο Char"/>
    <w:basedOn w:val="3"/>
    <w:link w:val="12"/>
    <w:qFormat/>
    <w:uiPriority w:val="99"/>
    <w:rPr>
      <w:sz w:val="24"/>
      <w:szCs w:val="24"/>
      <w:lang w:val="el-GR" w:eastAsia="el-GR"/>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tiff"/><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DD4D0-45C8-42D6-B79C-96D295027CDF}">
  <ds:schemaRefs/>
</ds:datastoreItem>
</file>

<file path=docProps/app.xml><?xml version="1.0" encoding="utf-8"?>
<Properties xmlns="http://schemas.openxmlformats.org/officeDocument/2006/extended-properties" xmlns:vt="http://schemas.openxmlformats.org/officeDocument/2006/docPropsVTypes">
  <Template>Normal.dotm</Template>
  <Company>aua</Company>
  <Pages>1</Pages>
  <Words>1705</Words>
  <Characters>9720</Characters>
  <Lines>81</Lines>
  <Paragraphs>22</Paragraphs>
  <TotalTime>1876</TotalTime>
  <ScaleCrop>false</ScaleCrop>
  <LinksUpToDate>false</LinksUpToDate>
  <CharactersWithSpaces>11403</CharactersWithSpaces>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2023-10-12T10:13:00Z</dcterms:created>
  <dc:creator>Σπύρος</dc:creator>
  <cp:lastModifiedBy>Stefanos Testempasis</cp:lastModifiedBy>
  <cp:lastPrinted>2023-07-25T10:36:00Z</cp:lastPrinted>
  <dcterms:modified xsi:type="dcterms:W3CDTF">2023-11-21T08:40:48Z</dcterms:modified>
  <dc:title>Evaluation of compost amendments against vascular wilt pathogens</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8e6f2e9dcda85f88329ca07f8c8cdc576ccacfb37964258bd0d135b58085823c</vt:lpwstr>
  </property>
  <property fmtid="{D5CDD505-2E9C-101B-9397-08002B2CF9AE}" pid="3" name="KSOProductBuildVer">
    <vt:lpwstr>1033-12.2.0.13306</vt:lpwstr>
  </property>
  <property fmtid="{D5CDD505-2E9C-101B-9397-08002B2CF9AE}" pid="4" name="ICV">
    <vt:lpwstr>F56252838BD0406795F5A393D4E729C2</vt:lpwstr>
  </property>
</Properties>
</file>