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sz w:val="32"/>
          <w:szCs w:val="32"/>
        </w:rPr>
      </w:pPr>
      <w:r>
        <w:rPr>
          <w:sz w:val="32"/>
          <w:szCs w:val="32"/>
        </w:rPr>
        <w:t xml:space="preserve">Improvement of saline soil properties and </w:t>
      </w:r>
      <w:r>
        <w:rPr>
          <w:i/>
          <w:iCs/>
          <w:sz w:val="32"/>
          <w:szCs w:val="32"/>
        </w:rPr>
        <w:t>Brassica rapa</w:t>
      </w:r>
      <w:r>
        <w:rPr>
          <w:sz w:val="32"/>
          <w:szCs w:val="32"/>
        </w:rPr>
        <w:t xml:space="preserve"> L. growth using biofertilizers</w:t>
      </w:r>
    </w:p>
    <w:p>
      <w:pPr>
        <w:pStyle w:val="10"/>
        <w:rPr>
          <w:rFonts w:eastAsia="宋体"/>
          <w:lang w:eastAsia="zh-CN"/>
        </w:rPr>
      </w:pPr>
      <w:r>
        <w:t>Rui Li</w:t>
      </w:r>
      <w:r>
        <w:rPr>
          <w:rFonts w:hint="eastAsia" w:eastAsia="宋体"/>
          <w:lang w:eastAsia="zh-CN"/>
        </w:rPr>
        <w:t xml:space="preserve"> </w:t>
      </w:r>
      <w:r>
        <w:rPr>
          <w:vertAlign w:val="superscript"/>
        </w:rPr>
        <w:t>1,2</w:t>
      </w:r>
      <w:r>
        <w:rPr>
          <w:rFonts w:hint="eastAsia" w:eastAsia="宋体"/>
          <w:lang w:eastAsia="zh-CN"/>
        </w:rPr>
        <w:t xml:space="preserve">, </w:t>
      </w:r>
      <w:r>
        <w:t xml:space="preserve">Bo Sun </w:t>
      </w:r>
      <w:r>
        <w:rPr>
          <w:vertAlign w:val="superscript"/>
        </w:rPr>
        <w:t>1,2</w:t>
      </w:r>
      <w:r>
        <w:t xml:space="preserve">, Manjiao Song </w:t>
      </w:r>
      <w:r>
        <w:rPr>
          <w:vertAlign w:val="superscript"/>
        </w:rPr>
        <w:t>1,2</w:t>
      </w:r>
      <w:r>
        <w:t xml:space="preserve">, Gaojun Yan </w:t>
      </w:r>
      <w:r>
        <w:rPr>
          <w:vertAlign w:val="superscript"/>
        </w:rPr>
        <w:t>1,2</w:t>
      </w:r>
      <w:r>
        <w:t xml:space="preserve">, Qing Hu </w:t>
      </w:r>
      <w:r>
        <w:rPr>
          <w:vertAlign w:val="superscript"/>
        </w:rPr>
        <w:t>2,3</w:t>
      </w:r>
      <w:r>
        <w:t xml:space="preserve">, Zhihui Bai </w:t>
      </w:r>
      <w:r>
        <w:rPr>
          <w:vertAlign w:val="superscript"/>
        </w:rPr>
        <w:t>1,2,3,</w:t>
      </w:r>
      <w:r>
        <w:t xml:space="preserve">*, </w:t>
      </w:r>
      <w:r>
        <w:rPr>
          <w:rFonts w:hint="eastAsia" w:eastAsia="宋体"/>
          <w:lang w:eastAsia="zh-CN"/>
        </w:rPr>
        <w:t>Jiancheng Wang</w:t>
      </w:r>
      <w:r>
        <w:rPr>
          <w:rFonts w:eastAsia="宋体"/>
          <w:lang w:eastAsia="zh-CN"/>
        </w:rPr>
        <w:t xml:space="preserve"> </w:t>
      </w:r>
      <w:r>
        <w:rPr>
          <w:rFonts w:hint="eastAsia" w:eastAsia="宋体"/>
          <w:vertAlign w:val="superscript"/>
          <w:lang w:val="en-US" w:eastAsia="zh-CN"/>
        </w:rPr>
        <w:t>4</w:t>
      </w:r>
      <w:r>
        <w:rPr>
          <w:vertAlign w:val="superscript"/>
        </w:rPr>
        <w:t>,</w:t>
      </w:r>
      <w:r>
        <w:t xml:space="preserve">*, Xuliang Zhuang </w:t>
      </w:r>
      <w:r>
        <w:rPr>
          <w:vertAlign w:val="superscript"/>
        </w:rPr>
        <w:t>1,2,</w:t>
      </w:r>
      <w:r>
        <w:rPr>
          <w:rFonts w:hint="eastAsia" w:eastAsia="宋体"/>
          <w:vertAlign w:val="superscript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vertAlign w:val="superscript"/>
        </w:rPr>
        <w:t>1</w:t>
      </w:r>
      <w:r>
        <w:rPr>
          <w:rFonts w:hint="eastAsia"/>
          <w:vertAlign w:val="superscript"/>
          <w:lang w:val="en-US" w:eastAsia="zh-CN"/>
        </w:rPr>
        <w:t xml:space="preserve"> </w:t>
      </w:r>
      <w:r>
        <w:t xml:space="preserve">Research Center for Eco-Environmental Sciences, Chinese Academy of Sciences, Beijing </w:t>
      </w:r>
      <w:bookmarkStart w:id="3" w:name="_GoBack"/>
      <w:bookmarkEnd w:id="3"/>
      <w:r>
        <w:t>100085, China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  <w:r>
        <w:rPr>
          <w:rFonts w:hint="eastAsia"/>
          <w:vertAlign w:val="superscript"/>
        </w:rPr>
        <w:t>2</w:t>
      </w:r>
      <w:r>
        <w:rPr>
          <w:rFonts w:hint="eastAsia"/>
          <w:vertAlign w:val="superscript"/>
          <w:lang w:val="en-US" w:eastAsia="zh-CN"/>
        </w:rPr>
        <w:t xml:space="preserve"> </w:t>
      </w:r>
      <w:r>
        <w:rPr>
          <w:rFonts w:hint="eastAsia"/>
        </w:rPr>
        <w:t>University of Chinese Academy of Sciences, Beijing 100049, China.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  <w:r>
        <w:rPr>
          <w:rFonts w:hint="eastAsia"/>
          <w:vertAlign w:val="superscript"/>
        </w:rPr>
        <w:t>3</w:t>
      </w:r>
      <w:r>
        <w:rPr>
          <w:rFonts w:hint="eastAsia"/>
          <w:vertAlign w:val="superscript"/>
          <w:lang w:val="en-US" w:eastAsia="zh-CN"/>
        </w:rPr>
        <w:t xml:space="preserve"> </w:t>
      </w:r>
      <w:r>
        <w:rPr>
          <w:rFonts w:hint="eastAsia"/>
        </w:rPr>
        <w:t>Xiongan Innovation Institute, Xiongan New Area, Hebei 071000, China.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  <w:r>
        <w:rPr>
          <w:rFonts w:hint="eastAsia"/>
          <w:vertAlign w:val="superscript"/>
        </w:rPr>
        <w:t>4</w:t>
      </w:r>
      <w:r>
        <w:rPr>
          <w:rFonts w:hint="eastAsia"/>
          <w:vertAlign w:val="superscript"/>
          <w:lang w:val="en-US" w:eastAsia="zh-CN"/>
        </w:rPr>
        <w:t xml:space="preserve"> </w:t>
      </w:r>
      <w:r>
        <w:rPr>
          <w:rFonts w:hint="eastAsia"/>
        </w:rPr>
        <w:t>Binzhou Institute of Technology, Weiqiao-UCAS Science and Technology Park, Binzhou, Shandong 256606, China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  <w:r>
        <w:rPr>
          <w:rFonts w:hint="eastAsia"/>
          <w:vertAlign w:val="superscript"/>
        </w:rPr>
        <w:t>5</w:t>
      </w:r>
      <w:r>
        <w:rPr>
          <w:rFonts w:hint="eastAsia"/>
          <w:vertAlign w:val="superscript"/>
          <w:lang w:val="en-US" w:eastAsia="zh-CN"/>
        </w:rPr>
        <w:t xml:space="preserve"> </w:t>
      </w:r>
      <w:r>
        <w:rPr>
          <w:rFonts w:hint="eastAsia"/>
        </w:rPr>
        <w:t>Institute of Tibetan Plateau Research, Chinese Academy of Sciences, Beijing 100101, China.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eastAsiaTheme="minorEastAsia"/>
          <w:lang w:val="en-US" w:eastAsia="zh-CN"/>
        </w:rPr>
      </w:pPr>
      <w:r>
        <w:t>Correspondence: zhbai@rcees.ac.cn (Z.B</w:t>
      </w:r>
      <w:r>
        <w:rPr>
          <w:rFonts w:hint="eastAsia"/>
          <w:lang w:val="en-US" w:eastAsia="zh-CN"/>
        </w:rPr>
        <w:t>.</w:t>
      </w:r>
      <w:r>
        <w:t>)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wangjiancheng@wqucas.com</w:t>
      </w:r>
      <w:r>
        <w:rPr>
          <w:rFonts w:hint="eastAsia" w:eastAsia="宋体"/>
          <w:lang w:eastAsia="zh-CN"/>
        </w:rPr>
        <w:t xml:space="preserve"> </w:t>
      </w:r>
      <w:r>
        <w:t>(</w:t>
      </w:r>
      <w:r>
        <w:rPr>
          <w:rFonts w:hint="eastAsia" w:eastAsia="宋体"/>
          <w:lang w:eastAsia="zh-CN"/>
        </w:rPr>
        <w:t>J</w:t>
      </w:r>
      <w:r>
        <w:t>.</w:t>
      </w:r>
      <w:r>
        <w:rPr>
          <w:rFonts w:hint="eastAsia" w:eastAsia="宋体"/>
          <w:lang w:eastAsia="zh-CN"/>
        </w:rPr>
        <w:t>W</w:t>
      </w:r>
      <w:r>
        <w:rPr>
          <w:rFonts w:hint="eastAsia" w:eastAsia="宋体"/>
          <w:lang w:val="en-US" w:eastAsia="zh-CN"/>
        </w:rPr>
        <w:t>.</w:t>
      </w:r>
      <w: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</w:p>
    <w:p>
      <w:pPr>
        <w:spacing w:line="480" w:lineRule="auto"/>
        <w:jc w:val="left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Supplementary Materials:</w:t>
      </w:r>
    </w:p>
    <w:p>
      <w:pPr>
        <w:spacing w:line="480" w:lineRule="auto"/>
        <w:jc w:val="left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S1</w:t>
      </w:r>
      <w:r>
        <w:rPr>
          <w:rFonts w:ascii="Times New Roman" w:hAnsi="Times New Roman" w:cs="Times New Roman"/>
          <w:sz w:val="24"/>
          <w:szCs w:val="24"/>
        </w:rPr>
        <w:t xml:space="preserve"> Properties of saline-alkali soil and organic fertilizers</w:t>
      </w:r>
    </w:p>
    <w:tbl>
      <w:tblPr>
        <w:tblStyle w:val="5"/>
        <w:tblW w:w="83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43"/>
        <w:gridCol w:w="1809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428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Soil sample</w:t>
            </w:r>
          </w:p>
        </w:tc>
        <w:tc>
          <w:tcPr>
            <w:tcW w:w="3936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Organic fertilizer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TSSC (g kg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-1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8.8±0.21</w:t>
            </w:r>
          </w:p>
        </w:tc>
        <w:tc>
          <w:tcPr>
            <w:tcW w:w="1809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OM (g kg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-1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400±24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8.65±0.56</w:t>
            </w:r>
          </w:p>
        </w:tc>
        <w:tc>
          <w:tcPr>
            <w:tcW w:w="1809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 (g kg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-1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18.0±1.17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SOM (g kg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-1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14.7±1.21</w:t>
            </w:r>
          </w:p>
        </w:tc>
        <w:tc>
          <w:tcPr>
            <w:tcW w:w="1809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bscript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 (g kg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-1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11.1±0.21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 (mg kg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-1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9.9±0.87</w:t>
            </w:r>
          </w:p>
        </w:tc>
        <w:tc>
          <w:tcPr>
            <w:tcW w:w="1809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 (g kg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-1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5.8±0.11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 (mg kg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-1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440±47</w:t>
            </w:r>
          </w:p>
        </w:tc>
        <w:tc>
          <w:tcPr>
            <w:tcW w:w="1809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TSSC (g kg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-1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4.0±0.12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 (mg kg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-1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613±55</w:t>
            </w:r>
          </w:p>
        </w:tc>
        <w:tc>
          <w:tcPr>
            <w:tcW w:w="1809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 (g kg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-1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21.3±1.26 </w:t>
            </w:r>
          </w:p>
        </w:tc>
        <w:tc>
          <w:tcPr>
            <w:tcW w:w="1809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C/N ratio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33.3±1.58</w:t>
            </w:r>
          </w:p>
        </w:tc>
        <w:tc>
          <w:tcPr>
            <w:tcW w:w="1809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pStyle w:val="2"/>
        <w:ind w:firstLine="0" w:firstLineChars="0"/>
        <w:rPr>
          <w:rFonts w:eastAsia="宋体"/>
        </w:rPr>
      </w:pPr>
    </w:p>
    <w:p>
      <w:pPr>
        <w:pStyle w:val="2"/>
        <w:ind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5274310" cy="3122930"/>
            <wp:effectExtent l="0" t="0" r="2540" b="1270"/>
            <wp:docPr id="3" name="图片 3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Figure S1.</w:t>
      </w:r>
      <w:r>
        <w:rPr>
          <w:rFonts w:ascii="Times New Roman" w:hAnsi="Times New Roman" w:cs="Times New Roman"/>
          <w:sz w:val="21"/>
          <w:szCs w:val="21"/>
        </w:rPr>
        <w:t xml:space="preserve"> Plant root length (a) and </w:t>
      </w:r>
      <w:r>
        <w:rPr>
          <w:rFonts w:hint="eastAsia" w:ascii="Times New Roman" w:hAnsi="Times New Roman" w:cs="Times New Roman"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 xml:space="preserve">ry weight of underground part (b) of plant. </w:t>
      </w:r>
      <w:bookmarkStart w:id="0" w:name="_Hlk113224192"/>
      <w:bookmarkStart w:id="1" w:name="_Hlk113223727"/>
      <w:bookmarkStart w:id="2" w:name="_Hlk113223211"/>
      <w:r>
        <w:rPr>
          <w:rFonts w:ascii="Times New Roman" w:hAnsi="Times New Roman" w:cs="Times New Roman"/>
          <w:sz w:val="21"/>
          <w:szCs w:val="21"/>
        </w:rPr>
        <w:t xml:space="preserve">CK, control; OF, organic fertilizer; BF, organic fertilizer with </w:t>
      </w:r>
      <w:r>
        <w:rPr>
          <w:rFonts w:ascii="Times New Roman" w:hAnsi="Times New Roman" w:cs="Times New Roman"/>
          <w:i/>
          <w:iCs/>
          <w:sz w:val="21"/>
          <w:szCs w:val="21"/>
        </w:rPr>
        <w:t>B. licheniformis</w:t>
      </w:r>
      <w:r>
        <w:rPr>
          <w:rFonts w:ascii="Times New Roman" w:hAnsi="Times New Roman" w:cs="Times New Roman"/>
          <w:sz w:val="21"/>
          <w:szCs w:val="21"/>
        </w:rPr>
        <w:t xml:space="preserve">; HF, organic fertilizer with </w:t>
      </w:r>
      <w:r>
        <w:rPr>
          <w:rFonts w:ascii="Times New Roman" w:hAnsi="Times New Roman" w:cs="Times New Roman"/>
          <w:i/>
          <w:iCs/>
          <w:sz w:val="21"/>
          <w:szCs w:val="21"/>
        </w:rPr>
        <w:t>H. profundi</w:t>
      </w:r>
      <w:r>
        <w:rPr>
          <w:rFonts w:ascii="Times New Roman" w:hAnsi="Times New Roman" w:cs="Times New Roman"/>
          <w:sz w:val="21"/>
          <w:szCs w:val="21"/>
        </w:rPr>
        <w:t xml:space="preserve">. OM organic fertilizer with </w:t>
      </w:r>
      <w:r>
        <w:rPr>
          <w:rFonts w:ascii="Times New Roman" w:hAnsi="Times New Roman" w:cs="Times New Roman"/>
          <w:i/>
          <w:iCs/>
          <w:sz w:val="21"/>
          <w:szCs w:val="21"/>
        </w:rPr>
        <w:t>B. licheniformis</w:t>
      </w:r>
      <w:r>
        <w:rPr>
          <w:rFonts w:ascii="Times New Roman" w:hAnsi="Times New Roman" w:cs="Times New Roman"/>
          <w:sz w:val="21"/>
          <w:szCs w:val="21"/>
        </w:rPr>
        <w:t xml:space="preserve"> and </w:t>
      </w:r>
      <w:r>
        <w:rPr>
          <w:rFonts w:ascii="Times New Roman" w:hAnsi="Times New Roman" w:cs="Times New Roman"/>
          <w:i/>
          <w:iCs/>
          <w:sz w:val="21"/>
          <w:szCs w:val="21"/>
        </w:rPr>
        <w:t>H. profundi</w:t>
      </w:r>
      <w:r>
        <w:rPr>
          <w:rFonts w:ascii="Times New Roman" w:hAnsi="Times New Roman" w:cs="Times New Roman"/>
          <w:sz w:val="21"/>
          <w:szCs w:val="21"/>
        </w:rPr>
        <w:t>.</w:t>
      </w:r>
      <w:bookmarkEnd w:id="0"/>
      <w:r>
        <w:rPr>
          <w:rFonts w:ascii="Times New Roman" w:hAnsi="Times New Roman" w:cs="Times New Roman"/>
          <w:sz w:val="21"/>
          <w:szCs w:val="21"/>
        </w:rPr>
        <w:t xml:space="preserve"> </w:t>
      </w:r>
      <w:bookmarkEnd w:id="1"/>
      <w:bookmarkEnd w:id="2"/>
      <w:r>
        <w:rPr>
          <w:rFonts w:ascii="Times New Roman" w:hAnsi="Times New Roman" w:cs="Times New Roman"/>
          <w:sz w:val="21"/>
          <w:szCs w:val="21"/>
        </w:rPr>
        <w:t>P-values were analyzed using one-way ANOVA and Student's t-test (</w:t>
      </w:r>
      <w:r>
        <w:rPr>
          <w:rFonts w:ascii="Times New Roman" w:hAnsi="Times New Roman" w:cs="Times New Roman"/>
          <w:i/>
          <w:iCs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 xml:space="preserve"> &lt; 0.05).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1"/>
          <w:szCs w:val="21"/>
        </w:rPr>
      </w:pPr>
    </w:p>
    <w:p>
      <w:pPr>
        <w:keepNext/>
        <w:jc w:val="center"/>
        <w:rPr>
          <w:rFonts w:cs="Times New Roman"/>
        </w:rPr>
      </w:pPr>
      <w:r>
        <w:drawing>
          <wp:inline distT="0" distB="0" distL="0" distR="0">
            <wp:extent cx="5274310" cy="2339975"/>
            <wp:effectExtent l="0" t="0" r="2540" b="3175"/>
            <wp:docPr id="4" name="图片 4" descr="图表, 瀑布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表, 瀑布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Fig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ure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 xml:space="preserve"> S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fldChar w:fldCharType="begin"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instrText xml:space="preserve"> SEQ 附图 \* ARABIC </w:instrTex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fldChar w:fldCharType="separate"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2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fldChar w:fldCharType="end"/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.</w:t>
      </w:r>
      <w:r>
        <w:rPr>
          <w:rFonts w:ascii="Times New Roman" w:hAnsi="Times New Roman" w:eastAsia="宋体" w:cs="Times New Roman"/>
          <w:sz w:val="21"/>
          <w:szCs w:val="21"/>
        </w:rPr>
        <w:t xml:space="preserve"> The content of NH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 w:val="21"/>
          <w:szCs w:val="21"/>
          <w:vertAlign w:val="superscript"/>
        </w:rPr>
        <w:t>+</w:t>
      </w:r>
      <w:r>
        <w:rPr>
          <w:rFonts w:ascii="Times New Roman" w:hAnsi="Times New Roman" w:eastAsia="宋体" w:cs="Times New Roman"/>
          <w:sz w:val="21"/>
          <w:szCs w:val="21"/>
        </w:rPr>
        <w:t>-N (a), NO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 w:val="21"/>
          <w:szCs w:val="21"/>
          <w:vertAlign w:val="superscript"/>
        </w:rPr>
        <w:t>-</w:t>
      </w:r>
      <w:r>
        <w:rPr>
          <w:rFonts w:ascii="Times New Roman" w:hAnsi="Times New Roman" w:eastAsia="宋体" w:cs="Times New Roman"/>
          <w:sz w:val="21"/>
          <w:szCs w:val="21"/>
        </w:rPr>
        <w:t>-N (b), NO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  <w:vertAlign w:val="superscript"/>
        </w:rPr>
        <w:t>-</w:t>
      </w:r>
      <w:r>
        <w:rPr>
          <w:rFonts w:ascii="Times New Roman" w:hAnsi="Times New Roman" w:eastAsia="宋体" w:cs="Times New Roman"/>
          <w:sz w:val="21"/>
          <w:szCs w:val="21"/>
        </w:rPr>
        <w:t xml:space="preserve">-N (c) in the saline-alkali soil. CK, control; OF, organic fertilizer; BF, organic fertilizer with 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B. licheniformis</w:t>
      </w:r>
      <w:r>
        <w:rPr>
          <w:rFonts w:ascii="Times New Roman" w:hAnsi="Times New Roman" w:eastAsia="宋体" w:cs="Times New Roman"/>
          <w:sz w:val="21"/>
          <w:szCs w:val="21"/>
        </w:rPr>
        <w:t xml:space="preserve">; HF, organic fertilizer with 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H. profundi</w:t>
      </w:r>
      <w:r>
        <w:rPr>
          <w:rFonts w:ascii="Times New Roman" w:hAnsi="Times New Roman" w:eastAsia="宋体" w:cs="Times New Roman"/>
          <w:sz w:val="21"/>
          <w:szCs w:val="21"/>
        </w:rPr>
        <w:t xml:space="preserve">. OM organic fertilizer with 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B. licheniformis</w:t>
      </w:r>
      <w:r>
        <w:rPr>
          <w:rFonts w:ascii="Times New Roman" w:hAnsi="Times New Roman" w:eastAsia="宋体" w:cs="Times New Roman"/>
          <w:sz w:val="21"/>
          <w:szCs w:val="21"/>
        </w:rPr>
        <w:t xml:space="preserve"> and 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H. profundi</w:t>
      </w:r>
      <w:r>
        <w:rPr>
          <w:rFonts w:ascii="Times New Roman" w:hAnsi="Times New Roman" w:eastAsia="宋体" w:cs="Times New Roman"/>
          <w:sz w:val="21"/>
          <w:szCs w:val="21"/>
        </w:rPr>
        <w:t>. P-values were analyzed using one-way ANOVA and Student's t-test (</w:t>
      </w:r>
      <w:r>
        <w:rPr>
          <w:rFonts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宋体" w:cs="Times New Roman"/>
          <w:sz w:val="21"/>
          <w:szCs w:val="21"/>
        </w:rPr>
        <w:t xml:space="preserve"> &lt; 0.05).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yszQxNQIzzA2VdJSCU4uLM/PzQApMagHfpCrxLAAAAA=="/>
    <w:docVar w:name="commondata" w:val="eyJoZGlkIjoiZjFiOGFlYTBiZGJjOWI0YzhhOWY1YTQ0OWIwNGY3NDcifQ=="/>
  </w:docVars>
  <w:rsids>
    <w:rsidRoot w:val="003548EE"/>
    <w:rsid w:val="00012B89"/>
    <w:rsid w:val="000212AC"/>
    <w:rsid w:val="000A4478"/>
    <w:rsid w:val="000B01BC"/>
    <w:rsid w:val="00157B80"/>
    <w:rsid w:val="00190220"/>
    <w:rsid w:val="001A5D7D"/>
    <w:rsid w:val="001A6785"/>
    <w:rsid w:val="002142DE"/>
    <w:rsid w:val="00223F52"/>
    <w:rsid w:val="00266ED4"/>
    <w:rsid w:val="00311795"/>
    <w:rsid w:val="003271EB"/>
    <w:rsid w:val="00346E6F"/>
    <w:rsid w:val="003548EE"/>
    <w:rsid w:val="003F658F"/>
    <w:rsid w:val="004445AB"/>
    <w:rsid w:val="0050049D"/>
    <w:rsid w:val="005B4B6E"/>
    <w:rsid w:val="005C67AA"/>
    <w:rsid w:val="005E71AF"/>
    <w:rsid w:val="00752A59"/>
    <w:rsid w:val="00756278"/>
    <w:rsid w:val="008121D8"/>
    <w:rsid w:val="00852DA8"/>
    <w:rsid w:val="008F0E7F"/>
    <w:rsid w:val="008F30FD"/>
    <w:rsid w:val="008F5ED4"/>
    <w:rsid w:val="009A172F"/>
    <w:rsid w:val="00A52865"/>
    <w:rsid w:val="00AE43AC"/>
    <w:rsid w:val="00AE751C"/>
    <w:rsid w:val="00B10349"/>
    <w:rsid w:val="00B12AEA"/>
    <w:rsid w:val="00B452AD"/>
    <w:rsid w:val="00B546F8"/>
    <w:rsid w:val="00BA1B3B"/>
    <w:rsid w:val="00BD1DE3"/>
    <w:rsid w:val="00CA686A"/>
    <w:rsid w:val="00CC72E0"/>
    <w:rsid w:val="00D11914"/>
    <w:rsid w:val="00D1238B"/>
    <w:rsid w:val="00D15C98"/>
    <w:rsid w:val="00D72C3C"/>
    <w:rsid w:val="00D73F2C"/>
    <w:rsid w:val="00DD3CCD"/>
    <w:rsid w:val="00E00114"/>
    <w:rsid w:val="00F1036B"/>
    <w:rsid w:val="00F218AD"/>
    <w:rsid w:val="539058A9"/>
    <w:rsid w:val="78A9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spacing w:line="480" w:lineRule="auto"/>
      <w:ind w:firstLine="200" w:firstLineChars="200"/>
    </w:pPr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MDPI_1.2_title"/>
    <w:next w:val="1"/>
    <w:qFormat/>
    <w:uiPriority w:val="0"/>
    <w:pPr>
      <w:adjustRightInd w:val="0"/>
      <w:snapToGrid w:val="0"/>
      <w:spacing w:after="240" w:line="240" w:lineRule="atLeast"/>
    </w:pPr>
    <w:rPr>
      <w:rFonts w:ascii="Palatino Linotype" w:hAnsi="Palatino Linotype" w:eastAsia="Times New Roman" w:cs="Times New Roman"/>
      <w:b/>
      <w:snapToGrid w:val="0"/>
      <w:color w:val="000000"/>
      <w:sz w:val="36"/>
      <w:lang w:val="en-US" w:eastAsia="de-DE" w:bidi="en-US"/>
    </w:rPr>
  </w:style>
  <w:style w:type="paragraph" w:customStyle="1" w:styleId="10">
    <w:name w:val="MDPI_1.3_authornames"/>
    <w:next w:val="1"/>
    <w:qFormat/>
    <w:uiPriority w:val="0"/>
    <w:pPr>
      <w:adjustRightInd w:val="0"/>
      <w:snapToGrid w:val="0"/>
      <w:spacing w:after="360" w:line="260" w:lineRule="atLeast"/>
    </w:pPr>
    <w:rPr>
      <w:rFonts w:ascii="Palatino Linotype" w:hAnsi="Palatino Linotype" w:eastAsia="Times New Roman" w:cs="Times New Roman"/>
      <w:b/>
      <w:color w:val="000000"/>
      <w:szCs w:val="22"/>
      <w:lang w:val="en-US" w:eastAsia="de-DE" w:bidi="en-US"/>
    </w:rPr>
  </w:style>
  <w:style w:type="paragraph" w:customStyle="1" w:styleId="11">
    <w:name w:val="MDPI_6.1_Citation"/>
    <w:qFormat/>
    <w:uiPriority w:val="0"/>
    <w:pPr>
      <w:adjustRightInd w:val="0"/>
      <w:snapToGrid w:val="0"/>
      <w:spacing w:line="240" w:lineRule="atLeast"/>
      <w:ind w:right="113"/>
    </w:pPr>
    <w:rPr>
      <w:rFonts w:ascii="Palatino Linotype" w:hAnsi="Palatino Linotype" w:eastAsia="宋体" w:cs="Cordia New"/>
      <w:sz w:val="14"/>
      <w:szCs w:val="22"/>
      <w:lang w:val="en-US" w:eastAsia="zh-CN" w:bidi="ar-SA"/>
    </w:rPr>
  </w:style>
  <w:style w:type="paragraph" w:customStyle="1" w:styleId="12">
    <w:name w:val="MDPI_1.4_history"/>
    <w:basedOn w:val="1"/>
    <w:next w:val="1"/>
    <w:qFormat/>
    <w:uiPriority w:val="0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13">
    <w:name w:val="MDPI_7.2_Copyright"/>
    <w:qFormat/>
    <w:uiPriority w:val="0"/>
    <w:pPr>
      <w:adjustRightInd w:val="0"/>
      <w:snapToGrid w:val="0"/>
      <w:spacing w:before="60" w:line="240" w:lineRule="atLeast"/>
      <w:ind w:right="113"/>
      <w:jc w:val="both"/>
    </w:pPr>
    <w:rPr>
      <w:rFonts w:ascii="Palatino Linotype" w:hAnsi="Palatino Linotype" w:eastAsia="Times New Roman" w:cs="Times New Roman"/>
      <w:snapToGrid w:val="0"/>
      <w:color w:val="000000"/>
      <w:sz w:val="14"/>
      <w:lang w:val="en-GB" w:eastAsia="en-GB" w:bidi="ar-SA"/>
    </w:rPr>
  </w:style>
  <w:style w:type="paragraph" w:customStyle="1" w:styleId="14">
    <w:name w:val="MDPI_1.6_affiliation"/>
    <w:qFormat/>
    <w:uiPriority w:val="0"/>
    <w:pPr>
      <w:adjustRightInd w:val="0"/>
      <w:snapToGrid w:val="0"/>
      <w:spacing w:line="200" w:lineRule="atLeast"/>
      <w:ind w:left="2806" w:hanging="198"/>
    </w:pPr>
    <w:rPr>
      <w:rFonts w:ascii="Palatino Linotype" w:hAnsi="Palatino Linotype" w:eastAsia="Times New Roman" w:cs="Times New Roman"/>
      <w:color w:val="000000"/>
      <w:sz w:val="16"/>
      <w:szCs w:val="18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964</Characters>
  <Lines>8</Lines>
  <Paragraphs>2</Paragraphs>
  <TotalTime>1</TotalTime>
  <ScaleCrop>false</ScaleCrop>
  <LinksUpToDate>false</LinksUpToDate>
  <CharactersWithSpaces>1130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2022-09-04T14:24:00Z</dcterms:created>
  <dc:creator>Rui LI</dc:creator>
  <cp:lastModifiedBy>白志辉</cp:lastModifiedBy>
  <dcterms:modified xsi:type="dcterms:W3CDTF">2023-11-10T16:29:16Z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0B5E0D5646B94469A38A7AB94472A256_13</vt:lpwstr>
  </property>
</Properties>
</file>