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48" w:rsidRPr="00E51014" w:rsidRDefault="0030615B" w:rsidP="00342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1014">
        <w:rPr>
          <w:rFonts w:ascii="Times New Roman" w:hAnsi="Times New Roman" w:cs="Times New Roman"/>
          <w:b/>
          <w:sz w:val="24"/>
          <w:szCs w:val="24"/>
        </w:rPr>
        <w:t>SUPPLEMENTA</w:t>
      </w:r>
      <w:r w:rsidR="0034230E">
        <w:rPr>
          <w:rFonts w:ascii="Times New Roman" w:hAnsi="Times New Roman" w:cs="Times New Roman"/>
          <w:b/>
          <w:sz w:val="24"/>
          <w:szCs w:val="24"/>
        </w:rPr>
        <w:t>RY</w:t>
      </w:r>
      <w:r w:rsidRPr="00E510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E84" w:rsidRPr="00E51014">
        <w:rPr>
          <w:rFonts w:ascii="Times New Roman" w:hAnsi="Times New Roman" w:cs="Times New Roman"/>
          <w:b/>
          <w:sz w:val="24"/>
          <w:szCs w:val="24"/>
        </w:rPr>
        <w:t>MATERIALS</w:t>
      </w:r>
    </w:p>
    <w:p w:rsidR="0030615B" w:rsidRPr="00E51014" w:rsidRDefault="0030615B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014">
        <w:rPr>
          <w:rFonts w:ascii="Times New Roman" w:hAnsi="Times New Roman" w:cs="Times New Roman"/>
          <w:b/>
          <w:sz w:val="24"/>
          <w:szCs w:val="24"/>
        </w:rPr>
        <w:t>General Methods</w:t>
      </w:r>
    </w:p>
    <w:p w:rsidR="006768B2" w:rsidRPr="00AC58AD" w:rsidRDefault="00F11BE3" w:rsidP="00AC58AD">
      <w:pPr>
        <w:jc w:val="both"/>
        <w:rPr>
          <w:rFonts w:ascii="Times New Roman" w:hAnsi="Times New Roman" w:cs="Times New Roman"/>
          <w:sz w:val="24"/>
        </w:rPr>
      </w:pPr>
      <w:r w:rsidRPr="00F11BE3">
        <w:rPr>
          <w:rFonts w:ascii="Times New Roman" w:hAnsi="Times New Roman" w:cs="Times New Roman"/>
          <w:sz w:val="24"/>
        </w:rPr>
        <w:t xml:space="preserve">1-(1,1-Dimethylethyl) </w:t>
      </w:r>
      <w:proofErr w:type="spellStart"/>
      <w:r w:rsidRPr="00F11BE3">
        <w:rPr>
          <w:rFonts w:ascii="Times New Roman" w:hAnsi="Times New Roman" w:cs="Times New Roman"/>
          <w:sz w:val="24"/>
        </w:rPr>
        <w:t>butanedioate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r w:rsidRPr="00F11BE3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sz w:val="24"/>
        </w:rPr>
        <w:t>),</w:t>
      </w:r>
      <w:r w:rsidRPr="00F11BE3">
        <w:rPr>
          <w:rFonts w:ascii="Times New Roman" w:hAnsi="Times New Roman" w:cs="Times New Roman"/>
          <w:sz w:val="24"/>
        </w:rPr>
        <w:t xml:space="preserve"> </w:t>
      </w:r>
      <w:r w:rsidR="006768B2" w:rsidRPr="00AC58AD">
        <w:rPr>
          <w:rFonts w:ascii="Times New Roman" w:hAnsi="Times New Roman" w:cs="Times New Roman"/>
          <w:sz w:val="24"/>
        </w:rPr>
        <w:t>(</w:t>
      </w:r>
      <w:r w:rsidR="006768B2" w:rsidRPr="000720E3">
        <w:rPr>
          <w:rFonts w:ascii="Times New Roman" w:hAnsi="Times New Roman" w:cs="Times New Roman"/>
          <w:i/>
          <w:sz w:val="24"/>
        </w:rPr>
        <w:t>S</w:t>
      </w:r>
      <w:r w:rsidR="006768B2" w:rsidRPr="00AC58AD">
        <w:rPr>
          <w:rFonts w:ascii="Times New Roman" w:hAnsi="Times New Roman" w:cs="Times New Roman"/>
          <w:sz w:val="24"/>
        </w:rPr>
        <w:t>)-</w:t>
      </w:r>
      <w:r w:rsidR="006768B2" w:rsidRPr="000720E3">
        <w:rPr>
          <w:rFonts w:ascii="Times New Roman" w:hAnsi="Times New Roman" w:cs="Times New Roman"/>
          <w:i/>
          <w:sz w:val="24"/>
        </w:rPr>
        <w:t>N</w:t>
      </w:r>
      <w:r w:rsidR="006768B2" w:rsidRPr="00AC58AD">
        <w:rPr>
          <w:rFonts w:ascii="Times New Roman" w:hAnsi="Times New Roman" w:cs="Times New Roman"/>
          <w:sz w:val="24"/>
        </w:rPr>
        <w:t>-(2-(2-</w:t>
      </w:r>
      <w:r w:rsidR="000720E3">
        <w:rPr>
          <w:rFonts w:ascii="Times New Roman" w:hAnsi="Times New Roman" w:cs="Times New Roman"/>
          <w:sz w:val="24"/>
        </w:rPr>
        <w:t>c</w:t>
      </w:r>
      <w:r w:rsidR="006768B2" w:rsidRPr="00AC58AD">
        <w:rPr>
          <w:rFonts w:ascii="Times New Roman" w:hAnsi="Times New Roman" w:cs="Times New Roman"/>
          <w:sz w:val="24"/>
        </w:rPr>
        <w:t>yano-4,4-diflu</w:t>
      </w:r>
      <w:r>
        <w:rPr>
          <w:rFonts w:ascii="Times New Roman" w:hAnsi="Times New Roman" w:cs="Times New Roman"/>
          <w:sz w:val="24"/>
        </w:rPr>
        <w:t>oropyrrolidin-1-yl)-2-oxoethyl)-</w:t>
      </w:r>
      <w:r w:rsidR="006768B2" w:rsidRPr="00AC58AD">
        <w:rPr>
          <w:rFonts w:ascii="Times New Roman" w:hAnsi="Times New Roman" w:cs="Times New Roman"/>
          <w:sz w:val="24"/>
        </w:rPr>
        <w:t>2</w:t>
      </w:r>
      <w:r w:rsidR="006768B2" w:rsidRPr="00AC58AD">
        <w:rPr>
          <w:rFonts w:ascii="Cambria Math" w:eastAsia="Cambria Math" w:hAnsi="Cambria Math" w:cs="Cambria Math"/>
          <w:sz w:val="24"/>
        </w:rPr>
        <w:t>‐</w:t>
      </w:r>
      <w:r w:rsidR="006768B2" w:rsidRPr="00AC58AD">
        <w:rPr>
          <w:rFonts w:ascii="Times New Roman" w:hAnsi="Times New Roman" w:cs="Times New Roman"/>
          <w:sz w:val="24"/>
        </w:rPr>
        <w:t>[[2</w:t>
      </w:r>
      <w:r w:rsidR="006768B2" w:rsidRPr="00AC58AD">
        <w:rPr>
          <w:rFonts w:ascii="Cambria Math" w:eastAsia="Cambria Math" w:hAnsi="Cambria Math" w:cs="Cambria Math"/>
          <w:sz w:val="24"/>
        </w:rPr>
        <w:t>‐</w:t>
      </w:r>
      <w:r w:rsidR="006768B2" w:rsidRPr="00AC58AD">
        <w:rPr>
          <w:rFonts w:ascii="Times New Roman" w:hAnsi="Times New Roman" w:cs="Times New Roman"/>
          <w:sz w:val="24"/>
        </w:rPr>
        <w:t>[[(</w:t>
      </w:r>
      <w:r w:rsidR="006768B2" w:rsidRPr="000720E3">
        <w:rPr>
          <w:rFonts w:ascii="Times New Roman" w:hAnsi="Times New Roman" w:cs="Times New Roman"/>
          <w:i/>
          <w:sz w:val="24"/>
        </w:rPr>
        <w:t>tert</w:t>
      </w:r>
      <w:r w:rsidR="006768B2" w:rsidRPr="00AC58AD">
        <w:rPr>
          <w:rFonts w:ascii="Cambria Math" w:eastAsia="Cambria Math" w:hAnsi="Cambria Math" w:cs="Cambria Math"/>
          <w:sz w:val="24"/>
        </w:rPr>
        <w:t>‐</w:t>
      </w:r>
      <w:r>
        <w:rPr>
          <w:rFonts w:ascii="Times New Roman" w:hAnsi="Times New Roman" w:cs="Times New Roman"/>
          <w:sz w:val="24"/>
        </w:rPr>
        <w:t>butoxy)</w:t>
      </w:r>
      <w:r w:rsidR="006768B2" w:rsidRPr="00AC58AD">
        <w:rPr>
          <w:rFonts w:ascii="Times New Roman" w:hAnsi="Times New Roman" w:cs="Times New Roman"/>
          <w:sz w:val="24"/>
        </w:rPr>
        <w:t>carbonyl]methylamino]ethyl]methylamino]pyridine</w:t>
      </w:r>
      <w:r w:rsidR="006768B2" w:rsidRPr="00AC58AD">
        <w:rPr>
          <w:rFonts w:ascii="Cambria Math" w:eastAsia="Cambria Math" w:hAnsi="Cambria Math" w:cs="Cambria Math"/>
          <w:sz w:val="24"/>
        </w:rPr>
        <w:t>‐</w:t>
      </w:r>
      <w:r w:rsidR="006768B2" w:rsidRPr="00AC58AD">
        <w:rPr>
          <w:rFonts w:ascii="Times New Roman" w:hAnsi="Times New Roman" w:cs="Times New Roman"/>
          <w:sz w:val="24"/>
        </w:rPr>
        <w:t>4</w:t>
      </w:r>
      <w:r w:rsidR="006768B2" w:rsidRPr="00AC58AD">
        <w:rPr>
          <w:rFonts w:ascii="Cambria Math" w:eastAsia="Cambria Math" w:hAnsi="Cambria Math" w:cs="Cambria Math"/>
          <w:sz w:val="24"/>
        </w:rPr>
        <w:t>‐</w:t>
      </w:r>
      <w:r>
        <w:rPr>
          <w:rFonts w:ascii="Cambria Math" w:eastAsia="Cambria Math" w:hAnsi="Cambria Math" w:cs="Cambria Math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carboxamide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768B2" w:rsidRPr="00AC58AD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b/>
          <w:sz w:val="24"/>
        </w:rPr>
        <w:t>3</w:t>
      </w:r>
      <w:r w:rsidR="006768B2" w:rsidRPr="00AC58AD">
        <w:rPr>
          <w:rFonts w:ascii="Times New Roman" w:hAnsi="Times New Roman" w:cs="Times New Roman"/>
          <w:sz w:val="24"/>
        </w:rPr>
        <w:t>), AV02070, Ga-AV02070, [</w:t>
      </w:r>
      <w:r w:rsidR="006768B2" w:rsidRPr="00AC58AD">
        <w:rPr>
          <w:rFonts w:ascii="Times New Roman" w:hAnsi="Times New Roman" w:cs="Times New Roman"/>
          <w:sz w:val="24"/>
          <w:vertAlign w:val="superscript"/>
        </w:rPr>
        <w:t>68</w:t>
      </w:r>
      <w:r w:rsidR="006768B2" w:rsidRPr="00AC58AD">
        <w:rPr>
          <w:rFonts w:ascii="Times New Roman" w:hAnsi="Times New Roman" w:cs="Times New Roman"/>
          <w:sz w:val="24"/>
        </w:rPr>
        <w:t>Ga]Ga-AV02070, PSMA-617, Ga-PSMA-617, and [</w:t>
      </w:r>
      <w:r w:rsidR="006768B2" w:rsidRPr="00AC58AD">
        <w:rPr>
          <w:rFonts w:ascii="Times New Roman" w:hAnsi="Times New Roman" w:cs="Times New Roman"/>
          <w:sz w:val="24"/>
          <w:vertAlign w:val="superscript"/>
        </w:rPr>
        <w:t>68</w:t>
      </w:r>
      <w:r w:rsidR="006768B2" w:rsidRPr="00AC58AD">
        <w:rPr>
          <w:rFonts w:ascii="Times New Roman" w:hAnsi="Times New Roman" w:cs="Times New Roman"/>
          <w:sz w:val="24"/>
        </w:rPr>
        <w:t>Ga]Ga-PSMA-617 were synthesized following literature procedure</w:t>
      </w:r>
      <w:r w:rsidR="00CE3DB6" w:rsidRPr="00E51014">
        <w:rPr>
          <w:rFonts w:ascii="Times New Roman" w:hAnsi="Times New Roman" w:cs="Times New Roman"/>
          <w:sz w:val="24"/>
        </w:rPr>
        <w:t xml:space="preserve"> </w:t>
      </w:r>
      <w:r w:rsidRPr="000720E3">
        <w:rPr>
          <w:rFonts w:ascii="Times New Roman" w:hAnsi="Times New Roman" w:cs="Times New Roman"/>
          <w:sz w:val="24"/>
          <w:szCs w:val="24"/>
        </w:rPr>
        <w:t>[1–4]</w:t>
      </w:r>
      <w:r w:rsidR="006768B2" w:rsidRPr="00AC58AD">
        <w:rPr>
          <w:rFonts w:ascii="Times New Roman" w:hAnsi="Times New Roman" w:cs="Times New Roman"/>
          <w:sz w:val="24"/>
        </w:rPr>
        <w:t xml:space="preserve">. All other chemicals and solvents were obtained from commercial sources and used without further purification. Purification and quality control of DOTA-conjugated ligands and their </w:t>
      </w:r>
      <w:r w:rsidR="006768B2" w:rsidRPr="00AC58AD">
        <w:rPr>
          <w:rFonts w:ascii="Times New Roman" w:hAnsi="Times New Roman" w:cs="Times New Roman"/>
          <w:sz w:val="24"/>
          <w:vertAlign w:val="superscript"/>
        </w:rPr>
        <w:t>nat</w:t>
      </w:r>
      <w:r w:rsidR="006768B2" w:rsidRPr="00AC58AD">
        <w:rPr>
          <w:rFonts w:ascii="Times New Roman" w:hAnsi="Times New Roman" w:cs="Times New Roman"/>
          <w:sz w:val="24"/>
        </w:rPr>
        <w:t>Ga/</w:t>
      </w:r>
      <w:r w:rsidR="006768B2" w:rsidRPr="00AC58AD">
        <w:rPr>
          <w:rFonts w:ascii="Times New Roman" w:hAnsi="Times New Roman" w:cs="Times New Roman"/>
          <w:sz w:val="24"/>
          <w:vertAlign w:val="superscript"/>
        </w:rPr>
        <w:t>68</w:t>
      </w:r>
      <w:r w:rsidR="006768B2" w:rsidRPr="00AC58AD">
        <w:rPr>
          <w:rFonts w:ascii="Times New Roman" w:hAnsi="Times New Roman" w:cs="Times New Roman"/>
          <w:sz w:val="24"/>
        </w:rPr>
        <w:t>Ga-complexed analogs were performed on Agilent (Santa Clara, CA</w:t>
      </w:r>
      <w:r w:rsidR="003E5E6A">
        <w:rPr>
          <w:rFonts w:ascii="Times New Roman" w:hAnsi="Times New Roman" w:cs="Times New Roman"/>
          <w:sz w:val="24"/>
        </w:rPr>
        <w:t>, USA</w:t>
      </w:r>
      <w:r w:rsidR="006768B2" w:rsidRPr="00AC58AD">
        <w:rPr>
          <w:rFonts w:ascii="Times New Roman" w:hAnsi="Times New Roman" w:cs="Times New Roman"/>
          <w:sz w:val="24"/>
        </w:rPr>
        <w:t>) HPLC systems equipped with a model 1200 quaternary pump, a model 1200 UV absorbance detector (220 nm), and a Bioscan (Washington, DC</w:t>
      </w:r>
      <w:r w:rsidR="003E5E6A">
        <w:rPr>
          <w:rFonts w:ascii="Times New Roman" w:hAnsi="Times New Roman" w:cs="Times New Roman"/>
          <w:sz w:val="24"/>
        </w:rPr>
        <w:t>, USA</w:t>
      </w:r>
      <w:r w:rsidR="006768B2" w:rsidRPr="00AC58AD">
        <w:rPr>
          <w:rFonts w:ascii="Times New Roman" w:hAnsi="Times New Roman" w:cs="Times New Roman"/>
          <w:sz w:val="24"/>
        </w:rPr>
        <w:t>) NaI scintillation detector. The HPLC columns used were a semi-preparative column (Luna C18, 5 µm, 250 × 10 mm) and an analytical column (Luna C18, 5 µm, 250 × 4.6 mm) purchased from Phenomenex (Torrance, CA</w:t>
      </w:r>
      <w:r w:rsidR="003E5E6A">
        <w:rPr>
          <w:rFonts w:ascii="Times New Roman" w:hAnsi="Times New Roman" w:cs="Times New Roman"/>
          <w:sz w:val="24"/>
        </w:rPr>
        <w:t>, USA</w:t>
      </w:r>
      <w:r w:rsidR="006768B2" w:rsidRPr="00AC58AD">
        <w:rPr>
          <w:rFonts w:ascii="Times New Roman" w:hAnsi="Times New Roman" w:cs="Times New Roman"/>
          <w:sz w:val="24"/>
        </w:rPr>
        <w:t xml:space="preserve">). The collected HPLC eluates containing the desired </w:t>
      </w:r>
      <w:r w:rsidR="003E5E6A">
        <w:rPr>
          <w:rFonts w:ascii="Times New Roman" w:hAnsi="Times New Roman" w:cs="Times New Roman"/>
          <w:sz w:val="24"/>
        </w:rPr>
        <w:t>products</w:t>
      </w:r>
      <w:r w:rsidR="006768B2" w:rsidRPr="00AC58AD">
        <w:rPr>
          <w:rFonts w:ascii="Times New Roman" w:hAnsi="Times New Roman" w:cs="Times New Roman"/>
          <w:sz w:val="24"/>
        </w:rPr>
        <w:t xml:space="preserve"> were lyophilized using a Labconco (Kansas City, MO</w:t>
      </w:r>
      <w:r w:rsidR="003E5E6A">
        <w:rPr>
          <w:rFonts w:ascii="Times New Roman" w:hAnsi="Times New Roman" w:cs="Times New Roman"/>
          <w:sz w:val="24"/>
        </w:rPr>
        <w:t>, USA</w:t>
      </w:r>
      <w:r w:rsidR="006768B2" w:rsidRPr="00AC58AD">
        <w:rPr>
          <w:rFonts w:ascii="Times New Roman" w:hAnsi="Times New Roman" w:cs="Times New Roman"/>
          <w:sz w:val="24"/>
        </w:rPr>
        <w:t xml:space="preserve">) FreeZone 4.5 Plus freeze-drier. </w:t>
      </w:r>
      <w:r w:rsidR="005135F0" w:rsidRPr="00E1771C">
        <w:rPr>
          <w:rFonts w:ascii="Times New Roman" w:hAnsi="Times New Roman" w:cs="Times New Roman"/>
          <w:sz w:val="24"/>
          <w:vertAlign w:val="superscript"/>
          <w:lang w:val="en-CA"/>
        </w:rPr>
        <w:t>1</w:t>
      </w:r>
      <w:r w:rsidR="005135F0" w:rsidRPr="005D3044">
        <w:rPr>
          <w:rFonts w:ascii="Times New Roman" w:hAnsi="Times New Roman" w:cs="Times New Roman"/>
          <w:sz w:val="24"/>
        </w:rPr>
        <w:t xml:space="preserve">H NMR </w:t>
      </w:r>
      <w:r w:rsidR="005135F0">
        <w:rPr>
          <w:rFonts w:ascii="Times New Roman" w:hAnsi="Times New Roman" w:cs="Times New Roman"/>
          <w:sz w:val="24"/>
        </w:rPr>
        <w:t xml:space="preserve">acquisitions </w:t>
      </w:r>
      <w:r w:rsidR="005135F0" w:rsidRPr="005D3044">
        <w:rPr>
          <w:rFonts w:ascii="Times New Roman" w:hAnsi="Times New Roman" w:cs="Times New Roman"/>
          <w:sz w:val="24"/>
        </w:rPr>
        <w:t xml:space="preserve">were taken by </w:t>
      </w:r>
      <w:r w:rsidR="0026021E">
        <w:rPr>
          <w:rFonts w:ascii="Times New Roman" w:hAnsi="Times New Roman" w:cs="Times New Roman"/>
          <w:sz w:val="24"/>
        </w:rPr>
        <w:t xml:space="preserve">a </w:t>
      </w:r>
      <w:proofErr w:type="spellStart"/>
      <w:r w:rsidR="005135F0" w:rsidRPr="005D3044">
        <w:rPr>
          <w:rFonts w:ascii="Times New Roman" w:hAnsi="Times New Roman" w:cs="Times New Roman"/>
          <w:sz w:val="24"/>
        </w:rPr>
        <w:t>Bruker</w:t>
      </w:r>
      <w:proofErr w:type="spellEnd"/>
      <w:r w:rsidR="005135F0" w:rsidRPr="005D3044">
        <w:rPr>
          <w:rFonts w:ascii="Times New Roman" w:hAnsi="Times New Roman" w:cs="Times New Roman"/>
          <w:sz w:val="24"/>
        </w:rPr>
        <w:t xml:space="preserve"> </w:t>
      </w:r>
      <w:r w:rsidR="005135F0">
        <w:rPr>
          <w:rFonts w:ascii="Times New Roman" w:hAnsi="Times New Roman" w:cs="Times New Roman"/>
          <w:sz w:val="24"/>
          <w:lang w:val="en-CA"/>
        </w:rPr>
        <w:t>(</w:t>
      </w:r>
      <w:r w:rsidR="005135F0" w:rsidRPr="005D3044">
        <w:rPr>
          <w:rFonts w:ascii="Times New Roman" w:hAnsi="Times New Roman" w:cs="Times New Roman"/>
          <w:sz w:val="24"/>
        </w:rPr>
        <w:t>Billerica</w:t>
      </w:r>
      <w:r w:rsidR="005135F0">
        <w:rPr>
          <w:rFonts w:ascii="Times New Roman" w:hAnsi="Times New Roman" w:cs="Times New Roman"/>
          <w:sz w:val="24"/>
        </w:rPr>
        <w:t>, MA, USA)</w:t>
      </w:r>
      <w:r w:rsidR="002602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6021E" w:rsidRPr="005D3044">
        <w:rPr>
          <w:rFonts w:ascii="Times New Roman" w:hAnsi="Times New Roman" w:cs="Times New Roman"/>
          <w:sz w:val="24"/>
        </w:rPr>
        <w:t>Avance</w:t>
      </w:r>
      <w:proofErr w:type="spellEnd"/>
      <w:r w:rsidR="0026021E">
        <w:rPr>
          <w:rFonts w:ascii="Times New Roman" w:hAnsi="Times New Roman" w:cs="Times New Roman"/>
          <w:sz w:val="24"/>
        </w:rPr>
        <w:t xml:space="preserve"> 300 MHz</w:t>
      </w:r>
      <w:r w:rsidR="0026021E" w:rsidRPr="005D3044">
        <w:rPr>
          <w:rFonts w:ascii="Times New Roman" w:hAnsi="Times New Roman" w:cs="Times New Roman"/>
          <w:sz w:val="24"/>
        </w:rPr>
        <w:t xml:space="preserve"> </w:t>
      </w:r>
      <w:r w:rsidR="0026021E">
        <w:rPr>
          <w:rFonts w:ascii="Times New Roman" w:hAnsi="Times New Roman" w:cs="Times New Roman"/>
          <w:sz w:val="24"/>
        </w:rPr>
        <w:t>NMR spectrometer</w:t>
      </w:r>
      <w:r w:rsidR="005135F0">
        <w:rPr>
          <w:rFonts w:ascii="Times New Roman" w:hAnsi="Times New Roman" w:cs="Times New Roman"/>
          <w:sz w:val="24"/>
        </w:rPr>
        <w:t>.</w:t>
      </w:r>
      <w:r w:rsidR="00646DF2">
        <w:rPr>
          <w:rFonts w:ascii="Times New Roman" w:hAnsi="Times New Roman" w:cs="Times New Roman"/>
          <w:sz w:val="24"/>
        </w:rPr>
        <w:t xml:space="preserve"> </w:t>
      </w:r>
      <w:r w:rsidR="006768B2" w:rsidRPr="00AC58AD">
        <w:rPr>
          <w:rFonts w:ascii="Times New Roman" w:hAnsi="Times New Roman" w:cs="Times New Roman"/>
          <w:sz w:val="24"/>
        </w:rPr>
        <w:t>MS analyses were conducted using the Waters (Milford, MA</w:t>
      </w:r>
      <w:r w:rsidR="003E5E6A">
        <w:rPr>
          <w:rFonts w:ascii="Times New Roman" w:hAnsi="Times New Roman" w:cs="Times New Roman"/>
          <w:sz w:val="24"/>
        </w:rPr>
        <w:t>, USA</w:t>
      </w:r>
      <w:r w:rsidR="006768B2" w:rsidRPr="00AC58AD">
        <w:rPr>
          <w:rFonts w:ascii="Times New Roman" w:hAnsi="Times New Roman" w:cs="Times New Roman"/>
          <w:sz w:val="24"/>
        </w:rPr>
        <w:t>) Acquity QDa mass spectrometer with the equipped 2489 UV/Vis detector and e2695 Separations module. C18 Sep-Pak cartridges (1 cm</w:t>
      </w:r>
      <w:r w:rsidR="006768B2" w:rsidRPr="00AC58AD">
        <w:rPr>
          <w:rFonts w:ascii="Times New Roman" w:hAnsi="Times New Roman" w:cs="Times New Roman"/>
          <w:sz w:val="24"/>
          <w:vertAlign w:val="superscript"/>
        </w:rPr>
        <w:t>3</w:t>
      </w:r>
      <w:r w:rsidR="006768B2" w:rsidRPr="00AC58AD">
        <w:rPr>
          <w:rFonts w:ascii="Times New Roman" w:hAnsi="Times New Roman" w:cs="Times New Roman"/>
          <w:sz w:val="24"/>
        </w:rPr>
        <w:t>, 50 mg) were purchased from Waters (Milford, MA</w:t>
      </w:r>
      <w:r w:rsidR="003E5E6A">
        <w:rPr>
          <w:rFonts w:ascii="Times New Roman" w:hAnsi="Times New Roman" w:cs="Times New Roman"/>
          <w:sz w:val="24"/>
        </w:rPr>
        <w:t>, USA</w:t>
      </w:r>
      <w:r w:rsidR="006768B2" w:rsidRPr="00AC58AD">
        <w:rPr>
          <w:rFonts w:ascii="Times New Roman" w:hAnsi="Times New Roman" w:cs="Times New Roman"/>
          <w:sz w:val="24"/>
        </w:rPr>
        <w:t xml:space="preserve">). </w:t>
      </w:r>
      <w:r w:rsidR="006768B2" w:rsidRPr="00AC58AD">
        <w:rPr>
          <w:rFonts w:ascii="Times New Roman" w:hAnsi="Times New Roman" w:cs="Times New Roman"/>
          <w:sz w:val="24"/>
          <w:vertAlign w:val="superscript"/>
        </w:rPr>
        <w:t>68</w:t>
      </w:r>
      <w:r w:rsidR="006768B2" w:rsidRPr="00AC58AD">
        <w:rPr>
          <w:rFonts w:ascii="Times New Roman" w:hAnsi="Times New Roman" w:cs="Times New Roman"/>
          <w:sz w:val="24"/>
        </w:rPr>
        <w:t>Ga was eluted from an ITM Medical Isotopes GmbH (Munich, Germany) generator, and purified according to the previously published procedures using a DGA resin column from Eichrom Technologies LLC (Lisle, IL</w:t>
      </w:r>
      <w:r w:rsidR="003E5E6A">
        <w:rPr>
          <w:rFonts w:ascii="Times New Roman" w:hAnsi="Times New Roman" w:cs="Times New Roman"/>
          <w:sz w:val="24"/>
        </w:rPr>
        <w:t>, USA</w:t>
      </w:r>
      <w:r w:rsidR="006768B2" w:rsidRPr="00AC58AD">
        <w:rPr>
          <w:rFonts w:ascii="Times New Roman" w:hAnsi="Times New Roman" w:cs="Times New Roman"/>
          <w:sz w:val="24"/>
        </w:rPr>
        <w:t>)</w:t>
      </w:r>
      <w:r w:rsidR="00CE3DB6" w:rsidRPr="00E51014">
        <w:rPr>
          <w:rFonts w:ascii="Times New Roman" w:hAnsi="Times New Roman" w:cs="Times New Roman"/>
          <w:sz w:val="24"/>
        </w:rPr>
        <w:t xml:space="preserve"> </w:t>
      </w:r>
      <w:r w:rsidRPr="0034230E">
        <w:rPr>
          <w:rFonts w:ascii="Times New Roman" w:hAnsi="Times New Roman" w:cs="Times New Roman"/>
          <w:sz w:val="24"/>
          <w:szCs w:val="24"/>
        </w:rPr>
        <w:t>[5]</w:t>
      </w:r>
      <w:r w:rsidR="006768B2" w:rsidRPr="00AC58AD">
        <w:rPr>
          <w:rFonts w:ascii="Times New Roman" w:hAnsi="Times New Roman" w:cs="Times New Roman"/>
          <w:sz w:val="24"/>
        </w:rPr>
        <w:t xml:space="preserve">. The radioactivity of </w:t>
      </w:r>
      <w:r w:rsidR="006768B2" w:rsidRPr="00AC58AD">
        <w:rPr>
          <w:rFonts w:ascii="Times New Roman" w:hAnsi="Times New Roman" w:cs="Times New Roman"/>
          <w:sz w:val="24"/>
          <w:vertAlign w:val="superscript"/>
        </w:rPr>
        <w:t>68</w:t>
      </w:r>
      <w:r w:rsidR="006768B2" w:rsidRPr="00AC58AD">
        <w:rPr>
          <w:rFonts w:ascii="Times New Roman" w:hAnsi="Times New Roman" w:cs="Times New Roman"/>
          <w:sz w:val="24"/>
        </w:rPr>
        <w:t>Ga-labeled tracers was measured using a Capintec (Ramsey, NJ</w:t>
      </w:r>
      <w:r w:rsidR="003E5E6A">
        <w:rPr>
          <w:rFonts w:ascii="Times New Roman" w:hAnsi="Times New Roman" w:cs="Times New Roman"/>
          <w:sz w:val="24"/>
        </w:rPr>
        <w:t>, USA</w:t>
      </w:r>
      <w:r w:rsidR="006768B2" w:rsidRPr="00AC58AD">
        <w:rPr>
          <w:rFonts w:ascii="Times New Roman" w:hAnsi="Times New Roman" w:cs="Times New Roman"/>
          <w:sz w:val="24"/>
        </w:rPr>
        <w:t>) CRC®-25R/W dose calibrator and the radioactivity of mouse tissues collected from biodistribution studies were counted using a Perkin Elmer (Waltham, MA</w:t>
      </w:r>
      <w:r w:rsidR="003E5E6A">
        <w:rPr>
          <w:rFonts w:ascii="Times New Roman" w:hAnsi="Times New Roman" w:cs="Times New Roman"/>
          <w:sz w:val="24"/>
        </w:rPr>
        <w:t>, USA</w:t>
      </w:r>
      <w:r w:rsidR="006768B2" w:rsidRPr="00AC58AD">
        <w:rPr>
          <w:rFonts w:ascii="Times New Roman" w:hAnsi="Times New Roman" w:cs="Times New Roman"/>
          <w:sz w:val="24"/>
        </w:rPr>
        <w:t xml:space="preserve">) Wizard2 2480 automatic gamma counter.  </w:t>
      </w:r>
    </w:p>
    <w:p w:rsidR="00DC6E6E" w:rsidRPr="00E51014" w:rsidRDefault="00DC6E6E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014">
        <w:rPr>
          <w:rFonts w:ascii="Times New Roman" w:hAnsi="Times New Roman" w:cs="Times New Roman"/>
          <w:b/>
          <w:sz w:val="24"/>
          <w:szCs w:val="24"/>
        </w:rPr>
        <w:t xml:space="preserve">Synthesis of </w:t>
      </w:r>
      <w:r w:rsidR="003E5E6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BE6C63" w:rsidRPr="00E51014">
        <w:rPr>
          <w:rFonts w:ascii="Times New Roman" w:hAnsi="Times New Roman" w:cs="Times New Roman"/>
          <w:b/>
          <w:sz w:val="24"/>
          <w:szCs w:val="24"/>
        </w:rPr>
        <w:t>FAP-</w:t>
      </w:r>
      <w:r w:rsidR="003E5E6A" w:rsidRPr="00E51014">
        <w:rPr>
          <w:rFonts w:ascii="Times New Roman" w:hAnsi="Times New Roman" w:cs="Times New Roman"/>
          <w:b/>
          <w:sz w:val="24"/>
          <w:szCs w:val="24"/>
        </w:rPr>
        <w:t>target</w:t>
      </w:r>
      <w:r w:rsidR="003E5E6A">
        <w:rPr>
          <w:rFonts w:ascii="Times New Roman" w:hAnsi="Times New Roman" w:cs="Times New Roman"/>
          <w:b/>
          <w:sz w:val="24"/>
          <w:szCs w:val="24"/>
        </w:rPr>
        <w:t xml:space="preserve">ed </w:t>
      </w:r>
      <w:r w:rsidR="005225B1">
        <w:rPr>
          <w:rFonts w:ascii="Times New Roman" w:hAnsi="Times New Roman" w:cs="Times New Roman"/>
          <w:b/>
          <w:sz w:val="24"/>
          <w:szCs w:val="24"/>
        </w:rPr>
        <w:t>L</w:t>
      </w:r>
      <w:r w:rsidR="005225B1" w:rsidRPr="00E51014">
        <w:rPr>
          <w:rFonts w:ascii="Times New Roman" w:hAnsi="Times New Roman" w:cs="Times New Roman"/>
          <w:b/>
          <w:sz w:val="24"/>
          <w:szCs w:val="24"/>
        </w:rPr>
        <w:t>igand</w:t>
      </w:r>
    </w:p>
    <w:p w:rsidR="001F6D33" w:rsidRDefault="00F11BE3" w:rsidP="00BE6C63">
      <w:pPr>
        <w:rPr>
          <w:rFonts w:ascii="Times New Roman" w:hAnsi="Times New Roman" w:cs="Times New Roman"/>
          <w:sz w:val="24"/>
          <w:szCs w:val="24"/>
          <w:u w:val="single"/>
        </w:rPr>
      </w:pPr>
      <w:r w:rsidRPr="00E51014">
        <w:rPr>
          <w:rFonts w:ascii="Times New Roman" w:hAnsi="Times New Roman" w:cs="Times New Roman"/>
          <w:sz w:val="24"/>
          <w:szCs w:val="24"/>
          <w:u w:val="single"/>
        </w:rPr>
        <w:t xml:space="preserve">Synthesis </w:t>
      </w:r>
      <w:proofErr w:type="gramStart"/>
      <w:r w:rsidRPr="00E51014">
        <w:rPr>
          <w:rFonts w:ascii="Times New Roman" w:hAnsi="Times New Roman" w:cs="Times New Roman"/>
          <w:sz w:val="24"/>
          <w:szCs w:val="24"/>
          <w:u w:val="single"/>
        </w:rPr>
        <w:t xml:space="preserve">of  </w:t>
      </w:r>
      <w:proofErr w:type="spellStart"/>
      <w:r w:rsidRPr="0034230E">
        <w:rPr>
          <w:rFonts w:ascii="Times New Roman" w:hAnsi="Times New Roman" w:cs="Times New Roman"/>
          <w:i/>
          <w:sz w:val="24"/>
          <w:szCs w:val="24"/>
          <w:u w:val="single"/>
        </w:rPr>
        <w:t>tert</w:t>
      </w:r>
      <w:proofErr w:type="spellEnd"/>
      <w:proofErr w:type="gramEnd"/>
      <w:r w:rsidRPr="00F11BE3">
        <w:rPr>
          <w:rFonts w:ascii="Times New Roman" w:hAnsi="Times New Roman" w:cs="Times New Roman"/>
          <w:sz w:val="24"/>
          <w:szCs w:val="24"/>
          <w:u w:val="single"/>
        </w:rPr>
        <w:t xml:space="preserve">-butyl (2,3,5,6-tetrafluorophenyl) </w:t>
      </w:r>
      <w:proofErr w:type="spellStart"/>
      <w:r w:rsidRPr="00F11BE3">
        <w:rPr>
          <w:rFonts w:ascii="Times New Roman" w:hAnsi="Times New Roman" w:cs="Times New Roman"/>
          <w:sz w:val="24"/>
          <w:szCs w:val="24"/>
          <w:u w:val="single"/>
        </w:rPr>
        <w:t>succinate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F11BE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4230E" w:rsidRDefault="0034230E" w:rsidP="00BE6C63">
      <w:pPr>
        <w:rPr>
          <w:rFonts w:ascii="Times New Roman" w:hAnsi="Times New Roman" w:cs="Times New Roman"/>
          <w:sz w:val="24"/>
          <w:szCs w:val="24"/>
          <w:u w:val="single"/>
        </w:rPr>
      </w:pPr>
      <w:r>
        <w:object w:dxaOrig="2379" w:dyaOrig="1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7pt;height:76.7pt" o:ole="">
            <v:imagedata r:id="rId6" o:title=""/>
          </v:shape>
          <o:OLEObject Type="Embed" ProgID="ChemDraw.Document.6.0" ShapeID="_x0000_i1025" DrawAspect="Content" ObjectID="_1761289178" r:id="rId7"/>
        </w:object>
      </w:r>
    </w:p>
    <w:p w:rsidR="00134652" w:rsidRDefault="00D559F6" w:rsidP="00A25FF3">
      <w:pPr>
        <w:pStyle w:val="NormalWeb"/>
        <w:spacing w:before="0" w:beforeAutospacing="0" w:after="0" w:afterAutospacing="0"/>
        <w:jc w:val="both"/>
        <w:rPr>
          <w:rFonts w:ascii=".AppleSystemUIFont" w:hAnsi=".AppleSystemUIFont"/>
          <w:sz w:val="26"/>
          <w:szCs w:val="26"/>
        </w:rPr>
      </w:pPr>
      <w:r>
        <w:t xml:space="preserve">A solution of </w:t>
      </w:r>
      <w:r w:rsidRPr="00D559F6">
        <w:t>1-(1</w:t>
      </w:r>
      <w:proofErr w:type="gramStart"/>
      <w:r w:rsidRPr="00D559F6">
        <w:t>,1</w:t>
      </w:r>
      <w:proofErr w:type="gramEnd"/>
      <w:r w:rsidRPr="00D559F6">
        <w:t>-</w:t>
      </w:r>
      <w:r w:rsidR="00703CD5">
        <w:t xml:space="preserve">dimethylethyl) </w:t>
      </w:r>
      <w:proofErr w:type="spellStart"/>
      <w:r w:rsidRPr="00D559F6">
        <w:t>butanedioate</w:t>
      </w:r>
      <w:proofErr w:type="spellEnd"/>
      <w:r>
        <w:t xml:space="preserve"> </w:t>
      </w:r>
      <w:r w:rsidR="00965290">
        <w:t xml:space="preserve"> (</w:t>
      </w:r>
      <w:r w:rsidR="00965290" w:rsidRPr="00965290">
        <w:rPr>
          <w:b/>
        </w:rPr>
        <w:t>1</w:t>
      </w:r>
      <w:r w:rsidR="00965290">
        <w:t xml:space="preserve">, </w:t>
      </w:r>
      <w:r>
        <w:t xml:space="preserve">1.87 g, 10.7 mmol) in </w:t>
      </w:r>
      <w:r w:rsidR="00337998">
        <w:t>dichloromethane (</w:t>
      </w:r>
      <w:r>
        <w:t>DCM</w:t>
      </w:r>
      <w:r w:rsidR="00337998">
        <w:t>)</w:t>
      </w:r>
      <w:r>
        <w:t xml:space="preserve"> were added </w:t>
      </w:r>
      <w:r w:rsidR="00337998">
        <w:t>2,3,5,6-</w:t>
      </w:r>
      <w:r>
        <w:t>tetra</w:t>
      </w:r>
      <w:r w:rsidR="00703CD5">
        <w:t>fluorophenol (TFP, 2.32 g, 13.9</w:t>
      </w:r>
      <w:r>
        <w:t xml:space="preserve"> mmol) and </w:t>
      </w:r>
      <w:r w:rsidR="0099536B" w:rsidRPr="0099536B">
        <w:rPr>
          <w:i/>
        </w:rPr>
        <w:t>N</w:t>
      </w:r>
      <w:r w:rsidR="0099536B">
        <w:t>-ethyl-</w:t>
      </w:r>
      <w:r w:rsidR="0099536B" w:rsidRPr="0099536B">
        <w:rPr>
          <w:i/>
        </w:rPr>
        <w:t>N’</w:t>
      </w:r>
      <w:r w:rsidR="0099536B">
        <w:t>-(3-dimethylaminopropyl)</w:t>
      </w:r>
      <w:proofErr w:type="spellStart"/>
      <w:r w:rsidR="0099536B">
        <w:t>carbodiimide</w:t>
      </w:r>
      <w:proofErr w:type="spellEnd"/>
      <w:r w:rsidR="0099536B">
        <w:t xml:space="preserve"> hydrochloride</w:t>
      </w:r>
      <w:r w:rsidR="0034230E">
        <w:t xml:space="preserve"> </w:t>
      </w:r>
      <w:r>
        <w:t>(</w:t>
      </w:r>
      <w:proofErr w:type="spellStart"/>
      <w:r>
        <w:t>EDC</w:t>
      </w:r>
      <w:r w:rsidR="0034230E">
        <w:t>.HCl</w:t>
      </w:r>
      <w:proofErr w:type="spellEnd"/>
      <w:r>
        <w:t xml:space="preserve">, 2.26 </w:t>
      </w:r>
      <w:r w:rsidR="0034230E">
        <w:t>g</w:t>
      </w:r>
      <w:r>
        <w:t>, 11.8 mmol) and s</w:t>
      </w:r>
      <w:r w:rsidR="00337998">
        <w:t>tir</w:t>
      </w:r>
      <w:r>
        <w:t>red at room temperature for 20 h.</w:t>
      </w:r>
      <w:r w:rsidRPr="00D559F6">
        <w:t xml:space="preserve"> </w:t>
      </w:r>
      <w:r w:rsidRPr="00EB249D">
        <w:t xml:space="preserve">The solution was evaporated under reduced pressure and the residue was </w:t>
      </w:r>
      <w:r>
        <w:t>dissolved in ethyl acetate (100 mL), washed with H</w:t>
      </w:r>
      <w:r w:rsidRPr="00D559F6">
        <w:rPr>
          <w:vertAlign w:val="subscript"/>
        </w:rPr>
        <w:t>2</w:t>
      </w:r>
      <w:r>
        <w:t xml:space="preserve">O (100 mL </w:t>
      </w:r>
      <w:r w:rsidR="0034230E">
        <w:t>×</w:t>
      </w:r>
      <w:r>
        <w:t xml:space="preserve"> 2)</w:t>
      </w:r>
      <w:r w:rsidRPr="00EB249D">
        <w:t>.</w:t>
      </w:r>
      <w:r w:rsidRPr="00D559F6">
        <w:t xml:space="preserve"> </w:t>
      </w:r>
      <w:r w:rsidR="00226161" w:rsidRPr="00EB249D">
        <w:t>The organic phase was collected, dried over anhydrous MgSO</w:t>
      </w:r>
      <w:r w:rsidR="00965290">
        <w:rPr>
          <w:vertAlign w:val="subscript"/>
        </w:rPr>
        <w:t>4</w:t>
      </w:r>
      <w:r w:rsidR="00226161" w:rsidRPr="00EB249D">
        <w:rPr>
          <w:vertAlign w:val="subscript"/>
        </w:rPr>
        <w:t xml:space="preserve"> </w:t>
      </w:r>
      <w:r w:rsidR="00226161" w:rsidRPr="00EB249D">
        <w:t>and evaporated under reduced pressure</w:t>
      </w:r>
      <w:r w:rsidR="00226161">
        <w:t xml:space="preserve"> to yield </w:t>
      </w:r>
      <w:r w:rsidR="00226161" w:rsidRPr="004E5AAC">
        <w:rPr>
          <w:b/>
        </w:rPr>
        <w:t>2</w:t>
      </w:r>
      <w:r w:rsidR="00226161" w:rsidRPr="004E5AAC">
        <w:t xml:space="preserve"> (7.5 mmol, 71% yield)</w:t>
      </w:r>
      <w:r w:rsidR="00226161">
        <w:t xml:space="preserve"> as a light yellow oil</w:t>
      </w:r>
      <w:r w:rsidR="0034230E">
        <w:t xml:space="preserve"> which was used for the next step without further purification</w:t>
      </w:r>
      <w:r w:rsidR="00226161" w:rsidRPr="00EB249D">
        <w:t xml:space="preserve">. MS (ESI) calculated for </w:t>
      </w:r>
      <w:r w:rsidR="00226161" w:rsidRPr="00F55FFF">
        <w:t>C</w:t>
      </w:r>
      <w:r w:rsidR="00134652" w:rsidRPr="00F55FFF">
        <w:rPr>
          <w:vertAlign w:val="subscript"/>
        </w:rPr>
        <w:t>14</w:t>
      </w:r>
      <w:r w:rsidR="00226161" w:rsidRPr="00F55FFF">
        <w:t>H</w:t>
      </w:r>
      <w:r w:rsidR="00134652" w:rsidRPr="00F55FFF">
        <w:rPr>
          <w:vertAlign w:val="subscript"/>
        </w:rPr>
        <w:t>14</w:t>
      </w:r>
      <w:r w:rsidR="0034230E">
        <w:t>F</w:t>
      </w:r>
      <w:r w:rsidR="00134652" w:rsidRPr="00F55FFF">
        <w:rPr>
          <w:vertAlign w:val="subscript"/>
        </w:rPr>
        <w:t>4</w:t>
      </w:r>
      <w:r w:rsidR="00226161" w:rsidRPr="00F55FFF">
        <w:t>O</w:t>
      </w:r>
      <w:r w:rsidR="00226161" w:rsidRPr="00F55FFF">
        <w:rPr>
          <w:vertAlign w:val="subscript"/>
        </w:rPr>
        <w:t>4</w:t>
      </w:r>
      <w:r w:rsidR="0034230E">
        <w:t xml:space="preserve"> 322.1</w:t>
      </w:r>
      <w:r w:rsidR="00226161" w:rsidRPr="00F55FFF">
        <w:t>, found [</w:t>
      </w:r>
      <w:proofErr w:type="spellStart"/>
      <w:r w:rsidR="00226161" w:rsidRPr="00F55FFF">
        <w:t>M+</w:t>
      </w:r>
      <w:r w:rsidR="0034230E">
        <w:t>Na</w:t>
      </w:r>
      <w:proofErr w:type="spellEnd"/>
      <w:proofErr w:type="gramStart"/>
      <w:r w:rsidR="00226161" w:rsidRPr="00F55FFF">
        <w:t>]</w:t>
      </w:r>
      <w:r w:rsidR="00226161" w:rsidRPr="00F55FFF">
        <w:rPr>
          <w:vertAlign w:val="superscript"/>
        </w:rPr>
        <w:t>+</w:t>
      </w:r>
      <w:proofErr w:type="gramEnd"/>
      <w:r w:rsidR="00226161" w:rsidRPr="00F55FFF">
        <w:rPr>
          <w:vertAlign w:val="superscript"/>
        </w:rPr>
        <w:t xml:space="preserve"> </w:t>
      </w:r>
      <w:r w:rsidR="0034230E">
        <w:t>345.1</w:t>
      </w:r>
      <w:r w:rsidR="00226161" w:rsidRPr="00F55FFF">
        <w:t>.</w:t>
      </w:r>
      <w:r w:rsidR="00226161" w:rsidRPr="00F55FFF">
        <w:rPr>
          <w:vertAlign w:val="superscript"/>
        </w:rPr>
        <w:t xml:space="preserve"> </w:t>
      </w:r>
      <w:r w:rsidR="00134652" w:rsidRPr="00F55FFF">
        <w:rPr>
          <w:vertAlign w:val="superscript"/>
        </w:rPr>
        <w:t>1</w:t>
      </w:r>
      <w:r w:rsidR="00134652" w:rsidRPr="00F55FFF">
        <w:t xml:space="preserve">H NMR (300 </w:t>
      </w:r>
      <w:r w:rsidR="00134652" w:rsidRPr="00F55FFF">
        <w:lastRenderedPageBreak/>
        <w:t>MHz, DMSO</w:t>
      </w:r>
      <w:r w:rsidR="0038737C">
        <w:t>-d</w:t>
      </w:r>
      <w:r w:rsidR="0038737C" w:rsidRPr="0038737C">
        <w:rPr>
          <w:vertAlign w:val="subscript"/>
        </w:rPr>
        <w:t>6</w:t>
      </w:r>
      <w:r w:rsidR="00134652" w:rsidRPr="00F55FFF">
        <w:t xml:space="preserve">) δ 7.94 (tt, </w:t>
      </w:r>
      <w:r w:rsidR="00134652" w:rsidRPr="00F55FFF">
        <w:rPr>
          <w:i/>
          <w:iCs/>
        </w:rPr>
        <w:t>J</w:t>
      </w:r>
      <w:r w:rsidR="00134652" w:rsidRPr="00F55FFF">
        <w:t xml:space="preserve"> = 11.0, 7.4 Hz, 1H), 3.02 – 2.92 (m, 2H), 2.67 – 2.57 (m, 2H), 1.39 (s, 9H).</w:t>
      </w:r>
    </w:p>
    <w:p w:rsidR="00F11BE3" w:rsidRPr="00D559F6" w:rsidRDefault="00F11BE3" w:rsidP="00BE6C63">
      <w:pPr>
        <w:rPr>
          <w:rFonts w:ascii="Times New Roman" w:hAnsi="Times New Roman" w:cs="Times New Roman"/>
          <w:sz w:val="24"/>
          <w:szCs w:val="24"/>
        </w:rPr>
      </w:pPr>
    </w:p>
    <w:p w:rsidR="002A69BC" w:rsidRDefault="002F0574" w:rsidP="00BE6C63">
      <w:pPr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</w:pPr>
      <w:r w:rsidRPr="00E51014">
        <w:rPr>
          <w:rFonts w:ascii="Times New Roman" w:hAnsi="Times New Roman" w:cs="Times New Roman"/>
          <w:sz w:val="24"/>
          <w:szCs w:val="24"/>
          <w:u w:val="single"/>
        </w:rPr>
        <w:t xml:space="preserve">Synthesis </w:t>
      </w:r>
      <w:proofErr w:type="gramStart"/>
      <w:r w:rsidR="003410C6" w:rsidRPr="00E51014">
        <w:rPr>
          <w:rFonts w:ascii="Times New Roman" w:hAnsi="Times New Roman" w:cs="Times New Roman"/>
          <w:sz w:val="24"/>
          <w:szCs w:val="24"/>
          <w:u w:val="single"/>
        </w:rPr>
        <w:t xml:space="preserve">of </w:t>
      </w:r>
      <w:r w:rsidRPr="00E510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374F" w:rsidRPr="0034230E">
        <w:rPr>
          <w:rFonts w:ascii="Times New Roman" w:hAnsi="Times New Roman" w:cs="Times New Roman"/>
          <w:i/>
          <w:sz w:val="24"/>
          <w:szCs w:val="24"/>
          <w:u w:val="single"/>
        </w:rPr>
        <w:t>tert</w:t>
      </w:r>
      <w:proofErr w:type="gramEnd"/>
      <w:r w:rsidR="00D5374F" w:rsidRPr="00E51014">
        <w:rPr>
          <w:rFonts w:ascii="Times New Roman" w:hAnsi="Times New Roman" w:cs="Times New Roman"/>
          <w:sz w:val="24"/>
          <w:szCs w:val="24"/>
          <w:u w:val="single"/>
        </w:rPr>
        <w:t>-butyl (</w:t>
      </w:r>
      <w:r w:rsidR="00D5374F" w:rsidRPr="0034230E"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 w:rsidR="00D5374F" w:rsidRPr="00E51014">
        <w:rPr>
          <w:rFonts w:ascii="Times New Roman" w:hAnsi="Times New Roman" w:cs="Times New Roman"/>
          <w:sz w:val="24"/>
          <w:szCs w:val="24"/>
          <w:u w:val="single"/>
        </w:rPr>
        <w:t>)-4-((2-((4-((2-(2-cyano-4,4-difluoropyrrolidin-1-yl)-2-oxoethyl)carbamoyl)pyridin-2-yl)(methyl)amino)ethyl)(methyl)amino)-4-oxobutanoate</w:t>
      </w:r>
      <w:r w:rsidR="001B76B2" w:rsidRPr="00E510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410C6" w:rsidRPr="00E51014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(</w:t>
      </w:r>
      <w:r w:rsidR="001F6D33">
        <w:rPr>
          <w:rFonts w:ascii="Times New Roman" w:hAnsi="Times New Roman" w:cs="Times New Roman"/>
          <w:b/>
          <w:color w:val="262626"/>
          <w:sz w:val="24"/>
          <w:szCs w:val="24"/>
          <w:u w:val="single"/>
          <w:shd w:val="clear" w:color="auto" w:fill="FFFFFF"/>
        </w:rPr>
        <w:t>4</w:t>
      </w:r>
      <w:r w:rsidR="003410C6" w:rsidRPr="00E51014"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  <w:t>)</w:t>
      </w:r>
    </w:p>
    <w:p w:rsidR="0034230E" w:rsidRPr="00E51014" w:rsidRDefault="0034230E" w:rsidP="00BE6C63">
      <w:pPr>
        <w:rPr>
          <w:rFonts w:ascii="Times New Roman" w:hAnsi="Times New Roman" w:cs="Times New Roman"/>
          <w:color w:val="262626"/>
          <w:sz w:val="24"/>
          <w:szCs w:val="24"/>
          <w:u w:val="single"/>
          <w:shd w:val="clear" w:color="auto" w:fill="FFFFFF"/>
        </w:rPr>
      </w:pPr>
      <w:r>
        <w:object w:dxaOrig="4687" w:dyaOrig="1827">
          <v:shape id="_x0000_i1026" type="#_x0000_t75" style="width:234.45pt;height:91.3pt" o:ole="">
            <v:imagedata r:id="rId8" o:title=""/>
          </v:shape>
          <o:OLEObject Type="Embed" ProgID="ChemDraw.Document.6.0" ShapeID="_x0000_i1026" DrawAspect="Content" ObjectID="_1761289179" r:id="rId9"/>
        </w:object>
      </w:r>
    </w:p>
    <w:p w:rsidR="00BE6C63" w:rsidRPr="00142B04" w:rsidRDefault="00BE6C63" w:rsidP="00AC58AD">
      <w:pPr>
        <w:jc w:val="both"/>
        <w:rPr>
          <w:rFonts w:ascii="Times New Roman" w:hAnsi="Times New Roman" w:cs="Times New Roman"/>
          <w:sz w:val="24"/>
          <w:szCs w:val="24"/>
        </w:rPr>
      </w:pPr>
      <w:r w:rsidRPr="00AC58AD">
        <w:rPr>
          <w:rFonts w:ascii="Times New Roman" w:hAnsi="Times New Roman" w:cs="Times New Roman"/>
          <w:sz w:val="24"/>
          <w:szCs w:val="24"/>
        </w:rPr>
        <w:t>A solution of (</w:t>
      </w:r>
      <w:r w:rsidRPr="0034230E">
        <w:rPr>
          <w:rFonts w:ascii="Times New Roman" w:hAnsi="Times New Roman" w:cs="Times New Roman"/>
          <w:i/>
          <w:sz w:val="24"/>
          <w:szCs w:val="24"/>
        </w:rPr>
        <w:t>S</w:t>
      </w:r>
      <w:r w:rsidRPr="00AC58AD">
        <w:rPr>
          <w:rFonts w:ascii="Times New Roman" w:hAnsi="Times New Roman" w:cs="Times New Roman"/>
          <w:sz w:val="24"/>
          <w:szCs w:val="24"/>
        </w:rPr>
        <w:t>)-</w:t>
      </w:r>
      <w:r w:rsidRPr="0034230E">
        <w:rPr>
          <w:rFonts w:ascii="Times New Roman" w:hAnsi="Times New Roman" w:cs="Times New Roman"/>
          <w:i/>
          <w:sz w:val="24"/>
          <w:szCs w:val="24"/>
        </w:rPr>
        <w:t>N</w:t>
      </w:r>
      <w:r w:rsidRPr="00AC58AD">
        <w:rPr>
          <w:rFonts w:ascii="Times New Roman" w:hAnsi="Times New Roman" w:cs="Times New Roman"/>
          <w:sz w:val="24"/>
          <w:szCs w:val="24"/>
        </w:rPr>
        <w:t>-(2-(2-cyano-4</w:t>
      </w:r>
      <w:proofErr w:type="gramStart"/>
      <w:r w:rsidRPr="00AC58AD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AC58AD">
        <w:rPr>
          <w:rFonts w:ascii="Times New Roman" w:hAnsi="Times New Roman" w:cs="Times New Roman"/>
          <w:sz w:val="24"/>
          <w:szCs w:val="24"/>
        </w:rPr>
        <w:t>-difluoropyrrolidin-1-yl)-2-oxoethyl)-2</w:t>
      </w:r>
      <w:r w:rsidRPr="00AC58AD">
        <w:rPr>
          <w:rFonts w:ascii="Cambria Math" w:eastAsia="Cambria Math" w:hAnsi="Cambria Math" w:cs="Cambria Math"/>
          <w:sz w:val="24"/>
          <w:szCs w:val="24"/>
        </w:rPr>
        <w:t>‐</w:t>
      </w:r>
      <w:r w:rsidRPr="00AC58AD">
        <w:rPr>
          <w:rFonts w:ascii="Times New Roman" w:hAnsi="Times New Roman" w:cs="Times New Roman"/>
          <w:sz w:val="24"/>
          <w:szCs w:val="24"/>
        </w:rPr>
        <w:t>[[2</w:t>
      </w:r>
      <w:r w:rsidRPr="00AC58AD">
        <w:rPr>
          <w:rFonts w:ascii="Cambria Math" w:eastAsia="Cambria Math" w:hAnsi="Cambria Math" w:cs="Cambria Math"/>
          <w:sz w:val="24"/>
          <w:szCs w:val="24"/>
        </w:rPr>
        <w:t>‐</w:t>
      </w:r>
      <w:r w:rsidRPr="00AC58AD">
        <w:rPr>
          <w:rFonts w:ascii="Times New Roman" w:hAnsi="Times New Roman" w:cs="Times New Roman"/>
          <w:sz w:val="24"/>
          <w:szCs w:val="24"/>
        </w:rPr>
        <w:t>[[(tert</w:t>
      </w:r>
      <w:r w:rsidRPr="00AC58AD">
        <w:rPr>
          <w:rFonts w:ascii="Cambria Math" w:eastAsia="Cambria Math" w:hAnsi="Cambria Math" w:cs="Cambria Math"/>
          <w:sz w:val="24"/>
          <w:szCs w:val="24"/>
        </w:rPr>
        <w:t>‐</w:t>
      </w:r>
      <w:r w:rsidRPr="00AC58AD">
        <w:rPr>
          <w:rFonts w:ascii="Times New Roman" w:hAnsi="Times New Roman" w:cs="Times New Roman"/>
          <w:sz w:val="24"/>
          <w:szCs w:val="24"/>
        </w:rPr>
        <w:t>butoxy)-carbonyl]methylamino]ethyl]methylamino]pyridine</w:t>
      </w:r>
      <w:r w:rsidRPr="00AC58AD">
        <w:rPr>
          <w:rFonts w:ascii="Cambria Math" w:eastAsia="Cambria Math" w:hAnsi="Cambria Math" w:cs="Cambria Math"/>
          <w:sz w:val="24"/>
          <w:szCs w:val="24"/>
        </w:rPr>
        <w:t>‐</w:t>
      </w:r>
      <w:r w:rsidRPr="00AC58AD">
        <w:rPr>
          <w:rFonts w:ascii="Times New Roman" w:hAnsi="Times New Roman" w:cs="Times New Roman"/>
          <w:sz w:val="24"/>
          <w:szCs w:val="24"/>
        </w:rPr>
        <w:t>4</w:t>
      </w:r>
      <w:r w:rsidRPr="00AC58AD">
        <w:rPr>
          <w:rFonts w:ascii="Cambria Math" w:eastAsia="Cambria Math" w:hAnsi="Cambria Math" w:cs="Cambria Math"/>
          <w:sz w:val="24"/>
          <w:szCs w:val="24"/>
        </w:rPr>
        <w:t>‐</w:t>
      </w:r>
      <w:r w:rsidRPr="00AC58AD">
        <w:rPr>
          <w:rFonts w:ascii="Times New Roman" w:hAnsi="Times New Roman" w:cs="Times New Roman"/>
          <w:sz w:val="24"/>
          <w:szCs w:val="24"/>
        </w:rPr>
        <w:t>carboxamide (</w:t>
      </w:r>
      <w:r w:rsidR="00120ECD">
        <w:rPr>
          <w:rFonts w:ascii="Times New Roman" w:hAnsi="Times New Roman" w:cs="Times New Roman"/>
          <w:b/>
          <w:sz w:val="24"/>
          <w:szCs w:val="24"/>
        </w:rPr>
        <w:t>3</w:t>
      </w:r>
      <w:r w:rsidRPr="00AC58AD">
        <w:rPr>
          <w:rFonts w:ascii="Times New Roman" w:hAnsi="Times New Roman" w:cs="Times New Roman"/>
          <w:sz w:val="24"/>
          <w:szCs w:val="24"/>
        </w:rPr>
        <w:t xml:space="preserve">)  (1.49 g, 3.1 mmol) in DCM (20 mL) was added </w:t>
      </w:r>
      <w:r w:rsidRPr="00120ECD">
        <w:rPr>
          <w:rFonts w:ascii="Times New Roman" w:hAnsi="Times New Roman" w:cs="Times New Roman"/>
          <w:sz w:val="24"/>
          <w:szCs w:val="24"/>
        </w:rPr>
        <w:t>T</w:t>
      </w:r>
      <w:r w:rsidR="001C106B">
        <w:rPr>
          <w:rFonts w:ascii="Times New Roman" w:hAnsi="Times New Roman" w:cs="Times New Roman"/>
          <w:sz w:val="24"/>
          <w:szCs w:val="24"/>
        </w:rPr>
        <w:t>F</w:t>
      </w:r>
      <w:r w:rsidRPr="00120ECD">
        <w:rPr>
          <w:rFonts w:ascii="Times New Roman" w:hAnsi="Times New Roman" w:cs="Times New Roman"/>
          <w:sz w:val="24"/>
          <w:szCs w:val="24"/>
        </w:rPr>
        <w:t xml:space="preserve">A </w:t>
      </w:r>
      <w:r w:rsidR="003E5E6A" w:rsidRPr="007829A0">
        <w:rPr>
          <w:rFonts w:ascii="Times New Roman" w:hAnsi="Times New Roman" w:cs="Times New Roman"/>
          <w:sz w:val="24"/>
          <w:szCs w:val="24"/>
        </w:rPr>
        <w:t>(</w:t>
      </w:r>
      <w:r w:rsidR="00226417" w:rsidRPr="007829A0">
        <w:rPr>
          <w:rFonts w:ascii="Times New Roman" w:hAnsi="Times New Roman" w:cs="Times New Roman"/>
          <w:sz w:val="24"/>
          <w:szCs w:val="24"/>
        </w:rPr>
        <w:t>2</w:t>
      </w:r>
      <w:r w:rsidR="007829A0" w:rsidRPr="007829A0">
        <w:rPr>
          <w:rFonts w:ascii="Times New Roman" w:hAnsi="Times New Roman" w:cs="Times New Roman"/>
          <w:sz w:val="24"/>
          <w:szCs w:val="24"/>
        </w:rPr>
        <w:t>0</w:t>
      </w:r>
      <w:r w:rsidR="003E5E6A" w:rsidRPr="007829A0">
        <w:rPr>
          <w:rFonts w:ascii="Times New Roman" w:hAnsi="Times New Roman" w:cs="Times New Roman"/>
          <w:sz w:val="24"/>
          <w:szCs w:val="24"/>
        </w:rPr>
        <w:t xml:space="preserve"> mL)</w:t>
      </w:r>
      <w:r w:rsidR="003E5E6A">
        <w:rPr>
          <w:rFonts w:ascii="Times New Roman" w:hAnsi="Times New Roman" w:cs="Times New Roman"/>
          <w:sz w:val="24"/>
          <w:szCs w:val="24"/>
        </w:rPr>
        <w:t xml:space="preserve"> </w:t>
      </w:r>
      <w:r w:rsidRPr="00AC58AD">
        <w:rPr>
          <w:rFonts w:ascii="Times New Roman" w:hAnsi="Times New Roman" w:cs="Times New Roman"/>
          <w:sz w:val="24"/>
          <w:szCs w:val="24"/>
        </w:rPr>
        <w:t>and stirred at room temperature for 2 h. After evaporation, the residue was dissolved in CH</w:t>
      </w:r>
      <w:r w:rsidRPr="00AC58AD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C58AD">
        <w:rPr>
          <w:rFonts w:ascii="Times New Roman" w:hAnsi="Times New Roman" w:cs="Times New Roman"/>
          <w:sz w:val="24"/>
          <w:szCs w:val="24"/>
        </w:rPr>
        <w:t>CN (50 mL)</w:t>
      </w:r>
      <w:r w:rsidR="003E5E6A">
        <w:rPr>
          <w:rFonts w:ascii="Times New Roman" w:hAnsi="Times New Roman" w:cs="Times New Roman"/>
          <w:sz w:val="24"/>
          <w:szCs w:val="24"/>
        </w:rPr>
        <w:t>,</w:t>
      </w:r>
      <w:r w:rsidRPr="00AC58AD">
        <w:rPr>
          <w:rFonts w:ascii="Times New Roman" w:hAnsi="Times New Roman" w:cs="Times New Roman"/>
          <w:sz w:val="24"/>
          <w:szCs w:val="24"/>
        </w:rPr>
        <w:t xml:space="preserve"> and</w:t>
      </w:r>
      <w:r w:rsidRPr="00120ECD">
        <w:rPr>
          <w:rFonts w:ascii="Times New Roman" w:hAnsi="Times New Roman" w:cs="Times New Roman"/>
          <w:sz w:val="24"/>
          <w:szCs w:val="24"/>
        </w:rPr>
        <w:t xml:space="preserve"> </w:t>
      </w:r>
      <w:r w:rsidR="00120ECD" w:rsidRPr="00120ECD">
        <w:rPr>
          <w:rFonts w:ascii="Times New Roman" w:hAnsi="Times New Roman" w:cs="Times New Roman"/>
          <w:sz w:val="24"/>
          <w:szCs w:val="24"/>
        </w:rPr>
        <w:t xml:space="preserve">compound </w:t>
      </w:r>
      <w:r w:rsidR="00120ECD" w:rsidRPr="00142B04">
        <w:rPr>
          <w:rFonts w:ascii="Times New Roman" w:hAnsi="Times New Roman" w:cs="Times New Roman"/>
          <w:b/>
          <w:sz w:val="24"/>
          <w:szCs w:val="24"/>
        </w:rPr>
        <w:t>2</w:t>
      </w:r>
      <w:r w:rsidR="00120ECD" w:rsidRPr="00120ECD">
        <w:rPr>
          <w:rFonts w:ascii="Times New Roman" w:hAnsi="Times New Roman" w:cs="Times New Roman"/>
          <w:sz w:val="24"/>
          <w:szCs w:val="24"/>
        </w:rPr>
        <w:t xml:space="preserve"> </w:t>
      </w:r>
      <w:r w:rsidRPr="00AC58AD">
        <w:rPr>
          <w:rFonts w:ascii="Times New Roman" w:hAnsi="Times New Roman" w:cs="Times New Roman"/>
          <w:sz w:val="24"/>
          <w:szCs w:val="24"/>
        </w:rPr>
        <w:t>(2.44 g, 7.5 mmol) and triethylamine (TEA, 2.8 mL, 20 mmol)</w:t>
      </w:r>
      <w:r w:rsidR="003E5E6A">
        <w:rPr>
          <w:rFonts w:ascii="Times New Roman" w:hAnsi="Times New Roman" w:cs="Times New Roman"/>
          <w:sz w:val="24"/>
          <w:szCs w:val="24"/>
        </w:rPr>
        <w:t xml:space="preserve"> were added</w:t>
      </w:r>
      <w:r w:rsidRPr="00AC58AD">
        <w:rPr>
          <w:rFonts w:ascii="Times New Roman" w:hAnsi="Times New Roman" w:cs="Times New Roman"/>
          <w:sz w:val="24"/>
          <w:szCs w:val="24"/>
        </w:rPr>
        <w:t xml:space="preserve">. After stirring at 50 °C for 19 h, the </w:t>
      </w:r>
      <w:r w:rsidR="003E5E6A">
        <w:rPr>
          <w:rFonts w:ascii="Times New Roman" w:hAnsi="Times New Roman" w:cs="Times New Roman"/>
          <w:sz w:val="24"/>
          <w:szCs w:val="24"/>
        </w:rPr>
        <w:t>volatile solvent was evaporated under reduced procedure, and the res</w:t>
      </w:r>
      <w:r w:rsidR="004C0026">
        <w:rPr>
          <w:rFonts w:ascii="Times New Roman" w:hAnsi="Times New Roman" w:cs="Times New Roman"/>
          <w:sz w:val="24"/>
          <w:szCs w:val="24"/>
        </w:rPr>
        <w:t>i</w:t>
      </w:r>
      <w:r w:rsidR="003E5E6A">
        <w:rPr>
          <w:rFonts w:ascii="Times New Roman" w:hAnsi="Times New Roman" w:cs="Times New Roman"/>
          <w:sz w:val="24"/>
          <w:szCs w:val="24"/>
        </w:rPr>
        <w:t>due</w:t>
      </w:r>
      <w:r w:rsidRPr="00AC58AD">
        <w:rPr>
          <w:rFonts w:ascii="Times New Roman" w:hAnsi="Times New Roman" w:cs="Times New Roman"/>
          <w:sz w:val="24"/>
          <w:szCs w:val="24"/>
        </w:rPr>
        <w:t xml:space="preserve"> was purified with flash column chromatography eluted with ethyl acetate (0.6 L), followed by 19:1 (v/v) ethyl acetate/methanol (1.8 L) and 9:1 (v/v) ethyl acetate/methanol (1 L), consecutively. The product eluate fractions were combined</w:t>
      </w:r>
      <w:r w:rsidR="003E5E6A">
        <w:rPr>
          <w:rFonts w:ascii="Times New Roman" w:hAnsi="Times New Roman" w:cs="Times New Roman"/>
          <w:sz w:val="24"/>
          <w:szCs w:val="24"/>
        </w:rPr>
        <w:t xml:space="preserve"> and </w:t>
      </w:r>
      <w:r w:rsidRPr="00AC58AD">
        <w:rPr>
          <w:rFonts w:ascii="Times New Roman" w:hAnsi="Times New Roman" w:cs="Times New Roman"/>
          <w:sz w:val="24"/>
          <w:szCs w:val="24"/>
        </w:rPr>
        <w:t xml:space="preserve">evaporated under reduced pressure to yield </w:t>
      </w:r>
      <w:r w:rsidR="00142B04">
        <w:rPr>
          <w:rFonts w:ascii="Times New Roman" w:hAnsi="Times New Roman" w:cs="Times New Roman"/>
          <w:b/>
          <w:sz w:val="24"/>
          <w:szCs w:val="24"/>
        </w:rPr>
        <w:t>4</w:t>
      </w:r>
      <w:r w:rsidRPr="00AC58AD">
        <w:rPr>
          <w:rFonts w:ascii="Times New Roman" w:hAnsi="Times New Roman" w:cs="Times New Roman"/>
          <w:sz w:val="24"/>
          <w:szCs w:val="24"/>
        </w:rPr>
        <w:t xml:space="preserve"> as a yellow powder (750 mg, 45% yield). MS (ESI) calculated for C</w:t>
      </w:r>
      <w:r w:rsidRPr="00AC58AD">
        <w:rPr>
          <w:rFonts w:ascii="Times New Roman" w:hAnsi="Times New Roman" w:cs="Times New Roman"/>
          <w:sz w:val="24"/>
          <w:szCs w:val="24"/>
          <w:vertAlign w:val="subscript"/>
        </w:rPr>
        <w:t>25</w:t>
      </w:r>
      <w:r w:rsidRPr="00AC58AD">
        <w:rPr>
          <w:rFonts w:ascii="Times New Roman" w:hAnsi="Times New Roman" w:cs="Times New Roman"/>
          <w:sz w:val="24"/>
          <w:szCs w:val="24"/>
        </w:rPr>
        <w:t>H</w:t>
      </w:r>
      <w:r w:rsidRPr="00AC58AD">
        <w:rPr>
          <w:rFonts w:ascii="Times New Roman" w:hAnsi="Times New Roman" w:cs="Times New Roman"/>
          <w:sz w:val="24"/>
          <w:szCs w:val="24"/>
          <w:vertAlign w:val="subscript"/>
        </w:rPr>
        <w:t>34</w:t>
      </w:r>
      <w:r w:rsidRPr="00AC58AD">
        <w:rPr>
          <w:rFonts w:ascii="Times New Roman" w:hAnsi="Times New Roman" w:cs="Times New Roman"/>
          <w:sz w:val="24"/>
          <w:szCs w:val="24"/>
        </w:rPr>
        <w:t>F</w:t>
      </w:r>
      <w:r w:rsidRPr="00AC5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58AD">
        <w:rPr>
          <w:rFonts w:ascii="Times New Roman" w:hAnsi="Times New Roman" w:cs="Times New Roman"/>
          <w:sz w:val="24"/>
          <w:szCs w:val="24"/>
        </w:rPr>
        <w:t>N</w:t>
      </w:r>
      <w:r w:rsidRPr="00AC58AD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C58AD">
        <w:rPr>
          <w:rFonts w:ascii="Times New Roman" w:hAnsi="Times New Roman" w:cs="Times New Roman"/>
          <w:sz w:val="24"/>
          <w:szCs w:val="24"/>
        </w:rPr>
        <w:t>O</w:t>
      </w:r>
      <w:r w:rsidRPr="00AC58AD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AC58AD">
        <w:rPr>
          <w:rFonts w:ascii="Times New Roman" w:hAnsi="Times New Roman" w:cs="Times New Roman"/>
          <w:sz w:val="24"/>
          <w:szCs w:val="24"/>
        </w:rPr>
        <w:t xml:space="preserve"> 536.</w:t>
      </w:r>
      <w:r w:rsidR="004C0026">
        <w:rPr>
          <w:rFonts w:ascii="Times New Roman" w:hAnsi="Times New Roman" w:cs="Times New Roman"/>
          <w:sz w:val="24"/>
          <w:szCs w:val="24"/>
        </w:rPr>
        <w:t>3</w:t>
      </w:r>
      <w:r w:rsidRPr="00AC58AD">
        <w:rPr>
          <w:rFonts w:ascii="Times New Roman" w:hAnsi="Times New Roman" w:cs="Times New Roman"/>
          <w:sz w:val="24"/>
          <w:szCs w:val="24"/>
        </w:rPr>
        <w:t>, found [M+H</w:t>
      </w:r>
      <w:proofErr w:type="gramStart"/>
      <w:r w:rsidRPr="00AC58AD">
        <w:rPr>
          <w:rFonts w:ascii="Times New Roman" w:hAnsi="Times New Roman" w:cs="Times New Roman"/>
          <w:sz w:val="24"/>
          <w:szCs w:val="24"/>
        </w:rPr>
        <w:t>]</w:t>
      </w:r>
      <w:r w:rsidRPr="00AC58A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End"/>
      <w:r w:rsidRPr="00AC58A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C58AD">
        <w:rPr>
          <w:rFonts w:ascii="Times New Roman" w:hAnsi="Times New Roman" w:cs="Times New Roman"/>
          <w:sz w:val="24"/>
          <w:szCs w:val="24"/>
        </w:rPr>
        <w:t>537.3.</w:t>
      </w:r>
      <w:r w:rsidRPr="00AC58AD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AC58AD">
        <w:rPr>
          <w:rFonts w:ascii="Times New Roman" w:hAnsi="Times New Roman" w:cs="Times New Roman"/>
          <w:sz w:val="24"/>
          <w:szCs w:val="24"/>
        </w:rPr>
        <w:t>H NMR (300 MHz, DMSO</w:t>
      </w:r>
      <w:r w:rsidR="0038737C">
        <w:rPr>
          <w:rFonts w:ascii="Times New Roman" w:hAnsi="Times New Roman" w:cs="Times New Roman"/>
          <w:sz w:val="24"/>
          <w:szCs w:val="24"/>
        </w:rPr>
        <w:t>-d</w:t>
      </w:r>
      <w:r w:rsidR="0038737C" w:rsidRPr="0038737C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AC58AD">
        <w:rPr>
          <w:rFonts w:ascii="Times New Roman" w:hAnsi="Times New Roman" w:cs="Times New Roman"/>
          <w:sz w:val="24"/>
          <w:szCs w:val="24"/>
        </w:rPr>
        <w:t xml:space="preserve">) δ 7.39 (d, </w:t>
      </w:r>
      <w:r w:rsidRPr="00AC58AD">
        <w:rPr>
          <w:rFonts w:ascii="Times New Roman" w:hAnsi="Times New Roman" w:cs="Times New Roman"/>
          <w:i/>
          <w:sz w:val="24"/>
          <w:szCs w:val="24"/>
        </w:rPr>
        <w:t>J</w:t>
      </w:r>
      <w:r w:rsidRPr="00AC58AD">
        <w:rPr>
          <w:rFonts w:ascii="Times New Roman" w:hAnsi="Times New Roman" w:cs="Times New Roman"/>
          <w:sz w:val="24"/>
          <w:szCs w:val="24"/>
        </w:rPr>
        <w:t xml:space="preserve"> = 8.1 Hz, 1H), 7.15 (s, 1H), 7.06 (t, </w:t>
      </w:r>
      <w:r w:rsidRPr="00AC58AD">
        <w:rPr>
          <w:rFonts w:ascii="Times New Roman" w:hAnsi="Times New Roman" w:cs="Times New Roman"/>
          <w:i/>
          <w:sz w:val="24"/>
          <w:szCs w:val="24"/>
        </w:rPr>
        <w:t>J</w:t>
      </w:r>
      <w:r w:rsidRPr="00AC58AD">
        <w:rPr>
          <w:rFonts w:ascii="Times New Roman" w:hAnsi="Times New Roman" w:cs="Times New Roman"/>
          <w:sz w:val="24"/>
          <w:szCs w:val="24"/>
        </w:rPr>
        <w:t xml:space="preserve"> = 6.0 Hz, 2H), 6.88 (t, </w:t>
      </w:r>
      <w:r w:rsidRPr="00AC58AD">
        <w:rPr>
          <w:rFonts w:ascii="Times New Roman" w:hAnsi="Times New Roman" w:cs="Times New Roman"/>
          <w:i/>
          <w:sz w:val="24"/>
          <w:szCs w:val="24"/>
        </w:rPr>
        <w:t>J</w:t>
      </w:r>
      <w:r w:rsidRPr="00AC58AD">
        <w:rPr>
          <w:rFonts w:ascii="Times New Roman" w:hAnsi="Times New Roman" w:cs="Times New Roman"/>
          <w:sz w:val="24"/>
          <w:szCs w:val="24"/>
        </w:rPr>
        <w:t xml:space="preserve"> = 6.4 Hz, 1H), 5.07 (dd, </w:t>
      </w:r>
      <w:r w:rsidRPr="00AC58AD">
        <w:rPr>
          <w:rFonts w:ascii="Times New Roman" w:hAnsi="Times New Roman" w:cs="Times New Roman"/>
          <w:i/>
          <w:sz w:val="24"/>
          <w:szCs w:val="24"/>
        </w:rPr>
        <w:t>J</w:t>
      </w:r>
      <w:r w:rsidRPr="00AC58AD">
        <w:rPr>
          <w:rFonts w:ascii="Times New Roman" w:hAnsi="Times New Roman" w:cs="Times New Roman"/>
          <w:sz w:val="24"/>
          <w:szCs w:val="24"/>
        </w:rPr>
        <w:t xml:space="preserve"> = 9.1, 3.0 Hz, 2H), 4.45 (dd, </w:t>
      </w:r>
      <w:r w:rsidRPr="00AC58AD">
        <w:rPr>
          <w:rFonts w:ascii="Times New Roman" w:hAnsi="Times New Roman" w:cs="Times New Roman"/>
          <w:i/>
          <w:sz w:val="24"/>
          <w:szCs w:val="24"/>
        </w:rPr>
        <w:t>J</w:t>
      </w:r>
      <w:r w:rsidRPr="00AC58AD">
        <w:rPr>
          <w:rFonts w:ascii="Times New Roman" w:hAnsi="Times New Roman" w:cs="Times New Roman"/>
          <w:sz w:val="24"/>
          <w:szCs w:val="24"/>
        </w:rPr>
        <w:t xml:space="preserve"> = 9.6, 4.2 Hz, 1H), 4.26 – 3.88 (m, 5H), 3.77 (d, </w:t>
      </w:r>
      <w:r w:rsidRPr="00AC58AD">
        <w:rPr>
          <w:rFonts w:ascii="Times New Roman" w:hAnsi="Times New Roman" w:cs="Times New Roman"/>
          <w:i/>
          <w:sz w:val="24"/>
          <w:szCs w:val="24"/>
        </w:rPr>
        <w:t>J</w:t>
      </w:r>
      <w:r w:rsidRPr="00AC58AD">
        <w:rPr>
          <w:rFonts w:ascii="Times New Roman" w:hAnsi="Times New Roman" w:cs="Times New Roman"/>
          <w:sz w:val="24"/>
          <w:szCs w:val="24"/>
        </w:rPr>
        <w:t xml:space="preserve"> = 6.1 Hz, 4H), 3.70 (dd, </w:t>
      </w:r>
      <w:r w:rsidRPr="00AC58AD">
        <w:rPr>
          <w:rFonts w:ascii="Times New Roman" w:hAnsi="Times New Roman" w:cs="Times New Roman"/>
          <w:i/>
          <w:sz w:val="24"/>
          <w:szCs w:val="24"/>
        </w:rPr>
        <w:t>J</w:t>
      </w:r>
      <w:r w:rsidRPr="00AC58AD">
        <w:rPr>
          <w:rFonts w:ascii="Times New Roman" w:hAnsi="Times New Roman" w:cs="Times New Roman"/>
          <w:sz w:val="24"/>
          <w:szCs w:val="24"/>
        </w:rPr>
        <w:t xml:space="preserve"> = 17.3, 5.6 Hz, 1H), 2.90 (dt, </w:t>
      </w:r>
      <w:r w:rsidRPr="00AC58AD">
        <w:rPr>
          <w:rFonts w:ascii="Times New Roman" w:hAnsi="Times New Roman" w:cs="Times New Roman"/>
          <w:i/>
          <w:sz w:val="24"/>
          <w:szCs w:val="24"/>
        </w:rPr>
        <w:t>J</w:t>
      </w:r>
      <w:r w:rsidRPr="00AC58AD">
        <w:rPr>
          <w:rFonts w:ascii="Times New Roman" w:hAnsi="Times New Roman" w:cs="Times New Roman"/>
          <w:sz w:val="24"/>
          <w:szCs w:val="24"/>
        </w:rPr>
        <w:t xml:space="preserve"> = 14.3, 9.1 Hz, 1H), 2.83 – 2.67 (m, 3H), 1.38 (s, 9H).</w:t>
      </w:r>
    </w:p>
    <w:p w:rsidR="002A69BC" w:rsidRPr="00E51014" w:rsidRDefault="002A69BC" w:rsidP="00BE6C63">
      <w:pPr>
        <w:pStyle w:val="NormalWeb"/>
        <w:spacing w:before="0" w:beforeAutospacing="0" w:after="0" w:afterAutospacing="0"/>
        <w:jc w:val="both"/>
        <w:rPr>
          <w:rFonts w:eastAsia="TimesNewRoman"/>
          <w:lang w:val="en-CA"/>
        </w:rPr>
      </w:pPr>
    </w:p>
    <w:p w:rsidR="002A69BC" w:rsidRDefault="005C039B" w:rsidP="00BE6C63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51014">
        <w:rPr>
          <w:rFonts w:ascii="Times New Roman" w:hAnsi="Times New Roman" w:cs="Times New Roman"/>
          <w:sz w:val="24"/>
          <w:szCs w:val="24"/>
          <w:u w:val="single"/>
        </w:rPr>
        <w:t>Synthesis of</w:t>
      </w:r>
      <w:r w:rsidR="009F7C77" w:rsidRPr="00E510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22F57" w:rsidRPr="00E51014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F22F57" w:rsidRPr="0034230E"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 w:rsidR="00F22F57" w:rsidRPr="00E51014">
        <w:rPr>
          <w:rFonts w:ascii="Times New Roman" w:hAnsi="Times New Roman" w:cs="Times New Roman"/>
          <w:sz w:val="24"/>
          <w:szCs w:val="24"/>
          <w:u w:val="single"/>
        </w:rPr>
        <w:t>)-4-((2-((4-((2-(2-cyano-4</w:t>
      </w:r>
      <w:proofErr w:type="gramStart"/>
      <w:r w:rsidR="00F22F57" w:rsidRPr="00E51014">
        <w:rPr>
          <w:rFonts w:ascii="Times New Roman" w:hAnsi="Times New Roman" w:cs="Times New Roman"/>
          <w:sz w:val="24"/>
          <w:szCs w:val="24"/>
          <w:u w:val="single"/>
        </w:rPr>
        <w:t>,4</w:t>
      </w:r>
      <w:proofErr w:type="gramEnd"/>
      <w:r w:rsidR="00F22F57" w:rsidRPr="00E51014">
        <w:rPr>
          <w:rFonts w:ascii="Times New Roman" w:hAnsi="Times New Roman" w:cs="Times New Roman"/>
          <w:sz w:val="24"/>
          <w:szCs w:val="24"/>
          <w:u w:val="single"/>
        </w:rPr>
        <w:t>-difluoropyrrolidin-1-yl)-2-oxoethyl)carbamoyl)pyridin-2-yl)(methyl)amino)ethyl)(methyl)amino)-4-oxobutanoic acid</w:t>
      </w:r>
      <w:r w:rsidR="00CB5CC4" w:rsidRPr="00E5101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1014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34230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E51014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34230E" w:rsidRPr="00E51014" w:rsidRDefault="0034230E" w:rsidP="00BE6C63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object w:dxaOrig="4409" w:dyaOrig="1827">
          <v:shape id="_x0000_i1027" type="#_x0000_t75" style="width:220.3pt;height:91.3pt" o:ole="">
            <v:imagedata r:id="rId10" o:title=""/>
          </v:shape>
          <o:OLEObject Type="Embed" ProgID="ChemDraw.Document.6.0" ShapeID="_x0000_i1027" DrawAspect="Content" ObjectID="_1761289180" r:id="rId11"/>
        </w:object>
      </w:r>
    </w:p>
    <w:p w:rsidR="00BE6C63" w:rsidRPr="00AC58AD" w:rsidRDefault="00BE6C63" w:rsidP="00AC58AD">
      <w:pPr>
        <w:jc w:val="both"/>
        <w:rPr>
          <w:rFonts w:ascii="Times New Roman" w:hAnsi="Times New Roman" w:cs="Times New Roman"/>
          <w:sz w:val="24"/>
        </w:rPr>
      </w:pPr>
      <w:r w:rsidRPr="00AC58AD">
        <w:rPr>
          <w:rFonts w:ascii="Times New Roman" w:hAnsi="Times New Roman" w:cs="Times New Roman"/>
          <w:sz w:val="24"/>
        </w:rPr>
        <w:t xml:space="preserve">Compound </w:t>
      </w:r>
      <w:r w:rsidR="00142B04">
        <w:rPr>
          <w:rFonts w:ascii="Times New Roman" w:hAnsi="Times New Roman" w:cs="Times New Roman"/>
          <w:b/>
          <w:sz w:val="24"/>
        </w:rPr>
        <w:t>4</w:t>
      </w:r>
      <w:r w:rsidR="004C0026" w:rsidRPr="00AC58AD">
        <w:rPr>
          <w:rFonts w:ascii="Times New Roman" w:hAnsi="Times New Roman" w:cs="Times New Roman"/>
          <w:sz w:val="24"/>
        </w:rPr>
        <w:t xml:space="preserve"> </w:t>
      </w:r>
      <w:r w:rsidRPr="00AC58AD">
        <w:rPr>
          <w:rFonts w:ascii="Times New Roman" w:hAnsi="Times New Roman" w:cs="Times New Roman"/>
          <w:sz w:val="24"/>
        </w:rPr>
        <w:t>(737 mg, 1.</w:t>
      </w:r>
      <w:r w:rsidR="0034230E">
        <w:rPr>
          <w:rFonts w:ascii="Times New Roman" w:hAnsi="Times New Roman" w:cs="Times New Roman"/>
          <w:sz w:val="24"/>
        </w:rPr>
        <w:t>4</w:t>
      </w:r>
      <w:r w:rsidRPr="00AC58AD">
        <w:rPr>
          <w:rFonts w:ascii="Times New Roman" w:hAnsi="Times New Roman" w:cs="Times New Roman"/>
          <w:sz w:val="24"/>
        </w:rPr>
        <w:t xml:space="preserve"> mmol) was dissolved in </w:t>
      </w:r>
      <w:r w:rsidR="00337998">
        <w:rPr>
          <w:rFonts w:ascii="Times New Roman" w:hAnsi="Times New Roman" w:cs="Times New Roman"/>
          <w:sz w:val="24"/>
        </w:rPr>
        <w:t>DCM (</w:t>
      </w:r>
      <w:r w:rsidRPr="00AC58AD">
        <w:rPr>
          <w:rFonts w:ascii="Times New Roman" w:hAnsi="Times New Roman" w:cs="Times New Roman"/>
          <w:sz w:val="24"/>
        </w:rPr>
        <w:t>10 mL)</w:t>
      </w:r>
      <w:r w:rsidR="004C0026">
        <w:rPr>
          <w:rFonts w:ascii="Times New Roman" w:hAnsi="Times New Roman" w:cs="Times New Roman"/>
          <w:sz w:val="24"/>
        </w:rPr>
        <w:t>,</w:t>
      </w:r>
      <w:r w:rsidRPr="00AC58AD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AC58AD">
        <w:rPr>
          <w:rFonts w:ascii="Times New Roman" w:hAnsi="Times New Roman" w:cs="Times New Roman"/>
          <w:sz w:val="24"/>
        </w:rPr>
        <w:t>triethylsilane</w:t>
      </w:r>
      <w:proofErr w:type="spellEnd"/>
      <w:r w:rsidRPr="00AC58AD">
        <w:rPr>
          <w:rFonts w:ascii="Times New Roman" w:hAnsi="Times New Roman" w:cs="Times New Roman"/>
          <w:sz w:val="24"/>
        </w:rPr>
        <w:t xml:space="preserve"> (481 mg, 4.1 mmol) and TFA (10 mL)</w:t>
      </w:r>
      <w:r w:rsidR="004C0026">
        <w:rPr>
          <w:rFonts w:ascii="Times New Roman" w:hAnsi="Times New Roman" w:cs="Times New Roman"/>
          <w:sz w:val="24"/>
        </w:rPr>
        <w:t xml:space="preserve"> were added</w:t>
      </w:r>
      <w:r w:rsidRPr="00AC58AD">
        <w:rPr>
          <w:rFonts w:ascii="Times New Roman" w:hAnsi="Times New Roman" w:cs="Times New Roman"/>
          <w:sz w:val="24"/>
        </w:rPr>
        <w:t xml:space="preserve">. After stirring for 2 h, the resulting solution was evaporated and </w:t>
      </w:r>
      <w:r w:rsidR="004C0026">
        <w:rPr>
          <w:rFonts w:ascii="Times New Roman" w:hAnsi="Times New Roman" w:cs="Times New Roman"/>
          <w:sz w:val="24"/>
        </w:rPr>
        <w:t xml:space="preserve">the residue was </w:t>
      </w:r>
      <w:r w:rsidRPr="00AC58AD">
        <w:rPr>
          <w:rFonts w:ascii="Times New Roman" w:hAnsi="Times New Roman" w:cs="Times New Roman"/>
          <w:sz w:val="24"/>
        </w:rPr>
        <w:t xml:space="preserve">dissolved in </w:t>
      </w:r>
      <w:r w:rsidR="001C106B">
        <w:rPr>
          <w:rFonts w:ascii="Times New Roman" w:hAnsi="Times New Roman" w:cs="Times New Roman"/>
          <w:sz w:val="24"/>
        </w:rPr>
        <w:t xml:space="preserve">diethyl </w:t>
      </w:r>
      <w:r w:rsidRPr="00AC58AD">
        <w:rPr>
          <w:rFonts w:ascii="Times New Roman" w:hAnsi="Times New Roman" w:cs="Times New Roman"/>
          <w:sz w:val="24"/>
        </w:rPr>
        <w:t xml:space="preserve">ether (250 mL). The </w:t>
      </w:r>
      <w:r w:rsidR="001C106B">
        <w:rPr>
          <w:rFonts w:ascii="Times New Roman" w:hAnsi="Times New Roman" w:cs="Times New Roman"/>
          <w:sz w:val="24"/>
        </w:rPr>
        <w:t xml:space="preserve">diethyl </w:t>
      </w:r>
      <w:r w:rsidR="00120ECD">
        <w:rPr>
          <w:rFonts w:ascii="Times New Roman" w:hAnsi="Times New Roman" w:cs="Times New Roman"/>
          <w:sz w:val="24"/>
        </w:rPr>
        <w:t>ether</w:t>
      </w:r>
      <w:r w:rsidR="004C0026">
        <w:rPr>
          <w:rFonts w:ascii="Times New Roman" w:hAnsi="Times New Roman" w:cs="Times New Roman"/>
          <w:sz w:val="24"/>
        </w:rPr>
        <w:t xml:space="preserve"> </w:t>
      </w:r>
      <w:r w:rsidRPr="00AC58AD">
        <w:rPr>
          <w:rFonts w:ascii="Times New Roman" w:hAnsi="Times New Roman" w:cs="Times New Roman"/>
          <w:sz w:val="24"/>
        </w:rPr>
        <w:t xml:space="preserve">solution was stirred </w:t>
      </w:r>
      <w:r w:rsidR="004C0026">
        <w:rPr>
          <w:rFonts w:ascii="Times New Roman" w:hAnsi="Times New Roman" w:cs="Times New Roman"/>
          <w:sz w:val="24"/>
        </w:rPr>
        <w:t xml:space="preserve">for </w:t>
      </w:r>
      <w:r w:rsidR="00120ECD">
        <w:rPr>
          <w:rFonts w:ascii="Times New Roman" w:hAnsi="Times New Roman" w:cs="Times New Roman"/>
          <w:sz w:val="24"/>
        </w:rPr>
        <w:t>2</w:t>
      </w:r>
      <w:r w:rsidR="0034230E">
        <w:rPr>
          <w:rFonts w:ascii="Times New Roman" w:hAnsi="Times New Roman" w:cs="Times New Roman"/>
          <w:sz w:val="24"/>
        </w:rPr>
        <w:t xml:space="preserve"> h</w:t>
      </w:r>
      <w:r w:rsidR="004C0026">
        <w:rPr>
          <w:rFonts w:ascii="Times New Roman" w:hAnsi="Times New Roman" w:cs="Times New Roman"/>
          <w:sz w:val="24"/>
        </w:rPr>
        <w:t xml:space="preserve"> and the resulting </w:t>
      </w:r>
      <w:r w:rsidRPr="00AC58AD">
        <w:rPr>
          <w:rFonts w:ascii="Times New Roman" w:hAnsi="Times New Roman" w:cs="Times New Roman"/>
          <w:sz w:val="24"/>
        </w:rPr>
        <w:t xml:space="preserve">yellow powder was filtered and dried under reduced pressure to yield 670 mg of </w:t>
      </w:r>
      <w:r w:rsidR="00142B04">
        <w:rPr>
          <w:rFonts w:ascii="Times New Roman" w:hAnsi="Times New Roman" w:cs="Times New Roman"/>
          <w:b/>
          <w:sz w:val="24"/>
        </w:rPr>
        <w:t>5</w:t>
      </w:r>
      <w:r w:rsidRPr="00AC58AD">
        <w:rPr>
          <w:rFonts w:ascii="Times New Roman" w:hAnsi="Times New Roman" w:cs="Times New Roman"/>
          <w:sz w:val="24"/>
        </w:rPr>
        <w:t xml:space="preserve"> (100% yield). MS (ESI) calculated for C</w:t>
      </w:r>
      <w:r w:rsidRPr="00AC58AD">
        <w:rPr>
          <w:rFonts w:ascii="Times New Roman" w:hAnsi="Times New Roman" w:cs="Times New Roman"/>
          <w:sz w:val="24"/>
          <w:vertAlign w:val="subscript"/>
        </w:rPr>
        <w:t>21</w:t>
      </w:r>
      <w:r w:rsidRPr="00AC58AD">
        <w:rPr>
          <w:rFonts w:ascii="Times New Roman" w:hAnsi="Times New Roman" w:cs="Times New Roman"/>
          <w:sz w:val="24"/>
        </w:rPr>
        <w:t>H</w:t>
      </w:r>
      <w:r w:rsidRPr="00AC58AD">
        <w:rPr>
          <w:rFonts w:ascii="Times New Roman" w:hAnsi="Times New Roman" w:cs="Times New Roman"/>
          <w:sz w:val="24"/>
          <w:vertAlign w:val="subscript"/>
        </w:rPr>
        <w:t>26</w:t>
      </w:r>
      <w:r w:rsidRPr="00AC58AD">
        <w:rPr>
          <w:rFonts w:ascii="Times New Roman" w:hAnsi="Times New Roman" w:cs="Times New Roman"/>
          <w:sz w:val="24"/>
        </w:rPr>
        <w:t>F</w:t>
      </w:r>
      <w:r w:rsidRPr="00AC58AD">
        <w:rPr>
          <w:rFonts w:ascii="Times New Roman" w:hAnsi="Times New Roman" w:cs="Times New Roman"/>
          <w:sz w:val="24"/>
          <w:vertAlign w:val="subscript"/>
        </w:rPr>
        <w:t>2</w:t>
      </w:r>
      <w:r w:rsidRPr="00AC58AD">
        <w:rPr>
          <w:rFonts w:ascii="Times New Roman" w:hAnsi="Times New Roman" w:cs="Times New Roman"/>
          <w:sz w:val="24"/>
        </w:rPr>
        <w:t>N</w:t>
      </w:r>
      <w:r w:rsidRPr="00AC58AD">
        <w:rPr>
          <w:rFonts w:ascii="Times New Roman" w:hAnsi="Times New Roman" w:cs="Times New Roman"/>
          <w:sz w:val="24"/>
          <w:vertAlign w:val="subscript"/>
        </w:rPr>
        <w:t>6</w:t>
      </w:r>
      <w:r w:rsidRPr="00AC58AD">
        <w:rPr>
          <w:rFonts w:ascii="Times New Roman" w:hAnsi="Times New Roman" w:cs="Times New Roman"/>
          <w:sz w:val="24"/>
        </w:rPr>
        <w:t>O</w:t>
      </w:r>
      <w:r w:rsidRPr="00AC58AD">
        <w:rPr>
          <w:rFonts w:ascii="Times New Roman" w:hAnsi="Times New Roman" w:cs="Times New Roman"/>
          <w:sz w:val="24"/>
          <w:vertAlign w:val="subscript"/>
        </w:rPr>
        <w:t>5</w:t>
      </w:r>
      <w:r w:rsidRPr="00AC58AD">
        <w:rPr>
          <w:rFonts w:ascii="Times New Roman" w:hAnsi="Times New Roman" w:cs="Times New Roman"/>
          <w:color w:val="FF0000"/>
          <w:sz w:val="24"/>
        </w:rPr>
        <w:t xml:space="preserve"> </w:t>
      </w:r>
      <w:r w:rsidRPr="00AC58AD">
        <w:rPr>
          <w:rFonts w:ascii="Times New Roman" w:hAnsi="Times New Roman" w:cs="Times New Roman"/>
          <w:sz w:val="24"/>
        </w:rPr>
        <w:t>480.</w:t>
      </w:r>
      <w:r w:rsidR="004C0026">
        <w:rPr>
          <w:rFonts w:ascii="Times New Roman" w:hAnsi="Times New Roman" w:cs="Times New Roman"/>
          <w:sz w:val="24"/>
        </w:rPr>
        <w:t>2</w:t>
      </w:r>
      <w:r w:rsidRPr="00AC58AD">
        <w:rPr>
          <w:rFonts w:ascii="Times New Roman" w:hAnsi="Times New Roman" w:cs="Times New Roman"/>
          <w:sz w:val="24"/>
        </w:rPr>
        <w:t>, found [M+H</w:t>
      </w:r>
      <w:proofErr w:type="gramStart"/>
      <w:r w:rsidRPr="00AC58AD">
        <w:rPr>
          <w:rFonts w:ascii="Times New Roman" w:hAnsi="Times New Roman" w:cs="Times New Roman"/>
          <w:sz w:val="24"/>
        </w:rPr>
        <w:t>]</w:t>
      </w:r>
      <w:r w:rsidRPr="00AC58AD">
        <w:rPr>
          <w:rFonts w:ascii="Times New Roman" w:hAnsi="Times New Roman" w:cs="Times New Roman"/>
          <w:sz w:val="24"/>
          <w:vertAlign w:val="superscript"/>
        </w:rPr>
        <w:t>+</w:t>
      </w:r>
      <w:proofErr w:type="gramEnd"/>
      <w:r w:rsidRPr="00AC58AD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AC58AD">
        <w:rPr>
          <w:rFonts w:ascii="Times New Roman" w:hAnsi="Times New Roman" w:cs="Times New Roman"/>
          <w:sz w:val="24"/>
        </w:rPr>
        <w:lastRenderedPageBreak/>
        <w:t xml:space="preserve">481.2. </w:t>
      </w:r>
      <w:r w:rsidRPr="00AC58AD">
        <w:rPr>
          <w:rFonts w:ascii="Times New Roman" w:hAnsi="Times New Roman" w:cs="Times New Roman"/>
          <w:sz w:val="24"/>
          <w:vertAlign w:val="superscript"/>
        </w:rPr>
        <w:t>1</w:t>
      </w:r>
      <w:r w:rsidRPr="00AC58AD">
        <w:rPr>
          <w:rFonts w:ascii="Times New Roman" w:hAnsi="Times New Roman" w:cs="Times New Roman"/>
          <w:sz w:val="24"/>
        </w:rPr>
        <w:t>H NMR (300 MHz, DMSO</w:t>
      </w:r>
      <w:r w:rsidR="0038737C">
        <w:rPr>
          <w:rFonts w:ascii="Times New Roman" w:hAnsi="Times New Roman" w:cs="Times New Roman"/>
          <w:sz w:val="24"/>
        </w:rPr>
        <w:t>-d</w:t>
      </w:r>
      <w:r w:rsidR="0038737C" w:rsidRPr="0038737C">
        <w:rPr>
          <w:rFonts w:ascii="Times New Roman" w:hAnsi="Times New Roman" w:cs="Times New Roman"/>
          <w:sz w:val="24"/>
          <w:vertAlign w:val="subscript"/>
        </w:rPr>
        <w:t>6</w:t>
      </w:r>
      <w:r w:rsidRPr="00AC58AD">
        <w:rPr>
          <w:rFonts w:ascii="Times New Roman" w:hAnsi="Times New Roman" w:cs="Times New Roman"/>
          <w:sz w:val="24"/>
        </w:rPr>
        <w:t>) δ 9.03 (</w:t>
      </w:r>
      <w:proofErr w:type="spellStart"/>
      <w:r w:rsidRPr="00AC58AD">
        <w:rPr>
          <w:rFonts w:ascii="Times New Roman" w:hAnsi="Times New Roman" w:cs="Times New Roman"/>
          <w:sz w:val="24"/>
        </w:rPr>
        <w:t>dt</w:t>
      </w:r>
      <w:proofErr w:type="spellEnd"/>
      <w:r w:rsidRPr="00AC58AD">
        <w:rPr>
          <w:rFonts w:ascii="Times New Roman" w:hAnsi="Times New Roman" w:cs="Times New Roman"/>
          <w:sz w:val="24"/>
        </w:rPr>
        <w:t xml:space="preserve">, </w:t>
      </w:r>
      <w:r w:rsidRPr="00AC58AD">
        <w:rPr>
          <w:rFonts w:ascii="Times New Roman" w:hAnsi="Times New Roman" w:cs="Times New Roman"/>
          <w:i/>
          <w:sz w:val="24"/>
        </w:rPr>
        <w:t>J</w:t>
      </w:r>
      <w:r w:rsidRPr="00AC58AD">
        <w:rPr>
          <w:rFonts w:ascii="Times New Roman" w:hAnsi="Times New Roman" w:cs="Times New Roman"/>
          <w:sz w:val="24"/>
        </w:rPr>
        <w:t xml:space="preserve"> = 27.2, 5.8 Hz, 1H), 8.27 – 8.12 (m, 3H), 7.25 (s</w:t>
      </w:r>
      <w:r w:rsidR="00531B25">
        <w:rPr>
          <w:rFonts w:ascii="Times New Roman" w:hAnsi="Times New Roman" w:cs="Times New Roman"/>
          <w:sz w:val="24"/>
        </w:rPr>
        <w:t>, 1H), 7.11 – 6.97 (m, 2H), 5.10 (dd</w:t>
      </w:r>
      <w:r w:rsidRPr="00AC58AD">
        <w:rPr>
          <w:rFonts w:ascii="Times New Roman" w:hAnsi="Times New Roman" w:cs="Times New Roman"/>
          <w:sz w:val="24"/>
        </w:rPr>
        <w:t xml:space="preserve">, </w:t>
      </w:r>
      <w:r w:rsidRPr="00AC58AD">
        <w:rPr>
          <w:rFonts w:ascii="Times New Roman" w:hAnsi="Times New Roman" w:cs="Times New Roman"/>
          <w:i/>
          <w:sz w:val="24"/>
        </w:rPr>
        <w:t>J</w:t>
      </w:r>
      <w:r w:rsidR="00531B25">
        <w:rPr>
          <w:rFonts w:ascii="Times New Roman" w:hAnsi="Times New Roman" w:cs="Times New Roman"/>
          <w:sz w:val="24"/>
        </w:rPr>
        <w:t xml:space="preserve"> = 9.1</w:t>
      </w:r>
      <w:r w:rsidRPr="00AC58AD">
        <w:rPr>
          <w:rFonts w:ascii="Times New Roman" w:hAnsi="Times New Roman" w:cs="Times New Roman"/>
          <w:sz w:val="24"/>
        </w:rPr>
        <w:t xml:space="preserve">, </w:t>
      </w:r>
      <w:r w:rsidR="00531B25">
        <w:rPr>
          <w:rFonts w:ascii="Times New Roman" w:hAnsi="Times New Roman" w:cs="Times New Roman"/>
          <w:sz w:val="24"/>
        </w:rPr>
        <w:t>2.9</w:t>
      </w:r>
      <w:r w:rsidRPr="00AC58AD">
        <w:rPr>
          <w:rFonts w:ascii="Times New Roman" w:hAnsi="Times New Roman" w:cs="Times New Roman"/>
          <w:sz w:val="24"/>
        </w:rPr>
        <w:t xml:space="preserve"> Hz, </w:t>
      </w:r>
      <w:r w:rsidR="00531B25">
        <w:rPr>
          <w:rFonts w:ascii="Times New Roman" w:hAnsi="Times New Roman" w:cs="Times New Roman"/>
          <w:sz w:val="24"/>
        </w:rPr>
        <w:t>1</w:t>
      </w:r>
      <w:r w:rsidRPr="00AC58AD">
        <w:rPr>
          <w:rFonts w:ascii="Times New Roman" w:hAnsi="Times New Roman" w:cs="Times New Roman"/>
          <w:sz w:val="24"/>
        </w:rPr>
        <w:t xml:space="preserve">H), 4.38 – 4.19 (m, 1H), 4.18 – 4.05 (m, 1H), 3.76 (s, 1H), 3.09 (s, 2H), 2.98 (s, 3H), 2.85 (s, 2H), 2.80 (s, 1H), 2.36 (dd, </w:t>
      </w:r>
      <w:r w:rsidRPr="00AC58AD">
        <w:rPr>
          <w:rFonts w:ascii="Times New Roman" w:hAnsi="Times New Roman" w:cs="Times New Roman"/>
          <w:i/>
          <w:sz w:val="24"/>
        </w:rPr>
        <w:t>J</w:t>
      </w:r>
      <w:r w:rsidRPr="00AC58AD">
        <w:rPr>
          <w:rFonts w:ascii="Times New Roman" w:hAnsi="Times New Roman" w:cs="Times New Roman"/>
          <w:sz w:val="24"/>
        </w:rPr>
        <w:t xml:space="preserve"> = 8.7, 4.8 Hz, 3H).</w:t>
      </w:r>
    </w:p>
    <w:p w:rsidR="00BE6C63" w:rsidRPr="006A3A54" w:rsidRDefault="00BE6C63" w:rsidP="00AC58AD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A54">
        <w:rPr>
          <w:rFonts w:ascii="Times New Roman" w:hAnsi="Times New Roman" w:cs="Times New Roman"/>
          <w:b/>
          <w:sz w:val="24"/>
          <w:szCs w:val="24"/>
        </w:rPr>
        <w:t>Synthesis of DOTA-conjugated Peptides</w:t>
      </w:r>
    </w:p>
    <w:p w:rsidR="00BE6C63" w:rsidRPr="00AC58AD" w:rsidRDefault="00BE6C63" w:rsidP="00AC58AD">
      <w:pPr>
        <w:jc w:val="both"/>
        <w:rPr>
          <w:rFonts w:ascii="Times New Roman" w:hAnsi="Times New Roman" w:cs="Times New Roman"/>
          <w:sz w:val="24"/>
          <w:szCs w:val="24"/>
        </w:rPr>
      </w:pPr>
      <w:r w:rsidRPr="00AC58AD">
        <w:rPr>
          <w:rFonts w:ascii="Times New Roman" w:hAnsi="Times New Roman" w:cs="Times New Roman"/>
          <w:sz w:val="24"/>
        </w:rPr>
        <w:t xml:space="preserve">AV01084 and AV01088 were synthesized on solid phase using Fmoc peptide chemistry. Fmoc-Lys(ivDde)-Wang resin (0.05 mmol, 0.081 g) was treated with 20% piperidine in DMF to remove the Fmoc protecting group. The isocyanate derivative of Glu(tBu)-OtBu </w:t>
      </w:r>
      <w:r w:rsidR="006A3A54" w:rsidRPr="00AC58AD">
        <w:rPr>
          <w:rFonts w:ascii="Times New Roman" w:hAnsi="Times New Roman" w:cs="Times New Roman"/>
          <w:sz w:val="24"/>
        </w:rPr>
        <w:t xml:space="preserve">(3 eq.) </w:t>
      </w:r>
      <w:r w:rsidRPr="00AC58AD">
        <w:rPr>
          <w:rFonts w:ascii="Times New Roman" w:hAnsi="Times New Roman" w:cs="Times New Roman"/>
          <w:sz w:val="24"/>
        </w:rPr>
        <w:t xml:space="preserve">was synthesized following previously published </w:t>
      </w:r>
      <w:r w:rsidRPr="006D1CA1">
        <w:rPr>
          <w:rFonts w:ascii="Times New Roman" w:hAnsi="Times New Roman" w:cs="Times New Roman"/>
          <w:sz w:val="24"/>
        </w:rPr>
        <w:t>procedures</w:t>
      </w:r>
      <w:r w:rsidR="006D1CA1" w:rsidRPr="006D1CA1">
        <w:rPr>
          <w:rFonts w:ascii="Times New Roman" w:hAnsi="Times New Roman" w:cs="Times New Roman"/>
          <w:sz w:val="24"/>
        </w:rPr>
        <w:t xml:space="preserve"> </w:t>
      </w:r>
      <w:r w:rsidR="00F11BE3" w:rsidRPr="0034230E">
        <w:rPr>
          <w:rFonts w:ascii="Times New Roman" w:hAnsi="Times New Roman" w:cs="Times New Roman"/>
          <w:sz w:val="24"/>
          <w:szCs w:val="24"/>
        </w:rPr>
        <w:t>[6]</w:t>
      </w:r>
      <w:r w:rsidRPr="00AC58AD">
        <w:rPr>
          <w:rFonts w:ascii="Times New Roman" w:hAnsi="Times New Roman" w:cs="Times New Roman"/>
          <w:sz w:val="24"/>
        </w:rPr>
        <w:t xml:space="preserve"> and was added to the lysine-immobilized resin, with </w:t>
      </w:r>
      <w:r w:rsidRPr="00AC58AD">
        <w:rPr>
          <w:rFonts w:ascii="Times New Roman" w:hAnsi="Times New Roman" w:cs="Times New Roman"/>
          <w:i/>
          <w:sz w:val="24"/>
        </w:rPr>
        <w:t>N</w:t>
      </w:r>
      <w:r w:rsidRPr="00AC58AD">
        <w:rPr>
          <w:rFonts w:ascii="Times New Roman" w:hAnsi="Times New Roman" w:cs="Times New Roman"/>
          <w:sz w:val="24"/>
        </w:rPr>
        <w:t>,</w:t>
      </w:r>
      <w:r w:rsidRPr="00AC58AD">
        <w:rPr>
          <w:rFonts w:ascii="Times New Roman" w:hAnsi="Times New Roman" w:cs="Times New Roman"/>
          <w:i/>
          <w:sz w:val="24"/>
        </w:rPr>
        <w:t>N</w:t>
      </w:r>
      <w:r w:rsidRPr="00AC58AD">
        <w:rPr>
          <w:rFonts w:ascii="Times New Roman" w:hAnsi="Times New Roman" w:cs="Times New Roman"/>
          <w:sz w:val="24"/>
        </w:rPr>
        <w:t>-diisopropylethylamine (DIEA, 2 eq.) as the base and reacted for 16 h to form the Lys-urea-Glu moiety. The ivDde-protecting group was then removed with 2% hydrazine in DMF (5 × 5 min). Fmoc-2-Nal-OH (4 eq.), Fmoc-tranexamic acid (3 eq.), Fmoc-Gly-OH</w:t>
      </w:r>
      <w:r w:rsidR="004C0026">
        <w:rPr>
          <w:rFonts w:ascii="Times New Roman" w:hAnsi="Times New Roman" w:cs="Times New Roman"/>
          <w:sz w:val="24"/>
        </w:rPr>
        <w:t xml:space="preserve"> (</w:t>
      </w:r>
      <w:r w:rsidR="00226417">
        <w:rPr>
          <w:rFonts w:ascii="Times New Roman" w:hAnsi="Times New Roman" w:cs="Times New Roman"/>
          <w:sz w:val="24"/>
        </w:rPr>
        <w:t xml:space="preserve">4 </w:t>
      </w:r>
      <w:r w:rsidR="004C0026">
        <w:rPr>
          <w:rFonts w:ascii="Times New Roman" w:hAnsi="Times New Roman" w:cs="Times New Roman"/>
          <w:sz w:val="24"/>
        </w:rPr>
        <w:t>eq.)</w:t>
      </w:r>
      <w:r w:rsidRPr="00AC58AD">
        <w:rPr>
          <w:rFonts w:ascii="Times New Roman" w:hAnsi="Times New Roman" w:cs="Times New Roman"/>
          <w:sz w:val="24"/>
        </w:rPr>
        <w:t xml:space="preserve">, and Fmoc-Lys(ivDde)-OH </w:t>
      </w:r>
      <w:r w:rsidR="004C0026">
        <w:rPr>
          <w:rFonts w:ascii="Times New Roman" w:hAnsi="Times New Roman" w:cs="Times New Roman"/>
          <w:sz w:val="24"/>
        </w:rPr>
        <w:t>(</w:t>
      </w:r>
      <w:r w:rsidR="00226417">
        <w:rPr>
          <w:rFonts w:ascii="Times New Roman" w:hAnsi="Times New Roman" w:cs="Times New Roman"/>
          <w:sz w:val="24"/>
        </w:rPr>
        <w:t xml:space="preserve">4 </w:t>
      </w:r>
      <w:r w:rsidR="004C0026">
        <w:rPr>
          <w:rFonts w:ascii="Times New Roman" w:hAnsi="Times New Roman" w:cs="Times New Roman"/>
          <w:sz w:val="24"/>
        </w:rPr>
        <w:t xml:space="preserve">eq.) </w:t>
      </w:r>
      <w:r w:rsidRPr="00AC58AD">
        <w:rPr>
          <w:rFonts w:ascii="Times New Roman" w:hAnsi="Times New Roman" w:cs="Times New Roman"/>
          <w:sz w:val="24"/>
        </w:rPr>
        <w:t xml:space="preserve">were pre-activated with HATU (4 eq.) and DIEA (7 eq.) before being sequentially coupled to the resin. Following the removal of Fmoc protecting group, </w:t>
      </w:r>
      <w:r w:rsidR="004C0026">
        <w:rPr>
          <w:rFonts w:ascii="Times New Roman" w:hAnsi="Times New Roman" w:cs="Times New Roman"/>
          <w:sz w:val="24"/>
        </w:rPr>
        <w:t xml:space="preserve">the </w:t>
      </w:r>
      <w:r w:rsidRPr="00AC58AD">
        <w:rPr>
          <w:rFonts w:ascii="Times New Roman" w:hAnsi="Times New Roman" w:cs="Times New Roman"/>
          <w:sz w:val="24"/>
        </w:rPr>
        <w:t>FAP-</w:t>
      </w:r>
      <w:r w:rsidR="004C0026" w:rsidRPr="00AC58AD">
        <w:rPr>
          <w:rFonts w:ascii="Times New Roman" w:hAnsi="Times New Roman" w:cs="Times New Roman"/>
          <w:sz w:val="24"/>
        </w:rPr>
        <w:t>target</w:t>
      </w:r>
      <w:r w:rsidR="004C0026">
        <w:rPr>
          <w:rFonts w:ascii="Times New Roman" w:hAnsi="Times New Roman" w:cs="Times New Roman"/>
          <w:sz w:val="24"/>
        </w:rPr>
        <w:t>ed</w:t>
      </w:r>
      <w:r w:rsidR="004C0026" w:rsidRPr="00AC58AD">
        <w:rPr>
          <w:rFonts w:ascii="Times New Roman" w:hAnsi="Times New Roman" w:cs="Times New Roman"/>
          <w:sz w:val="24"/>
        </w:rPr>
        <w:t xml:space="preserve"> </w:t>
      </w:r>
      <w:r w:rsidR="004C0026">
        <w:rPr>
          <w:rFonts w:ascii="Times New Roman" w:hAnsi="Times New Roman" w:cs="Times New Roman"/>
          <w:sz w:val="24"/>
        </w:rPr>
        <w:t>ligand</w:t>
      </w:r>
      <w:r w:rsidR="004C0026" w:rsidRPr="00AC58AD">
        <w:rPr>
          <w:rFonts w:ascii="Times New Roman" w:hAnsi="Times New Roman" w:cs="Times New Roman"/>
          <w:sz w:val="24"/>
        </w:rPr>
        <w:t xml:space="preserve"> </w:t>
      </w:r>
      <w:r w:rsidRPr="00AC58AD">
        <w:rPr>
          <w:rFonts w:ascii="Times New Roman" w:hAnsi="Times New Roman" w:cs="Times New Roman"/>
          <w:sz w:val="24"/>
        </w:rPr>
        <w:t xml:space="preserve">(compound </w:t>
      </w:r>
      <w:r w:rsidR="0034230E">
        <w:rPr>
          <w:rFonts w:ascii="Times New Roman" w:hAnsi="Times New Roman" w:cs="Times New Roman"/>
          <w:b/>
          <w:sz w:val="24"/>
        </w:rPr>
        <w:t>5</w:t>
      </w:r>
      <w:r w:rsidRPr="00AC58AD">
        <w:rPr>
          <w:rFonts w:ascii="Times New Roman" w:hAnsi="Times New Roman" w:cs="Times New Roman"/>
          <w:b/>
          <w:sz w:val="24"/>
        </w:rPr>
        <w:t>)</w:t>
      </w:r>
      <w:r w:rsidRPr="00AC58AD">
        <w:rPr>
          <w:rFonts w:ascii="Times New Roman" w:hAnsi="Times New Roman" w:cs="Times New Roman"/>
          <w:sz w:val="24"/>
        </w:rPr>
        <w:t xml:space="preserve"> or DOTA-tris(</w:t>
      </w:r>
      <w:r w:rsidRPr="00AC58AD">
        <w:rPr>
          <w:rFonts w:ascii="Times New Roman" w:hAnsi="Times New Roman" w:cs="Times New Roman"/>
          <w:i/>
          <w:sz w:val="24"/>
        </w:rPr>
        <w:t>t</w:t>
      </w:r>
      <w:r w:rsidRPr="00AC58AD">
        <w:rPr>
          <w:rFonts w:ascii="Times New Roman" w:hAnsi="Times New Roman" w:cs="Times New Roman"/>
          <w:sz w:val="24"/>
        </w:rPr>
        <w:t>-butyl)ester (3 eq.) was pre-activated with HATU (</w:t>
      </w:r>
      <w:r w:rsidR="001C106B">
        <w:rPr>
          <w:rFonts w:ascii="Times New Roman" w:hAnsi="Times New Roman" w:cs="Times New Roman"/>
          <w:sz w:val="24"/>
        </w:rPr>
        <w:t xml:space="preserve">3 </w:t>
      </w:r>
      <w:r w:rsidRPr="00AC58AD">
        <w:rPr>
          <w:rFonts w:ascii="Times New Roman" w:hAnsi="Times New Roman" w:cs="Times New Roman"/>
          <w:sz w:val="24"/>
        </w:rPr>
        <w:t>eq.) and DIEA (7 eq.) and coupled to the α-amino group of lysine for AV01084 or AV01088, respectively. Finally, the ivDde-protecting group on lysine was removed and coupled with DOTA-</w:t>
      </w:r>
      <w:proofErr w:type="gramStart"/>
      <w:r w:rsidRPr="00AC58AD">
        <w:rPr>
          <w:rFonts w:ascii="Times New Roman" w:hAnsi="Times New Roman" w:cs="Times New Roman"/>
          <w:sz w:val="24"/>
        </w:rPr>
        <w:t>tris(</w:t>
      </w:r>
      <w:proofErr w:type="gramEnd"/>
      <w:r w:rsidRPr="00AC58AD">
        <w:rPr>
          <w:rFonts w:ascii="Times New Roman" w:hAnsi="Times New Roman" w:cs="Times New Roman"/>
          <w:i/>
          <w:sz w:val="24"/>
        </w:rPr>
        <w:t>t</w:t>
      </w:r>
      <w:r w:rsidRPr="00AC58AD">
        <w:rPr>
          <w:rFonts w:ascii="Times New Roman" w:hAnsi="Times New Roman" w:cs="Times New Roman"/>
          <w:sz w:val="24"/>
        </w:rPr>
        <w:t xml:space="preserve">-butyl)ester or compound </w:t>
      </w:r>
      <w:r w:rsidR="0034230E">
        <w:rPr>
          <w:rFonts w:ascii="Times New Roman" w:hAnsi="Times New Roman" w:cs="Times New Roman"/>
          <w:b/>
          <w:sz w:val="24"/>
        </w:rPr>
        <w:t>5</w:t>
      </w:r>
      <w:r w:rsidRPr="00AC58AD">
        <w:rPr>
          <w:rFonts w:ascii="Times New Roman" w:hAnsi="Times New Roman" w:cs="Times New Roman"/>
          <w:sz w:val="24"/>
        </w:rPr>
        <w:t xml:space="preserve"> activated with HATU (3 eq.) and DIEA (7 eq.) for </w:t>
      </w:r>
      <w:r w:rsidRPr="00AC58AD">
        <w:rPr>
          <w:rFonts w:ascii="Times New Roman" w:hAnsi="Times New Roman" w:cs="Times New Roman"/>
          <w:sz w:val="24"/>
          <w:szCs w:val="24"/>
        </w:rPr>
        <w:t>AV01084 and AV01088, respectively.</w:t>
      </w:r>
    </w:p>
    <w:p w:rsidR="00C80535" w:rsidRDefault="00BE6C63" w:rsidP="00F35CA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E51014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The peptides were deprotected and simultaneously cleaved from the resin with a mixture of trifluoroacetic acid (TFA, 95%), triisopropylsilane (TIS 2.5%) and water (2.5%) for 4 h at room temperature. The cleaved peptides were filtrated and then precipitated by </w:t>
      </w:r>
      <w:r w:rsidR="004C0026">
        <w:rPr>
          <w:rFonts w:ascii="Times New Roman" w:eastAsia="Times New Roman" w:hAnsi="Times New Roman" w:cs="Times New Roman"/>
          <w:sz w:val="24"/>
          <w:szCs w:val="24"/>
          <w:lang w:eastAsia="zh-TW"/>
        </w:rPr>
        <w:t>the addition of</w:t>
      </w:r>
      <w:r w:rsidR="004C0026" w:rsidRPr="00E51014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</w:t>
      </w:r>
      <w:r w:rsidRPr="00E51014">
        <w:rPr>
          <w:rFonts w:ascii="Times New Roman" w:eastAsia="Times New Roman" w:hAnsi="Times New Roman" w:cs="Times New Roman"/>
          <w:sz w:val="24"/>
          <w:szCs w:val="24"/>
          <w:lang w:eastAsia="zh-TW"/>
        </w:rPr>
        <w:t>cold diethyl ether. The crude peptides were collected by centrifugation and purified with HPLC (semi-preparative column; flow rate: 4.5 mL/min). The eluates containing the desired peptides were collected and lyophilized. The HPLC conditions, retention times, isolated yields and MS confirmations of DOTA-conjugated pepti</w:t>
      </w:r>
      <w:r w:rsidR="00CE3DB6" w:rsidRPr="00E51014">
        <w:rPr>
          <w:rFonts w:ascii="Times New Roman" w:eastAsia="Times New Roman" w:hAnsi="Times New Roman" w:cs="Times New Roman"/>
          <w:sz w:val="24"/>
          <w:szCs w:val="24"/>
          <w:lang w:eastAsia="zh-TW"/>
        </w:rPr>
        <w:t>des are provided in the Table S</w:t>
      </w:r>
      <w:r w:rsidRPr="00E51014">
        <w:rPr>
          <w:rFonts w:ascii="Times New Roman" w:eastAsia="Times New Roman" w:hAnsi="Times New Roman" w:cs="Times New Roman"/>
          <w:sz w:val="24"/>
          <w:szCs w:val="24"/>
          <w:lang w:eastAsia="zh-TW"/>
        </w:rPr>
        <w:t>1.</w:t>
      </w:r>
    </w:p>
    <w:p w:rsidR="00120ECD" w:rsidRDefault="00120ECD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4C0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026" w:rsidRPr="00E51014" w:rsidRDefault="004C0026" w:rsidP="004C0026">
      <w:pPr>
        <w:jc w:val="both"/>
        <w:rPr>
          <w:rFonts w:ascii="Times New Roman" w:hAnsi="Times New Roman" w:cs="Times New Roman"/>
          <w:sz w:val="24"/>
          <w:szCs w:val="24"/>
        </w:rPr>
      </w:pPr>
      <w:r w:rsidRPr="00E51014">
        <w:rPr>
          <w:rFonts w:ascii="Times New Roman" w:hAnsi="Times New Roman" w:cs="Times New Roman"/>
          <w:b/>
          <w:sz w:val="24"/>
          <w:szCs w:val="24"/>
        </w:rPr>
        <w:t>Table S1:</w:t>
      </w:r>
      <w:r w:rsidRPr="00E51014">
        <w:rPr>
          <w:rFonts w:ascii="Times New Roman" w:hAnsi="Times New Roman" w:cs="Times New Roman"/>
          <w:sz w:val="24"/>
          <w:szCs w:val="24"/>
        </w:rPr>
        <w:t xml:space="preserve"> HPLC purification conditions and MS characterizations of DOTA-conjugated precursors.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552"/>
        <w:gridCol w:w="1417"/>
        <w:gridCol w:w="993"/>
        <w:gridCol w:w="1616"/>
        <w:gridCol w:w="1189"/>
      </w:tblGrid>
      <w:tr w:rsidR="004C0026" w:rsidRPr="00E51014" w:rsidTr="00EC5B5B">
        <w:trPr>
          <w:trHeight w:val="814"/>
          <w:jc w:val="center"/>
        </w:trPr>
        <w:tc>
          <w:tcPr>
            <w:tcW w:w="1809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  <w:rPr>
                <w:b/>
                <w:bCs/>
                <w:color w:val="2E74B5" w:themeColor="accent1" w:themeShade="BF"/>
              </w:rPr>
            </w:pPr>
            <w:r w:rsidRPr="00E51014">
              <w:t>Compound</w:t>
            </w:r>
          </w:p>
          <w:p w:rsidR="004C0026" w:rsidRPr="00E51014" w:rsidRDefault="004C0026" w:rsidP="00381425">
            <w:pPr>
              <w:pStyle w:val="MediumGrid21"/>
              <w:jc w:val="center"/>
              <w:rPr>
                <w:b/>
                <w:bCs/>
                <w:color w:val="2E74B5" w:themeColor="accent1" w:themeShade="BF"/>
              </w:rPr>
            </w:pPr>
            <w:r w:rsidRPr="00E51014">
              <w:t>name</w:t>
            </w:r>
          </w:p>
        </w:tc>
        <w:tc>
          <w:tcPr>
            <w:tcW w:w="2552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  <w:rPr>
                <w:b/>
                <w:bCs/>
                <w:color w:val="2E74B5" w:themeColor="accent1" w:themeShade="BF"/>
              </w:rPr>
            </w:pPr>
            <w:r w:rsidRPr="00E51014">
              <w:t>HPLC conditions</w:t>
            </w:r>
          </w:p>
        </w:tc>
        <w:tc>
          <w:tcPr>
            <w:tcW w:w="1417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  <w:rPr>
                <w:b/>
                <w:bCs/>
                <w:color w:val="2E74B5" w:themeColor="accent1" w:themeShade="BF"/>
              </w:rPr>
            </w:pPr>
            <w:r w:rsidRPr="00E51014">
              <w:t>Retention time (min)</w:t>
            </w:r>
          </w:p>
        </w:tc>
        <w:tc>
          <w:tcPr>
            <w:tcW w:w="993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Yield (%)</w:t>
            </w:r>
          </w:p>
        </w:tc>
        <w:tc>
          <w:tcPr>
            <w:tcW w:w="1616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Calculated mass (m/z)</w:t>
            </w:r>
          </w:p>
        </w:tc>
        <w:tc>
          <w:tcPr>
            <w:tcW w:w="1189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Found (m/z)</w:t>
            </w:r>
          </w:p>
        </w:tc>
      </w:tr>
      <w:tr w:rsidR="004C0026" w:rsidRPr="00E51014" w:rsidTr="00EC5B5B">
        <w:trPr>
          <w:trHeight w:val="804"/>
          <w:jc w:val="center"/>
        </w:trPr>
        <w:tc>
          <w:tcPr>
            <w:tcW w:w="1809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AV01084</w:t>
            </w:r>
          </w:p>
        </w:tc>
        <w:tc>
          <w:tcPr>
            <w:tcW w:w="2552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26% CH</w:t>
            </w:r>
            <w:r w:rsidRPr="00E51014">
              <w:rPr>
                <w:vertAlign w:val="subscript"/>
              </w:rPr>
              <w:t>3</w:t>
            </w:r>
            <w:r w:rsidRPr="00E51014">
              <w:t>CN and 0.1% TFA in H</w:t>
            </w:r>
            <w:r w:rsidRPr="00E51014">
              <w:rPr>
                <w:vertAlign w:val="subscript"/>
              </w:rPr>
              <w:t>2</w:t>
            </w:r>
            <w:r w:rsidRPr="00E51014">
              <w:t>O</w:t>
            </w:r>
          </w:p>
        </w:tc>
        <w:tc>
          <w:tcPr>
            <w:tcW w:w="1417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14.1</w:t>
            </w:r>
          </w:p>
        </w:tc>
        <w:tc>
          <w:tcPr>
            <w:tcW w:w="993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12</w:t>
            </w:r>
          </w:p>
        </w:tc>
        <w:tc>
          <w:tcPr>
            <w:tcW w:w="1616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  <w:rPr>
                <w:color w:val="000000"/>
                <w:vertAlign w:val="superscript"/>
              </w:rPr>
            </w:pPr>
            <w:r w:rsidRPr="00E51014">
              <w:rPr>
                <w:color w:val="000000"/>
              </w:rPr>
              <w:t>[M+2H]</w:t>
            </w:r>
            <w:r w:rsidRPr="00E51014">
              <w:rPr>
                <w:color w:val="000000"/>
                <w:vertAlign w:val="superscript"/>
              </w:rPr>
              <w:t>2+</w:t>
            </w:r>
          </w:p>
          <w:p w:rsidR="004C0026" w:rsidRPr="00E51014" w:rsidRDefault="004C0026" w:rsidP="004C0026">
            <w:pPr>
              <w:pStyle w:val="MediumGrid21"/>
              <w:jc w:val="center"/>
            </w:pPr>
            <w:r w:rsidRPr="00E51014">
              <w:rPr>
                <w:color w:val="000000"/>
              </w:rPr>
              <w:t>845.</w:t>
            </w:r>
            <w:r>
              <w:rPr>
                <w:color w:val="000000"/>
              </w:rPr>
              <w:t>4</w:t>
            </w:r>
          </w:p>
        </w:tc>
        <w:tc>
          <w:tcPr>
            <w:tcW w:w="1189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  <w:rPr>
                <w:color w:val="000000"/>
                <w:vertAlign w:val="superscript"/>
              </w:rPr>
            </w:pPr>
            <w:r w:rsidRPr="00E51014">
              <w:rPr>
                <w:color w:val="000000"/>
              </w:rPr>
              <w:t>[M+2H]</w:t>
            </w:r>
            <w:r w:rsidRPr="00E51014">
              <w:rPr>
                <w:color w:val="000000"/>
                <w:vertAlign w:val="superscript"/>
              </w:rPr>
              <w:t>2+</w:t>
            </w:r>
          </w:p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rPr>
                <w:color w:val="000000"/>
              </w:rPr>
              <w:t>845.8</w:t>
            </w:r>
          </w:p>
        </w:tc>
      </w:tr>
      <w:tr w:rsidR="004C0026" w:rsidRPr="00E51014" w:rsidTr="00EC5B5B">
        <w:trPr>
          <w:trHeight w:val="1082"/>
          <w:jc w:val="center"/>
        </w:trPr>
        <w:tc>
          <w:tcPr>
            <w:tcW w:w="1809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AV01088</w:t>
            </w:r>
          </w:p>
        </w:tc>
        <w:tc>
          <w:tcPr>
            <w:tcW w:w="2552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26% CH</w:t>
            </w:r>
            <w:r w:rsidRPr="00E51014">
              <w:rPr>
                <w:vertAlign w:val="subscript"/>
              </w:rPr>
              <w:t>3</w:t>
            </w:r>
            <w:r w:rsidRPr="00E51014">
              <w:t>CN and 0.1% TFA in H</w:t>
            </w:r>
            <w:r w:rsidRPr="00E51014">
              <w:rPr>
                <w:vertAlign w:val="subscript"/>
              </w:rPr>
              <w:t>2</w:t>
            </w:r>
            <w:r w:rsidRPr="00E51014">
              <w:t>O</w:t>
            </w:r>
          </w:p>
        </w:tc>
        <w:tc>
          <w:tcPr>
            <w:tcW w:w="1417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13.7</w:t>
            </w:r>
          </w:p>
        </w:tc>
        <w:tc>
          <w:tcPr>
            <w:tcW w:w="993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t>7.2</w:t>
            </w:r>
          </w:p>
        </w:tc>
        <w:tc>
          <w:tcPr>
            <w:tcW w:w="1616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  <w:rPr>
                <w:color w:val="000000"/>
              </w:rPr>
            </w:pPr>
            <w:r w:rsidRPr="00E51014">
              <w:rPr>
                <w:color w:val="000000"/>
              </w:rPr>
              <w:t>[M+2H]</w:t>
            </w:r>
            <w:r w:rsidRPr="00E51014">
              <w:rPr>
                <w:color w:val="000000"/>
                <w:vertAlign w:val="superscript"/>
              </w:rPr>
              <w:t>2+</w:t>
            </w:r>
          </w:p>
          <w:p w:rsidR="004C0026" w:rsidRPr="00E51014" w:rsidRDefault="004C0026" w:rsidP="004C0026">
            <w:pPr>
              <w:pStyle w:val="MediumGrid21"/>
              <w:jc w:val="center"/>
            </w:pPr>
            <w:r w:rsidRPr="00E51014">
              <w:rPr>
                <w:color w:val="000000"/>
              </w:rPr>
              <w:t>845.</w:t>
            </w:r>
            <w:r>
              <w:rPr>
                <w:color w:val="000000"/>
              </w:rPr>
              <w:t>4</w:t>
            </w:r>
          </w:p>
        </w:tc>
        <w:tc>
          <w:tcPr>
            <w:tcW w:w="1189" w:type="dxa"/>
            <w:vAlign w:val="center"/>
          </w:tcPr>
          <w:p w:rsidR="004C0026" w:rsidRPr="00E51014" w:rsidRDefault="004C0026" w:rsidP="00381425">
            <w:pPr>
              <w:pStyle w:val="MediumGrid21"/>
              <w:jc w:val="center"/>
              <w:rPr>
                <w:color w:val="000000"/>
              </w:rPr>
            </w:pPr>
            <w:r w:rsidRPr="00E51014">
              <w:rPr>
                <w:color w:val="000000"/>
              </w:rPr>
              <w:t>[M+2H]</w:t>
            </w:r>
            <w:r w:rsidRPr="00E51014">
              <w:rPr>
                <w:color w:val="000000"/>
                <w:vertAlign w:val="superscript"/>
              </w:rPr>
              <w:t>2+</w:t>
            </w:r>
          </w:p>
          <w:p w:rsidR="004C0026" w:rsidRPr="00E51014" w:rsidRDefault="004C0026" w:rsidP="00381425">
            <w:pPr>
              <w:pStyle w:val="MediumGrid21"/>
              <w:jc w:val="center"/>
            </w:pPr>
            <w:r w:rsidRPr="00E51014">
              <w:rPr>
                <w:color w:val="000000"/>
              </w:rPr>
              <w:t>845.8</w:t>
            </w:r>
          </w:p>
        </w:tc>
      </w:tr>
    </w:tbl>
    <w:p w:rsidR="0034230E" w:rsidRDefault="0034230E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30E" w:rsidRDefault="0034230E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15B" w:rsidRPr="00E51014" w:rsidRDefault="0030615B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014">
        <w:rPr>
          <w:rFonts w:ascii="Times New Roman" w:hAnsi="Times New Roman" w:cs="Times New Roman"/>
          <w:b/>
          <w:sz w:val="24"/>
          <w:szCs w:val="24"/>
        </w:rPr>
        <w:t>Synthesis of Nonradioactive Ga-complexed Standards</w:t>
      </w:r>
    </w:p>
    <w:p w:rsidR="005225B1" w:rsidRPr="00F55FFF" w:rsidRDefault="0030615B" w:rsidP="00F55FFF">
      <w:pPr>
        <w:pStyle w:val="NumberedParagraph"/>
        <w:numPr>
          <w:ilvl w:val="0"/>
          <w:numId w:val="0"/>
        </w:numPr>
        <w:jc w:val="both"/>
        <w:rPr>
          <w:rFonts w:eastAsia="TimesNewRoman"/>
          <w:szCs w:val="24"/>
          <w:lang w:val="en-CA" w:eastAsia="zh-TW"/>
        </w:rPr>
      </w:pPr>
      <w:r w:rsidRPr="00E51014">
        <w:rPr>
          <w:szCs w:val="24"/>
          <w:lang w:val="en-CA"/>
        </w:rPr>
        <w:t xml:space="preserve">The nonradioactive Ga-complexed standards were prepared </w:t>
      </w:r>
      <w:r w:rsidR="002214A8" w:rsidRPr="00E51014">
        <w:rPr>
          <w:szCs w:val="24"/>
          <w:lang w:val="en-CA"/>
        </w:rPr>
        <w:t>by reacting</w:t>
      </w:r>
      <w:r w:rsidRPr="00E51014">
        <w:rPr>
          <w:szCs w:val="24"/>
          <w:lang w:val="en-CA"/>
        </w:rPr>
        <w:t xml:space="preserve"> the DOTA-conjugated precursor</w:t>
      </w:r>
      <w:r w:rsidR="00114B35" w:rsidRPr="00E51014">
        <w:rPr>
          <w:szCs w:val="24"/>
          <w:lang w:val="en-CA"/>
        </w:rPr>
        <w:t>s</w:t>
      </w:r>
      <w:r w:rsidRPr="00E51014">
        <w:rPr>
          <w:szCs w:val="24"/>
          <w:lang w:val="en-CA"/>
        </w:rPr>
        <w:t xml:space="preserve"> with GaCl</w:t>
      </w:r>
      <w:r w:rsidRPr="00E51014">
        <w:rPr>
          <w:szCs w:val="24"/>
          <w:vertAlign w:val="subscript"/>
          <w:lang w:val="en-CA"/>
        </w:rPr>
        <w:t xml:space="preserve">3 </w:t>
      </w:r>
      <w:r w:rsidRPr="00E51014">
        <w:rPr>
          <w:szCs w:val="24"/>
          <w:lang w:val="en-CA"/>
        </w:rPr>
        <w:t xml:space="preserve">(5 </w:t>
      </w:r>
      <w:r w:rsidRPr="00E51014">
        <w:rPr>
          <w:szCs w:val="24"/>
          <w:lang w:val="en-CA" w:eastAsia="en-CA"/>
        </w:rPr>
        <w:t>eq.</w:t>
      </w:r>
      <w:r w:rsidRPr="00E51014">
        <w:rPr>
          <w:szCs w:val="24"/>
          <w:lang w:val="en-CA"/>
        </w:rPr>
        <w:t>) in NaOAc buffer (0.1 M, 500 µL, pH 4.2 – 4.5) at 80 °C for 15 min. The reaction mixture was then purified via HPLC (</w:t>
      </w:r>
      <w:r w:rsidRPr="00E51014">
        <w:rPr>
          <w:szCs w:val="24"/>
          <w:lang w:val="en-CA" w:eastAsia="en-CA"/>
        </w:rPr>
        <w:t xml:space="preserve">semi-preparative column, flow rate: 4.5 mL/min). The HPLC eluates containing the desired </w:t>
      </w:r>
      <w:r w:rsidR="00114B35" w:rsidRPr="00E51014">
        <w:rPr>
          <w:szCs w:val="24"/>
          <w:lang w:val="en-CA" w:eastAsia="en-CA"/>
        </w:rPr>
        <w:t>products</w:t>
      </w:r>
      <w:r w:rsidRPr="00E51014">
        <w:rPr>
          <w:szCs w:val="24"/>
          <w:lang w:val="en-CA" w:eastAsia="en-CA"/>
        </w:rPr>
        <w:t xml:space="preserve"> were collected and lyophilized. </w:t>
      </w:r>
      <w:r w:rsidRPr="00E51014">
        <w:rPr>
          <w:rFonts w:eastAsia="TimesNewRoman"/>
          <w:szCs w:val="24"/>
          <w:lang w:val="en-CA" w:eastAsia="zh-TW"/>
        </w:rPr>
        <w:t xml:space="preserve">The HPLC conditions, retention times, isolated yields and MS confirmations of these nonradioactive Ga-complexed standards are provided in Table </w:t>
      </w:r>
      <w:r w:rsidR="0031738E" w:rsidRPr="00E51014">
        <w:rPr>
          <w:rFonts w:eastAsia="TimesNewRoman"/>
          <w:szCs w:val="24"/>
          <w:lang w:val="en-CA" w:eastAsia="zh-TW"/>
        </w:rPr>
        <w:t>S</w:t>
      </w:r>
      <w:r w:rsidRPr="00E51014">
        <w:rPr>
          <w:rFonts w:eastAsia="TimesNewRoman"/>
          <w:szCs w:val="24"/>
          <w:lang w:val="en-CA" w:eastAsia="zh-TW"/>
        </w:rPr>
        <w:t>2.</w:t>
      </w:r>
    </w:p>
    <w:p w:rsidR="005225B1" w:rsidRDefault="005225B1" w:rsidP="005225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5B1" w:rsidRPr="00E51014" w:rsidRDefault="005225B1" w:rsidP="005225B1">
      <w:pPr>
        <w:jc w:val="both"/>
        <w:rPr>
          <w:rFonts w:ascii="Times New Roman" w:hAnsi="Times New Roman" w:cs="Times New Roman"/>
          <w:sz w:val="24"/>
          <w:szCs w:val="24"/>
        </w:rPr>
      </w:pPr>
      <w:r w:rsidRPr="00E51014">
        <w:rPr>
          <w:rFonts w:ascii="Times New Roman" w:hAnsi="Times New Roman" w:cs="Times New Roman"/>
          <w:b/>
          <w:sz w:val="24"/>
          <w:szCs w:val="24"/>
        </w:rPr>
        <w:t>Table S2:</w:t>
      </w:r>
      <w:r w:rsidRPr="00E51014">
        <w:rPr>
          <w:rFonts w:ascii="Times New Roman" w:hAnsi="Times New Roman" w:cs="Times New Roman"/>
          <w:sz w:val="24"/>
          <w:szCs w:val="24"/>
        </w:rPr>
        <w:t xml:space="preserve"> HPLC purification conditions and MS characterizations of nonradioactive Ga-complexed standards.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1"/>
        <w:gridCol w:w="2552"/>
        <w:gridCol w:w="1417"/>
        <w:gridCol w:w="993"/>
        <w:gridCol w:w="1548"/>
        <w:gridCol w:w="1189"/>
      </w:tblGrid>
      <w:tr w:rsidR="005225B1" w:rsidRPr="00E51014" w:rsidTr="005225B1">
        <w:trPr>
          <w:trHeight w:val="814"/>
          <w:jc w:val="center"/>
        </w:trPr>
        <w:tc>
          <w:tcPr>
            <w:tcW w:w="1741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Compound</w:t>
            </w:r>
          </w:p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name</w:t>
            </w:r>
          </w:p>
        </w:tc>
        <w:tc>
          <w:tcPr>
            <w:tcW w:w="2552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HPLC conditions</w:t>
            </w:r>
          </w:p>
        </w:tc>
        <w:tc>
          <w:tcPr>
            <w:tcW w:w="1417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Retention time (min)</w:t>
            </w:r>
          </w:p>
        </w:tc>
        <w:tc>
          <w:tcPr>
            <w:tcW w:w="993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Yield</w:t>
            </w:r>
          </w:p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(%)</w:t>
            </w:r>
          </w:p>
        </w:tc>
        <w:tc>
          <w:tcPr>
            <w:tcW w:w="1548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Calculated mass (m/z)</w:t>
            </w:r>
          </w:p>
        </w:tc>
        <w:tc>
          <w:tcPr>
            <w:tcW w:w="1189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Found (m/z)</w:t>
            </w:r>
          </w:p>
        </w:tc>
      </w:tr>
      <w:tr w:rsidR="005225B1" w:rsidRPr="00E51014" w:rsidTr="005225B1">
        <w:trPr>
          <w:trHeight w:val="869"/>
          <w:jc w:val="center"/>
        </w:trPr>
        <w:tc>
          <w:tcPr>
            <w:tcW w:w="1741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Ga-AV01084</w:t>
            </w:r>
          </w:p>
        </w:tc>
        <w:tc>
          <w:tcPr>
            <w:tcW w:w="2552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27% CH</w:t>
            </w:r>
            <w:r w:rsidRPr="00E51014">
              <w:rPr>
                <w:vertAlign w:val="subscript"/>
              </w:rPr>
              <w:t>3</w:t>
            </w:r>
            <w:r w:rsidRPr="00E51014">
              <w:t>CN and 0.1% TFA in H</w:t>
            </w:r>
            <w:r w:rsidRPr="00E51014">
              <w:rPr>
                <w:vertAlign w:val="subscript"/>
              </w:rPr>
              <w:t>2</w:t>
            </w:r>
            <w:r w:rsidRPr="00E51014">
              <w:t>O</w:t>
            </w:r>
          </w:p>
        </w:tc>
        <w:tc>
          <w:tcPr>
            <w:tcW w:w="1417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  <w:rPr>
                <w:vertAlign w:val="superscript"/>
              </w:rPr>
            </w:pPr>
            <w:r w:rsidRPr="00E51014">
              <w:t>10.8</w:t>
            </w:r>
          </w:p>
        </w:tc>
        <w:tc>
          <w:tcPr>
            <w:tcW w:w="993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  <w:rPr>
                <w:lang w:val="en-US"/>
              </w:rPr>
            </w:pPr>
            <w:r w:rsidRPr="00E51014">
              <w:rPr>
                <w:lang w:val="en-US"/>
              </w:rPr>
              <w:t>60</w:t>
            </w:r>
          </w:p>
        </w:tc>
        <w:tc>
          <w:tcPr>
            <w:tcW w:w="1548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  <w:rPr>
                <w:color w:val="000000"/>
                <w:vertAlign w:val="superscript"/>
              </w:rPr>
            </w:pPr>
            <w:r w:rsidRPr="00E51014">
              <w:rPr>
                <w:color w:val="000000"/>
              </w:rPr>
              <w:t>[M+2H]</w:t>
            </w:r>
            <w:r w:rsidRPr="00E51014">
              <w:rPr>
                <w:color w:val="000000"/>
                <w:vertAlign w:val="superscript"/>
              </w:rPr>
              <w:t>2+</w:t>
            </w:r>
          </w:p>
          <w:p w:rsidR="005225B1" w:rsidRPr="00E51014" w:rsidRDefault="005225B1" w:rsidP="00381425">
            <w:pPr>
              <w:pStyle w:val="MediumGrid21"/>
              <w:jc w:val="center"/>
              <w:rPr>
                <w:color w:val="000000"/>
              </w:rPr>
            </w:pPr>
            <w:r>
              <w:rPr>
                <w:color w:val="000000"/>
              </w:rPr>
              <w:t>878.9</w:t>
            </w:r>
          </w:p>
        </w:tc>
        <w:tc>
          <w:tcPr>
            <w:tcW w:w="1189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  <w:rPr>
                <w:color w:val="000000"/>
                <w:vertAlign w:val="superscript"/>
              </w:rPr>
            </w:pPr>
            <w:r w:rsidRPr="00E51014">
              <w:rPr>
                <w:color w:val="000000"/>
              </w:rPr>
              <w:t>[M+2H]</w:t>
            </w:r>
            <w:r w:rsidRPr="00E51014">
              <w:rPr>
                <w:color w:val="000000"/>
                <w:vertAlign w:val="superscript"/>
              </w:rPr>
              <w:t>2+</w:t>
            </w:r>
          </w:p>
          <w:p w:rsidR="00A141AD" w:rsidRDefault="005225B1">
            <w:pPr>
              <w:pStyle w:val="MediumGrid21"/>
              <w:jc w:val="center"/>
              <w:rPr>
                <w:color w:val="000000"/>
              </w:rPr>
            </w:pPr>
            <w:r w:rsidRPr="00E51014">
              <w:rPr>
                <w:color w:val="000000"/>
              </w:rPr>
              <w:t>879.8</w:t>
            </w:r>
          </w:p>
        </w:tc>
      </w:tr>
      <w:tr w:rsidR="005225B1" w:rsidRPr="00E51014" w:rsidTr="005225B1">
        <w:trPr>
          <w:trHeight w:val="1082"/>
          <w:jc w:val="center"/>
        </w:trPr>
        <w:tc>
          <w:tcPr>
            <w:tcW w:w="1741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Ga-AV01088</w:t>
            </w:r>
          </w:p>
        </w:tc>
        <w:tc>
          <w:tcPr>
            <w:tcW w:w="2552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26% CH</w:t>
            </w:r>
            <w:r w:rsidRPr="00E51014">
              <w:rPr>
                <w:vertAlign w:val="subscript"/>
              </w:rPr>
              <w:t>3</w:t>
            </w:r>
            <w:r w:rsidRPr="00E51014">
              <w:t>CN and 0.1% TFA in H</w:t>
            </w:r>
            <w:r w:rsidRPr="00E51014">
              <w:rPr>
                <w:vertAlign w:val="subscript"/>
              </w:rPr>
              <w:t>2</w:t>
            </w:r>
            <w:r w:rsidRPr="00E51014">
              <w:t>O</w:t>
            </w:r>
          </w:p>
        </w:tc>
        <w:tc>
          <w:tcPr>
            <w:tcW w:w="1417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</w:pPr>
            <w:r w:rsidRPr="00E51014">
              <w:t>14.1</w:t>
            </w:r>
          </w:p>
        </w:tc>
        <w:tc>
          <w:tcPr>
            <w:tcW w:w="993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  <w:rPr>
                <w:lang w:val="en-US"/>
              </w:rPr>
            </w:pPr>
            <w:r w:rsidRPr="00E51014">
              <w:rPr>
                <w:lang w:val="en-US"/>
              </w:rPr>
              <w:t>21</w:t>
            </w:r>
          </w:p>
        </w:tc>
        <w:tc>
          <w:tcPr>
            <w:tcW w:w="1548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  <w:rPr>
                <w:color w:val="000000"/>
              </w:rPr>
            </w:pPr>
            <w:r w:rsidRPr="00E51014">
              <w:rPr>
                <w:color w:val="000000"/>
              </w:rPr>
              <w:t>[M+2H]</w:t>
            </w:r>
            <w:r w:rsidRPr="00E51014">
              <w:rPr>
                <w:color w:val="000000"/>
                <w:vertAlign w:val="superscript"/>
              </w:rPr>
              <w:t>2+</w:t>
            </w:r>
          </w:p>
          <w:p w:rsidR="005225B1" w:rsidRPr="00E51014" w:rsidRDefault="005225B1" w:rsidP="00381425">
            <w:pPr>
              <w:pStyle w:val="MediumGrid21"/>
              <w:jc w:val="center"/>
              <w:rPr>
                <w:color w:val="000000"/>
              </w:rPr>
            </w:pPr>
            <w:r>
              <w:rPr>
                <w:color w:val="000000"/>
              </w:rPr>
              <w:t>878.9</w:t>
            </w:r>
          </w:p>
        </w:tc>
        <w:tc>
          <w:tcPr>
            <w:tcW w:w="1189" w:type="dxa"/>
            <w:vAlign w:val="center"/>
          </w:tcPr>
          <w:p w:rsidR="005225B1" w:rsidRPr="00E51014" w:rsidRDefault="005225B1" w:rsidP="00381425">
            <w:pPr>
              <w:pStyle w:val="MediumGrid21"/>
              <w:jc w:val="center"/>
              <w:rPr>
                <w:color w:val="000000"/>
              </w:rPr>
            </w:pPr>
            <w:r w:rsidRPr="00E51014">
              <w:rPr>
                <w:color w:val="000000"/>
              </w:rPr>
              <w:t>[M+2H]</w:t>
            </w:r>
            <w:r w:rsidRPr="00E51014">
              <w:rPr>
                <w:color w:val="000000"/>
                <w:vertAlign w:val="superscript"/>
              </w:rPr>
              <w:t>2+</w:t>
            </w:r>
          </w:p>
          <w:p w:rsidR="00A141AD" w:rsidRDefault="005225B1">
            <w:pPr>
              <w:pStyle w:val="MediumGrid21"/>
              <w:jc w:val="center"/>
              <w:rPr>
                <w:color w:val="000000"/>
              </w:rPr>
            </w:pPr>
            <w:r w:rsidRPr="00E51014">
              <w:rPr>
                <w:color w:val="000000"/>
              </w:rPr>
              <w:t>879.</w:t>
            </w:r>
            <w:r>
              <w:rPr>
                <w:color w:val="000000"/>
              </w:rPr>
              <w:t>8</w:t>
            </w:r>
          </w:p>
        </w:tc>
      </w:tr>
    </w:tbl>
    <w:p w:rsidR="005225B1" w:rsidRDefault="005225B1" w:rsidP="00F62BD0">
      <w:pPr>
        <w:pStyle w:val="NumberedParagraph"/>
        <w:numPr>
          <w:ilvl w:val="0"/>
          <w:numId w:val="0"/>
        </w:numPr>
        <w:jc w:val="both"/>
        <w:rPr>
          <w:rFonts w:eastAsia="TimesNewRoman"/>
          <w:szCs w:val="24"/>
          <w:lang w:val="en-CA" w:eastAsia="zh-TW"/>
        </w:rPr>
      </w:pPr>
    </w:p>
    <w:p w:rsidR="0034230E" w:rsidRPr="00E51014" w:rsidRDefault="0034230E" w:rsidP="00F62BD0">
      <w:pPr>
        <w:pStyle w:val="NumberedParagraph"/>
        <w:numPr>
          <w:ilvl w:val="0"/>
          <w:numId w:val="0"/>
        </w:numPr>
        <w:jc w:val="both"/>
        <w:rPr>
          <w:rFonts w:eastAsia="TimesNewRoman"/>
          <w:szCs w:val="24"/>
          <w:lang w:val="en-CA" w:eastAsia="zh-TW"/>
        </w:rPr>
      </w:pPr>
    </w:p>
    <w:p w:rsidR="0030615B" w:rsidRPr="00E51014" w:rsidRDefault="0030615B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0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Synthesis of </w:t>
      </w:r>
      <w:r w:rsidRPr="00E51014">
        <w:rPr>
          <w:rFonts w:ascii="Times New Roman" w:hAnsi="Times New Roman" w:cs="Times New Roman"/>
          <w:b/>
          <w:sz w:val="24"/>
          <w:szCs w:val="24"/>
          <w:vertAlign w:val="superscript"/>
        </w:rPr>
        <w:t>68</w:t>
      </w:r>
      <w:r w:rsidRPr="00E51014">
        <w:rPr>
          <w:rFonts w:ascii="Times New Roman" w:hAnsi="Times New Roman" w:cs="Times New Roman"/>
          <w:b/>
          <w:sz w:val="24"/>
          <w:szCs w:val="24"/>
        </w:rPr>
        <w:t xml:space="preserve">Ga-labeled </w:t>
      </w:r>
      <w:r w:rsidR="00680E08">
        <w:rPr>
          <w:rFonts w:ascii="Times New Roman" w:hAnsi="Times New Roman" w:cs="Times New Roman"/>
          <w:b/>
          <w:sz w:val="24"/>
          <w:szCs w:val="24"/>
        </w:rPr>
        <w:t>Tracers</w:t>
      </w:r>
    </w:p>
    <w:p w:rsidR="00BE6C63" w:rsidRDefault="0057006C" w:rsidP="00F55FFF">
      <w:pPr>
        <w:spacing w:before="24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E51014">
        <w:rPr>
          <w:rFonts w:ascii="Times New Roman" w:hAnsi="Times New Roman" w:cs="Times New Roman"/>
          <w:sz w:val="24"/>
          <w:szCs w:val="24"/>
        </w:rPr>
        <w:t>The radiolabeling experiments were performed according to previously published procedures</w:t>
      </w:r>
      <w:r w:rsidR="00C34FA7" w:rsidRPr="00E51014">
        <w:rPr>
          <w:rFonts w:ascii="Times New Roman" w:hAnsi="Times New Roman" w:cs="Times New Roman"/>
          <w:sz w:val="24"/>
          <w:szCs w:val="24"/>
        </w:rPr>
        <w:t xml:space="preserve"> [</w:t>
      </w:r>
      <w:r w:rsidR="003B4D50" w:rsidRPr="00E51014">
        <w:rPr>
          <w:rFonts w:ascii="Times New Roman" w:hAnsi="Times New Roman" w:cs="Times New Roman"/>
          <w:sz w:val="24"/>
          <w:szCs w:val="24"/>
        </w:rPr>
        <w:t>3-4</w:t>
      </w:r>
      <w:r w:rsidR="00C34FA7" w:rsidRPr="00E51014">
        <w:rPr>
          <w:rFonts w:ascii="Times New Roman" w:hAnsi="Times New Roman" w:cs="Times New Roman"/>
          <w:sz w:val="24"/>
          <w:szCs w:val="24"/>
        </w:rPr>
        <w:t>].</w:t>
      </w:r>
      <w:r w:rsidR="00687E8A" w:rsidRPr="00E51014">
        <w:rPr>
          <w:rFonts w:ascii="Times New Roman" w:hAnsi="Times New Roman" w:cs="Times New Roman"/>
          <w:sz w:val="24"/>
          <w:szCs w:val="24"/>
        </w:rPr>
        <w:t xml:space="preserve"> </w:t>
      </w:r>
      <w:r w:rsidRPr="00E51014">
        <w:rPr>
          <w:rFonts w:ascii="Times New Roman" w:hAnsi="Times New Roman" w:cs="Times New Roman"/>
          <w:sz w:val="24"/>
          <w:szCs w:val="24"/>
        </w:rPr>
        <w:t xml:space="preserve">Purified </w:t>
      </w:r>
      <w:r w:rsidRPr="00E51014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Pr="00E51014">
        <w:rPr>
          <w:rFonts w:ascii="Times New Roman" w:hAnsi="Times New Roman" w:cs="Times New Roman"/>
          <w:sz w:val="24"/>
          <w:szCs w:val="24"/>
        </w:rPr>
        <w:t>GaCl</w:t>
      </w:r>
      <w:r w:rsidRPr="00E510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51014">
        <w:rPr>
          <w:rFonts w:ascii="Times New Roman" w:hAnsi="Times New Roman" w:cs="Times New Roman"/>
          <w:sz w:val="24"/>
          <w:szCs w:val="24"/>
        </w:rPr>
        <w:t xml:space="preserve"> in 0.5 mL water was added to a 4-mL glass vial preloaded with 0.7 mL of HEPES buffer (2 M, pH 5.0) and 10 μL precursor solution (1 mM). </w:t>
      </w:r>
      <w:r w:rsidR="00A421A3" w:rsidRPr="00E51014">
        <w:rPr>
          <w:rFonts w:ascii="Times New Roman" w:hAnsi="Times New Roman" w:cs="Times New Roman"/>
          <w:sz w:val="24"/>
          <w:szCs w:val="24"/>
        </w:rPr>
        <w:t>The radiolabeling</w:t>
      </w:r>
      <w:r w:rsidR="00231B3A" w:rsidRPr="00E51014">
        <w:rPr>
          <w:rFonts w:ascii="Times New Roman" w:hAnsi="Times New Roman" w:cs="Times New Roman"/>
          <w:sz w:val="24"/>
          <w:szCs w:val="24"/>
        </w:rPr>
        <w:t xml:space="preserve"> </w:t>
      </w:r>
      <w:r w:rsidR="00A421A3" w:rsidRPr="00E51014">
        <w:rPr>
          <w:rFonts w:ascii="Times New Roman" w:hAnsi="Times New Roman" w:cs="Times New Roman"/>
          <w:sz w:val="24"/>
          <w:szCs w:val="24"/>
        </w:rPr>
        <w:t xml:space="preserve">reaction was carried out under microwave heating for 1 min, followed by purification using </w:t>
      </w:r>
      <w:r w:rsidR="000F3128" w:rsidRPr="00E51014">
        <w:rPr>
          <w:rFonts w:ascii="Times New Roman" w:hAnsi="Times New Roman" w:cs="Times New Roman"/>
          <w:sz w:val="24"/>
          <w:szCs w:val="24"/>
        </w:rPr>
        <w:t xml:space="preserve">the </w:t>
      </w:r>
      <w:r w:rsidR="00A421A3" w:rsidRPr="00E51014">
        <w:rPr>
          <w:rFonts w:ascii="Times New Roman" w:hAnsi="Times New Roman" w:cs="Times New Roman"/>
          <w:sz w:val="24"/>
          <w:szCs w:val="24"/>
        </w:rPr>
        <w:t xml:space="preserve">semi-preparative </w:t>
      </w:r>
      <w:r w:rsidR="000F3128" w:rsidRPr="00E51014">
        <w:rPr>
          <w:rFonts w:ascii="Times New Roman" w:hAnsi="Times New Roman" w:cs="Times New Roman"/>
          <w:sz w:val="24"/>
          <w:szCs w:val="24"/>
        </w:rPr>
        <w:t xml:space="preserve">HPLC </w:t>
      </w:r>
      <w:r w:rsidR="00A421A3" w:rsidRPr="00E51014">
        <w:rPr>
          <w:rFonts w:ascii="Times New Roman" w:hAnsi="Times New Roman" w:cs="Times New Roman"/>
          <w:sz w:val="24"/>
          <w:szCs w:val="24"/>
        </w:rPr>
        <w:t xml:space="preserve">column. The eluate fraction containing the radiolabeled product was collected, diluted with water (50 mL), and passed through a C18 Sep-Pak cartridge that was pre-washed with ethanol (10 mL) and water (10 mL). </w:t>
      </w:r>
      <w:r w:rsidR="003E7A98">
        <w:rPr>
          <w:rFonts w:ascii="Times New Roman" w:hAnsi="Times New Roman" w:cs="Times New Roman"/>
          <w:sz w:val="24"/>
          <w:szCs w:val="24"/>
        </w:rPr>
        <w:t>T</w:t>
      </w:r>
      <w:r w:rsidR="00231B3A" w:rsidRPr="00E51014">
        <w:rPr>
          <w:rFonts w:ascii="Times New Roman" w:hAnsi="Times New Roman" w:cs="Times New Roman"/>
          <w:sz w:val="24"/>
          <w:szCs w:val="24"/>
        </w:rPr>
        <w:t>he</w:t>
      </w:r>
      <w:r w:rsidR="005359C2" w:rsidRPr="00E51014">
        <w:rPr>
          <w:rFonts w:ascii="Times New Roman" w:hAnsi="Times New Roman" w:cs="Times New Roman"/>
          <w:sz w:val="24"/>
          <w:szCs w:val="24"/>
        </w:rPr>
        <w:t xml:space="preserve"> </w:t>
      </w:r>
      <w:r w:rsidR="005359C2" w:rsidRPr="00E51014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5359C2" w:rsidRPr="00E51014">
        <w:rPr>
          <w:rFonts w:ascii="Times New Roman" w:hAnsi="Times New Roman" w:cs="Times New Roman"/>
          <w:sz w:val="24"/>
          <w:szCs w:val="24"/>
        </w:rPr>
        <w:t>Ga-labeled product</w:t>
      </w:r>
      <w:r w:rsidR="00231B3A" w:rsidRPr="00E51014">
        <w:rPr>
          <w:rFonts w:ascii="Times New Roman" w:hAnsi="Times New Roman" w:cs="Times New Roman"/>
          <w:sz w:val="24"/>
          <w:szCs w:val="24"/>
        </w:rPr>
        <w:t xml:space="preserve"> was eluted off the cartridge with ethanol (0.4 mL)</w:t>
      </w:r>
      <w:r w:rsidR="00FF2079">
        <w:rPr>
          <w:rFonts w:ascii="Times New Roman" w:hAnsi="Times New Roman" w:cs="Times New Roman"/>
          <w:sz w:val="24"/>
          <w:szCs w:val="24"/>
        </w:rPr>
        <w:t>, and</w:t>
      </w:r>
      <w:r w:rsidR="005359C2" w:rsidRPr="00E51014">
        <w:rPr>
          <w:rFonts w:ascii="Times New Roman" w:hAnsi="Times New Roman" w:cs="Times New Roman"/>
          <w:sz w:val="24"/>
          <w:szCs w:val="24"/>
        </w:rPr>
        <w:t xml:space="preserve"> diluted with PBS for imaging and biodistribution studies. Quality control was performed using the analytical column. The HPLC conditions and retention times are provided in Table </w:t>
      </w:r>
      <w:r w:rsidR="0031738E" w:rsidRPr="00E51014">
        <w:rPr>
          <w:rFonts w:ascii="Times New Roman" w:hAnsi="Times New Roman" w:cs="Times New Roman"/>
          <w:sz w:val="24"/>
          <w:szCs w:val="24"/>
        </w:rPr>
        <w:t>S</w:t>
      </w:r>
      <w:r w:rsidR="005359C2" w:rsidRPr="00E51014">
        <w:rPr>
          <w:rFonts w:ascii="Times New Roman" w:hAnsi="Times New Roman" w:cs="Times New Roman"/>
          <w:sz w:val="24"/>
          <w:szCs w:val="24"/>
        </w:rPr>
        <w:t xml:space="preserve">3. The tracers were obtained in </w:t>
      </w:r>
      <w:r w:rsidR="00031088" w:rsidRPr="00E51014">
        <w:rPr>
          <w:rFonts w:ascii="Times New Roman" w:hAnsi="Times New Roman" w:cs="Times New Roman"/>
          <w:sz w:val="24"/>
          <w:szCs w:val="24"/>
        </w:rPr>
        <w:t>33</w:t>
      </w:r>
      <w:r w:rsidR="00337998">
        <w:rPr>
          <w:rFonts w:ascii="Times New Roman" w:hAnsi="Times New Roman" w:cs="Times New Roman"/>
          <w:sz w:val="24"/>
          <w:szCs w:val="24"/>
        </w:rPr>
        <w:t xml:space="preserve"> </w:t>
      </w:r>
      <w:r w:rsidR="00031088" w:rsidRPr="00E51014">
        <w:rPr>
          <w:rFonts w:ascii="Times New Roman" w:hAnsi="Times New Roman" w:cs="Times New Roman"/>
          <w:sz w:val="24"/>
          <w:szCs w:val="24"/>
        </w:rPr>
        <w:t>-</w:t>
      </w:r>
      <w:r w:rsidR="00337998">
        <w:rPr>
          <w:rFonts w:ascii="Times New Roman" w:hAnsi="Times New Roman" w:cs="Times New Roman"/>
          <w:sz w:val="24"/>
          <w:szCs w:val="24"/>
        </w:rPr>
        <w:t xml:space="preserve"> </w:t>
      </w:r>
      <w:r w:rsidR="00031088" w:rsidRPr="00E51014">
        <w:rPr>
          <w:rFonts w:ascii="Times New Roman" w:hAnsi="Times New Roman" w:cs="Times New Roman"/>
          <w:sz w:val="24"/>
          <w:szCs w:val="24"/>
        </w:rPr>
        <w:t>64</w:t>
      </w:r>
      <w:r w:rsidR="00F47BE6" w:rsidRPr="00E51014">
        <w:rPr>
          <w:rFonts w:ascii="Times New Roman" w:hAnsi="Times New Roman" w:cs="Times New Roman"/>
          <w:sz w:val="24"/>
          <w:szCs w:val="24"/>
        </w:rPr>
        <w:t>%</w:t>
      </w:r>
      <w:r w:rsidR="005359C2" w:rsidRPr="00E51014">
        <w:rPr>
          <w:rFonts w:ascii="Times New Roman" w:hAnsi="Times New Roman" w:cs="Times New Roman"/>
          <w:sz w:val="24"/>
          <w:szCs w:val="24"/>
        </w:rPr>
        <w:t xml:space="preserve"> decay-corrected radiochemical yields with</w:t>
      </w:r>
      <w:r w:rsidR="008C2F4E" w:rsidRPr="00E510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1108" w:rsidRPr="00E51014">
        <w:rPr>
          <w:rFonts w:ascii="Times New Roman" w:hAnsi="Times New Roman" w:cs="Times New Roman"/>
          <w:sz w:val="24"/>
          <w:szCs w:val="24"/>
        </w:rPr>
        <w:t>≥</w:t>
      </w:r>
      <w:r w:rsidR="00337998">
        <w:rPr>
          <w:rFonts w:ascii="Times New Roman" w:hAnsi="Times New Roman" w:cs="Times New Roman"/>
          <w:sz w:val="24"/>
          <w:szCs w:val="24"/>
        </w:rPr>
        <w:t xml:space="preserve"> </w:t>
      </w:r>
      <w:r w:rsidR="00CF5B07" w:rsidRPr="00E51014">
        <w:rPr>
          <w:rFonts w:ascii="Times New Roman" w:hAnsi="Times New Roman" w:cs="Times New Roman"/>
          <w:sz w:val="24"/>
          <w:szCs w:val="24"/>
        </w:rPr>
        <w:t>44</w:t>
      </w:r>
      <w:r w:rsidR="008C2F4E" w:rsidRPr="00E5101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359C2" w:rsidRPr="00E51014">
        <w:rPr>
          <w:rFonts w:ascii="Times New Roman" w:hAnsi="Times New Roman" w:cs="Times New Roman"/>
          <w:sz w:val="24"/>
          <w:szCs w:val="24"/>
        </w:rPr>
        <w:t>GB</w:t>
      </w:r>
      <w:r w:rsidR="00C45B3A" w:rsidRPr="00E51014">
        <w:rPr>
          <w:rFonts w:ascii="Times New Roman" w:hAnsi="Times New Roman" w:cs="Times New Roman"/>
          <w:sz w:val="24"/>
          <w:szCs w:val="24"/>
        </w:rPr>
        <w:t>q</w:t>
      </w:r>
      <w:r w:rsidR="005359C2" w:rsidRPr="00E51014">
        <w:rPr>
          <w:rFonts w:ascii="Times New Roman" w:hAnsi="Times New Roman" w:cs="Times New Roman"/>
          <w:sz w:val="24"/>
          <w:szCs w:val="24"/>
        </w:rPr>
        <w:t xml:space="preserve">/µmol molar activity and </w:t>
      </w:r>
      <w:r w:rsidR="00031088" w:rsidRPr="00E51014">
        <w:rPr>
          <w:rFonts w:ascii="Times New Roman" w:hAnsi="Times New Roman" w:cs="Times New Roman"/>
          <w:sz w:val="24"/>
          <w:szCs w:val="24"/>
        </w:rPr>
        <w:t>&gt;</w:t>
      </w:r>
      <w:r w:rsidR="00337998">
        <w:rPr>
          <w:rFonts w:ascii="Times New Roman" w:hAnsi="Times New Roman" w:cs="Times New Roman"/>
          <w:sz w:val="24"/>
          <w:szCs w:val="24"/>
        </w:rPr>
        <w:t xml:space="preserve"> </w:t>
      </w:r>
      <w:r w:rsidR="00031088" w:rsidRPr="00E51014">
        <w:rPr>
          <w:rFonts w:ascii="Times New Roman" w:hAnsi="Times New Roman" w:cs="Times New Roman"/>
          <w:sz w:val="24"/>
          <w:szCs w:val="24"/>
        </w:rPr>
        <w:t>95</w:t>
      </w:r>
      <w:r w:rsidR="008E1E9E" w:rsidRPr="00E51014">
        <w:rPr>
          <w:rFonts w:ascii="Times New Roman" w:hAnsi="Times New Roman" w:cs="Times New Roman"/>
          <w:sz w:val="24"/>
          <w:szCs w:val="24"/>
        </w:rPr>
        <w:t>%</w:t>
      </w:r>
      <w:r w:rsidR="005359C2" w:rsidRPr="00E51014">
        <w:rPr>
          <w:rFonts w:ascii="Times New Roman" w:hAnsi="Times New Roman" w:cs="Times New Roman"/>
          <w:sz w:val="24"/>
          <w:szCs w:val="24"/>
        </w:rPr>
        <w:t xml:space="preserve"> radiochemical purity.</w:t>
      </w:r>
      <w:r w:rsidR="00031088" w:rsidRPr="00E51014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:rsidR="0034230E" w:rsidRDefault="0034230E" w:rsidP="00F55FFF">
      <w:pPr>
        <w:spacing w:before="24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D27F6C" w:rsidRPr="00E51014" w:rsidRDefault="00D27F6C" w:rsidP="00F62BD0">
      <w:pPr>
        <w:jc w:val="both"/>
        <w:rPr>
          <w:rFonts w:ascii="Times New Roman" w:hAnsi="Times New Roman" w:cs="Times New Roman"/>
          <w:sz w:val="24"/>
          <w:szCs w:val="24"/>
        </w:rPr>
      </w:pPr>
      <w:r w:rsidRPr="00E51014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E47DA5" w:rsidRPr="00E51014">
        <w:rPr>
          <w:rFonts w:ascii="Times New Roman" w:hAnsi="Times New Roman" w:cs="Times New Roman"/>
          <w:b/>
          <w:sz w:val="24"/>
          <w:szCs w:val="24"/>
        </w:rPr>
        <w:t>S</w:t>
      </w:r>
      <w:r w:rsidRPr="00E51014">
        <w:rPr>
          <w:rFonts w:ascii="Times New Roman" w:hAnsi="Times New Roman" w:cs="Times New Roman"/>
          <w:b/>
          <w:sz w:val="24"/>
          <w:szCs w:val="24"/>
        </w:rPr>
        <w:t>3:</w:t>
      </w:r>
      <w:r w:rsidRPr="00E51014">
        <w:rPr>
          <w:rFonts w:ascii="Times New Roman" w:hAnsi="Times New Roman" w:cs="Times New Roman"/>
          <w:sz w:val="24"/>
          <w:szCs w:val="24"/>
        </w:rPr>
        <w:t xml:space="preserve"> HPLC conditions for the purification and quality control of </w:t>
      </w:r>
      <w:r w:rsidRPr="00E51014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Pr="00E51014">
        <w:rPr>
          <w:rFonts w:ascii="Times New Roman" w:hAnsi="Times New Roman" w:cs="Times New Roman"/>
          <w:sz w:val="24"/>
          <w:szCs w:val="24"/>
        </w:rPr>
        <w:t xml:space="preserve">Ga-labeled </w:t>
      </w:r>
      <w:r w:rsidR="00D16B58" w:rsidRPr="00E51014">
        <w:rPr>
          <w:rFonts w:ascii="Times New Roman" w:hAnsi="Times New Roman" w:cs="Times New Roman"/>
          <w:sz w:val="24"/>
          <w:szCs w:val="24"/>
        </w:rPr>
        <w:t>tracers</w:t>
      </w:r>
      <w:r w:rsidRPr="00E51014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5"/>
        <w:gridCol w:w="1411"/>
        <w:gridCol w:w="4027"/>
        <w:gridCol w:w="1486"/>
      </w:tblGrid>
      <w:tr w:rsidR="00D27F6C" w:rsidRPr="00E51014" w:rsidTr="00EC5B5B">
        <w:trPr>
          <w:trHeight w:val="184"/>
          <w:jc w:val="center"/>
        </w:trPr>
        <w:tc>
          <w:tcPr>
            <w:tcW w:w="2385" w:type="dxa"/>
            <w:vAlign w:val="center"/>
          </w:tcPr>
          <w:p w:rsidR="0086338D" w:rsidRPr="00E51014" w:rsidRDefault="00680E08" w:rsidP="00F62BD0">
            <w:pPr>
              <w:pStyle w:val="MediumGrid21"/>
              <w:jc w:val="center"/>
            </w:pPr>
            <w:r>
              <w:t>Tracer</w:t>
            </w:r>
            <w:r w:rsidRPr="00E51014">
              <w:t xml:space="preserve"> </w:t>
            </w:r>
            <w:r w:rsidR="00D27F6C" w:rsidRPr="00E51014">
              <w:t>name</w:t>
            </w:r>
          </w:p>
        </w:tc>
        <w:tc>
          <w:tcPr>
            <w:tcW w:w="5438" w:type="dxa"/>
            <w:gridSpan w:val="2"/>
            <w:vAlign w:val="center"/>
          </w:tcPr>
          <w:p w:rsidR="0086338D" w:rsidRPr="00E51014" w:rsidRDefault="00D27F6C" w:rsidP="00F62BD0">
            <w:pPr>
              <w:pStyle w:val="MediumGrid21"/>
              <w:jc w:val="center"/>
            </w:pPr>
            <w:r w:rsidRPr="00E51014">
              <w:t>HPLC conditions</w:t>
            </w:r>
          </w:p>
        </w:tc>
        <w:tc>
          <w:tcPr>
            <w:tcW w:w="1486" w:type="dxa"/>
            <w:vAlign w:val="center"/>
          </w:tcPr>
          <w:p w:rsidR="0086338D" w:rsidRPr="00E51014" w:rsidRDefault="00D27F6C" w:rsidP="00F62BD0">
            <w:pPr>
              <w:pStyle w:val="MediumGrid21"/>
              <w:jc w:val="center"/>
            </w:pPr>
            <w:r w:rsidRPr="00E51014">
              <w:t>Retention time (min)</w:t>
            </w:r>
          </w:p>
        </w:tc>
      </w:tr>
      <w:tr w:rsidR="00D27F6C" w:rsidRPr="00E51014" w:rsidTr="00EC5B5B">
        <w:trPr>
          <w:trHeight w:val="366"/>
          <w:jc w:val="center"/>
        </w:trPr>
        <w:tc>
          <w:tcPr>
            <w:tcW w:w="2385" w:type="dxa"/>
            <w:vMerge w:val="restart"/>
            <w:vAlign w:val="center"/>
          </w:tcPr>
          <w:p w:rsidR="00D27F6C" w:rsidRPr="00E51014" w:rsidRDefault="004E158E" w:rsidP="00F62BD0">
            <w:pPr>
              <w:pStyle w:val="MediumGrid21"/>
              <w:jc w:val="center"/>
            </w:pPr>
            <w:r w:rsidRPr="00E51014">
              <w:t>[</w:t>
            </w:r>
            <w:r w:rsidR="00D27F6C" w:rsidRPr="00E51014">
              <w:rPr>
                <w:vertAlign w:val="superscript"/>
              </w:rPr>
              <w:t>68</w:t>
            </w:r>
            <w:r w:rsidR="00D27F6C" w:rsidRPr="00E51014">
              <w:t>Ga</w:t>
            </w:r>
            <w:r w:rsidRPr="00E51014">
              <w:t>]Ga</w:t>
            </w:r>
            <w:r w:rsidR="00D27F6C" w:rsidRPr="00E51014">
              <w:t>-AV0</w:t>
            </w:r>
            <w:r w:rsidR="0077148B" w:rsidRPr="00E51014">
              <w:t>1084</w:t>
            </w:r>
          </w:p>
        </w:tc>
        <w:tc>
          <w:tcPr>
            <w:tcW w:w="1411" w:type="dxa"/>
            <w:vAlign w:val="center"/>
          </w:tcPr>
          <w:p w:rsidR="0086338D" w:rsidRPr="00E51014" w:rsidRDefault="00D27F6C" w:rsidP="00F62BD0">
            <w:pPr>
              <w:pStyle w:val="MediumGrid21"/>
              <w:jc w:val="center"/>
            </w:pPr>
            <w:r w:rsidRPr="00E51014">
              <w:t>Semi-Prep</w:t>
            </w:r>
          </w:p>
        </w:tc>
        <w:tc>
          <w:tcPr>
            <w:tcW w:w="4027" w:type="dxa"/>
            <w:vAlign w:val="center"/>
          </w:tcPr>
          <w:p w:rsidR="0086338D" w:rsidRPr="00E51014" w:rsidRDefault="00DC3145" w:rsidP="00F62BD0">
            <w:pPr>
              <w:pStyle w:val="MediumGrid21"/>
              <w:jc w:val="center"/>
            </w:pPr>
            <w:r w:rsidRPr="00E51014">
              <w:t>28</w:t>
            </w:r>
            <w:r w:rsidR="00EB21DF" w:rsidRPr="00E51014">
              <w:t>% CH</w:t>
            </w:r>
            <w:r w:rsidR="00EB21DF" w:rsidRPr="00E51014">
              <w:rPr>
                <w:vertAlign w:val="subscript"/>
              </w:rPr>
              <w:t>3</w:t>
            </w:r>
            <w:r w:rsidR="00EB21DF" w:rsidRPr="00E51014">
              <w:t xml:space="preserve">CN and 0.1% </w:t>
            </w:r>
            <w:r w:rsidR="003578B7" w:rsidRPr="00E51014">
              <w:t>T</w:t>
            </w:r>
            <w:r w:rsidR="00EB21DF" w:rsidRPr="00E51014">
              <w:t>FA in H</w:t>
            </w:r>
            <w:r w:rsidR="00EB21DF" w:rsidRPr="00E51014">
              <w:rPr>
                <w:vertAlign w:val="subscript"/>
              </w:rPr>
              <w:t>2</w:t>
            </w:r>
            <w:r w:rsidR="00EB21DF" w:rsidRPr="00E51014">
              <w:t xml:space="preserve">O; flow rate </w:t>
            </w:r>
            <w:r w:rsidR="00B7105F" w:rsidRPr="00E51014">
              <w:t>4.5</w:t>
            </w:r>
            <w:r w:rsidR="00EB21DF" w:rsidRPr="00E51014">
              <w:t xml:space="preserve"> mL/min</w:t>
            </w:r>
          </w:p>
        </w:tc>
        <w:tc>
          <w:tcPr>
            <w:tcW w:w="1486" w:type="dxa"/>
            <w:vAlign w:val="center"/>
          </w:tcPr>
          <w:p w:rsidR="0086338D" w:rsidRPr="00E51014" w:rsidRDefault="00DC3145" w:rsidP="00F62BD0">
            <w:pPr>
              <w:pStyle w:val="MediumGrid21"/>
              <w:jc w:val="center"/>
            </w:pPr>
            <w:r w:rsidRPr="00E51014">
              <w:t>16.8</w:t>
            </w:r>
          </w:p>
        </w:tc>
      </w:tr>
      <w:tr w:rsidR="00D27F6C" w:rsidRPr="00E51014" w:rsidTr="00EC5B5B">
        <w:trPr>
          <w:trHeight w:val="366"/>
          <w:jc w:val="center"/>
        </w:trPr>
        <w:tc>
          <w:tcPr>
            <w:tcW w:w="2385" w:type="dxa"/>
            <w:vMerge/>
            <w:vAlign w:val="center"/>
          </w:tcPr>
          <w:p w:rsidR="0086338D" w:rsidRPr="00E51014" w:rsidRDefault="0086338D" w:rsidP="00F62BD0">
            <w:pPr>
              <w:pStyle w:val="MediumGrid21"/>
              <w:jc w:val="center"/>
            </w:pPr>
          </w:p>
        </w:tc>
        <w:tc>
          <w:tcPr>
            <w:tcW w:w="1411" w:type="dxa"/>
            <w:vAlign w:val="center"/>
          </w:tcPr>
          <w:p w:rsidR="0086338D" w:rsidRPr="00E51014" w:rsidRDefault="00D27F6C" w:rsidP="00F62BD0">
            <w:pPr>
              <w:pStyle w:val="MediumGrid21"/>
              <w:jc w:val="center"/>
            </w:pPr>
            <w:r w:rsidRPr="00E51014">
              <w:t>QC</w:t>
            </w:r>
          </w:p>
        </w:tc>
        <w:tc>
          <w:tcPr>
            <w:tcW w:w="4027" w:type="dxa"/>
            <w:vAlign w:val="center"/>
          </w:tcPr>
          <w:p w:rsidR="0086338D" w:rsidRPr="00E51014" w:rsidRDefault="00DC3145" w:rsidP="00F62BD0">
            <w:pPr>
              <w:pStyle w:val="MediumGrid21"/>
              <w:jc w:val="center"/>
            </w:pPr>
            <w:r w:rsidRPr="00E51014">
              <w:t>31.5</w:t>
            </w:r>
            <w:r w:rsidR="00EB21DF" w:rsidRPr="00E51014">
              <w:t>% CH</w:t>
            </w:r>
            <w:r w:rsidR="00EB21DF" w:rsidRPr="00E51014">
              <w:rPr>
                <w:vertAlign w:val="subscript"/>
              </w:rPr>
              <w:t>3</w:t>
            </w:r>
            <w:r w:rsidR="00EB21DF" w:rsidRPr="00E51014">
              <w:t xml:space="preserve">CN and 0.1% </w:t>
            </w:r>
            <w:r w:rsidR="003578B7" w:rsidRPr="00E51014">
              <w:t>T</w:t>
            </w:r>
            <w:r w:rsidR="00EB21DF" w:rsidRPr="00E51014">
              <w:t>FA in H</w:t>
            </w:r>
            <w:r w:rsidR="00EB21DF" w:rsidRPr="00E51014">
              <w:rPr>
                <w:vertAlign w:val="subscript"/>
              </w:rPr>
              <w:t>2</w:t>
            </w:r>
            <w:r w:rsidR="00EB21DF" w:rsidRPr="00E51014">
              <w:t>O; flow rate 2</w:t>
            </w:r>
            <w:r w:rsidR="00B97BA5" w:rsidRPr="00E51014">
              <w:t>.0</w:t>
            </w:r>
            <w:r w:rsidR="00EB21DF" w:rsidRPr="00E51014">
              <w:t xml:space="preserve"> mL/min</w:t>
            </w:r>
          </w:p>
        </w:tc>
        <w:tc>
          <w:tcPr>
            <w:tcW w:w="1486" w:type="dxa"/>
            <w:vAlign w:val="center"/>
          </w:tcPr>
          <w:p w:rsidR="0086338D" w:rsidRPr="00E51014" w:rsidRDefault="00DC3145" w:rsidP="00F62BD0">
            <w:pPr>
              <w:pStyle w:val="MediumGrid21"/>
              <w:jc w:val="center"/>
            </w:pPr>
            <w:r w:rsidRPr="00E51014">
              <w:t>6.3</w:t>
            </w:r>
          </w:p>
        </w:tc>
      </w:tr>
      <w:tr w:rsidR="00D27F6C" w:rsidRPr="00E51014" w:rsidTr="00EC5B5B">
        <w:trPr>
          <w:trHeight w:val="483"/>
          <w:jc w:val="center"/>
        </w:trPr>
        <w:tc>
          <w:tcPr>
            <w:tcW w:w="2385" w:type="dxa"/>
            <w:vMerge w:val="restart"/>
            <w:vAlign w:val="center"/>
          </w:tcPr>
          <w:p w:rsidR="00D27F6C" w:rsidRPr="00E51014" w:rsidRDefault="004E158E" w:rsidP="00F62BD0">
            <w:pPr>
              <w:pStyle w:val="MediumGrid21"/>
              <w:jc w:val="center"/>
            </w:pPr>
            <w:r w:rsidRPr="00E51014">
              <w:t>[</w:t>
            </w:r>
            <w:r w:rsidRPr="00E51014">
              <w:rPr>
                <w:vertAlign w:val="superscript"/>
              </w:rPr>
              <w:t>68</w:t>
            </w:r>
            <w:r w:rsidRPr="00E51014">
              <w:t>Ga]Ga</w:t>
            </w:r>
            <w:r w:rsidR="00D27F6C" w:rsidRPr="00E51014">
              <w:t>-AV0</w:t>
            </w:r>
            <w:r w:rsidR="0077148B" w:rsidRPr="00E51014">
              <w:t>1088</w:t>
            </w:r>
          </w:p>
        </w:tc>
        <w:tc>
          <w:tcPr>
            <w:tcW w:w="1411" w:type="dxa"/>
            <w:vAlign w:val="center"/>
          </w:tcPr>
          <w:p w:rsidR="00D27F6C" w:rsidRPr="00E51014" w:rsidRDefault="00D27F6C" w:rsidP="00F6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hAnsi="Times New Roman" w:cs="Times New Roman"/>
                <w:sz w:val="24"/>
                <w:szCs w:val="24"/>
              </w:rPr>
              <w:t>Semi-Prep</w:t>
            </w:r>
          </w:p>
        </w:tc>
        <w:tc>
          <w:tcPr>
            <w:tcW w:w="4027" w:type="dxa"/>
            <w:vAlign w:val="center"/>
          </w:tcPr>
          <w:p w:rsidR="0086338D" w:rsidRPr="00E51014" w:rsidRDefault="00E71FEA" w:rsidP="00F62BD0">
            <w:pPr>
              <w:pStyle w:val="MediumGrid21"/>
              <w:jc w:val="center"/>
            </w:pPr>
            <w:r w:rsidRPr="00E51014">
              <w:t>28</w:t>
            </w:r>
            <w:r w:rsidR="00D27F6C" w:rsidRPr="00E51014">
              <w:t>% CH</w:t>
            </w:r>
            <w:r w:rsidR="00D27F6C" w:rsidRPr="00E51014">
              <w:rPr>
                <w:vertAlign w:val="subscript"/>
              </w:rPr>
              <w:t>3</w:t>
            </w:r>
            <w:r w:rsidR="00D27F6C" w:rsidRPr="00E51014">
              <w:t xml:space="preserve">CN and 0.1% </w:t>
            </w:r>
            <w:r w:rsidR="003578B7" w:rsidRPr="00E51014">
              <w:t>T</w:t>
            </w:r>
            <w:r w:rsidR="00D27F6C" w:rsidRPr="00E51014">
              <w:t>FA in H</w:t>
            </w:r>
            <w:r w:rsidR="00D27F6C" w:rsidRPr="00E51014">
              <w:rPr>
                <w:vertAlign w:val="subscript"/>
              </w:rPr>
              <w:t>2</w:t>
            </w:r>
            <w:r w:rsidR="00D27F6C" w:rsidRPr="00E51014">
              <w:t>O; flow rate 4.5 mL/min</w:t>
            </w:r>
          </w:p>
        </w:tc>
        <w:tc>
          <w:tcPr>
            <w:tcW w:w="1486" w:type="dxa"/>
            <w:vAlign w:val="center"/>
          </w:tcPr>
          <w:p w:rsidR="0086338D" w:rsidRPr="00E51014" w:rsidRDefault="00BE6C63" w:rsidP="00F62BD0">
            <w:pPr>
              <w:pStyle w:val="MediumGrid21"/>
              <w:jc w:val="center"/>
            </w:pPr>
            <w:r w:rsidRPr="00E51014">
              <w:t>16.7</w:t>
            </w:r>
          </w:p>
        </w:tc>
      </w:tr>
      <w:tr w:rsidR="00D27F6C" w:rsidRPr="00E51014" w:rsidTr="00EC5B5B">
        <w:trPr>
          <w:trHeight w:val="483"/>
          <w:jc w:val="center"/>
        </w:trPr>
        <w:tc>
          <w:tcPr>
            <w:tcW w:w="2385" w:type="dxa"/>
            <w:vMerge/>
            <w:vAlign w:val="center"/>
          </w:tcPr>
          <w:p w:rsidR="0086338D" w:rsidRPr="00E51014" w:rsidRDefault="0086338D" w:rsidP="00F62BD0">
            <w:pPr>
              <w:pStyle w:val="MediumGrid21"/>
              <w:jc w:val="center"/>
            </w:pPr>
          </w:p>
        </w:tc>
        <w:tc>
          <w:tcPr>
            <w:tcW w:w="1411" w:type="dxa"/>
            <w:vAlign w:val="center"/>
          </w:tcPr>
          <w:p w:rsidR="0086338D" w:rsidRPr="00E51014" w:rsidRDefault="00D27F6C" w:rsidP="00F6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</w:p>
        </w:tc>
        <w:tc>
          <w:tcPr>
            <w:tcW w:w="4027" w:type="dxa"/>
            <w:vAlign w:val="center"/>
          </w:tcPr>
          <w:p w:rsidR="0086338D" w:rsidRPr="00E51014" w:rsidRDefault="00E71FEA" w:rsidP="00F62BD0">
            <w:pPr>
              <w:pStyle w:val="MediumGrid21"/>
              <w:jc w:val="center"/>
            </w:pPr>
            <w:r w:rsidRPr="00E51014">
              <w:t>31.5</w:t>
            </w:r>
            <w:r w:rsidR="00D27F6C" w:rsidRPr="00E51014">
              <w:t>% CH</w:t>
            </w:r>
            <w:r w:rsidR="00D27F6C" w:rsidRPr="00E51014">
              <w:rPr>
                <w:vertAlign w:val="subscript"/>
              </w:rPr>
              <w:t>3</w:t>
            </w:r>
            <w:r w:rsidR="00D27F6C" w:rsidRPr="00E51014">
              <w:t xml:space="preserve">CN and 0.1% </w:t>
            </w:r>
            <w:r w:rsidR="003578B7" w:rsidRPr="00E51014">
              <w:t>T</w:t>
            </w:r>
            <w:r w:rsidR="00D27F6C" w:rsidRPr="00E51014">
              <w:t>FA in H</w:t>
            </w:r>
            <w:r w:rsidR="00D27F6C" w:rsidRPr="00E51014">
              <w:rPr>
                <w:vertAlign w:val="subscript"/>
              </w:rPr>
              <w:t>2</w:t>
            </w:r>
            <w:r w:rsidR="00D27F6C" w:rsidRPr="00E51014">
              <w:t>O; flow rate 2</w:t>
            </w:r>
            <w:r w:rsidR="00B97BA5" w:rsidRPr="00E51014">
              <w:t>.0</w:t>
            </w:r>
            <w:r w:rsidR="00D27F6C" w:rsidRPr="00E51014">
              <w:t xml:space="preserve"> mL/min</w:t>
            </w:r>
          </w:p>
        </w:tc>
        <w:tc>
          <w:tcPr>
            <w:tcW w:w="1486" w:type="dxa"/>
            <w:vAlign w:val="center"/>
          </w:tcPr>
          <w:p w:rsidR="0086338D" w:rsidRPr="00E51014" w:rsidRDefault="00BE6C63" w:rsidP="00F62BD0">
            <w:pPr>
              <w:pStyle w:val="MediumGrid21"/>
              <w:jc w:val="center"/>
            </w:pPr>
            <w:r w:rsidRPr="00E51014">
              <w:t>6.3</w:t>
            </w:r>
          </w:p>
        </w:tc>
      </w:tr>
    </w:tbl>
    <w:p w:rsidR="00326F3F" w:rsidRPr="00E51014" w:rsidRDefault="00326F3F" w:rsidP="00F62BD0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326F3F" w:rsidRPr="00E51014" w:rsidSect="006264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41AD" w:rsidRPr="00493CEC" w:rsidRDefault="003B1D56" w:rsidP="00EC5B5B">
      <w:pPr>
        <w:jc w:val="both"/>
        <w:rPr>
          <w:rFonts w:ascii="Times New Roman" w:hAnsi="Times New Roman" w:cs="Times New Roman"/>
          <w:sz w:val="24"/>
          <w:szCs w:val="24"/>
        </w:rPr>
      </w:pPr>
      <w:r w:rsidRPr="00493C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E47DA5" w:rsidRPr="00493CEC">
        <w:rPr>
          <w:rFonts w:ascii="Times New Roman" w:hAnsi="Times New Roman" w:cs="Times New Roman"/>
          <w:b/>
          <w:sz w:val="24"/>
          <w:szCs w:val="24"/>
        </w:rPr>
        <w:t>S</w:t>
      </w:r>
      <w:r w:rsidRPr="00493CEC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="00BE6C63" w:rsidRPr="00493CEC">
        <w:rPr>
          <w:rFonts w:ascii="Times New Roman" w:hAnsi="Times New Roman" w:cs="Times New Roman"/>
          <w:sz w:val="24"/>
          <w:szCs w:val="24"/>
        </w:rPr>
        <w:t xml:space="preserve">Biodistribution (mean ± SD, n = 4) and uptake ratios of </w:t>
      </w:r>
      <w:r w:rsidR="00BE6C63" w:rsidRPr="00493CEC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BE6C63" w:rsidRPr="00493CEC">
        <w:rPr>
          <w:rFonts w:ascii="Times New Roman" w:hAnsi="Times New Roman" w:cs="Times New Roman"/>
          <w:sz w:val="24"/>
          <w:szCs w:val="24"/>
        </w:rPr>
        <w:t>Ga-labeled PSMA/FAP</w:t>
      </w:r>
      <w:r w:rsidR="0049322F" w:rsidRPr="00493CEC">
        <w:rPr>
          <w:rFonts w:ascii="Times New Roman" w:hAnsi="Times New Roman" w:cs="Times New Roman"/>
          <w:sz w:val="24"/>
          <w:szCs w:val="24"/>
        </w:rPr>
        <w:t xml:space="preserve"> bispecific </w:t>
      </w:r>
      <w:r w:rsidR="00BE6C63" w:rsidRPr="00493CEC">
        <w:rPr>
          <w:rFonts w:ascii="Times New Roman" w:hAnsi="Times New Roman" w:cs="Times New Roman"/>
          <w:sz w:val="24"/>
          <w:szCs w:val="24"/>
        </w:rPr>
        <w:t>tracers, PSMA-617, and AV02070 in LNCaP tumor-bearing mice.</w:t>
      </w:r>
      <w:r w:rsidR="00031088" w:rsidRPr="00493CEC">
        <w:rPr>
          <w:rFonts w:ascii="Times New Roman" w:hAnsi="Times New Roman" w:cs="Times New Roman"/>
          <w:sz w:val="24"/>
          <w:szCs w:val="24"/>
        </w:rPr>
        <w:t xml:space="preserve"> The mice in the blocked group were co-injected with </w:t>
      </w:r>
      <w:r w:rsidR="00BE6C63" w:rsidRPr="00493CEC">
        <w:rPr>
          <w:rFonts w:ascii="Times New Roman" w:hAnsi="Times New Roman" w:cs="Times New Roman"/>
          <w:sz w:val="24"/>
          <w:szCs w:val="24"/>
        </w:rPr>
        <w:t>2-PMPA</w:t>
      </w:r>
      <w:r w:rsidR="00031088" w:rsidRPr="00493CEC">
        <w:rPr>
          <w:rFonts w:ascii="Times New Roman" w:hAnsi="Times New Roman" w:cs="Times New Roman"/>
          <w:sz w:val="24"/>
          <w:szCs w:val="24"/>
        </w:rPr>
        <w:t xml:space="preserve"> (</w:t>
      </w:r>
      <w:r w:rsidR="00BE6C63" w:rsidRPr="00493CEC">
        <w:rPr>
          <w:rFonts w:ascii="Times New Roman" w:hAnsi="Times New Roman" w:cs="Times New Roman"/>
          <w:sz w:val="24"/>
          <w:szCs w:val="24"/>
        </w:rPr>
        <w:t>50</w:t>
      </w:r>
      <w:r w:rsidR="00B97BA5" w:rsidRPr="00493CEC">
        <w:rPr>
          <w:rFonts w:ascii="Times New Roman" w:hAnsi="Times New Roman" w:cs="Times New Roman"/>
          <w:sz w:val="24"/>
          <w:szCs w:val="24"/>
        </w:rPr>
        <w:t>0</w:t>
      </w:r>
      <w:r w:rsidR="00031088" w:rsidRPr="00493CEC">
        <w:rPr>
          <w:rFonts w:ascii="Times New Roman" w:hAnsi="Times New Roman" w:cs="Times New Roman"/>
          <w:sz w:val="24"/>
          <w:szCs w:val="24"/>
        </w:rPr>
        <w:t xml:space="preserve"> </w:t>
      </w:r>
      <w:r w:rsidR="00B97BA5" w:rsidRPr="00493CEC">
        <w:rPr>
          <w:rFonts w:ascii="Times New Roman" w:hAnsi="Times New Roman" w:cs="Times New Roman"/>
          <w:sz w:val="24"/>
          <w:szCs w:val="24"/>
        </w:rPr>
        <w:t>µ</w:t>
      </w:r>
      <w:r w:rsidR="00031088" w:rsidRPr="00493CEC">
        <w:rPr>
          <w:rFonts w:ascii="Times New Roman" w:hAnsi="Times New Roman" w:cs="Times New Roman"/>
          <w:sz w:val="24"/>
          <w:szCs w:val="24"/>
        </w:rPr>
        <w:t>g</w:t>
      </w:r>
      <w:r w:rsidR="006A3A54">
        <w:rPr>
          <w:rFonts w:ascii="Times New Roman" w:hAnsi="Times New Roman" w:cs="Times New Roman"/>
          <w:sz w:val="24"/>
          <w:szCs w:val="24"/>
        </w:rPr>
        <w:t>/mouse</w:t>
      </w:r>
      <w:r w:rsidR="00031088" w:rsidRPr="00493CEC">
        <w:rPr>
          <w:rFonts w:ascii="Times New Roman" w:hAnsi="Times New Roman" w:cs="Times New Roman"/>
          <w:sz w:val="24"/>
          <w:szCs w:val="24"/>
        </w:rPr>
        <w:t>)</w:t>
      </w:r>
      <w:r w:rsidR="00351BA9" w:rsidRPr="00493CEC">
        <w:rPr>
          <w:rFonts w:ascii="Times New Roman" w:hAnsi="Times New Roman" w:cs="Times New Roman"/>
          <w:sz w:val="24"/>
          <w:szCs w:val="24"/>
        </w:rPr>
        <w:t>.</w:t>
      </w:r>
      <w:r w:rsidR="005C441C" w:rsidRPr="00493CEC">
        <w:rPr>
          <w:rFonts w:ascii="Times New Roman" w:hAnsi="Times New Roman" w:cs="Times New Roman"/>
          <w:sz w:val="24"/>
          <w:szCs w:val="24"/>
        </w:rPr>
        <w:t xml:space="preserve"> The biodistribution data of </w:t>
      </w:r>
      <w:r w:rsidR="005C441C" w:rsidRPr="00493CEC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5C441C" w:rsidRPr="00493CE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68</w:t>
      </w:r>
      <w:r w:rsidR="005C441C" w:rsidRPr="00493CEC">
        <w:rPr>
          <w:rFonts w:ascii="Times New Roman" w:hAnsi="Times New Roman" w:cs="Times New Roman"/>
          <w:color w:val="000000"/>
          <w:sz w:val="24"/>
          <w:szCs w:val="24"/>
        </w:rPr>
        <w:t>Ga</w:t>
      </w:r>
      <w:proofErr w:type="gramStart"/>
      <w:r w:rsidR="005C441C" w:rsidRPr="00493CEC">
        <w:rPr>
          <w:rFonts w:ascii="Times New Roman" w:hAnsi="Times New Roman" w:cs="Times New Roman"/>
          <w:color w:val="000000"/>
          <w:sz w:val="24"/>
          <w:szCs w:val="24"/>
        </w:rPr>
        <w:t>]Ga</w:t>
      </w:r>
      <w:proofErr w:type="gramEnd"/>
      <w:r w:rsidR="005C441C" w:rsidRPr="00493CEC">
        <w:rPr>
          <w:rFonts w:ascii="Times New Roman" w:hAnsi="Times New Roman" w:cs="Times New Roman"/>
          <w:color w:val="000000"/>
          <w:sz w:val="24"/>
          <w:szCs w:val="24"/>
        </w:rPr>
        <w:t>-PSMA-617</w:t>
      </w:r>
      <w:r w:rsidR="005C441C" w:rsidRPr="00493CEC">
        <w:rPr>
          <w:rFonts w:ascii="Times New Roman" w:hAnsi="Times New Roman" w:cs="Times New Roman"/>
          <w:sz w:val="24"/>
          <w:szCs w:val="24"/>
        </w:rPr>
        <w:t xml:space="preserve"> have been reported previously by our group [2], and are included here for comparison.</w:t>
      </w:r>
    </w:p>
    <w:tbl>
      <w:tblPr>
        <w:tblW w:w="13240" w:type="dxa"/>
        <w:tblLook w:val="04A0"/>
      </w:tblPr>
      <w:tblGrid>
        <w:gridCol w:w="2153"/>
        <w:gridCol w:w="1819"/>
        <w:gridCol w:w="358"/>
        <w:gridCol w:w="2037"/>
        <w:gridCol w:w="353"/>
        <w:gridCol w:w="1832"/>
        <w:gridCol w:w="358"/>
        <w:gridCol w:w="1973"/>
        <w:gridCol w:w="384"/>
        <w:gridCol w:w="1973"/>
      </w:tblGrid>
      <w:tr w:rsidR="00BE6C63" w:rsidRPr="00E51014" w:rsidTr="00EC5B5B">
        <w:trPr>
          <w:trHeight w:val="593"/>
        </w:trPr>
        <w:tc>
          <w:tcPr>
            <w:tcW w:w="215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Tissue          (%ID/g)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68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Ga]Ga-AV01084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41C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68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Ga]Ga-</w:t>
            </w:r>
          </w:p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AV01088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68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Ga]Ga-</w:t>
            </w:r>
          </w:p>
          <w:p w:rsidR="00A141AD" w:rsidRDefault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PSMA-617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68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Ga]Ga-AV02070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41AD" w:rsidRDefault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  <w:r w:rsidR="005C4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blocked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Blood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 ± 0.49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 ± 0.22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 ± 0.53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 ± 0.13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 ± 0.21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 ± 0.15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 ± 0.36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 ± 0.20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 ± 0.13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 ± 0.16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Testes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0.66 ± 0.06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 ± 0.13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 ± 0.10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 ± 0.06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 ± 0.40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intestine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 ± 0.15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 ± 0.06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 ± 0.21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 ± 0.15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 ± 0.17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Stomach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 ± 0.06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 ± 0.02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 ± 0.01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 ± 0.01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 ± 0.05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Spleen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4.35 ± 1.25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 ± 0.16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0.40 ± 0.09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 ± 0.37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 ± 0.07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Liver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 ± 0.01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 ± 0.08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 ± 0.13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 ± 0.15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 ± 0.08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Pancreas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 ± 0.07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 ± 0.04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 ± 0.20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 ± 0.01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 ± 0.21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Adrenal glands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8.22 ± 0.90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 ± 0.48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 ± 0.40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 ± 0.57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0.36 ± 0.17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Kidney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84.3 ± 8.82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28.6 ± 10.4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 ± 0.90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 ± 5.13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2.57 ± 0.58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Lungs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 ± 1.39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 ± 0.64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 ± 0.42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1.03 ± 0.32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 ± 0.22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Heart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 ± 0.08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 ± 0.03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 ± 0.14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 ± 0.04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 ± 0.05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LNCaP tumor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9.05 ± 1.54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8.85 ± 1.25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 ± 1.13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 ± 2.30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 ± 0.21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Muscle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 ± 0.35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 ± 0.27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 ± 0.08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 ± 0.02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 ± 0.14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Bone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2.47 ± 0.22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2.47 ± 0.50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 ± 1.15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 ± 0.05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 ± 0.28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Brain</w:t>
            </w: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 ± 0.05</w:t>
            </w:r>
          </w:p>
        </w:tc>
        <w:tc>
          <w:tcPr>
            <w:tcW w:w="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 ± 0.02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 ± 0.01</w:t>
            </w:r>
          </w:p>
        </w:tc>
        <w:tc>
          <w:tcPr>
            <w:tcW w:w="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 ± 0.00</w:t>
            </w: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 ± 0.01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Tumor/bone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3.70 ± 0.83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3.75 ± 1.28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1.78 ± 0.98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96.5 ± 47.6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1.63 ± 0.95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Tumor/muscle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9.57 ± 2.73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12.7 ± 5.32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7.25 ± 1.77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± 19.5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2.76 ± 1.44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Tumor/blood</w:t>
            </w:r>
          </w:p>
        </w:tc>
        <w:tc>
          <w:tcPr>
            <w:tcW w:w="18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4.09 ± 0.77</w:t>
            </w:r>
          </w:p>
        </w:tc>
        <w:tc>
          <w:tcPr>
            <w:tcW w:w="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 ± 0.88</w:t>
            </w:r>
          </w:p>
        </w:tc>
        <w:tc>
          <w:tcPr>
            <w:tcW w:w="3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2.06 ± 0.34</w:t>
            </w:r>
          </w:p>
        </w:tc>
        <w:tc>
          <w:tcPr>
            <w:tcW w:w="3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27.7 ± 6.28</w:t>
            </w:r>
          </w:p>
        </w:tc>
        <w:tc>
          <w:tcPr>
            <w:tcW w:w="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0.99 ± 0.12</w:t>
            </w:r>
          </w:p>
        </w:tc>
      </w:tr>
      <w:tr w:rsidR="00BE6C63" w:rsidRPr="00E51014" w:rsidTr="00EA4E48">
        <w:trPr>
          <w:trHeight w:val="296"/>
        </w:trPr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Tumor/kidney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 ± 0.02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 ± 0.13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 ± 0.12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 ± 0.09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0.29 ± 0.08</w:t>
            </w:r>
          </w:p>
        </w:tc>
      </w:tr>
    </w:tbl>
    <w:p w:rsidR="00BE6C63" w:rsidRPr="00E51014" w:rsidRDefault="00BE6C63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BA9" w:rsidRPr="00E51014" w:rsidRDefault="00351BA9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63" w:rsidRPr="00E51014" w:rsidRDefault="00BE6C63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63" w:rsidRPr="00E51014" w:rsidRDefault="00BE6C63" w:rsidP="00F62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63" w:rsidRPr="00E51014" w:rsidRDefault="00BE6C63" w:rsidP="00BE6C63">
      <w:pPr>
        <w:keepNext/>
        <w:spacing w:after="200" w:line="240" w:lineRule="auto"/>
        <w:jc w:val="both"/>
        <w:rPr>
          <w:rFonts w:ascii="Times New Roman" w:eastAsia="Cambria" w:hAnsi="Times New Roman" w:cs="Times New Roman"/>
          <w:iCs/>
          <w:sz w:val="24"/>
          <w:szCs w:val="24"/>
        </w:rPr>
      </w:pPr>
      <w:r w:rsidRPr="00E51014">
        <w:rPr>
          <w:rFonts w:ascii="Times New Roman" w:eastAsia="Cambria" w:hAnsi="Times New Roman" w:cs="Times New Roman"/>
          <w:b/>
          <w:iCs/>
          <w:sz w:val="24"/>
          <w:szCs w:val="24"/>
        </w:rPr>
        <w:lastRenderedPageBreak/>
        <w:t xml:space="preserve">Table </w:t>
      </w:r>
      <w:r w:rsidR="005C441C">
        <w:rPr>
          <w:rFonts w:ascii="Times New Roman" w:eastAsia="Cambria" w:hAnsi="Times New Roman" w:cs="Times New Roman"/>
          <w:b/>
          <w:iCs/>
          <w:sz w:val="24"/>
          <w:szCs w:val="24"/>
        </w:rPr>
        <w:t>S5:</w:t>
      </w:r>
      <w:r w:rsidRPr="00E51014">
        <w:rPr>
          <w:rFonts w:ascii="Times New Roman" w:eastAsia="Cambria" w:hAnsi="Times New Roman" w:cs="Times New Roman"/>
          <w:iCs/>
          <w:sz w:val="24"/>
          <w:szCs w:val="24"/>
        </w:rPr>
        <w:t xml:space="preserve"> Biodistribution (mean ± SD, n = 4) and uptake ratios of </w:t>
      </w:r>
      <w:r w:rsidRPr="00E51014">
        <w:rPr>
          <w:rFonts w:ascii="Times New Roman" w:eastAsia="Cambria" w:hAnsi="Times New Roman" w:cs="Times New Roman"/>
          <w:iCs/>
          <w:sz w:val="24"/>
          <w:szCs w:val="24"/>
          <w:vertAlign w:val="superscript"/>
        </w:rPr>
        <w:t>68</w:t>
      </w:r>
      <w:r w:rsidRPr="00E51014">
        <w:rPr>
          <w:rFonts w:ascii="Times New Roman" w:eastAsia="Cambria" w:hAnsi="Times New Roman" w:cs="Times New Roman"/>
          <w:iCs/>
          <w:sz w:val="24"/>
          <w:szCs w:val="24"/>
        </w:rPr>
        <w:t>Ga-labeled PSMA/FAP</w:t>
      </w:r>
      <w:r w:rsidR="0049322F">
        <w:rPr>
          <w:rFonts w:ascii="Times New Roman" w:eastAsia="Cambria" w:hAnsi="Times New Roman" w:cs="Times New Roman"/>
          <w:iCs/>
          <w:sz w:val="24"/>
          <w:szCs w:val="24"/>
        </w:rPr>
        <w:t xml:space="preserve"> </w:t>
      </w:r>
      <w:r w:rsidR="0049322F" w:rsidRPr="00E51014">
        <w:rPr>
          <w:rFonts w:ascii="Times New Roman" w:eastAsia="Cambria" w:hAnsi="Times New Roman" w:cs="Times New Roman"/>
          <w:iCs/>
          <w:sz w:val="24"/>
          <w:szCs w:val="24"/>
        </w:rPr>
        <w:t xml:space="preserve">bispecific </w:t>
      </w:r>
      <w:r w:rsidRPr="00E51014">
        <w:rPr>
          <w:rFonts w:ascii="Times New Roman" w:eastAsia="Cambria" w:hAnsi="Times New Roman" w:cs="Times New Roman"/>
          <w:iCs/>
          <w:sz w:val="24"/>
          <w:szCs w:val="24"/>
        </w:rPr>
        <w:t xml:space="preserve">tracers in HEK293T:hFAP tumor-bearing mice. The mice in the blocked group were co-injected with FAPI-04 </w:t>
      </w:r>
      <w:proofErr w:type="gramStart"/>
      <w:r w:rsidRPr="00E51014">
        <w:rPr>
          <w:rFonts w:ascii="Times New Roman" w:eastAsia="Cambria" w:hAnsi="Times New Roman" w:cs="Times New Roman"/>
          <w:iCs/>
          <w:sz w:val="24"/>
          <w:szCs w:val="24"/>
        </w:rPr>
        <w:t>(250 µg</w:t>
      </w:r>
      <w:r w:rsidR="006A3A54">
        <w:rPr>
          <w:rFonts w:ascii="Times New Roman" w:eastAsia="Cambria" w:hAnsi="Times New Roman" w:cs="Times New Roman"/>
          <w:iCs/>
          <w:sz w:val="24"/>
          <w:szCs w:val="24"/>
        </w:rPr>
        <w:t>/mouse</w:t>
      </w:r>
      <w:r w:rsidRPr="00E51014">
        <w:rPr>
          <w:rFonts w:ascii="Times New Roman" w:eastAsia="Cambria" w:hAnsi="Times New Roman" w:cs="Times New Roman"/>
          <w:iCs/>
          <w:sz w:val="24"/>
          <w:szCs w:val="24"/>
        </w:rPr>
        <w:t>)</w:t>
      </w:r>
      <w:proofErr w:type="gramEnd"/>
      <w:r w:rsidRPr="00E51014">
        <w:rPr>
          <w:rFonts w:ascii="Times New Roman" w:eastAsia="Cambria" w:hAnsi="Times New Roman" w:cs="Times New Roman"/>
          <w:iCs/>
          <w:sz w:val="24"/>
          <w:szCs w:val="24"/>
        </w:rPr>
        <w:t>.</w:t>
      </w:r>
      <w:r w:rsidR="005C441C">
        <w:rPr>
          <w:rFonts w:ascii="Times New Roman" w:eastAsia="Cambria" w:hAnsi="Times New Roman" w:cs="Times New Roman"/>
          <w:iCs/>
          <w:sz w:val="24"/>
          <w:szCs w:val="24"/>
        </w:rPr>
        <w:t xml:space="preserve"> </w:t>
      </w:r>
      <w:r w:rsidR="005C441C" w:rsidRPr="00E51014">
        <w:rPr>
          <w:rFonts w:ascii="Times New Roman" w:eastAsia="Times New Roman" w:hAnsi="Times New Roman" w:cs="Times New Roman"/>
          <w:sz w:val="24"/>
          <w:szCs w:val="24"/>
        </w:rPr>
        <w:t xml:space="preserve">The biodistribution data of </w:t>
      </w:r>
      <w:r w:rsidR="005C441C" w:rsidRPr="00E51014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5C441C" w:rsidRPr="00E5101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68</w:t>
      </w:r>
      <w:r w:rsidR="005C441C" w:rsidRPr="00E51014"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proofErr w:type="gramStart"/>
      <w:r w:rsidR="005C441C" w:rsidRPr="00E51014">
        <w:rPr>
          <w:rFonts w:ascii="Times New Roman" w:eastAsia="Times New Roman" w:hAnsi="Times New Roman" w:cs="Times New Roman"/>
          <w:color w:val="000000"/>
          <w:sz w:val="24"/>
          <w:szCs w:val="24"/>
        </w:rPr>
        <w:t>]Ga</w:t>
      </w:r>
      <w:proofErr w:type="gramEnd"/>
      <w:r w:rsidR="005C441C" w:rsidRPr="00E51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-AV02070 </w:t>
      </w:r>
      <w:r w:rsidR="005C441C" w:rsidRPr="00E51014">
        <w:rPr>
          <w:rFonts w:ascii="Times New Roman" w:eastAsia="Times New Roman" w:hAnsi="Times New Roman" w:cs="Times New Roman"/>
          <w:sz w:val="24"/>
          <w:szCs w:val="24"/>
        </w:rPr>
        <w:t xml:space="preserve">have been reported previously </w:t>
      </w:r>
      <w:r w:rsidR="005C441C">
        <w:rPr>
          <w:rFonts w:ascii="Times New Roman" w:eastAsia="Times New Roman" w:hAnsi="Times New Roman" w:cs="Times New Roman"/>
          <w:sz w:val="24"/>
          <w:szCs w:val="24"/>
        </w:rPr>
        <w:t xml:space="preserve">by our group </w:t>
      </w:r>
      <w:r w:rsidR="005C441C" w:rsidRPr="00AC58AD">
        <w:rPr>
          <w:rFonts w:ascii="Times New Roman" w:hAnsi="Times New Roman" w:cs="Times New Roman"/>
          <w:sz w:val="24"/>
          <w:szCs w:val="24"/>
        </w:rPr>
        <w:t>[3]</w:t>
      </w:r>
      <w:r w:rsidR="005C441C">
        <w:rPr>
          <w:rFonts w:ascii="Times New Roman" w:eastAsia="Times New Roman" w:hAnsi="Times New Roman" w:cs="Times New Roman"/>
          <w:sz w:val="24"/>
          <w:szCs w:val="24"/>
        </w:rPr>
        <w:t>, and are included here for comparison.</w:t>
      </w:r>
    </w:p>
    <w:tbl>
      <w:tblPr>
        <w:tblW w:w="13167" w:type="dxa"/>
        <w:tblLook w:val="04A0"/>
      </w:tblPr>
      <w:tblGrid>
        <w:gridCol w:w="2111"/>
        <w:gridCol w:w="1783"/>
        <w:gridCol w:w="351"/>
        <w:gridCol w:w="1954"/>
        <w:gridCol w:w="278"/>
        <w:gridCol w:w="2143"/>
        <w:gridCol w:w="351"/>
        <w:gridCol w:w="1910"/>
        <w:gridCol w:w="351"/>
        <w:gridCol w:w="1935"/>
      </w:tblGrid>
      <w:tr w:rsidR="00BE6C63" w:rsidRPr="00E51014" w:rsidTr="00EC5B5B">
        <w:trPr>
          <w:trHeight w:val="586"/>
        </w:trPr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Tissue          (%ID/g)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68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Ga]Ga-AV01084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41C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68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Ga]Ga-</w:t>
            </w:r>
          </w:p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AV01088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68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Ga]Ga-</w:t>
            </w:r>
          </w:p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PSMA-617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68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Ga]Ga-AV02070</w:t>
            </w:r>
          </w:p>
        </w:tc>
      </w:tr>
      <w:tr w:rsidR="00BE6C63" w:rsidRPr="00E51014" w:rsidTr="00EC5B5B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  <w:r w:rsidR="005C4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blocked</w:t>
            </w:r>
          </w:p>
        </w:tc>
        <w:tc>
          <w:tcPr>
            <w:tcW w:w="3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h</w:t>
            </w:r>
          </w:p>
        </w:tc>
      </w:tr>
      <w:tr w:rsidR="00BE6C63" w:rsidRPr="00E51014" w:rsidTr="00EC5B5B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Blood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 ± 0.03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 ± 0.43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 ± 0.25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 ± 0.02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 ± 0.05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 ± 0.16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 ± 0.05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 ± 0.09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 ± 0.04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 ± 0.81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Testes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 ± 0.05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 ± 0.05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 ± 0.15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 ± 0.03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 ± 0.07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Intestine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 ± 0.06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 ± 0.02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 ± 0.07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 ± 0.02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 ± 0.13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Stomach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 ± 0.02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 ± 0.01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 ± 0.03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 ± 0.08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 ± 0.04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Spleen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3.89 ± 1.38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 ± 0.15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sz w:val="24"/>
                <w:szCs w:val="24"/>
              </w:rPr>
              <w:t>0.63 ± 0.28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 ± 0.13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 ± 0.12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Liver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 ± 0.17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 ± 0.01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 ± 0.09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 ± 0.01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 ± 0.05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Pancreas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 ± 0.05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 ± 0.04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 ± 0.07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 ± 0.03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 ± 0.45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Adrenal glands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3.10 ± 0.62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0.96 ± 0.53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 ± 0.06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sz w:val="24"/>
                <w:szCs w:val="24"/>
              </w:rPr>
              <w:t>0.32 ± 0.22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 ± 0.15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Kidney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56.4 ± 16.1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 ± 4.20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8.18 ± 3.98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12.4 ± 3.24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 ± 0.21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Lungs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 ± 0.10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 ± 0.05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 ± 0.26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 ± 0.05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 ± 0.06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Heart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 ± 0.03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 ± 0.04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 ± 0.04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 ± 0.00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 ± 0.03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HEK293T:hFAP tumor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 ± 0.41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 ± 0.25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 ± 0.14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 ± 0.01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7.93 ± 1.88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Muscle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 ± 0.30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 ± 0.03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 ± 0.12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 ± 0.01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 ± 0.10</w:t>
            </w:r>
          </w:p>
        </w:tc>
      </w:tr>
      <w:tr w:rsidR="00BE6C63" w:rsidRPr="00E51014" w:rsidTr="00EA4E48">
        <w:trPr>
          <w:trHeight w:val="292"/>
        </w:trPr>
        <w:tc>
          <w:tcPr>
            <w:tcW w:w="2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Bone</w:t>
            </w:r>
          </w:p>
        </w:tc>
        <w:tc>
          <w:tcPr>
            <w:tcW w:w="17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 ± 0.21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 ± 0.22</w:t>
            </w: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 ± 0.06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 ± 0.02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 ± 0.06</w:t>
            </w:r>
          </w:p>
        </w:tc>
      </w:tr>
      <w:tr w:rsidR="00BE6C63" w:rsidRPr="00E51014" w:rsidTr="00EA4E48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 ± 0.00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 ± 0.74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 ± 0.01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 ± 0.00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 ± 0.02</w:t>
            </w:r>
          </w:p>
        </w:tc>
      </w:tr>
      <w:tr w:rsidR="00BE6C63" w:rsidRPr="00E51014" w:rsidTr="00EA4E48">
        <w:trPr>
          <w:trHeight w:val="292"/>
        </w:trPr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Tumor/bone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 ± 0.10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 ± 0.31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2.58 ± 0.68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 ± 0.55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34.3 ± 7.35</w:t>
            </w:r>
          </w:p>
        </w:tc>
      </w:tr>
      <w:tr w:rsidR="00BE6C63" w:rsidRPr="00E51014" w:rsidTr="00E51014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Tumor/muscle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 ± 0.31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 ± 1.08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4.07 ± 2.13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3.01 ± 0.66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45.7 ± 9.88</w:t>
            </w:r>
          </w:p>
        </w:tc>
      </w:tr>
      <w:tr w:rsidR="00BE6C63" w:rsidRPr="00E51014" w:rsidTr="00EC5B5B">
        <w:trPr>
          <w:trHeight w:val="292"/>
        </w:trPr>
        <w:tc>
          <w:tcPr>
            <w:tcW w:w="21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Tumor/blood</w:t>
            </w:r>
          </w:p>
        </w:tc>
        <w:tc>
          <w:tcPr>
            <w:tcW w:w="17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 ± 0.21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2.26 ± 2.25</w:t>
            </w:r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 ± 0.09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 ± 0.13</w:t>
            </w:r>
          </w:p>
        </w:tc>
        <w:tc>
          <w:tcPr>
            <w:tcW w:w="3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22.9 ± 10.1</w:t>
            </w:r>
          </w:p>
        </w:tc>
      </w:tr>
      <w:tr w:rsidR="00BE6C63" w:rsidRPr="00E51014" w:rsidTr="00EC5B5B">
        <w:trPr>
          <w:trHeight w:val="292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Tumor/kidney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 ± 0.02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 ± 0.14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337998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 ± 0.01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0.02 ± 0.00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6C63" w:rsidRPr="00E51014" w:rsidRDefault="00BE6C63" w:rsidP="00BE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1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4.34 ± 1.36</w:t>
            </w:r>
          </w:p>
        </w:tc>
      </w:tr>
    </w:tbl>
    <w:p w:rsidR="00BE6C63" w:rsidRPr="00E51014" w:rsidRDefault="00BE6C63" w:rsidP="00BE6C63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58AD" w:rsidRDefault="00AC58AD" w:rsidP="00AC58AD">
      <w:pPr>
        <w:rPr>
          <w:rFonts w:ascii="Times New Roman" w:hAnsi="Times New Roman" w:cs="Times New Roman"/>
          <w:b/>
          <w:sz w:val="24"/>
          <w:szCs w:val="24"/>
        </w:rPr>
        <w:sectPr w:rsidR="00AC58AD" w:rsidSect="00FF391A">
          <w:pgSz w:w="15840" w:h="12240" w:orient="landscape"/>
          <w:pgMar w:top="993" w:right="1440" w:bottom="1440" w:left="1440" w:header="720" w:footer="720" w:gutter="0"/>
          <w:cols w:space="720"/>
          <w:docGrid w:linePitch="360"/>
        </w:sectPr>
      </w:pPr>
    </w:p>
    <w:p w:rsidR="005D594C" w:rsidRPr="00E51014" w:rsidRDefault="005D594C" w:rsidP="00F62BD0">
      <w:pPr>
        <w:jc w:val="both"/>
        <w:rPr>
          <w:rFonts w:ascii="Times New Roman" w:hAnsi="Times New Roman" w:cs="Times New Roman"/>
          <w:sz w:val="24"/>
          <w:szCs w:val="24"/>
        </w:rPr>
      </w:pPr>
      <w:r w:rsidRPr="00E5101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20ECD" w:rsidRPr="00120ECD" w:rsidRDefault="00F55FFF" w:rsidP="000720E3">
      <w:pPr>
        <w:pStyle w:val="Bibliography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120ECD" w:rsidRPr="00120ECD">
        <w:rPr>
          <w:rFonts w:ascii="Times New Roman" w:hAnsi="Times New Roman" w:cs="Times New Roman"/>
          <w:sz w:val="24"/>
        </w:rPr>
        <w:tab/>
        <w:t>Jansen, K.; Heirbaut, L.; Verkerk, R.; Cheng, J. D.; Joossens, J.; Cos, P.; Maes, L.; Lambeir, A.-M.; De Meester, I.; Augustyns, K.; et al. Extended Structure–</w:t>
      </w:r>
      <w:r w:rsidR="00EA4E48">
        <w:rPr>
          <w:rFonts w:ascii="Times New Roman" w:hAnsi="Times New Roman" w:cs="Times New Roman"/>
          <w:sz w:val="24"/>
        </w:rPr>
        <w:t>a</w:t>
      </w:r>
      <w:r w:rsidR="00120ECD" w:rsidRPr="00120ECD">
        <w:rPr>
          <w:rFonts w:ascii="Times New Roman" w:hAnsi="Times New Roman" w:cs="Times New Roman"/>
          <w:sz w:val="24"/>
        </w:rPr>
        <w:t>ctivity Relationship and Pharmacokinetic Investigation of (4-Quinolinoyl)</w:t>
      </w:r>
      <w:r w:rsidR="00EA4E48">
        <w:rPr>
          <w:rFonts w:ascii="Times New Roman" w:hAnsi="Times New Roman" w:cs="Times New Roman"/>
          <w:sz w:val="24"/>
        </w:rPr>
        <w:t>g</w:t>
      </w:r>
      <w:r w:rsidR="00120ECD" w:rsidRPr="00120ECD">
        <w:rPr>
          <w:rFonts w:ascii="Times New Roman" w:hAnsi="Times New Roman" w:cs="Times New Roman"/>
          <w:sz w:val="24"/>
        </w:rPr>
        <w:t>lycyl-2-</w:t>
      </w:r>
      <w:r w:rsidR="00EA4E48">
        <w:rPr>
          <w:rFonts w:ascii="Times New Roman" w:hAnsi="Times New Roman" w:cs="Times New Roman"/>
          <w:sz w:val="24"/>
        </w:rPr>
        <w:t>c</w:t>
      </w:r>
      <w:r w:rsidR="00120ECD" w:rsidRPr="00120ECD">
        <w:rPr>
          <w:rFonts w:ascii="Times New Roman" w:hAnsi="Times New Roman" w:cs="Times New Roman"/>
          <w:sz w:val="24"/>
        </w:rPr>
        <w:t xml:space="preserve">yanopyrrolidine Inhibitors of Fibroblast Activation Protein (FAP).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J. Med. Chem.</w:t>
      </w:r>
      <w:r w:rsidR="00120ECD" w:rsidRPr="00120ECD">
        <w:rPr>
          <w:rFonts w:ascii="Times New Roman" w:hAnsi="Times New Roman" w:cs="Times New Roman"/>
          <w:sz w:val="24"/>
        </w:rPr>
        <w:t xml:space="preserve"> </w:t>
      </w:r>
      <w:r w:rsidR="00120ECD" w:rsidRPr="00120ECD">
        <w:rPr>
          <w:rFonts w:ascii="Times New Roman" w:hAnsi="Times New Roman" w:cs="Times New Roman"/>
          <w:b/>
          <w:bCs/>
          <w:sz w:val="24"/>
        </w:rPr>
        <w:t>2014</w:t>
      </w:r>
      <w:r w:rsidR="00120ECD" w:rsidRPr="00120ECD">
        <w:rPr>
          <w:rFonts w:ascii="Times New Roman" w:hAnsi="Times New Roman" w:cs="Times New Roman"/>
          <w:sz w:val="24"/>
        </w:rPr>
        <w:t xml:space="preserve">,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57</w:t>
      </w:r>
      <w:r w:rsidR="00120ECD" w:rsidRPr="00120ECD">
        <w:rPr>
          <w:rFonts w:ascii="Times New Roman" w:hAnsi="Times New Roman" w:cs="Times New Roman"/>
          <w:sz w:val="24"/>
        </w:rPr>
        <w:t xml:space="preserve">, 3053–3074. </w:t>
      </w:r>
    </w:p>
    <w:p w:rsidR="00120ECD" w:rsidRPr="00120ECD" w:rsidRDefault="00F55FFF" w:rsidP="000720E3">
      <w:pPr>
        <w:pStyle w:val="Bibliography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120ECD" w:rsidRPr="00120ECD">
        <w:rPr>
          <w:rFonts w:ascii="Times New Roman" w:hAnsi="Times New Roman" w:cs="Times New Roman"/>
          <w:sz w:val="24"/>
        </w:rPr>
        <w:tab/>
        <w:t>Kuo, H.-T.; Pan, J.; Zhang, Z.; Lau, J.; Merkens, H.; Zhang, C.; Colpo, N.; Lin, K.-S.; Bénard, F. Effects of Linker Modification on Tumor-to-</w:t>
      </w:r>
      <w:r w:rsidR="00EA4E48">
        <w:rPr>
          <w:rFonts w:ascii="Times New Roman" w:hAnsi="Times New Roman" w:cs="Times New Roman"/>
          <w:sz w:val="24"/>
        </w:rPr>
        <w:t>k</w:t>
      </w:r>
      <w:r w:rsidR="00120ECD" w:rsidRPr="00120ECD">
        <w:rPr>
          <w:rFonts w:ascii="Times New Roman" w:hAnsi="Times New Roman" w:cs="Times New Roman"/>
          <w:sz w:val="24"/>
        </w:rPr>
        <w:t xml:space="preserve">idney Contrast of </w:t>
      </w:r>
      <w:r w:rsidR="00120ECD" w:rsidRPr="00CF33CF">
        <w:rPr>
          <w:rFonts w:ascii="Times New Roman" w:hAnsi="Times New Roman" w:cs="Times New Roman"/>
          <w:sz w:val="24"/>
          <w:vertAlign w:val="superscript"/>
        </w:rPr>
        <w:t>68</w:t>
      </w:r>
      <w:r w:rsidR="00120ECD" w:rsidRPr="00120ECD">
        <w:rPr>
          <w:rFonts w:ascii="Times New Roman" w:hAnsi="Times New Roman" w:cs="Times New Roman"/>
          <w:sz w:val="24"/>
        </w:rPr>
        <w:t>Ga-</w:t>
      </w:r>
      <w:r w:rsidR="00EA4E48">
        <w:rPr>
          <w:rFonts w:ascii="Times New Roman" w:hAnsi="Times New Roman" w:cs="Times New Roman"/>
          <w:sz w:val="24"/>
        </w:rPr>
        <w:t>l</w:t>
      </w:r>
      <w:r w:rsidR="00120ECD" w:rsidRPr="00120ECD">
        <w:rPr>
          <w:rFonts w:ascii="Times New Roman" w:hAnsi="Times New Roman" w:cs="Times New Roman"/>
          <w:sz w:val="24"/>
        </w:rPr>
        <w:t>abeled PSMA-</w:t>
      </w:r>
      <w:r w:rsidR="00EA4E48">
        <w:rPr>
          <w:rFonts w:ascii="Times New Roman" w:hAnsi="Times New Roman" w:cs="Times New Roman"/>
          <w:sz w:val="24"/>
        </w:rPr>
        <w:t>t</w:t>
      </w:r>
      <w:r w:rsidR="00120ECD" w:rsidRPr="00120ECD">
        <w:rPr>
          <w:rFonts w:ascii="Times New Roman" w:hAnsi="Times New Roman" w:cs="Times New Roman"/>
          <w:sz w:val="24"/>
        </w:rPr>
        <w:t xml:space="preserve">argeted Imaging Probes.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Mol. Pharm</w:t>
      </w:r>
      <w:r w:rsidR="00EA4E48">
        <w:rPr>
          <w:rFonts w:ascii="Times New Roman" w:hAnsi="Times New Roman" w:cs="Times New Roman"/>
          <w:i/>
          <w:iCs/>
          <w:sz w:val="24"/>
        </w:rPr>
        <w:t>aceutics</w:t>
      </w:r>
      <w:r w:rsidR="00120ECD" w:rsidRPr="00120ECD">
        <w:rPr>
          <w:rFonts w:ascii="Times New Roman" w:hAnsi="Times New Roman" w:cs="Times New Roman"/>
          <w:sz w:val="24"/>
        </w:rPr>
        <w:t xml:space="preserve"> </w:t>
      </w:r>
      <w:r w:rsidR="00120ECD" w:rsidRPr="00120ECD">
        <w:rPr>
          <w:rFonts w:ascii="Times New Roman" w:hAnsi="Times New Roman" w:cs="Times New Roman"/>
          <w:b/>
          <w:bCs/>
          <w:sz w:val="24"/>
        </w:rPr>
        <w:t>2018</w:t>
      </w:r>
      <w:r w:rsidR="00120ECD" w:rsidRPr="00120ECD">
        <w:rPr>
          <w:rFonts w:ascii="Times New Roman" w:hAnsi="Times New Roman" w:cs="Times New Roman"/>
          <w:sz w:val="24"/>
        </w:rPr>
        <w:t xml:space="preserve">,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15</w:t>
      </w:r>
      <w:r w:rsidR="00120ECD" w:rsidRPr="00120ECD">
        <w:rPr>
          <w:rFonts w:ascii="Times New Roman" w:hAnsi="Times New Roman" w:cs="Times New Roman"/>
          <w:sz w:val="24"/>
        </w:rPr>
        <w:t xml:space="preserve">, 3502–3511. </w:t>
      </w:r>
    </w:p>
    <w:p w:rsidR="00120ECD" w:rsidRPr="00120ECD" w:rsidRDefault="00F55FFF" w:rsidP="000720E3">
      <w:pPr>
        <w:pStyle w:val="Bibliography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120ECD" w:rsidRPr="00120ECD">
        <w:rPr>
          <w:rFonts w:ascii="Times New Roman" w:hAnsi="Times New Roman" w:cs="Times New Roman"/>
          <w:sz w:val="24"/>
        </w:rPr>
        <w:tab/>
        <w:t xml:space="preserve">Verena, A.; Kuo, H.-T.; Merkens, H.; Zeisler, J.; Bendre, S.; Wong, A. A. W. L.; Bénard, F.; Lin, K.-S. </w:t>
      </w:r>
      <w:proofErr w:type="gramStart"/>
      <w:r w:rsidR="00120ECD" w:rsidRPr="00120ECD">
        <w:rPr>
          <w:rFonts w:ascii="Times New Roman" w:hAnsi="Times New Roman" w:cs="Times New Roman"/>
          <w:sz w:val="24"/>
        </w:rPr>
        <w:t xml:space="preserve">Novel </w:t>
      </w:r>
      <w:r w:rsidR="00120ECD" w:rsidRPr="00CF33CF">
        <w:rPr>
          <w:rFonts w:ascii="Times New Roman" w:hAnsi="Times New Roman" w:cs="Times New Roman"/>
          <w:sz w:val="24"/>
          <w:vertAlign w:val="superscript"/>
        </w:rPr>
        <w:t>68</w:t>
      </w:r>
      <w:r w:rsidR="00120ECD" w:rsidRPr="00120ECD">
        <w:rPr>
          <w:rFonts w:ascii="Times New Roman" w:hAnsi="Times New Roman" w:cs="Times New Roman"/>
          <w:sz w:val="24"/>
        </w:rPr>
        <w:t>Ga-</w:t>
      </w:r>
      <w:r w:rsidR="00EA4E48">
        <w:rPr>
          <w:rFonts w:ascii="Times New Roman" w:hAnsi="Times New Roman" w:cs="Times New Roman"/>
          <w:sz w:val="24"/>
        </w:rPr>
        <w:t>labeled Pyridine-b</w:t>
      </w:r>
      <w:r w:rsidR="00120ECD" w:rsidRPr="00120ECD">
        <w:rPr>
          <w:rFonts w:ascii="Times New Roman" w:hAnsi="Times New Roman" w:cs="Times New Roman"/>
          <w:sz w:val="24"/>
        </w:rPr>
        <w:t>ased</w:t>
      </w:r>
      <w:r w:rsidR="00EA4E48">
        <w:rPr>
          <w:rFonts w:ascii="Times New Roman" w:hAnsi="Times New Roman" w:cs="Times New Roman"/>
          <w:sz w:val="24"/>
        </w:rPr>
        <w:t xml:space="preserve"> Fibroblast Activation Protein-t</w:t>
      </w:r>
      <w:r w:rsidR="00120ECD" w:rsidRPr="00120ECD">
        <w:rPr>
          <w:rFonts w:ascii="Times New Roman" w:hAnsi="Times New Roman" w:cs="Times New Roman"/>
          <w:sz w:val="24"/>
        </w:rPr>
        <w:t>arge</w:t>
      </w:r>
      <w:r w:rsidR="00EA4E48">
        <w:rPr>
          <w:rFonts w:ascii="Times New Roman" w:hAnsi="Times New Roman" w:cs="Times New Roman"/>
          <w:sz w:val="24"/>
        </w:rPr>
        <w:t>ted Tracers with High Tumor-to-b</w:t>
      </w:r>
      <w:r w:rsidR="00120ECD" w:rsidRPr="00120ECD">
        <w:rPr>
          <w:rFonts w:ascii="Times New Roman" w:hAnsi="Times New Roman" w:cs="Times New Roman"/>
          <w:sz w:val="24"/>
        </w:rPr>
        <w:t>ackground Contrast.</w:t>
      </w:r>
      <w:proofErr w:type="gramEnd"/>
      <w:r w:rsidR="00120ECD" w:rsidRPr="00120ECD">
        <w:rPr>
          <w:rFonts w:ascii="Times New Roman" w:hAnsi="Times New Roman" w:cs="Times New Roman"/>
          <w:sz w:val="24"/>
        </w:rPr>
        <w:t xml:space="preserve"> </w:t>
      </w:r>
      <w:proofErr w:type="gramStart"/>
      <w:r w:rsidR="00120ECD" w:rsidRPr="00120ECD">
        <w:rPr>
          <w:rFonts w:ascii="Times New Roman" w:hAnsi="Times New Roman" w:cs="Times New Roman"/>
          <w:i/>
          <w:iCs/>
          <w:sz w:val="24"/>
        </w:rPr>
        <w:t>Pharm</w:t>
      </w:r>
      <w:r w:rsidR="00EA4E48">
        <w:rPr>
          <w:rFonts w:ascii="Times New Roman" w:hAnsi="Times New Roman" w:cs="Times New Roman"/>
          <w:i/>
          <w:iCs/>
          <w:sz w:val="24"/>
        </w:rPr>
        <w:t>aceuticals</w:t>
      </w:r>
      <w:r w:rsidR="00120ECD" w:rsidRPr="00120ECD">
        <w:rPr>
          <w:rFonts w:ascii="Times New Roman" w:hAnsi="Times New Roman" w:cs="Times New Roman"/>
          <w:sz w:val="24"/>
        </w:rPr>
        <w:t xml:space="preserve"> </w:t>
      </w:r>
      <w:r w:rsidR="00120ECD" w:rsidRPr="00120ECD">
        <w:rPr>
          <w:rFonts w:ascii="Times New Roman" w:hAnsi="Times New Roman" w:cs="Times New Roman"/>
          <w:b/>
          <w:bCs/>
          <w:sz w:val="24"/>
        </w:rPr>
        <w:t>2023</w:t>
      </w:r>
      <w:r w:rsidR="00120ECD" w:rsidRPr="00120ECD">
        <w:rPr>
          <w:rFonts w:ascii="Times New Roman" w:hAnsi="Times New Roman" w:cs="Times New Roman"/>
          <w:sz w:val="24"/>
        </w:rPr>
        <w:t xml:space="preserve">,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16</w:t>
      </w:r>
      <w:r w:rsidR="00120ECD" w:rsidRPr="00120ECD">
        <w:rPr>
          <w:rFonts w:ascii="Times New Roman" w:hAnsi="Times New Roman" w:cs="Times New Roman"/>
          <w:sz w:val="24"/>
        </w:rPr>
        <w:t>, 449.</w:t>
      </w:r>
      <w:proofErr w:type="gramEnd"/>
      <w:r w:rsidR="00120ECD" w:rsidRPr="00120ECD">
        <w:rPr>
          <w:rFonts w:ascii="Times New Roman" w:hAnsi="Times New Roman" w:cs="Times New Roman"/>
          <w:sz w:val="24"/>
        </w:rPr>
        <w:t xml:space="preserve"> </w:t>
      </w:r>
    </w:p>
    <w:p w:rsidR="00120ECD" w:rsidRPr="00120ECD" w:rsidRDefault="00F55FFF" w:rsidP="000720E3">
      <w:pPr>
        <w:pStyle w:val="Bibliography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120ECD" w:rsidRPr="00120ECD">
        <w:rPr>
          <w:rFonts w:ascii="Times New Roman" w:hAnsi="Times New Roman" w:cs="Times New Roman"/>
          <w:sz w:val="24"/>
        </w:rPr>
        <w:tab/>
        <w:t xml:space="preserve">Wünsch, M.; Schröder, D.; Fröhr, T.; Teichmann, L.; Hedwig, S.; Janson, N.; Belu, C.; Simon, J.; Heidemeyer, S.; Holtkamp, P.; et al. Asymmetric Synthesis of Propargylamines as Amino Acid Surrogates in Peptidomimetics.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Beilstein J. Org. Chem.</w:t>
      </w:r>
      <w:r w:rsidR="00120ECD" w:rsidRPr="00120ECD">
        <w:rPr>
          <w:rFonts w:ascii="Times New Roman" w:hAnsi="Times New Roman" w:cs="Times New Roman"/>
          <w:sz w:val="24"/>
        </w:rPr>
        <w:t xml:space="preserve"> </w:t>
      </w:r>
      <w:r w:rsidR="00120ECD" w:rsidRPr="00120ECD">
        <w:rPr>
          <w:rFonts w:ascii="Times New Roman" w:hAnsi="Times New Roman" w:cs="Times New Roman"/>
          <w:b/>
          <w:bCs/>
          <w:sz w:val="24"/>
        </w:rPr>
        <w:t>2017</w:t>
      </w:r>
      <w:r w:rsidR="00120ECD" w:rsidRPr="00120ECD">
        <w:rPr>
          <w:rFonts w:ascii="Times New Roman" w:hAnsi="Times New Roman" w:cs="Times New Roman"/>
          <w:sz w:val="24"/>
        </w:rPr>
        <w:t xml:space="preserve">,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13</w:t>
      </w:r>
      <w:r w:rsidR="00120ECD" w:rsidRPr="00120ECD">
        <w:rPr>
          <w:rFonts w:ascii="Times New Roman" w:hAnsi="Times New Roman" w:cs="Times New Roman"/>
          <w:sz w:val="24"/>
        </w:rPr>
        <w:t xml:space="preserve">, 2428–2441. </w:t>
      </w:r>
    </w:p>
    <w:p w:rsidR="00120ECD" w:rsidRPr="00120ECD" w:rsidRDefault="00F55FFF" w:rsidP="000720E3">
      <w:pPr>
        <w:pStyle w:val="Bibliography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120ECD" w:rsidRPr="00120ECD">
        <w:rPr>
          <w:rFonts w:ascii="Times New Roman" w:hAnsi="Times New Roman" w:cs="Times New Roman"/>
          <w:sz w:val="24"/>
        </w:rPr>
        <w:tab/>
        <w:t xml:space="preserve">Lin, K.-S.; Pan, J.; Amouroux, G.; Turashvili, G.; Mesak, F.; Hundal-Jabal, N.; Pourghiasian, M.; Lau, J.; Jenni, S.; Aparicio, S.; et al. In Vivo Radioimaging of Bradykinin Receptor B1, a Widely Overexpressed Molecule in Human Cancer.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Cancer Res.</w:t>
      </w:r>
      <w:r w:rsidR="00120ECD" w:rsidRPr="00120ECD">
        <w:rPr>
          <w:rFonts w:ascii="Times New Roman" w:hAnsi="Times New Roman" w:cs="Times New Roman"/>
          <w:sz w:val="24"/>
        </w:rPr>
        <w:t xml:space="preserve"> </w:t>
      </w:r>
      <w:r w:rsidR="00120ECD" w:rsidRPr="00120ECD">
        <w:rPr>
          <w:rFonts w:ascii="Times New Roman" w:hAnsi="Times New Roman" w:cs="Times New Roman"/>
          <w:b/>
          <w:bCs/>
          <w:sz w:val="24"/>
        </w:rPr>
        <w:t>2015</w:t>
      </w:r>
      <w:r w:rsidR="00120ECD" w:rsidRPr="00120ECD">
        <w:rPr>
          <w:rFonts w:ascii="Times New Roman" w:hAnsi="Times New Roman" w:cs="Times New Roman"/>
          <w:sz w:val="24"/>
        </w:rPr>
        <w:t xml:space="preserve">,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75</w:t>
      </w:r>
      <w:r>
        <w:rPr>
          <w:rFonts w:ascii="Times New Roman" w:hAnsi="Times New Roman" w:cs="Times New Roman"/>
          <w:sz w:val="24"/>
        </w:rPr>
        <w:t xml:space="preserve">, 387–393. </w:t>
      </w:r>
    </w:p>
    <w:p w:rsidR="00120ECD" w:rsidRPr="00120ECD" w:rsidRDefault="00F55FFF" w:rsidP="000720E3">
      <w:pPr>
        <w:pStyle w:val="Bibliography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="00120ECD" w:rsidRPr="00120ECD">
        <w:rPr>
          <w:rFonts w:ascii="Times New Roman" w:hAnsi="Times New Roman" w:cs="Times New Roman"/>
          <w:sz w:val="24"/>
        </w:rPr>
        <w:tab/>
        <w:t xml:space="preserve">Benešová, M.; Bauder-Wüst, U.; Schäfer, M.; Klika, K. D.; Mier, W.; Haberkorn, U.; Kopka, K.; Eder, M. Linker Modification Strategies </w:t>
      </w:r>
      <w:r w:rsidR="007B689B">
        <w:rPr>
          <w:rFonts w:ascii="Times New Roman" w:hAnsi="Times New Roman" w:cs="Times New Roman"/>
          <w:sz w:val="24"/>
        </w:rPr>
        <w:t>t</w:t>
      </w:r>
      <w:r w:rsidR="00120ECD" w:rsidRPr="00120ECD">
        <w:rPr>
          <w:rFonts w:ascii="Times New Roman" w:hAnsi="Times New Roman" w:cs="Times New Roman"/>
          <w:sz w:val="24"/>
        </w:rPr>
        <w:t>o Control the Prostate-</w:t>
      </w:r>
      <w:r w:rsidR="00EA4E48">
        <w:rPr>
          <w:rFonts w:ascii="Times New Roman" w:hAnsi="Times New Roman" w:cs="Times New Roman"/>
          <w:sz w:val="24"/>
        </w:rPr>
        <w:t>s</w:t>
      </w:r>
      <w:r w:rsidR="00120ECD" w:rsidRPr="00120ECD">
        <w:rPr>
          <w:rFonts w:ascii="Times New Roman" w:hAnsi="Times New Roman" w:cs="Times New Roman"/>
          <w:sz w:val="24"/>
        </w:rPr>
        <w:t>pecific Membrane Antigen (PSMA)-</w:t>
      </w:r>
      <w:r w:rsidR="00EA4E48">
        <w:rPr>
          <w:rFonts w:ascii="Times New Roman" w:hAnsi="Times New Roman" w:cs="Times New Roman"/>
          <w:sz w:val="24"/>
        </w:rPr>
        <w:t>t</w:t>
      </w:r>
      <w:r w:rsidR="00120ECD" w:rsidRPr="00120ECD">
        <w:rPr>
          <w:rFonts w:ascii="Times New Roman" w:hAnsi="Times New Roman" w:cs="Times New Roman"/>
          <w:sz w:val="24"/>
        </w:rPr>
        <w:t>argeting and Phar</w:t>
      </w:r>
      <w:r w:rsidR="00EA4E48">
        <w:rPr>
          <w:rFonts w:ascii="Times New Roman" w:hAnsi="Times New Roman" w:cs="Times New Roman"/>
          <w:sz w:val="24"/>
        </w:rPr>
        <w:t>macokinetic Properties of DOTA-c</w:t>
      </w:r>
      <w:r w:rsidR="00120ECD" w:rsidRPr="00120ECD">
        <w:rPr>
          <w:rFonts w:ascii="Times New Roman" w:hAnsi="Times New Roman" w:cs="Times New Roman"/>
          <w:sz w:val="24"/>
        </w:rPr>
        <w:t xml:space="preserve">onjugated PSMA Inhibitors.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J. Med. Chem.</w:t>
      </w:r>
      <w:r w:rsidR="00120ECD" w:rsidRPr="00120ECD">
        <w:rPr>
          <w:rFonts w:ascii="Times New Roman" w:hAnsi="Times New Roman" w:cs="Times New Roman"/>
          <w:sz w:val="24"/>
        </w:rPr>
        <w:t xml:space="preserve"> </w:t>
      </w:r>
      <w:r w:rsidR="00120ECD" w:rsidRPr="00120ECD">
        <w:rPr>
          <w:rFonts w:ascii="Times New Roman" w:hAnsi="Times New Roman" w:cs="Times New Roman"/>
          <w:b/>
          <w:bCs/>
          <w:sz w:val="24"/>
        </w:rPr>
        <w:t>2016</w:t>
      </w:r>
      <w:r w:rsidR="00120ECD" w:rsidRPr="00120ECD">
        <w:rPr>
          <w:rFonts w:ascii="Times New Roman" w:hAnsi="Times New Roman" w:cs="Times New Roman"/>
          <w:sz w:val="24"/>
        </w:rPr>
        <w:t xml:space="preserve">, </w:t>
      </w:r>
      <w:r w:rsidR="00120ECD" w:rsidRPr="00120ECD">
        <w:rPr>
          <w:rFonts w:ascii="Times New Roman" w:hAnsi="Times New Roman" w:cs="Times New Roman"/>
          <w:i/>
          <w:iCs/>
          <w:sz w:val="24"/>
        </w:rPr>
        <w:t>59</w:t>
      </w:r>
      <w:r w:rsidR="00120ECD" w:rsidRPr="00120ECD">
        <w:rPr>
          <w:rFonts w:ascii="Times New Roman" w:hAnsi="Times New Roman" w:cs="Times New Roman"/>
          <w:sz w:val="24"/>
        </w:rPr>
        <w:t xml:space="preserve">, 1761–1775. </w:t>
      </w:r>
    </w:p>
    <w:p w:rsidR="00915DDA" w:rsidRPr="00E51014" w:rsidRDefault="00915DDA" w:rsidP="0031738E">
      <w:pPr>
        <w:tabs>
          <w:tab w:val="left" w:pos="720"/>
        </w:tabs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15DDA" w:rsidRPr="00E51014" w:rsidSect="00C07BF2">
      <w:pgSz w:w="12240" w:h="15840" w:code="1"/>
      <w:pgMar w:top="1440" w:right="1440" w:bottom="1440" w:left="992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0069EA" w16cid:durableId="26E0760B"/>
  <w16cid:commentId w16cid:paraId="64EBECEE" w16cid:durableId="26E0760C"/>
  <w16cid:commentId w16cid:paraId="49ED45C6" w16cid:durableId="26E0760D"/>
  <w16cid:commentId w16cid:paraId="2E9A8935" w16cid:durableId="26E0760E"/>
  <w16cid:commentId w16cid:paraId="798E8CA5" w16cid:durableId="26E0760F"/>
  <w16cid:commentId w16cid:paraId="6CB68056" w16cid:durableId="26E07610"/>
  <w16cid:commentId w16cid:paraId="306660C0" w16cid:durableId="26E07611"/>
  <w16cid:commentId w16cid:paraId="629A62D1" w16cid:durableId="26E07612"/>
  <w16cid:commentId w16cid:paraId="57CDC730" w16cid:durableId="26E07613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AppleSystemUIFon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5AED8A4"/>
    <w:lvl w:ilvl="0">
      <w:start w:val="1"/>
      <w:numFmt w:val="bullet"/>
      <w:pStyle w:val="NumberedParagraph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853A0"/>
    <w:multiLevelType w:val="hybridMultilevel"/>
    <w:tmpl w:val="D3168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828BD"/>
    <w:multiLevelType w:val="multilevel"/>
    <w:tmpl w:val="6C3467F8"/>
    <w:lvl w:ilvl="0">
      <w:start w:val="21"/>
      <w:numFmt w:val="decimal"/>
      <w:lvlText w:val="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Chapter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2.%3.%4.%5"/>
      <w:lvlJc w:val="left"/>
      <w:pPr>
        <w:ind w:left="0" w:firstLine="0"/>
      </w:pPr>
      <w:rPr>
        <w:rFonts w:hint="default"/>
        <w:i w:val="0"/>
      </w:rPr>
    </w:lvl>
    <w:lvl w:ilvl="5">
      <w:start w:val="1"/>
      <w:numFmt w:val="decimal"/>
      <w:lvlText w:val="%2.%3.%4.%5.%6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 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AEC4089"/>
    <w:multiLevelType w:val="hybridMultilevel"/>
    <w:tmpl w:val="669012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615B"/>
    <w:rsid w:val="00001B40"/>
    <w:rsid w:val="00026233"/>
    <w:rsid w:val="00031088"/>
    <w:rsid w:val="00031206"/>
    <w:rsid w:val="00032B81"/>
    <w:rsid w:val="00032C95"/>
    <w:rsid w:val="00035721"/>
    <w:rsid w:val="000379CB"/>
    <w:rsid w:val="000410B9"/>
    <w:rsid w:val="00047BCB"/>
    <w:rsid w:val="00061D7B"/>
    <w:rsid w:val="000704C7"/>
    <w:rsid w:val="00071E47"/>
    <w:rsid w:val="000720E3"/>
    <w:rsid w:val="00081C76"/>
    <w:rsid w:val="000909AB"/>
    <w:rsid w:val="000A7AAC"/>
    <w:rsid w:val="000C2803"/>
    <w:rsid w:val="000C2DC8"/>
    <w:rsid w:val="000C6EE7"/>
    <w:rsid w:val="000C7BB2"/>
    <w:rsid w:val="000F26E7"/>
    <w:rsid w:val="000F3128"/>
    <w:rsid w:val="000F5ABB"/>
    <w:rsid w:val="000F703F"/>
    <w:rsid w:val="00101254"/>
    <w:rsid w:val="00106382"/>
    <w:rsid w:val="0010785A"/>
    <w:rsid w:val="00110725"/>
    <w:rsid w:val="00111525"/>
    <w:rsid w:val="00111B01"/>
    <w:rsid w:val="00113D8F"/>
    <w:rsid w:val="00114B35"/>
    <w:rsid w:val="00115DCD"/>
    <w:rsid w:val="00117EDE"/>
    <w:rsid w:val="00120ECD"/>
    <w:rsid w:val="00127B32"/>
    <w:rsid w:val="00134652"/>
    <w:rsid w:val="001350F9"/>
    <w:rsid w:val="00142B04"/>
    <w:rsid w:val="00144A34"/>
    <w:rsid w:val="00146D39"/>
    <w:rsid w:val="00147A2E"/>
    <w:rsid w:val="00152883"/>
    <w:rsid w:val="00153348"/>
    <w:rsid w:val="00162960"/>
    <w:rsid w:val="0016500A"/>
    <w:rsid w:val="0016711A"/>
    <w:rsid w:val="00171341"/>
    <w:rsid w:val="00176DAB"/>
    <w:rsid w:val="001974BF"/>
    <w:rsid w:val="001976A7"/>
    <w:rsid w:val="001A7885"/>
    <w:rsid w:val="001B76B2"/>
    <w:rsid w:val="001C106B"/>
    <w:rsid w:val="001D4A5E"/>
    <w:rsid w:val="001D4FC7"/>
    <w:rsid w:val="001E07D9"/>
    <w:rsid w:val="001E1BFA"/>
    <w:rsid w:val="001E6AFE"/>
    <w:rsid w:val="001F413E"/>
    <w:rsid w:val="001F6D33"/>
    <w:rsid w:val="002214A8"/>
    <w:rsid w:val="00226161"/>
    <w:rsid w:val="00226417"/>
    <w:rsid w:val="002264AC"/>
    <w:rsid w:val="00231B3A"/>
    <w:rsid w:val="0023613A"/>
    <w:rsid w:val="00237177"/>
    <w:rsid w:val="002411E5"/>
    <w:rsid w:val="00253C28"/>
    <w:rsid w:val="0026021E"/>
    <w:rsid w:val="00261E68"/>
    <w:rsid w:val="00277F46"/>
    <w:rsid w:val="002809DD"/>
    <w:rsid w:val="002819CE"/>
    <w:rsid w:val="00281FF0"/>
    <w:rsid w:val="00292B44"/>
    <w:rsid w:val="002A1890"/>
    <w:rsid w:val="002A69BC"/>
    <w:rsid w:val="002B0625"/>
    <w:rsid w:val="002B190C"/>
    <w:rsid w:val="002B19F4"/>
    <w:rsid w:val="002C133B"/>
    <w:rsid w:val="002C37B4"/>
    <w:rsid w:val="002C3A6D"/>
    <w:rsid w:val="002C3F55"/>
    <w:rsid w:val="002C6031"/>
    <w:rsid w:val="002C79B7"/>
    <w:rsid w:val="002D4608"/>
    <w:rsid w:val="002F0574"/>
    <w:rsid w:val="003026C3"/>
    <w:rsid w:val="0030615B"/>
    <w:rsid w:val="00307C24"/>
    <w:rsid w:val="00311FB4"/>
    <w:rsid w:val="00312E29"/>
    <w:rsid w:val="0031738E"/>
    <w:rsid w:val="00323808"/>
    <w:rsid w:val="00325699"/>
    <w:rsid w:val="003265B1"/>
    <w:rsid w:val="00326F3F"/>
    <w:rsid w:val="00330714"/>
    <w:rsid w:val="00332173"/>
    <w:rsid w:val="00337573"/>
    <w:rsid w:val="00337998"/>
    <w:rsid w:val="003410C6"/>
    <w:rsid w:val="0034230E"/>
    <w:rsid w:val="00350845"/>
    <w:rsid w:val="00351BA9"/>
    <w:rsid w:val="003578B7"/>
    <w:rsid w:val="00366076"/>
    <w:rsid w:val="003750BC"/>
    <w:rsid w:val="00381425"/>
    <w:rsid w:val="0038737C"/>
    <w:rsid w:val="003911A3"/>
    <w:rsid w:val="003A3A4A"/>
    <w:rsid w:val="003A64D7"/>
    <w:rsid w:val="003B1D56"/>
    <w:rsid w:val="003B4D50"/>
    <w:rsid w:val="003B605A"/>
    <w:rsid w:val="003D2419"/>
    <w:rsid w:val="003E4B0A"/>
    <w:rsid w:val="003E5E6A"/>
    <w:rsid w:val="003E7A98"/>
    <w:rsid w:val="003F65E6"/>
    <w:rsid w:val="00401FDF"/>
    <w:rsid w:val="00405919"/>
    <w:rsid w:val="00406A23"/>
    <w:rsid w:val="004075D6"/>
    <w:rsid w:val="00413454"/>
    <w:rsid w:val="00415B62"/>
    <w:rsid w:val="0042396C"/>
    <w:rsid w:val="00426A41"/>
    <w:rsid w:val="00426F48"/>
    <w:rsid w:val="00427F01"/>
    <w:rsid w:val="004447B6"/>
    <w:rsid w:val="00452FBE"/>
    <w:rsid w:val="00456A9F"/>
    <w:rsid w:val="00462559"/>
    <w:rsid w:val="00462E38"/>
    <w:rsid w:val="00463AF9"/>
    <w:rsid w:val="00472C8E"/>
    <w:rsid w:val="0049322F"/>
    <w:rsid w:val="00493CEC"/>
    <w:rsid w:val="00496674"/>
    <w:rsid w:val="004A3565"/>
    <w:rsid w:val="004A3A43"/>
    <w:rsid w:val="004A4163"/>
    <w:rsid w:val="004A4874"/>
    <w:rsid w:val="004B4521"/>
    <w:rsid w:val="004C0026"/>
    <w:rsid w:val="004C2B65"/>
    <w:rsid w:val="004C3F17"/>
    <w:rsid w:val="004C677F"/>
    <w:rsid w:val="004D0D25"/>
    <w:rsid w:val="004E158E"/>
    <w:rsid w:val="004E6896"/>
    <w:rsid w:val="005003B8"/>
    <w:rsid w:val="00501B5C"/>
    <w:rsid w:val="00504C28"/>
    <w:rsid w:val="00511872"/>
    <w:rsid w:val="00512A84"/>
    <w:rsid w:val="005135F0"/>
    <w:rsid w:val="0051528E"/>
    <w:rsid w:val="00516038"/>
    <w:rsid w:val="005225B1"/>
    <w:rsid w:val="0052585A"/>
    <w:rsid w:val="00531B25"/>
    <w:rsid w:val="005359C2"/>
    <w:rsid w:val="00540202"/>
    <w:rsid w:val="00542E17"/>
    <w:rsid w:val="00544322"/>
    <w:rsid w:val="005613AA"/>
    <w:rsid w:val="005644BA"/>
    <w:rsid w:val="005668D4"/>
    <w:rsid w:val="0057006C"/>
    <w:rsid w:val="00572422"/>
    <w:rsid w:val="0057266B"/>
    <w:rsid w:val="00576E23"/>
    <w:rsid w:val="00596701"/>
    <w:rsid w:val="005A7A13"/>
    <w:rsid w:val="005B2320"/>
    <w:rsid w:val="005C039B"/>
    <w:rsid w:val="005C41A2"/>
    <w:rsid w:val="005C441C"/>
    <w:rsid w:val="005C5283"/>
    <w:rsid w:val="005D42EC"/>
    <w:rsid w:val="005D594C"/>
    <w:rsid w:val="005E601D"/>
    <w:rsid w:val="005E717E"/>
    <w:rsid w:val="005E7C0B"/>
    <w:rsid w:val="005F08A4"/>
    <w:rsid w:val="006157DE"/>
    <w:rsid w:val="0061663E"/>
    <w:rsid w:val="00616B9E"/>
    <w:rsid w:val="0062140D"/>
    <w:rsid w:val="00621B3D"/>
    <w:rsid w:val="0062643E"/>
    <w:rsid w:val="0063237A"/>
    <w:rsid w:val="006426F4"/>
    <w:rsid w:val="00646DF2"/>
    <w:rsid w:val="00647403"/>
    <w:rsid w:val="006508EB"/>
    <w:rsid w:val="00657DA3"/>
    <w:rsid w:val="00663389"/>
    <w:rsid w:val="00664D43"/>
    <w:rsid w:val="006672C6"/>
    <w:rsid w:val="006768B2"/>
    <w:rsid w:val="00680E08"/>
    <w:rsid w:val="006849EE"/>
    <w:rsid w:val="00687E8A"/>
    <w:rsid w:val="00695965"/>
    <w:rsid w:val="006A3012"/>
    <w:rsid w:val="006A3A54"/>
    <w:rsid w:val="006A4BA2"/>
    <w:rsid w:val="006C4F32"/>
    <w:rsid w:val="006D1CA1"/>
    <w:rsid w:val="006D3B08"/>
    <w:rsid w:val="006E4528"/>
    <w:rsid w:val="006E6DD3"/>
    <w:rsid w:val="006F36DE"/>
    <w:rsid w:val="006F50E0"/>
    <w:rsid w:val="00703CD5"/>
    <w:rsid w:val="007154FD"/>
    <w:rsid w:val="00725804"/>
    <w:rsid w:val="00730BC8"/>
    <w:rsid w:val="00734818"/>
    <w:rsid w:val="00740F8B"/>
    <w:rsid w:val="00744FBC"/>
    <w:rsid w:val="0074679F"/>
    <w:rsid w:val="00756A55"/>
    <w:rsid w:val="007639D8"/>
    <w:rsid w:val="0077148B"/>
    <w:rsid w:val="00771875"/>
    <w:rsid w:val="007720E7"/>
    <w:rsid w:val="007829A0"/>
    <w:rsid w:val="00785DDF"/>
    <w:rsid w:val="00790312"/>
    <w:rsid w:val="007A6AB7"/>
    <w:rsid w:val="007B0028"/>
    <w:rsid w:val="007B689B"/>
    <w:rsid w:val="007C5ED3"/>
    <w:rsid w:val="007E7550"/>
    <w:rsid w:val="007F6F98"/>
    <w:rsid w:val="007F7A2E"/>
    <w:rsid w:val="00800433"/>
    <w:rsid w:val="008010E3"/>
    <w:rsid w:val="00802F56"/>
    <w:rsid w:val="00805FDB"/>
    <w:rsid w:val="008202BF"/>
    <w:rsid w:val="00821F0A"/>
    <w:rsid w:val="00823CA9"/>
    <w:rsid w:val="00833D34"/>
    <w:rsid w:val="0083603A"/>
    <w:rsid w:val="0083705D"/>
    <w:rsid w:val="00842F4E"/>
    <w:rsid w:val="00851A36"/>
    <w:rsid w:val="00853F0B"/>
    <w:rsid w:val="00857044"/>
    <w:rsid w:val="0086045B"/>
    <w:rsid w:val="0086338D"/>
    <w:rsid w:val="008727DA"/>
    <w:rsid w:val="008809B9"/>
    <w:rsid w:val="0088110B"/>
    <w:rsid w:val="008875C7"/>
    <w:rsid w:val="00887984"/>
    <w:rsid w:val="008903F5"/>
    <w:rsid w:val="008A20DD"/>
    <w:rsid w:val="008A6426"/>
    <w:rsid w:val="008C2F4E"/>
    <w:rsid w:val="008C50F7"/>
    <w:rsid w:val="008D6408"/>
    <w:rsid w:val="008E1E9E"/>
    <w:rsid w:val="008E30B0"/>
    <w:rsid w:val="008E4454"/>
    <w:rsid w:val="008E6D0E"/>
    <w:rsid w:val="008E795A"/>
    <w:rsid w:val="008F492B"/>
    <w:rsid w:val="008F54E4"/>
    <w:rsid w:val="008F6889"/>
    <w:rsid w:val="00901E5C"/>
    <w:rsid w:val="00915C06"/>
    <w:rsid w:val="00915DDA"/>
    <w:rsid w:val="00932A7B"/>
    <w:rsid w:val="00935312"/>
    <w:rsid w:val="00935ACE"/>
    <w:rsid w:val="00942002"/>
    <w:rsid w:val="00944465"/>
    <w:rsid w:val="00950F08"/>
    <w:rsid w:val="009610A3"/>
    <w:rsid w:val="00965290"/>
    <w:rsid w:val="009737B4"/>
    <w:rsid w:val="00980371"/>
    <w:rsid w:val="009836BC"/>
    <w:rsid w:val="00986F96"/>
    <w:rsid w:val="0099536B"/>
    <w:rsid w:val="009A32B8"/>
    <w:rsid w:val="009B2B74"/>
    <w:rsid w:val="009B3AC6"/>
    <w:rsid w:val="009B43DF"/>
    <w:rsid w:val="009B5D3F"/>
    <w:rsid w:val="009B5EDE"/>
    <w:rsid w:val="009B5F53"/>
    <w:rsid w:val="009C5D1B"/>
    <w:rsid w:val="009D07E5"/>
    <w:rsid w:val="009D6C09"/>
    <w:rsid w:val="009E24B6"/>
    <w:rsid w:val="009F21CA"/>
    <w:rsid w:val="009F2A2D"/>
    <w:rsid w:val="009F73B6"/>
    <w:rsid w:val="009F7C77"/>
    <w:rsid w:val="00A12865"/>
    <w:rsid w:val="00A141AD"/>
    <w:rsid w:val="00A25FF3"/>
    <w:rsid w:val="00A421A3"/>
    <w:rsid w:val="00A45208"/>
    <w:rsid w:val="00A47165"/>
    <w:rsid w:val="00A47D83"/>
    <w:rsid w:val="00A52D21"/>
    <w:rsid w:val="00A83B6B"/>
    <w:rsid w:val="00A8645B"/>
    <w:rsid w:val="00A93E84"/>
    <w:rsid w:val="00A96090"/>
    <w:rsid w:val="00A97573"/>
    <w:rsid w:val="00AA3771"/>
    <w:rsid w:val="00AB0DAA"/>
    <w:rsid w:val="00AB1548"/>
    <w:rsid w:val="00AB5041"/>
    <w:rsid w:val="00AC58AD"/>
    <w:rsid w:val="00AC7929"/>
    <w:rsid w:val="00AD256E"/>
    <w:rsid w:val="00AE1DC2"/>
    <w:rsid w:val="00AE2FF3"/>
    <w:rsid w:val="00AE3CCD"/>
    <w:rsid w:val="00AF697C"/>
    <w:rsid w:val="00AF76BE"/>
    <w:rsid w:val="00AF7A3B"/>
    <w:rsid w:val="00B0428B"/>
    <w:rsid w:val="00B12F3F"/>
    <w:rsid w:val="00B133A8"/>
    <w:rsid w:val="00B22286"/>
    <w:rsid w:val="00B31A3A"/>
    <w:rsid w:val="00B336BE"/>
    <w:rsid w:val="00B440F7"/>
    <w:rsid w:val="00B50C3B"/>
    <w:rsid w:val="00B552CD"/>
    <w:rsid w:val="00B66D34"/>
    <w:rsid w:val="00B7105F"/>
    <w:rsid w:val="00B842B9"/>
    <w:rsid w:val="00B85856"/>
    <w:rsid w:val="00B8645E"/>
    <w:rsid w:val="00B97BA5"/>
    <w:rsid w:val="00BC5477"/>
    <w:rsid w:val="00BC6A75"/>
    <w:rsid w:val="00BD0581"/>
    <w:rsid w:val="00BD18BC"/>
    <w:rsid w:val="00BD1AF4"/>
    <w:rsid w:val="00BD3463"/>
    <w:rsid w:val="00BE1108"/>
    <w:rsid w:val="00BE6C63"/>
    <w:rsid w:val="00BF4C23"/>
    <w:rsid w:val="00C041E8"/>
    <w:rsid w:val="00C06257"/>
    <w:rsid w:val="00C075A6"/>
    <w:rsid w:val="00C07BF2"/>
    <w:rsid w:val="00C100C0"/>
    <w:rsid w:val="00C34FA7"/>
    <w:rsid w:val="00C401CE"/>
    <w:rsid w:val="00C45B3A"/>
    <w:rsid w:val="00C544A6"/>
    <w:rsid w:val="00C54A09"/>
    <w:rsid w:val="00C80535"/>
    <w:rsid w:val="00C8219F"/>
    <w:rsid w:val="00C861FD"/>
    <w:rsid w:val="00C90F82"/>
    <w:rsid w:val="00C9492C"/>
    <w:rsid w:val="00CA05C5"/>
    <w:rsid w:val="00CA69DB"/>
    <w:rsid w:val="00CA7F7C"/>
    <w:rsid w:val="00CB308D"/>
    <w:rsid w:val="00CB5239"/>
    <w:rsid w:val="00CB5CC4"/>
    <w:rsid w:val="00CC308B"/>
    <w:rsid w:val="00CC4B15"/>
    <w:rsid w:val="00CC67A4"/>
    <w:rsid w:val="00CD7E8C"/>
    <w:rsid w:val="00CE3DB6"/>
    <w:rsid w:val="00CF33CF"/>
    <w:rsid w:val="00CF5B07"/>
    <w:rsid w:val="00CF7D60"/>
    <w:rsid w:val="00D12C7B"/>
    <w:rsid w:val="00D15B1A"/>
    <w:rsid w:val="00D16B58"/>
    <w:rsid w:val="00D17F60"/>
    <w:rsid w:val="00D2182A"/>
    <w:rsid w:val="00D27F6C"/>
    <w:rsid w:val="00D3197A"/>
    <w:rsid w:val="00D35017"/>
    <w:rsid w:val="00D37C53"/>
    <w:rsid w:val="00D45887"/>
    <w:rsid w:val="00D5374F"/>
    <w:rsid w:val="00D559F6"/>
    <w:rsid w:val="00D572A0"/>
    <w:rsid w:val="00D648B6"/>
    <w:rsid w:val="00D82833"/>
    <w:rsid w:val="00D87D47"/>
    <w:rsid w:val="00DA7629"/>
    <w:rsid w:val="00DB2237"/>
    <w:rsid w:val="00DB2D29"/>
    <w:rsid w:val="00DB50C6"/>
    <w:rsid w:val="00DB7FCE"/>
    <w:rsid w:val="00DC074B"/>
    <w:rsid w:val="00DC3145"/>
    <w:rsid w:val="00DC6E6E"/>
    <w:rsid w:val="00DD2798"/>
    <w:rsid w:val="00DD3F96"/>
    <w:rsid w:val="00DD76C8"/>
    <w:rsid w:val="00DD785A"/>
    <w:rsid w:val="00DF4154"/>
    <w:rsid w:val="00E13AA6"/>
    <w:rsid w:val="00E25246"/>
    <w:rsid w:val="00E26F57"/>
    <w:rsid w:val="00E32FCF"/>
    <w:rsid w:val="00E42848"/>
    <w:rsid w:val="00E47DA5"/>
    <w:rsid w:val="00E51014"/>
    <w:rsid w:val="00E63880"/>
    <w:rsid w:val="00E7037C"/>
    <w:rsid w:val="00E70E4F"/>
    <w:rsid w:val="00E71FEA"/>
    <w:rsid w:val="00E7595C"/>
    <w:rsid w:val="00E821A4"/>
    <w:rsid w:val="00E930BA"/>
    <w:rsid w:val="00E93D9F"/>
    <w:rsid w:val="00E95173"/>
    <w:rsid w:val="00E966F1"/>
    <w:rsid w:val="00EA06B0"/>
    <w:rsid w:val="00EA4E48"/>
    <w:rsid w:val="00EB0385"/>
    <w:rsid w:val="00EB21DF"/>
    <w:rsid w:val="00EB249D"/>
    <w:rsid w:val="00EB6BC5"/>
    <w:rsid w:val="00EC4A0F"/>
    <w:rsid w:val="00EC5B5B"/>
    <w:rsid w:val="00ED2D0F"/>
    <w:rsid w:val="00ED5AF1"/>
    <w:rsid w:val="00ED75E1"/>
    <w:rsid w:val="00EE10D0"/>
    <w:rsid w:val="00EE3B4F"/>
    <w:rsid w:val="00EE3FBD"/>
    <w:rsid w:val="00EE46D3"/>
    <w:rsid w:val="00EE5ACA"/>
    <w:rsid w:val="00EE6F87"/>
    <w:rsid w:val="00EF1CCF"/>
    <w:rsid w:val="00F01D14"/>
    <w:rsid w:val="00F0509C"/>
    <w:rsid w:val="00F06643"/>
    <w:rsid w:val="00F11BE3"/>
    <w:rsid w:val="00F15830"/>
    <w:rsid w:val="00F21224"/>
    <w:rsid w:val="00F22F57"/>
    <w:rsid w:val="00F23BD7"/>
    <w:rsid w:val="00F26610"/>
    <w:rsid w:val="00F315EC"/>
    <w:rsid w:val="00F35CAC"/>
    <w:rsid w:val="00F401A6"/>
    <w:rsid w:val="00F47BE6"/>
    <w:rsid w:val="00F5114A"/>
    <w:rsid w:val="00F52930"/>
    <w:rsid w:val="00F55FFF"/>
    <w:rsid w:val="00F600C5"/>
    <w:rsid w:val="00F62BD0"/>
    <w:rsid w:val="00F678AE"/>
    <w:rsid w:val="00F71517"/>
    <w:rsid w:val="00F77106"/>
    <w:rsid w:val="00F80986"/>
    <w:rsid w:val="00F80F15"/>
    <w:rsid w:val="00F94FE8"/>
    <w:rsid w:val="00F9518E"/>
    <w:rsid w:val="00F96B2F"/>
    <w:rsid w:val="00FB1B85"/>
    <w:rsid w:val="00FC4013"/>
    <w:rsid w:val="00FD644A"/>
    <w:rsid w:val="00FE0CE2"/>
    <w:rsid w:val="00FE3000"/>
    <w:rsid w:val="00FF03B1"/>
    <w:rsid w:val="00FF2079"/>
    <w:rsid w:val="00FF391A"/>
    <w:rsid w:val="00FF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graph">
    <w:name w:val="Numbered Paragraph"/>
    <w:basedOn w:val="BodyText"/>
    <w:link w:val="NumberedParagraphCar"/>
    <w:rsid w:val="0030615B"/>
    <w:pPr>
      <w:numPr>
        <w:numId w:val="1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umberedParagraphCar">
    <w:name w:val="Numbered Paragraph Car"/>
    <w:link w:val="NumberedParagraph"/>
    <w:rsid w:val="0030615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061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615B"/>
  </w:style>
  <w:style w:type="paragraph" w:styleId="Caption">
    <w:name w:val="caption"/>
    <w:basedOn w:val="Normal"/>
    <w:next w:val="Normal"/>
    <w:uiPriority w:val="35"/>
    <w:unhideWhenUsed/>
    <w:qFormat/>
    <w:rsid w:val="004A41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ediumGrid21">
    <w:name w:val="Medium Grid 21"/>
    <w:uiPriority w:val="1"/>
    <w:qFormat/>
    <w:rsid w:val="004C677F"/>
    <w:pPr>
      <w:spacing w:after="0" w:line="240" w:lineRule="auto"/>
      <w:jc w:val="both"/>
    </w:pPr>
    <w:rPr>
      <w:rFonts w:ascii="Times New Roman" w:eastAsia="PMingLiU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1671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0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F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6B2F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915DDA"/>
    <w:pPr>
      <w:tabs>
        <w:tab w:val="left" w:pos="384"/>
      </w:tabs>
      <w:spacing w:after="0" w:line="240" w:lineRule="auto"/>
      <w:ind w:left="384" w:hanging="384"/>
    </w:pPr>
  </w:style>
  <w:style w:type="paragraph" w:styleId="NormalWeb">
    <w:name w:val="Normal (Web)"/>
    <w:basedOn w:val="Normal"/>
    <w:uiPriority w:val="99"/>
    <w:unhideWhenUsed/>
    <w:rsid w:val="0097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NoSpacing">
    <w:name w:val="No Spacing"/>
    <w:uiPriority w:val="1"/>
    <w:qFormat/>
    <w:rsid w:val="00950F08"/>
    <w:pPr>
      <w:spacing w:after="0" w:line="240" w:lineRule="auto"/>
    </w:pPr>
  </w:style>
  <w:style w:type="character" w:customStyle="1" w:styleId="normal00200028web0029char">
    <w:name w:val="normal_0020_0028web_0029__char"/>
    <w:basedOn w:val="DefaultParagraphFont"/>
    <w:rsid w:val="00DB7F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548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149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9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635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9611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20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1E59-547D-4629-B77A-EAE04C0F4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2338</Words>
  <Characters>13332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Arsyangela Verena</dc:creator>
  <cp:lastModifiedBy>klin</cp:lastModifiedBy>
  <cp:revision>22</cp:revision>
  <cp:lastPrinted>2023-10-23T19:38:00Z</cp:lastPrinted>
  <dcterms:created xsi:type="dcterms:W3CDTF">2023-11-01T21:20:00Z</dcterms:created>
  <dcterms:modified xsi:type="dcterms:W3CDTF">2023-11-12T18:13:00Z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id="ZIfB1Yod"/&gt;&lt;style id="http://www.zotero.org/styles/taylor-and-francis-acs" hasBibliography="1" bibliographyStyleHasBeenSet="1"/&gt;&lt;prefs&gt;&lt;pref name="fieldType" value="Field"/&gt;&lt;pref name="automaticJ</vt:lpwstr>
  </property>
  <property fmtid="{D5CDD505-2E9C-101B-9397-08002B2CF9AE}" pid="3" name="ZOTERO_PREF_2">
    <vt:lpwstr>ournalAbbreviations" value="true"/&gt;&lt;/prefs&gt;&lt;/data&gt;</vt:lpwstr>
  </property>
  <property fmtid="{D5CDD505-2E9C-101B-9397-08002B2CF9AE}" pid="4" name="_DocHome">
    <vt:i4>-606334223</vt:i4>
  </property>
</Properties>
</file>