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250" w:rsidRDefault="00F40250" w:rsidP="00F40250">
      <w:pPr>
        <w:rPr>
          <w:rFonts w:cstheme="minorHAnsi"/>
          <w:b/>
        </w:rPr>
      </w:pPr>
    </w:p>
    <w:p w:rsidR="00F40250" w:rsidRPr="00F40250" w:rsidRDefault="00F40250" w:rsidP="00F40250">
      <w:pPr>
        <w:rPr>
          <w:rFonts w:cstheme="minorHAnsi"/>
          <w:b/>
          <w:sz w:val="32"/>
        </w:rPr>
      </w:pPr>
    </w:p>
    <w:p w:rsidR="00F40250" w:rsidRPr="00F40250" w:rsidRDefault="00F40250" w:rsidP="00F40250">
      <w:pPr>
        <w:rPr>
          <w:rFonts w:cstheme="minorHAnsi"/>
          <w:b/>
          <w:sz w:val="32"/>
        </w:rPr>
      </w:pPr>
      <w:r w:rsidRPr="00F40250">
        <w:rPr>
          <w:rFonts w:cstheme="minorHAnsi"/>
          <w:b/>
          <w:sz w:val="32"/>
        </w:rPr>
        <w:t>Supplementary Materials:</w:t>
      </w:r>
      <w:bookmarkStart w:id="0" w:name="_GoBack"/>
      <w:bookmarkEnd w:id="0"/>
    </w:p>
    <w:p w:rsidR="00F40250" w:rsidRPr="003F41B4" w:rsidRDefault="00F40250" w:rsidP="00F40250">
      <w:pPr>
        <w:spacing w:after="0" w:line="240" w:lineRule="auto"/>
        <w:rPr>
          <w:rFonts w:cstheme="minorHAnsi"/>
          <w:b/>
          <w:sz w:val="24"/>
        </w:rPr>
      </w:pPr>
      <w:r w:rsidRPr="003F41B4">
        <w:rPr>
          <w:rFonts w:cstheme="minorHAnsi"/>
          <w:b/>
          <w:sz w:val="24"/>
        </w:rPr>
        <w:t>THE SECOND DERIVATIVE OF FULLERENE C</w:t>
      </w:r>
      <w:r w:rsidRPr="003F41B4">
        <w:rPr>
          <w:rFonts w:cstheme="minorHAnsi"/>
          <w:b/>
          <w:sz w:val="24"/>
          <w:vertAlign w:val="subscript"/>
        </w:rPr>
        <w:t xml:space="preserve">60 </w:t>
      </w:r>
      <w:r w:rsidRPr="003F41B4">
        <w:rPr>
          <w:rFonts w:cstheme="minorHAnsi"/>
          <w:b/>
          <w:sz w:val="24"/>
        </w:rPr>
        <w:t>(SD-C</w:t>
      </w:r>
      <w:r w:rsidRPr="003F41B4">
        <w:rPr>
          <w:rFonts w:cstheme="minorHAnsi"/>
          <w:b/>
          <w:sz w:val="24"/>
          <w:vertAlign w:val="subscript"/>
        </w:rPr>
        <w:t>60</w:t>
      </w:r>
      <w:r w:rsidRPr="003F41B4">
        <w:rPr>
          <w:rFonts w:cstheme="minorHAnsi"/>
          <w:b/>
          <w:sz w:val="24"/>
        </w:rPr>
        <w:t>) AND BIOMOLECULAR MACHINERY OF HYDROGEN BONDS: WATER-BASED NANOMEDICINE</w:t>
      </w:r>
    </w:p>
    <w:p w:rsidR="00F40250" w:rsidRPr="003F41B4" w:rsidRDefault="00F40250" w:rsidP="00F40250">
      <w:pPr>
        <w:spacing w:after="0" w:line="240" w:lineRule="auto"/>
        <w:rPr>
          <w:rFonts w:cstheme="minorHAnsi"/>
          <w:sz w:val="8"/>
        </w:rPr>
      </w:pPr>
    </w:p>
    <w:p w:rsidR="00F40250" w:rsidRPr="003F41B4" w:rsidRDefault="00F40250" w:rsidP="00F40250">
      <w:pPr>
        <w:spacing w:after="0" w:line="240" w:lineRule="auto"/>
        <w:rPr>
          <w:rFonts w:cstheme="minorHAnsi"/>
          <w:sz w:val="24"/>
        </w:rPr>
      </w:pPr>
      <w:r w:rsidRPr="003F41B4">
        <w:rPr>
          <w:rFonts w:cstheme="minorHAnsi"/>
          <w:sz w:val="24"/>
          <w:vertAlign w:val="superscript"/>
        </w:rPr>
        <w:t>1</w:t>
      </w:r>
      <w:r w:rsidRPr="003F41B4">
        <w:rPr>
          <w:rFonts w:cstheme="minorHAnsi"/>
          <w:sz w:val="24"/>
        </w:rPr>
        <w:t>Matija, L</w:t>
      </w:r>
      <w:r w:rsidRPr="003F41B4">
        <w:rPr>
          <w:rFonts w:cstheme="minorHAnsi"/>
          <w:sz w:val="24"/>
          <w:vertAlign w:val="superscript"/>
        </w:rPr>
        <w:sym w:font="Symbol" w:char="F02A"/>
      </w:r>
      <w:r w:rsidRPr="003F41B4">
        <w:rPr>
          <w:rFonts w:cstheme="minorHAnsi"/>
          <w:sz w:val="24"/>
        </w:rPr>
        <w:t xml:space="preserve">., </w:t>
      </w:r>
      <w:r w:rsidRPr="003F41B4">
        <w:rPr>
          <w:rFonts w:cstheme="minorHAnsi"/>
          <w:sz w:val="24"/>
          <w:vertAlign w:val="superscript"/>
        </w:rPr>
        <w:t>1</w:t>
      </w:r>
      <w:r w:rsidRPr="003F41B4">
        <w:rPr>
          <w:rFonts w:cstheme="minorHAnsi"/>
          <w:sz w:val="24"/>
        </w:rPr>
        <w:t xml:space="preserve">Stanković,I., </w:t>
      </w:r>
      <w:r w:rsidRPr="003F41B4">
        <w:rPr>
          <w:rFonts w:cstheme="minorHAnsi"/>
          <w:sz w:val="24"/>
          <w:vertAlign w:val="superscript"/>
        </w:rPr>
        <w:t>1</w:t>
      </w:r>
      <w:r w:rsidRPr="003F41B4">
        <w:rPr>
          <w:rFonts w:cstheme="minorHAnsi"/>
          <w:sz w:val="24"/>
        </w:rPr>
        <w:t xml:space="preserve">Purić,M., </w:t>
      </w:r>
      <w:r w:rsidRPr="003F41B4">
        <w:rPr>
          <w:rFonts w:cstheme="minorHAnsi"/>
          <w:sz w:val="24"/>
          <w:vertAlign w:val="superscript"/>
        </w:rPr>
        <w:t>1,4</w:t>
      </w:r>
      <w:r w:rsidRPr="003F41B4">
        <w:rPr>
          <w:rFonts w:cstheme="minorHAnsi"/>
          <w:sz w:val="24"/>
        </w:rPr>
        <w:t xml:space="preserve">Miličić, M, </w:t>
      </w:r>
      <w:r w:rsidRPr="003F41B4">
        <w:rPr>
          <w:rFonts w:cstheme="minorHAnsi"/>
          <w:sz w:val="24"/>
          <w:vertAlign w:val="superscript"/>
        </w:rPr>
        <w:t>2</w:t>
      </w:r>
      <w:r w:rsidRPr="003F41B4">
        <w:rPr>
          <w:rFonts w:cstheme="minorHAnsi"/>
          <w:sz w:val="24"/>
        </w:rPr>
        <w:t xml:space="preserve">Maksimovic-Ivanić,D., </w:t>
      </w:r>
      <w:r w:rsidRPr="003F41B4">
        <w:rPr>
          <w:rFonts w:cstheme="minorHAnsi"/>
          <w:sz w:val="24"/>
          <w:vertAlign w:val="superscript"/>
        </w:rPr>
        <w:t>2</w:t>
      </w:r>
      <w:r w:rsidRPr="003F41B4">
        <w:rPr>
          <w:rFonts w:cstheme="minorHAnsi"/>
          <w:sz w:val="24"/>
        </w:rPr>
        <w:t xml:space="preserve">Mijatović,S., </w:t>
      </w:r>
      <w:r w:rsidRPr="003F41B4">
        <w:rPr>
          <w:rFonts w:cstheme="minorHAnsi"/>
          <w:sz w:val="24"/>
          <w:vertAlign w:val="superscript"/>
        </w:rPr>
        <w:t>2</w:t>
      </w:r>
      <w:r w:rsidRPr="003F41B4">
        <w:rPr>
          <w:rFonts w:cstheme="minorHAnsi"/>
          <w:sz w:val="24"/>
        </w:rPr>
        <w:t xml:space="preserve">Krajnović, T,   </w:t>
      </w:r>
      <w:r w:rsidRPr="003F41B4">
        <w:rPr>
          <w:rFonts w:cstheme="minorHAnsi"/>
          <w:sz w:val="24"/>
          <w:vertAlign w:val="superscript"/>
        </w:rPr>
        <w:t>2</w:t>
      </w:r>
      <w:r w:rsidRPr="003F41B4">
        <w:rPr>
          <w:rFonts w:cstheme="minorHAnsi"/>
          <w:sz w:val="24"/>
        </w:rPr>
        <w:t xml:space="preserve">Gordić , V., </w:t>
      </w:r>
      <w:r w:rsidRPr="005E3EBD">
        <w:rPr>
          <w:rFonts w:cstheme="minorHAnsi"/>
          <w:sz w:val="24"/>
          <w:vertAlign w:val="superscript"/>
        </w:rPr>
        <w:t>1,</w:t>
      </w:r>
      <w:r w:rsidRPr="003F41B4">
        <w:rPr>
          <w:rFonts w:cstheme="minorHAnsi"/>
          <w:sz w:val="24"/>
          <w:vertAlign w:val="superscript"/>
        </w:rPr>
        <w:t>3</w:t>
      </w:r>
      <w:r w:rsidRPr="003F41B4">
        <w:rPr>
          <w:rFonts w:cstheme="minorHAnsi"/>
          <w:sz w:val="24"/>
        </w:rPr>
        <w:t>Koruga,D</w:t>
      </w:r>
      <w:r w:rsidRPr="003F41B4">
        <w:rPr>
          <w:rFonts w:cstheme="minorHAnsi"/>
          <w:sz w:val="24"/>
          <w:vertAlign w:val="superscript"/>
        </w:rPr>
        <w:sym w:font="Symbol" w:char="F02A"/>
      </w:r>
      <w:r w:rsidRPr="003F41B4">
        <w:rPr>
          <w:rFonts w:cstheme="minorHAnsi"/>
          <w:sz w:val="24"/>
        </w:rPr>
        <w:t xml:space="preserve">. </w:t>
      </w:r>
    </w:p>
    <w:p w:rsidR="00F40250" w:rsidRPr="003F41B4" w:rsidRDefault="00F40250" w:rsidP="00F40250">
      <w:pPr>
        <w:spacing w:after="0" w:line="240" w:lineRule="auto"/>
        <w:ind w:left="90" w:hanging="90"/>
        <w:rPr>
          <w:rFonts w:cstheme="minorHAnsi"/>
          <w:sz w:val="20"/>
        </w:rPr>
      </w:pPr>
      <w:r w:rsidRPr="003F41B4">
        <w:rPr>
          <w:rFonts w:cstheme="minorHAnsi"/>
          <w:sz w:val="20"/>
          <w:vertAlign w:val="superscript"/>
        </w:rPr>
        <w:t>1</w:t>
      </w:r>
      <w:r w:rsidRPr="003F41B4">
        <w:rPr>
          <w:rFonts w:cstheme="minorHAnsi"/>
          <w:sz w:val="20"/>
        </w:rPr>
        <w:t>Nano Lab, Department of Biomedical Engineering; Faculty of Mechanical Engineering, University of Belgrade, 11220 Belgrade, Serbia</w:t>
      </w:r>
    </w:p>
    <w:p w:rsidR="00F40250" w:rsidRPr="003F41B4" w:rsidRDefault="00F40250" w:rsidP="00F40250">
      <w:pPr>
        <w:spacing w:after="0" w:line="240" w:lineRule="auto"/>
        <w:rPr>
          <w:rFonts w:cstheme="minorHAnsi"/>
          <w:sz w:val="20"/>
          <w:vertAlign w:val="superscript"/>
        </w:rPr>
      </w:pPr>
      <w:r w:rsidRPr="003F41B4">
        <w:rPr>
          <w:rFonts w:cstheme="minorHAnsi"/>
          <w:sz w:val="20"/>
          <w:vertAlign w:val="superscript"/>
        </w:rPr>
        <w:t>2</w:t>
      </w:r>
      <w:r w:rsidRPr="003F41B4">
        <w:rPr>
          <w:rFonts w:cstheme="minorHAnsi"/>
          <w:sz w:val="20"/>
        </w:rPr>
        <w:t>Institute for Biological Research Siniša Stanković</w:t>
      </w:r>
      <w:r w:rsidRPr="003F41B4">
        <w:rPr>
          <w:rFonts w:cstheme="minorHAnsi"/>
        </w:rPr>
        <w:t xml:space="preserve"> </w:t>
      </w:r>
      <w:r w:rsidRPr="003F41B4">
        <w:rPr>
          <w:rFonts w:cstheme="minorHAnsi"/>
          <w:sz w:val="20"/>
        </w:rPr>
        <w:t>– National Institute of the Republic of Serbia, University of Belgrade, 11000 Belgrade, Serbia</w:t>
      </w:r>
    </w:p>
    <w:p w:rsidR="00F40250" w:rsidRPr="003F41B4" w:rsidRDefault="00F40250" w:rsidP="00F40250">
      <w:pPr>
        <w:spacing w:after="0" w:line="240" w:lineRule="auto"/>
        <w:rPr>
          <w:rFonts w:cstheme="minorHAnsi"/>
          <w:sz w:val="20"/>
        </w:rPr>
      </w:pPr>
      <w:r w:rsidRPr="003F41B4">
        <w:rPr>
          <w:rFonts w:cstheme="minorHAnsi"/>
          <w:sz w:val="20"/>
          <w:vertAlign w:val="superscript"/>
        </w:rPr>
        <w:t>3</w:t>
      </w:r>
      <w:r w:rsidRPr="003F41B4">
        <w:rPr>
          <w:rFonts w:cstheme="minorHAnsi"/>
          <w:sz w:val="20"/>
        </w:rPr>
        <w:t>Biomedical Photonic Lab, NanoWorld, 11043 Belgrade, Serbia</w:t>
      </w:r>
    </w:p>
    <w:p w:rsidR="00F40250" w:rsidRPr="003F41B4" w:rsidRDefault="00F40250" w:rsidP="00F40250">
      <w:pPr>
        <w:spacing w:after="0" w:line="240" w:lineRule="auto"/>
        <w:rPr>
          <w:rFonts w:cstheme="minorHAnsi"/>
          <w:sz w:val="20"/>
        </w:rPr>
      </w:pPr>
      <w:r w:rsidRPr="003F41B4">
        <w:rPr>
          <w:rFonts w:cstheme="minorHAnsi"/>
          <w:sz w:val="20"/>
          <w:vertAlign w:val="superscript"/>
        </w:rPr>
        <w:t>4</w:t>
      </w:r>
      <w:r w:rsidRPr="003F41B4">
        <w:rPr>
          <w:rFonts w:cstheme="minorHAnsi"/>
          <w:sz w:val="20"/>
        </w:rPr>
        <w:t>TFT Nano Center, 11050 Belgrade, Serbia</w:t>
      </w:r>
    </w:p>
    <w:p w:rsidR="00F40250" w:rsidRPr="003F41B4" w:rsidRDefault="00F40250" w:rsidP="00F40250">
      <w:pPr>
        <w:spacing w:after="0" w:line="240" w:lineRule="auto"/>
        <w:rPr>
          <w:rFonts w:cstheme="minorHAnsi"/>
          <w:sz w:val="10"/>
        </w:rPr>
      </w:pPr>
    </w:p>
    <w:p w:rsidR="00F40250" w:rsidRPr="00F40250" w:rsidRDefault="00F40250" w:rsidP="00F40250">
      <w:pPr>
        <w:rPr>
          <w:rFonts w:cstheme="minorHAnsi"/>
          <w:sz w:val="20"/>
        </w:rPr>
      </w:pPr>
      <w:r w:rsidRPr="003F41B4">
        <w:rPr>
          <w:rFonts w:cstheme="minorHAnsi"/>
          <w:sz w:val="20"/>
          <w:vertAlign w:val="superscript"/>
        </w:rPr>
        <w:sym w:font="Symbol" w:char="F02A"/>
      </w:r>
      <w:r w:rsidRPr="003F41B4">
        <w:rPr>
          <w:rFonts w:cstheme="minorHAnsi"/>
          <w:sz w:val="20"/>
        </w:rPr>
        <w:t xml:space="preserve"> Corresponding authors: Lidija Matija, </w:t>
      </w:r>
      <w:hyperlink r:id="rId5" w:history="1">
        <w:r w:rsidRPr="003F41B4">
          <w:rPr>
            <w:rStyle w:val="Hyperlink"/>
            <w:rFonts w:cstheme="minorHAnsi"/>
            <w:sz w:val="20"/>
          </w:rPr>
          <w:t>matijalidija@gmail.com</w:t>
        </w:r>
      </w:hyperlink>
      <w:r w:rsidRPr="003F41B4">
        <w:rPr>
          <w:rFonts w:cstheme="minorHAnsi"/>
          <w:sz w:val="20"/>
        </w:rPr>
        <w:t xml:space="preserve"> , </w:t>
      </w:r>
      <w:hyperlink r:id="rId6" w:history="1">
        <w:r w:rsidRPr="003F41B4">
          <w:rPr>
            <w:rStyle w:val="Hyperlink"/>
            <w:rFonts w:cstheme="minorHAnsi"/>
            <w:sz w:val="20"/>
          </w:rPr>
          <w:t>lm@mas.bg.ac.rs</w:t>
        </w:r>
      </w:hyperlink>
      <w:r w:rsidRPr="003F41B4">
        <w:rPr>
          <w:rFonts w:cstheme="minorHAnsi"/>
          <w:sz w:val="20"/>
        </w:rPr>
        <w:t xml:space="preserve">  phone +38162295236 (Viber and WhatsApp), Djuro Koruga, </w:t>
      </w:r>
      <w:hyperlink r:id="rId7" w:history="1">
        <w:r w:rsidRPr="003F41B4">
          <w:rPr>
            <w:rStyle w:val="Hyperlink"/>
            <w:rFonts w:cstheme="minorHAnsi"/>
            <w:sz w:val="20"/>
          </w:rPr>
          <w:t>djuro.koruga@gmail.com</w:t>
        </w:r>
      </w:hyperlink>
      <w:r w:rsidRPr="003F41B4">
        <w:rPr>
          <w:rFonts w:cstheme="minorHAnsi"/>
          <w:sz w:val="20"/>
        </w:rPr>
        <w:t xml:space="preserve">, </w:t>
      </w:r>
      <w:hyperlink r:id="rId8" w:history="1">
        <w:r w:rsidRPr="003F41B4">
          <w:rPr>
            <w:rStyle w:val="Hyperlink"/>
            <w:rFonts w:cstheme="minorHAnsi"/>
            <w:sz w:val="20"/>
          </w:rPr>
          <w:t>dk@mas.bg.ac.rs</w:t>
        </w:r>
      </w:hyperlink>
      <w:r w:rsidRPr="003F41B4">
        <w:rPr>
          <w:rStyle w:val="Hyperlink"/>
          <w:rFonts w:cstheme="minorHAnsi"/>
          <w:sz w:val="20"/>
        </w:rPr>
        <w:t xml:space="preserve"> , phone +38163287353 (Viber and WhatsApp)</w:t>
      </w:r>
    </w:p>
    <w:p w:rsidR="00F40250" w:rsidRPr="003F41B4" w:rsidRDefault="00F40250" w:rsidP="00F40250">
      <w:pPr>
        <w:rPr>
          <w:rFonts w:cstheme="minorHAnsi"/>
          <w:i/>
        </w:rPr>
      </w:pPr>
      <w:r w:rsidRPr="003F41B4">
        <w:rPr>
          <w:rFonts w:cstheme="minorHAnsi"/>
          <w:i/>
        </w:rPr>
        <w:t>Hydrogen bonds</w:t>
      </w:r>
    </w:p>
    <w:p w:rsidR="00F40250" w:rsidRPr="00F93C71" w:rsidRDefault="00F40250" w:rsidP="00F40250">
      <w:pPr>
        <w:pStyle w:val="ListParagraph"/>
        <w:numPr>
          <w:ilvl w:val="0"/>
          <w:numId w:val="1"/>
        </w:numPr>
        <w:jc w:val="both"/>
        <w:rPr>
          <w:rFonts w:cstheme="minorHAnsi"/>
        </w:rPr>
      </w:pPr>
      <w:r w:rsidRPr="003F41B4">
        <w:rPr>
          <w:rFonts w:cstheme="minorHAnsi"/>
        </w:rPr>
        <w:t>Let us observe the interaction between two isolated water molecules via non-covalent hydrogen bonds as displayed in Figure 1. The length of covalent hydrogen bond is 0.0984±0.0025 nm, and this will be declared in our model as unity („1“), a point of reference with respect to the noncovalent hydrogen bond. In other words, we shall observe a change of the</w:t>
      </w:r>
      <w:r>
        <w:rPr>
          <w:rFonts w:cstheme="minorHAnsi"/>
        </w:rPr>
        <w:t xml:space="preserve"> non-covalent hydrogen bond „x“</w:t>
      </w:r>
      <w:r w:rsidRPr="003F41B4">
        <w:rPr>
          <w:rFonts w:cstheme="minorHAnsi"/>
        </w:rPr>
        <w:t>(as the larger part of the sy</w:t>
      </w:r>
      <w:r>
        <w:rPr>
          <w:rFonts w:cstheme="minorHAnsi"/>
        </w:rPr>
        <w:t>stem „x+1“) with respect to „1“</w:t>
      </w:r>
      <w:r w:rsidRPr="003F41B4">
        <w:rPr>
          <w:rFonts w:cstheme="minorHAnsi"/>
        </w:rPr>
        <w:t>(as the smaller part in the system „x+1“). Since the water molecules spontaneously organize and deconstruct themselves, i.e., they have the property of self-organization (harmonization), based on a stable covalent hydrogen bond „1“, the ratio „x“ to „x+1“ should be as „1“ to „x“ (the larger part with respect to the whole is related as the smaller part to the larger part). Based on the regular ratio of parts to the whole and the ratio between parts, the proportion is obtained x : (x+1) = 1: x, giving x</w:t>
      </w:r>
      <w:r w:rsidRPr="003F41B4">
        <w:rPr>
          <w:rFonts w:cstheme="minorHAnsi"/>
          <w:vertAlign w:val="superscript"/>
        </w:rPr>
        <w:t>2</w:t>
      </w:r>
      <w:r w:rsidRPr="003F41B4">
        <w:rPr>
          <w:rFonts w:cstheme="minorHAnsi"/>
        </w:rPr>
        <w:t xml:space="preserve"> = x + 1, namely x</w:t>
      </w:r>
      <w:r w:rsidRPr="003F41B4">
        <w:rPr>
          <w:rFonts w:cstheme="minorHAnsi"/>
          <w:vertAlign w:val="superscript"/>
        </w:rPr>
        <w:t>2</w:t>
      </w:r>
      <w:r w:rsidRPr="003F41B4">
        <w:rPr>
          <w:rFonts w:cstheme="minorHAnsi"/>
        </w:rPr>
        <w:t xml:space="preserve"> - x -1 = 0. Solutions of this quadratic equation are x</w:t>
      </w:r>
      <w:r w:rsidRPr="003F41B4">
        <w:rPr>
          <w:rFonts w:cstheme="minorHAnsi"/>
          <w:vertAlign w:val="subscript"/>
        </w:rPr>
        <w:t>1</w:t>
      </w:r>
      <w:r w:rsidRPr="003F41B4">
        <w:rPr>
          <w:rFonts w:cstheme="minorHAnsi"/>
        </w:rPr>
        <w:t xml:space="preserve"> = 1.61803, which is Φ, and x</w:t>
      </w:r>
      <w:r w:rsidRPr="003F41B4">
        <w:rPr>
          <w:rFonts w:cstheme="minorHAnsi"/>
          <w:vertAlign w:val="subscript"/>
        </w:rPr>
        <w:t>2</w:t>
      </w:r>
      <w:r w:rsidRPr="003F41B4">
        <w:rPr>
          <w:rFonts w:cstheme="minorHAnsi"/>
        </w:rPr>
        <w:t>= -0.61803, which is -φ. Therefore, we observe that, for two molecules to organize themselves spontaneously into a dimer, the non-covalent hydrogen bond should be 1.61803±0.025 greater than the covalent hydrogen bond. Thus, the oscillation process occurs within limits 1.59303 and 1.64303 of the value of the covalent hydrogen bond. This is in agreement w</w:t>
      </w:r>
      <w:r>
        <w:rPr>
          <w:rFonts w:cstheme="minorHAnsi"/>
        </w:rPr>
        <w:t xml:space="preserve">ith neutron experimental data </w:t>
      </w:r>
      <w:r>
        <w:rPr>
          <w:rFonts w:cstheme="minorHAnsi"/>
        </w:rPr>
        <w:sym w:font="Symbol" w:char="F05B"/>
      </w:r>
      <w:r w:rsidRPr="003F41B4">
        <w:rPr>
          <w:rFonts w:cstheme="minorHAnsi"/>
        </w:rPr>
        <w:t>(Jeffrey, G.A. and Saenger,W., Hydrogen Bonding in biological Structures</w:t>
      </w:r>
      <w:r>
        <w:rPr>
          <w:rFonts w:cstheme="minorHAnsi"/>
        </w:rPr>
        <w:t xml:space="preserve">, Springer-Verlag, Berlin, 1991 and </w:t>
      </w:r>
      <w:r w:rsidRPr="003F41B4">
        <w:rPr>
          <w:rFonts w:cstheme="minorHAnsi"/>
        </w:rPr>
        <w:t xml:space="preserve">Heyrovska, R., Dependence of the length of the hydrogen bond on the covalent and cationic radii of hydrogen, and additivity of bonding distances. Chemical Physics </w:t>
      </w:r>
      <w:r>
        <w:rPr>
          <w:rFonts w:cstheme="minorHAnsi"/>
        </w:rPr>
        <w:t>Letters, 432: pp. 348-351, 2006</w:t>
      </w:r>
      <w:r w:rsidRPr="00F93C71">
        <w:rPr>
          <w:rFonts w:cstheme="minorHAnsi"/>
        </w:rPr>
        <w:t>)</w:t>
      </w:r>
      <w:r>
        <w:sym w:font="Symbol" w:char="F05D"/>
      </w:r>
      <w:r w:rsidRPr="00F93C71">
        <w:rPr>
          <w:rFonts w:cstheme="minorHAnsi"/>
        </w:rPr>
        <w:t>.</w:t>
      </w:r>
    </w:p>
    <w:p w:rsidR="00F40250" w:rsidRPr="003F41B4" w:rsidRDefault="00F40250" w:rsidP="00F40250">
      <w:pPr>
        <w:rPr>
          <w:rFonts w:cstheme="minorHAnsi"/>
          <w:sz w:val="24"/>
        </w:rPr>
      </w:pPr>
    </w:p>
    <w:p w:rsidR="00F40250" w:rsidRPr="003F41B4" w:rsidRDefault="00F40250" w:rsidP="00F40250">
      <w:pPr>
        <w:jc w:val="center"/>
        <w:rPr>
          <w:rFonts w:cstheme="minorHAnsi"/>
          <w:b/>
          <w:sz w:val="24"/>
        </w:rPr>
      </w:pPr>
      <w:r w:rsidRPr="003F41B4">
        <w:rPr>
          <w:rFonts w:cstheme="minorHAnsi"/>
          <w:noProof/>
        </w:rPr>
        <w:lastRenderedPageBreak/>
        <w:drawing>
          <wp:inline distT="0" distB="0" distL="0" distR="0" wp14:anchorId="13DD993E" wp14:editId="374C88F6">
            <wp:extent cx="3091543" cy="237752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24101" cy="2402564"/>
                    </a:xfrm>
                    <a:prstGeom prst="rect">
                      <a:avLst/>
                    </a:prstGeom>
                  </pic:spPr>
                </pic:pic>
              </a:graphicData>
            </a:graphic>
          </wp:inline>
        </w:drawing>
      </w:r>
    </w:p>
    <w:p w:rsidR="00F40250" w:rsidRPr="003F41B4" w:rsidRDefault="00F40250" w:rsidP="00F40250">
      <w:pPr>
        <w:jc w:val="both"/>
        <w:rPr>
          <w:rFonts w:cstheme="minorHAnsi"/>
          <w:b/>
          <w:sz w:val="20"/>
          <w:szCs w:val="20"/>
        </w:rPr>
      </w:pPr>
      <w:r w:rsidRPr="003F41B4">
        <w:rPr>
          <w:rFonts w:cstheme="minorHAnsi"/>
          <w:sz w:val="20"/>
          <w:szCs w:val="20"/>
        </w:rPr>
        <w:t>Supplement Figure 1</w:t>
      </w:r>
      <w:r w:rsidRPr="003F41B4">
        <w:rPr>
          <w:rFonts w:cstheme="minorHAnsi"/>
          <w:b/>
          <w:sz w:val="20"/>
          <w:szCs w:val="20"/>
        </w:rPr>
        <w:t>:</w:t>
      </w:r>
      <w:r w:rsidRPr="003F41B4">
        <w:rPr>
          <w:rFonts w:cstheme="minorHAnsi"/>
          <w:sz w:val="20"/>
          <w:szCs w:val="20"/>
        </w:rPr>
        <w:t xml:space="preserve"> </w:t>
      </w:r>
      <w:r w:rsidRPr="003F41B4">
        <w:rPr>
          <w:rFonts w:cstheme="minorHAnsi"/>
          <w:b/>
          <w:sz w:val="20"/>
          <w:szCs w:val="20"/>
        </w:rPr>
        <w:t>The interaction between two isolated water molecules via non-covalent hydrogen bonds,</w:t>
      </w:r>
      <w:r>
        <w:rPr>
          <w:rFonts w:cstheme="minorHAnsi"/>
          <w:sz w:val="20"/>
          <w:szCs w:val="20"/>
        </w:rPr>
        <w:t xml:space="preserve"> where „1“ </w:t>
      </w:r>
      <w:r w:rsidRPr="003F41B4">
        <w:rPr>
          <w:rFonts w:cstheme="minorHAnsi"/>
          <w:sz w:val="20"/>
          <w:szCs w:val="20"/>
        </w:rPr>
        <w:t>denotes the value of the covalent hydrogen bond (reference size), „</w:t>
      </w:r>
      <w:r w:rsidRPr="003F41B4">
        <w:rPr>
          <w:rFonts w:cstheme="minorHAnsi"/>
          <w:i/>
          <w:sz w:val="20"/>
          <w:szCs w:val="20"/>
        </w:rPr>
        <w:t>x</w:t>
      </w:r>
      <w:r w:rsidRPr="003F41B4">
        <w:rPr>
          <w:rFonts w:cstheme="minorHAnsi"/>
          <w:sz w:val="20"/>
          <w:szCs w:val="20"/>
        </w:rPr>
        <w:t>“ is the variable distance between hydrogen atoms of one molecule and the oxygen atom of the other water</w:t>
      </w:r>
      <w:r>
        <w:rPr>
          <w:rFonts w:cstheme="minorHAnsi"/>
          <w:sz w:val="20"/>
          <w:szCs w:val="20"/>
        </w:rPr>
        <w:t xml:space="preserve"> molecule. The expression „x+1“</w:t>
      </w:r>
      <w:r w:rsidRPr="003F41B4">
        <w:rPr>
          <w:rFonts w:cstheme="minorHAnsi"/>
          <w:sz w:val="20"/>
          <w:szCs w:val="20"/>
        </w:rPr>
        <w:t>represents the distance between centers of oxygen of two water molecule.</w:t>
      </w:r>
    </w:p>
    <w:p w:rsidR="00F40250" w:rsidRPr="003F41B4" w:rsidRDefault="00F40250" w:rsidP="00F40250">
      <w:pPr>
        <w:ind w:firstLine="720"/>
        <w:jc w:val="both"/>
        <w:rPr>
          <w:rFonts w:cstheme="minorHAnsi"/>
        </w:rPr>
      </w:pPr>
      <w:r w:rsidRPr="003F41B4">
        <w:rPr>
          <w:rFonts w:cstheme="minorHAnsi"/>
        </w:rPr>
        <w:t>However, when we observe the organization of water molecules into a chain, as shown in Figure 2, then the notation for a water molecule is 1, for two molecules 1+1/1, for three molecules 1+ 1/(1+1), etc. We observe the system is getting more complex, and the displayed simplified organization of water molecules is only a possible variant. When we calculate the fractions from Figure 5.29, we obtain values 1, 2, 3/2, 5/3, 8/5 and 13/8. Thus, if we observe the water dimer, in case when two water molecules are at 13/8 Hyperpolarized Light the double value of the covalent hydrogen bond, they engage in a hydrogen noncovalent bond. It is known that the convergence point of this sequence is Φ (1.61803….)</w:t>
      </w:r>
    </w:p>
    <w:p w:rsidR="00F40250" w:rsidRPr="003F41B4" w:rsidRDefault="00F40250" w:rsidP="00F40250">
      <w:pPr>
        <w:ind w:firstLine="720"/>
        <w:jc w:val="both"/>
        <w:rPr>
          <w:rFonts w:cstheme="minorHAnsi"/>
        </w:rPr>
      </w:pPr>
      <w:r w:rsidRPr="003F41B4">
        <w:rPr>
          <w:rFonts w:cstheme="minorHAnsi"/>
        </w:rPr>
        <w:t>A diagram representing values of water molecules organization into chains is displayed in Suppl.</w:t>
      </w:r>
      <w:r>
        <w:rPr>
          <w:rFonts w:cstheme="minorHAnsi"/>
        </w:rPr>
        <w:t xml:space="preserve"> </w:t>
      </w:r>
      <w:r w:rsidRPr="003F41B4">
        <w:rPr>
          <w:rFonts w:cstheme="minorHAnsi"/>
        </w:rPr>
        <w:t xml:space="preserve">Figure 2, indicating that the establishing noncovalent hydrogen bond is the longest in a water dimer, equal to two lengths of the covalent hydrogen bond. When the bond is established and stabilized, the non-covalent hydrogen bond oscillates between values 1.615 and 1.625 and converged to Φ =1.61803….  </w:t>
      </w:r>
    </w:p>
    <w:p w:rsidR="00F40250" w:rsidRPr="003F41B4" w:rsidRDefault="00F40250" w:rsidP="00F40250">
      <w:pPr>
        <w:jc w:val="center"/>
        <w:rPr>
          <w:rFonts w:cstheme="minorHAnsi"/>
          <w:noProof/>
        </w:rPr>
      </w:pPr>
      <w:r w:rsidRPr="003F41B4">
        <w:rPr>
          <w:rFonts w:cstheme="minorHAnsi"/>
          <w:noProof/>
        </w:rPr>
        <w:lastRenderedPageBreak/>
        <w:drawing>
          <wp:inline distT="0" distB="0" distL="0" distR="0" wp14:anchorId="0E2F0A01" wp14:editId="3D9F8A87">
            <wp:extent cx="3637128" cy="4564380"/>
            <wp:effectExtent l="0" t="0" r="1905"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tretch>
                      <a:fillRect/>
                    </a:stretch>
                  </pic:blipFill>
                  <pic:spPr>
                    <a:xfrm>
                      <a:off x="0" y="0"/>
                      <a:ext cx="3667541" cy="4602547"/>
                    </a:xfrm>
                    <a:prstGeom prst="rect">
                      <a:avLst/>
                    </a:prstGeom>
                  </pic:spPr>
                </pic:pic>
              </a:graphicData>
            </a:graphic>
          </wp:inline>
        </w:drawing>
      </w:r>
      <w:r w:rsidRPr="003F41B4">
        <w:rPr>
          <w:rFonts w:cstheme="minorHAnsi"/>
          <w:noProof/>
        </w:rPr>
        <w:t xml:space="preserve">     </w:t>
      </w:r>
    </w:p>
    <w:p w:rsidR="00F40250" w:rsidRPr="003F41B4" w:rsidRDefault="00F40250" w:rsidP="00F40250">
      <w:pPr>
        <w:jc w:val="both"/>
        <w:rPr>
          <w:rFonts w:cstheme="minorHAnsi"/>
          <w:sz w:val="20"/>
          <w:szCs w:val="20"/>
        </w:rPr>
      </w:pPr>
      <w:r w:rsidRPr="003F41B4">
        <w:rPr>
          <w:rFonts w:cstheme="minorHAnsi"/>
          <w:sz w:val="20"/>
          <w:szCs w:val="20"/>
        </w:rPr>
        <w:t xml:space="preserve"> Supplement Figure 2: </w:t>
      </w:r>
      <w:r w:rsidRPr="003F41B4">
        <w:rPr>
          <w:rFonts w:cstheme="minorHAnsi"/>
          <w:b/>
          <w:sz w:val="20"/>
          <w:szCs w:val="20"/>
        </w:rPr>
        <w:t>The Fibonacci fractions values for chains of water molecules</w:t>
      </w:r>
      <w:r w:rsidRPr="003F41B4">
        <w:rPr>
          <w:rFonts w:cstheme="minorHAnsi"/>
          <w:sz w:val="20"/>
          <w:szCs w:val="20"/>
        </w:rPr>
        <w:t xml:space="preserve"> are: 1,2,3/2, 5/3 ,8/5 and 13/8, respectively. These values are set of Fibonacci sequence of </w:t>
      </w:r>
      <w:r w:rsidRPr="003F41B4">
        <w:rPr>
          <w:rFonts w:cstheme="minorHAnsi"/>
          <w:sz w:val="20"/>
          <w:szCs w:val="20"/>
        </w:rPr>
        <w:sym w:font="Symbol" w:char="F046"/>
      </w:r>
      <w:r w:rsidRPr="003F41B4">
        <w:rPr>
          <w:rFonts w:cstheme="minorHAnsi"/>
          <w:sz w:val="20"/>
          <w:szCs w:val="20"/>
        </w:rPr>
        <w:t>.   The question is what is the chain length of stable water molecules? The system of Fibonacci determinants provides the answer. The number of molecules where the determinant of non-covalent hydrogen bonds is equal to zero gives a stable chain.</w:t>
      </w:r>
      <w:r>
        <w:rPr>
          <w:rFonts w:cstheme="minorHAnsi"/>
          <w:sz w:val="20"/>
          <w:szCs w:val="20"/>
        </w:rPr>
        <w:t xml:space="preserve"> </w:t>
      </w:r>
      <w:r w:rsidRPr="003F41B4">
        <w:rPr>
          <w:rFonts w:cstheme="minorHAnsi"/>
          <w:sz w:val="20"/>
          <w:szCs w:val="20"/>
        </w:rPr>
        <w:t xml:space="preserve">(Suppl. Figure 6). A chain of 3, 4, 5...8 water molecules would not be stable, it would be created and destroyed within a few </w:t>
      </w:r>
      <w:r w:rsidRPr="003F41B4">
        <w:rPr>
          <w:rFonts w:cstheme="minorHAnsi"/>
          <w:i/>
          <w:sz w:val="20"/>
          <w:szCs w:val="20"/>
        </w:rPr>
        <w:t>ps</w:t>
      </w:r>
      <w:r w:rsidRPr="003F41B4">
        <w:rPr>
          <w:rFonts w:cstheme="minorHAnsi"/>
          <w:sz w:val="20"/>
          <w:szCs w:val="20"/>
        </w:rPr>
        <w:t>. However, for a chain of nine water molecules (not beginning with a monomer or dimer water molecule, but with a trimer) the determinant of such a system is equal zero and chain is stable. Same case is with Fibonacci chain of 16 water</w:t>
      </w:r>
      <w:r>
        <w:rPr>
          <w:rFonts w:cstheme="minorHAnsi"/>
          <w:sz w:val="20"/>
          <w:szCs w:val="20"/>
        </w:rPr>
        <w:t xml:space="preserve"> </w:t>
      </w:r>
      <w:r w:rsidRPr="003F41B4">
        <w:rPr>
          <w:rFonts w:cstheme="minorHAnsi"/>
          <w:sz w:val="20"/>
          <w:szCs w:val="20"/>
        </w:rPr>
        <w:t>molecules (Suppl. Figure 6).</w:t>
      </w:r>
    </w:p>
    <w:p w:rsidR="00F40250" w:rsidRPr="003F41B4" w:rsidRDefault="00F40250" w:rsidP="00F40250">
      <w:pPr>
        <w:jc w:val="both"/>
        <w:rPr>
          <w:rFonts w:cstheme="minorHAnsi"/>
          <w:sz w:val="20"/>
          <w:szCs w:val="20"/>
        </w:rPr>
      </w:pPr>
    </w:p>
    <w:p w:rsidR="00F40250" w:rsidRPr="003F41B4" w:rsidRDefault="00F40250" w:rsidP="00F40250">
      <w:pPr>
        <w:pStyle w:val="ListParagraph"/>
        <w:ind w:left="0"/>
        <w:jc w:val="both"/>
        <w:rPr>
          <w:rFonts w:cstheme="minorHAnsi"/>
          <w:sz w:val="20"/>
          <w:szCs w:val="20"/>
        </w:rPr>
      </w:pPr>
      <w:r w:rsidRPr="003F41B4">
        <w:rPr>
          <w:rFonts w:cstheme="minorHAnsi"/>
          <w:sz w:val="20"/>
          <w:szCs w:val="20"/>
        </w:rPr>
        <w:t>Supplement Table 1</w:t>
      </w:r>
      <w:r w:rsidRPr="003F41B4">
        <w:rPr>
          <w:rFonts w:cstheme="minorHAnsi"/>
          <w:b/>
          <w:sz w:val="20"/>
          <w:szCs w:val="20"/>
        </w:rPr>
        <w:t>: Icosahedral symmetry group that determines the energy states (T</w:t>
      </w:r>
      <w:r w:rsidRPr="003F41B4">
        <w:rPr>
          <w:rFonts w:cstheme="minorHAnsi"/>
          <w:b/>
          <w:sz w:val="20"/>
          <w:szCs w:val="20"/>
          <w:vertAlign w:val="subscript"/>
        </w:rPr>
        <w:t>1g</w:t>
      </w:r>
      <w:r w:rsidRPr="003F41B4">
        <w:rPr>
          <w:rFonts w:cstheme="minorHAnsi"/>
          <w:b/>
          <w:sz w:val="20"/>
          <w:szCs w:val="20"/>
        </w:rPr>
        <w:t>, T</w:t>
      </w:r>
      <w:r w:rsidRPr="003F41B4">
        <w:rPr>
          <w:rFonts w:cstheme="minorHAnsi"/>
          <w:b/>
          <w:sz w:val="20"/>
          <w:szCs w:val="20"/>
          <w:vertAlign w:val="subscript"/>
        </w:rPr>
        <w:t>2g</w:t>
      </w:r>
      <w:r w:rsidRPr="003F41B4">
        <w:rPr>
          <w:rFonts w:cstheme="minorHAnsi"/>
          <w:b/>
          <w:sz w:val="20"/>
          <w:szCs w:val="20"/>
        </w:rPr>
        <w:t>, T</w:t>
      </w:r>
      <w:r w:rsidRPr="003F41B4">
        <w:rPr>
          <w:rFonts w:cstheme="minorHAnsi"/>
          <w:b/>
          <w:sz w:val="20"/>
          <w:szCs w:val="20"/>
          <w:vertAlign w:val="subscript"/>
        </w:rPr>
        <w:t>1u</w:t>
      </w:r>
      <w:r w:rsidRPr="003F41B4">
        <w:rPr>
          <w:rFonts w:cstheme="minorHAnsi"/>
          <w:b/>
          <w:sz w:val="20"/>
          <w:szCs w:val="20"/>
        </w:rPr>
        <w:t xml:space="preserve"> and T</w:t>
      </w:r>
      <w:r w:rsidRPr="003F41B4">
        <w:rPr>
          <w:rFonts w:cstheme="minorHAnsi"/>
          <w:b/>
          <w:sz w:val="20"/>
          <w:szCs w:val="20"/>
          <w:vertAlign w:val="subscript"/>
        </w:rPr>
        <w:t>2u</w:t>
      </w:r>
      <w:r w:rsidRPr="003F41B4">
        <w:rPr>
          <w:rFonts w:cstheme="minorHAnsi"/>
          <w:b/>
          <w:sz w:val="20"/>
          <w:szCs w:val="20"/>
        </w:rPr>
        <w:t>) of structures and processes.</w:t>
      </w:r>
      <w:r w:rsidRPr="003F41B4">
        <w:rPr>
          <w:rFonts w:cstheme="minorHAnsi"/>
          <w:sz w:val="20"/>
          <w:szCs w:val="20"/>
        </w:rPr>
        <w:t xml:space="preserve"> Fibonacci numbers </w:t>
      </w:r>
      <w:r w:rsidRPr="003F41B4">
        <w:rPr>
          <w:rFonts w:cstheme="minorHAnsi"/>
          <w:sz w:val="20"/>
          <w:szCs w:val="20"/>
        </w:rPr>
        <w:sym w:font="Symbol" w:char="F046"/>
      </w:r>
      <w:r w:rsidRPr="003F41B4">
        <w:rPr>
          <w:rFonts w:cstheme="minorHAnsi"/>
          <w:sz w:val="20"/>
          <w:szCs w:val="20"/>
        </w:rPr>
        <w:t>, -</w:t>
      </w:r>
      <w:r w:rsidRPr="003F41B4">
        <w:rPr>
          <w:rFonts w:cstheme="minorHAnsi"/>
          <w:sz w:val="20"/>
          <w:szCs w:val="20"/>
        </w:rPr>
        <w:sym w:font="Symbol" w:char="F046"/>
      </w:r>
      <w:r w:rsidRPr="003F41B4">
        <w:rPr>
          <w:rFonts w:cstheme="minorHAnsi"/>
          <w:sz w:val="20"/>
          <w:szCs w:val="20"/>
        </w:rPr>
        <w:t xml:space="preserve">, </w:t>
      </w:r>
      <w:r w:rsidRPr="003F41B4">
        <w:rPr>
          <w:rFonts w:cstheme="minorHAnsi"/>
          <w:sz w:val="20"/>
          <w:szCs w:val="20"/>
        </w:rPr>
        <w:sym w:font="Symbol" w:char="F066"/>
      </w:r>
      <w:r w:rsidRPr="003F41B4">
        <w:rPr>
          <w:rFonts w:cstheme="minorHAnsi"/>
          <w:sz w:val="20"/>
          <w:szCs w:val="20"/>
        </w:rPr>
        <w:t>, -</w:t>
      </w:r>
      <w:r w:rsidRPr="003F41B4">
        <w:rPr>
          <w:rFonts w:cstheme="minorHAnsi"/>
          <w:sz w:val="20"/>
          <w:szCs w:val="20"/>
        </w:rPr>
        <w:sym w:font="Symbol" w:char="F066"/>
      </w:r>
      <w:r w:rsidRPr="003F41B4">
        <w:rPr>
          <w:rFonts w:cstheme="minorHAnsi"/>
          <w:sz w:val="20"/>
          <w:szCs w:val="20"/>
        </w:rPr>
        <w:t xml:space="preserve"> are subset of icosahedral symmetry group ( </w:t>
      </w:r>
      <w:r w:rsidRPr="003F41B4">
        <w:rPr>
          <w:rFonts w:cstheme="minorHAnsi"/>
          <w:sz w:val="20"/>
          <w:szCs w:val="20"/>
        </w:rPr>
        <w:sym w:font="Symbol" w:char="F0B1"/>
      </w:r>
      <w:r w:rsidRPr="003F41B4">
        <w:rPr>
          <w:rFonts w:cstheme="minorHAnsi"/>
          <w:sz w:val="20"/>
          <w:szCs w:val="20"/>
        </w:rPr>
        <w:t xml:space="preserve"> ½(1+</w:t>
      </w:r>
      <m:oMath>
        <m:rad>
          <m:radPr>
            <m:degHide m:val="1"/>
            <m:ctrlPr>
              <w:rPr>
                <w:rFonts w:ascii="Cambria Math" w:hAnsi="Cambria Math" w:cstheme="minorHAnsi"/>
                <w:i/>
                <w:sz w:val="20"/>
                <w:szCs w:val="20"/>
              </w:rPr>
            </m:ctrlPr>
          </m:radPr>
          <m:deg/>
          <m:e>
            <m:r>
              <w:rPr>
                <w:rFonts w:ascii="Cambria Math" w:hAnsi="Cambria Math" w:cstheme="minorHAnsi"/>
                <w:sz w:val="20"/>
                <w:szCs w:val="20"/>
              </w:rPr>
              <m:t>5</m:t>
            </m:r>
          </m:e>
        </m:rad>
        <m:r>
          <w:rPr>
            <w:rFonts w:ascii="Cambria Math" w:hAnsi="Cambria Math" w:cstheme="minorHAnsi"/>
            <w:sz w:val="20"/>
            <w:szCs w:val="20"/>
          </w:rPr>
          <m:t xml:space="preserve">   </m:t>
        </m:r>
      </m:oMath>
      <w:r w:rsidRPr="003F41B4">
        <w:rPr>
          <w:rFonts w:cstheme="minorHAnsi"/>
          <w:sz w:val="20"/>
          <w:szCs w:val="20"/>
        </w:rPr>
        <w:t xml:space="preserve">and </w:t>
      </w:r>
      <w:r w:rsidRPr="003F41B4">
        <w:rPr>
          <w:rFonts w:cstheme="minorHAnsi"/>
          <w:sz w:val="20"/>
          <w:szCs w:val="20"/>
        </w:rPr>
        <w:sym w:font="Symbol" w:char="F0B1"/>
      </w:r>
      <w:r w:rsidRPr="003F41B4">
        <w:rPr>
          <w:rFonts w:cstheme="minorHAnsi"/>
          <w:sz w:val="20"/>
          <w:szCs w:val="20"/>
        </w:rPr>
        <w:t xml:space="preserve"> ½(1-</w:t>
      </w:r>
      <m:oMath>
        <m:rad>
          <m:radPr>
            <m:degHide m:val="1"/>
            <m:ctrlPr>
              <w:rPr>
                <w:rFonts w:ascii="Cambria Math" w:hAnsi="Cambria Math" w:cstheme="minorHAnsi"/>
                <w:i/>
                <w:sz w:val="20"/>
                <w:szCs w:val="20"/>
              </w:rPr>
            </m:ctrlPr>
          </m:radPr>
          <m:deg/>
          <m:e>
            <m:r>
              <w:rPr>
                <w:rFonts w:ascii="Cambria Math" w:hAnsi="Cambria Math" w:cstheme="minorHAnsi"/>
                <w:sz w:val="20"/>
                <w:szCs w:val="20"/>
              </w:rPr>
              <m:t>5</m:t>
            </m:r>
          </m:e>
        </m:rad>
      </m:oMath>
      <w:r w:rsidRPr="003F41B4">
        <w:rPr>
          <w:rFonts w:cstheme="minorHAnsi"/>
          <w:sz w:val="20"/>
          <w:szCs w:val="20"/>
        </w:rPr>
        <w:t>)) (Adapt from Kettle, S.F.A., Symmetry and structure, John Willey and Sons, Chichester, 1995).</w:t>
      </w:r>
    </w:p>
    <w:p w:rsidR="00F40250" w:rsidRPr="003F41B4" w:rsidRDefault="00F40250" w:rsidP="00F40250">
      <w:pPr>
        <w:rPr>
          <w:rFonts w:cstheme="minorHAnsi"/>
        </w:rPr>
      </w:pPr>
      <w:r w:rsidRPr="003F41B4">
        <w:rPr>
          <w:rFonts w:cstheme="minorHAnsi"/>
          <w:noProof/>
          <w:sz w:val="20"/>
        </w:rPr>
        <w:drawing>
          <wp:anchor distT="0" distB="0" distL="114300" distR="114300" simplePos="0" relativeHeight="251660288" behindDoc="0" locked="0" layoutInCell="1" allowOverlap="1" wp14:anchorId="2C921F6E" wp14:editId="7CCC9640">
            <wp:simplePos x="0" y="0"/>
            <wp:positionH relativeFrom="margin">
              <wp:align>left</wp:align>
            </wp:positionH>
            <wp:positionV relativeFrom="paragraph">
              <wp:posOffset>80645</wp:posOffset>
            </wp:positionV>
            <wp:extent cx="5339443" cy="2368284"/>
            <wp:effectExtent l="0" t="0" r="0" b="0"/>
            <wp:wrapNone/>
            <wp:docPr id="4" name="Picture 4" descr="Ikosahdralna ta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8" name="Picture 43018" descr="Ikosahdralna tabli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9443" cy="23682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0250" w:rsidRPr="003F41B4" w:rsidRDefault="00F40250" w:rsidP="00F40250">
      <w:pPr>
        <w:rPr>
          <w:rFonts w:cstheme="minorHAnsi"/>
        </w:rPr>
      </w:pPr>
    </w:p>
    <w:p w:rsidR="00F40250" w:rsidRPr="003F41B4" w:rsidRDefault="00F40250" w:rsidP="00F40250">
      <w:pPr>
        <w:rPr>
          <w:rFonts w:cstheme="minorHAnsi"/>
        </w:rPr>
      </w:pPr>
    </w:p>
    <w:p w:rsidR="00F40250" w:rsidRPr="003F41B4" w:rsidRDefault="00F40250" w:rsidP="00F40250">
      <w:pPr>
        <w:jc w:val="center"/>
        <w:rPr>
          <w:rFonts w:cstheme="minorHAnsi"/>
        </w:rPr>
      </w:pPr>
      <w:r w:rsidRPr="003F41B4">
        <w:rPr>
          <w:rFonts w:cstheme="minorHAnsi"/>
          <w:noProof/>
        </w:rPr>
        <w:lastRenderedPageBreak/>
        <w:drawing>
          <wp:inline distT="0" distB="0" distL="0" distR="0" wp14:anchorId="4FAD068A" wp14:editId="3BE0CE8D">
            <wp:extent cx="4071257" cy="2727657"/>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4561" cy="2736570"/>
                    </a:xfrm>
                    <a:prstGeom prst="rect">
                      <a:avLst/>
                    </a:prstGeom>
                    <a:noFill/>
                  </pic:spPr>
                </pic:pic>
              </a:graphicData>
            </a:graphic>
          </wp:inline>
        </w:drawing>
      </w:r>
    </w:p>
    <w:p w:rsidR="00F40250" w:rsidRPr="00A6471B" w:rsidRDefault="00F40250" w:rsidP="00F40250">
      <w:pPr>
        <w:rPr>
          <w:rFonts w:cstheme="minorHAnsi"/>
          <w:sz w:val="20"/>
          <w:szCs w:val="20"/>
        </w:rPr>
      </w:pPr>
      <w:r w:rsidRPr="00A6471B">
        <w:rPr>
          <w:rFonts w:cstheme="minorHAnsi"/>
          <w:sz w:val="20"/>
          <w:szCs w:val="20"/>
        </w:rPr>
        <w:t xml:space="preserve">Supplement Figure 3: </w:t>
      </w:r>
      <w:r w:rsidRPr="00A6471B">
        <w:rPr>
          <w:rFonts w:cstheme="minorHAnsi"/>
          <w:b/>
          <w:sz w:val="20"/>
          <w:szCs w:val="20"/>
        </w:rPr>
        <w:t>Plot of covalent (O-H) hydrogen bonds and non-covalent (O…H) hydrogen bonds based on neutron diffraction data</w:t>
      </w:r>
      <w:r w:rsidRPr="00A6471B">
        <w:rPr>
          <w:rFonts w:cstheme="minorHAnsi"/>
          <w:sz w:val="20"/>
          <w:szCs w:val="20"/>
        </w:rPr>
        <w:t xml:space="preserve"> (Jeffrey, G.A. and Saenger,W., Hydrogen Bonding in biological Structures, Springer-Verlag, Berlin, 1991.)</w:t>
      </w:r>
      <w:r w:rsidRPr="00A6471B">
        <w:rPr>
          <w:rFonts w:cstheme="minorHAnsi"/>
          <w:noProof/>
          <w:sz w:val="20"/>
          <w:szCs w:val="20"/>
        </w:rPr>
        <w:t xml:space="preserve">                             </w:t>
      </w:r>
    </w:p>
    <w:p w:rsidR="00F40250" w:rsidRPr="003F41B4" w:rsidRDefault="00F40250" w:rsidP="00F40250">
      <w:pPr>
        <w:rPr>
          <w:rFonts w:cstheme="minorHAnsi"/>
        </w:rPr>
      </w:pPr>
      <w:r w:rsidRPr="003F41B4">
        <w:rPr>
          <w:rFonts w:cstheme="minorHAnsi"/>
          <w:noProof/>
        </w:rPr>
        <w:t xml:space="preserve">                 </w:t>
      </w:r>
      <w:r w:rsidRPr="003F41B4">
        <w:rPr>
          <w:rFonts w:cstheme="minorHAnsi"/>
          <w:b/>
          <w:noProof/>
        </w:rPr>
        <mc:AlternateContent>
          <mc:Choice Requires="wps">
            <w:drawing>
              <wp:anchor distT="0" distB="0" distL="114300" distR="114300" simplePos="0" relativeHeight="251659264" behindDoc="0" locked="0" layoutInCell="1" allowOverlap="1" wp14:anchorId="3A60B8B6" wp14:editId="2B9AEE84">
                <wp:simplePos x="0" y="0"/>
                <wp:positionH relativeFrom="column">
                  <wp:posOffset>1568788</wp:posOffset>
                </wp:positionH>
                <wp:positionV relativeFrom="paragraph">
                  <wp:posOffset>1406158</wp:posOffset>
                </wp:positionV>
                <wp:extent cx="1708660" cy="0"/>
                <wp:effectExtent l="0" t="0" r="25400" b="19050"/>
                <wp:wrapNone/>
                <wp:docPr id="2" name="Straight Connector 2"/>
                <wp:cNvGraphicFramePr/>
                <a:graphic xmlns:a="http://schemas.openxmlformats.org/drawingml/2006/main">
                  <a:graphicData uri="http://schemas.microsoft.com/office/word/2010/wordprocessingShape">
                    <wps:wsp>
                      <wps:cNvCnPr/>
                      <wps:spPr>
                        <a:xfrm>
                          <a:off x="0" y="0"/>
                          <a:ext cx="170866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B94D531"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3.55pt,110.7pt" to="258.1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" strokecolor="#4472c4" strokeweight=".5pt">
                <v:stroke joinstyle="miter"/>
              </v:line>
            </w:pict>
          </mc:Fallback>
        </mc:AlternateContent>
      </w:r>
    </w:p>
    <w:p w:rsidR="00F40250" w:rsidRPr="003F41B4" w:rsidRDefault="00F40250" w:rsidP="00F40250">
      <w:pPr>
        <w:jc w:val="center"/>
        <w:rPr>
          <w:rFonts w:cstheme="minorHAnsi"/>
          <w:b/>
        </w:rPr>
      </w:pPr>
      <w:r w:rsidRPr="003F41B4">
        <w:rPr>
          <w:rFonts w:cstheme="minorHAnsi"/>
          <w:b/>
          <w:noProof/>
        </w:rPr>
        <w:drawing>
          <wp:inline distT="0" distB="0" distL="0" distR="0" wp14:anchorId="71BD13F8" wp14:editId="7DB3FF03">
            <wp:extent cx="6267225" cy="3526972"/>
            <wp:effectExtent l="0" t="0" r="0" b="0"/>
            <wp:docPr id="6" name="Picture 6" descr="C:\Users\Student\Downloads\WaterMolecu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Downloads\WaterMolecul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1238" cy="3546113"/>
                    </a:xfrm>
                    <a:prstGeom prst="rect">
                      <a:avLst/>
                    </a:prstGeom>
                    <a:noFill/>
                    <a:ln>
                      <a:noFill/>
                    </a:ln>
                  </pic:spPr>
                </pic:pic>
              </a:graphicData>
            </a:graphic>
          </wp:inline>
        </w:drawing>
      </w:r>
    </w:p>
    <w:p w:rsidR="00F40250" w:rsidRPr="00A6471B" w:rsidRDefault="00F40250" w:rsidP="00F40250">
      <w:pPr>
        <w:jc w:val="both"/>
        <w:rPr>
          <w:rFonts w:cstheme="minorHAnsi"/>
          <w:sz w:val="20"/>
          <w:szCs w:val="20"/>
        </w:rPr>
      </w:pPr>
      <w:r w:rsidRPr="00A6471B">
        <w:rPr>
          <w:rFonts w:cstheme="minorHAnsi"/>
          <w:sz w:val="20"/>
          <w:szCs w:val="20"/>
        </w:rPr>
        <w:t xml:space="preserve"> Supplement Figure 4: </w:t>
      </w:r>
      <w:r w:rsidRPr="00A6471B">
        <w:rPr>
          <w:rFonts w:cstheme="minorHAnsi"/>
          <w:b/>
          <w:sz w:val="20"/>
          <w:szCs w:val="20"/>
        </w:rPr>
        <w:t>Schematic representation of the formation of an elastic soft-matter structure (SD-C</w:t>
      </w:r>
      <w:r w:rsidRPr="00A6471B">
        <w:rPr>
          <w:rFonts w:cstheme="minorHAnsi"/>
          <w:b/>
          <w:sz w:val="20"/>
          <w:szCs w:val="20"/>
          <w:vertAlign w:val="subscript"/>
        </w:rPr>
        <w:t>60</w:t>
      </w:r>
      <w:r w:rsidRPr="00A6471B">
        <w:rPr>
          <w:rFonts w:cstheme="minorHAnsi"/>
          <w:b/>
          <w:sz w:val="20"/>
          <w:szCs w:val="20"/>
        </w:rPr>
        <w:t>)</w:t>
      </w:r>
      <w:r w:rsidRPr="00A6471B">
        <w:rPr>
          <w:rFonts w:cstheme="minorHAnsi"/>
          <w:sz w:val="20"/>
          <w:szCs w:val="20"/>
        </w:rPr>
        <w:t xml:space="preserve">, composed of water molecules that are elastic (deformable) and that form 3-dimensional icosahedral water shells (layers, onions) as a soft material. </w:t>
      </w:r>
    </w:p>
    <w:p w:rsidR="00F40250" w:rsidRPr="003F41B4" w:rsidRDefault="00F40250" w:rsidP="00F40250">
      <w:pPr>
        <w:rPr>
          <w:rFonts w:cstheme="minorHAnsi"/>
        </w:rPr>
      </w:pPr>
      <w:r w:rsidRPr="003F41B4">
        <w:rPr>
          <w:rFonts w:cstheme="minorHAnsi"/>
        </w:rPr>
        <w:t xml:space="preserve">  </w:t>
      </w:r>
    </w:p>
    <w:p w:rsidR="00F40250" w:rsidRPr="003F41B4" w:rsidRDefault="00F40250" w:rsidP="00F40250">
      <w:pPr>
        <w:jc w:val="center"/>
        <w:rPr>
          <w:rFonts w:cstheme="minorHAnsi"/>
          <w:b/>
        </w:rPr>
      </w:pPr>
      <w:r w:rsidRPr="003F41B4">
        <w:rPr>
          <w:rFonts w:cstheme="minorHAnsi"/>
          <w:b/>
          <w:noProof/>
        </w:rPr>
        <w:lastRenderedPageBreak/>
        <w:drawing>
          <wp:inline distT="0" distB="0" distL="0" distR="0" wp14:anchorId="7D4B01E9" wp14:editId="4195302B">
            <wp:extent cx="3291840" cy="2676842"/>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3079" cy="2685981"/>
                    </a:xfrm>
                    <a:prstGeom prst="rect">
                      <a:avLst/>
                    </a:prstGeom>
                    <a:noFill/>
                  </pic:spPr>
                </pic:pic>
              </a:graphicData>
            </a:graphic>
          </wp:inline>
        </w:drawing>
      </w:r>
    </w:p>
    <w:p w:rsidR="00F40250" w:rsidRPr="003F41B4" w:rsidRDefault="00F40250" w:rsidP="00F40250">
      <w:pPr>
        <w:rPr>
          <w:rFonts w:cstheme="minorHAnsi"/>
          <w:b/>
        </w:rPr>
      </w:pPr>
      <w:r w:rsidRPr="003F41B4">
        <w:rPr>
          <w:rFonts w:cstheme="minorHAnsi"/>
          <w:sz w:val="20"/>
          <w:szCs w:val="20"/>
        </w:rPr>
        <w:t xml:space="preserve">Supplement Figure 5: </w:t>
      </w:r>
      <w:r w:rsidRPr="003F41B4">
        <w:rPr>
          <w:rFonts w:cstheme="minorHAnsi"/>
          <w:b/>
          <w:sz w:val="20"/>
          <w:szCs w:val="20"/>
        </w:rPr>
        <w:t>The principle "between a hammer and an anvil"</w:t>
      </w:r>
      <w:r w:rsidRPr="003F41B4">
        <w:rPr>
          <w:rFonts w:cstheme="minorHAnsi"/>
          <w:sz w:val="20"/>
          <w:szCs w:val="20"/>
        </w:rPr>
        <w:t xml:space="preserve"> </w:t>
      </w:r>
      <w:r w:rsidRPr="003F41B4">
        <w:rPr>
          <w:rFonts w:cstheme="minorHAnsi"/>
          <w:b/>
          <w:sz w:val="20"/>
          <w:szCs w:val="20"/>
        </w:rPr>
        <w:t>in process water tiles and shells (onion) formation</w:t>
      </w:r>
      <w:r w:rsidRPr="003F41B4">
        <w:rPr>
          <w:rFonts w:cstheme="minorHAnsi"/>
          <w:sz w:val="20"/>
          <w:szCs w:val="20"/>
        </w:rPr>
        <w:t xml:space="preserve"> according to action of C</w:t>
      </w:r>
      <w:r w:rsidRPr="003F41B4">
        <w:rPr>
          <w:rFonts w:cstheme="minorHAnsi"/>
          <w:sz w:val="20"/>
          <w:szCs w:val="20"/>
          <w:vertAlign w:val="subscript"/>
        </w:rPr>
        <w:t>60</w:t>
      </w:r>
      <w:r w:rsidRPr="003F41B4">
        <w:rPr>
          <w:rFonts w:cstheme="minorHAnsi"/>
          <w:sz w:val="20"/>
          <w:szCs w:val="20"/>
        </w:rPr>
        <w:t xml:space="preserve"> vibrations and external oscillatory magnetic field by icosahedron symmetry</w:t>
      </w:r>
    </w:p>
    <w:p w:rsidR="00F40250" w:rsidRPr="003F41B4" w:rsidRDefault="00F40250" w:rsidP="00F40250">
      <w:pPr>
        <w:rPr>
          <w:rFonts w:cstheme="minorHAnsi"/>
          <w:b/>
        </w:rPr>
      </w:pPr>
    </w:p>
    <w:p w:rsidR="00F40250" w:rsidRPr="003F41B4" w:rsidRDefault="00F40250" w:rsidP="00F40250">
      <w:pPr>
        <w:jc w:val="center"/>
        <w:rPr>
          <w:rFonts w:cstheme="minorHAnsi"/>
          <w:b/>
        </w:rPr>
      </w:pPr>
      <w:r w:rsidRPr="003F41B4">
        <w:rPr>
          <w:rFonts w:cstheme="minorHAnsi"/>
          <w:b/>
          <w:noProof/>
        </w:rPr>
        <w:drawing>
          <wp:inline distT="0" distB="0" distL="0" distR="0" wp14:anchorId="1365CA73" wp14:editId="431455AD">
            <wp:extent cx="4452658" cy="8106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7366" cy="875237"/>
                    </a:xfrm>
                    <a:prstGeom prst="rect">
                      <a:avLst/>
                    </a:prstGeom>
                    <a:noFill/>
                  </pic:spPr>
                </pic:pic>
              </a:graphicData>
            </a:graphic>
          </wp:inline>
        </w:drawing>
      </w:r>
    </w:p>
    <w:p w:rsidR="00F40250" w:rsidRPr="003F41B4" w:rsidRDefault="00F40250" w:rsidP="00F40250">
      <w:pPr>
        <w:jc w:val="both"/>
        <w:rPr>
          <w:rFonts w:cstheme="minorHAnsi"/>
          <w:sz w:val="20"/>
        </w:rPr>
      </w:pPr>
      <w:r w:rsidRPr="003F41B4">
        <w:rPr>
          <w:rFonts w:cstheme="minorHAnsi"/>
          <w:sz w:val="20"/>
          <w:szCs w:val="20"/>
        </w:rPr>
        <w:t xml:space="preserve">Supplement Figure </w:t>
      </w:r>
      <w:r w:rsidRPr="003F41B4">
        <w:rPr>
          <w:rFonts w:cstheme="minorHAnsi"/>
          <w:sz w:val="20"/>
        </w:rPr>
        <w:t xml:space="preserve">6:  </w:t>
      </w:r>
      <w:r w:rsidRPr="003F41B4">
        <w:rPr>
          <w:rFonts w:cstheme="minorHAnsi"/>
          <w:b/>
          <w:sz w:val="20"/>
        </w:rPr>
        <w:t xml:space="preserve">Two Fibonacci determinants </w:t>
      </w:r>
      <w:r w:rsidRPr="00F93C71">
        <w:rPr>
          <w:rFonts w:cstheme="minorHAnsi"/>
          <w:b/>
          <w:i/>
          <w:sz w:val="20"/>
        </w:rPr>
        <w:t>detF</w:t>
      </w:r>
      <w:r w:rsidRPr="003F41B4">
        <w:rPr>
          <w:rFonts w:cstheme="minorHAnsi"/>
          <w:b/>
          <w:sz w:val="20"/>
        </w:rPr>
        <w:t>(3) and</w:t>
      </w:r>
      <w:r w:rsidRPr="00F93C71">
        <w:rPr>
          <w:rFonts w:cstheme="minorHAnsi"/>
          <w:b/>
          <w:i/>
          <w:sz w:val="20"/>
        </w:rPr>
        <w:t xml:space="preserve"> detF</w:t>
      </w:r>
      <w:r w:rsidRPr="003F41B4">
        <w:rPr>
          <w:rFonts w:cstheme="minorHAnsi"/>
          <w:b/>
          <w:sz w:val="20"/>
        </w:rPr>
        <w:t xml:space="preserve">(4) </w:t>
      </w:r>
      <w:r w:rsidRPr="00790438">
        <w:rPr>
          <w:rFonts w:cstheme="minorHAnsi"/>
          <w:sz w:val="20"/>
        </w:rPr>
        <w:t>(</w:t>
      </w:r>
      <w:r w:rsidRPr="00DC000F">
        <w:rPr>
          <w:rFonts w:cstheme="minorHAnsi"/>
          <w:sz w:val="20"/>
        </w:rPr>
        <w:t>set of</w:t>
      </w:r>
      <w:r>
        <w:rPr>
          <w:rFonts w:cstheme="minorHAnsi"/>
          <w:b/>
          <w:sz w:val="20"/>
        </w:rPr>
        <w:t xml:space="preserve"> </w:t>
      </w:r>
      <w:r w:rsidRPr="003F41B4">
        <w:rPr>
          <w:rFonts w:cstheme="minorHAnsi"/>
          <w:sz w:val="24"/>
        </w:rPr>
        <w:sym w:font="Symbol" w:char="F07B"/>
      </w:r>
      <w:r w:rsidRPr="003F41B4">
        <w:rPr>
          <w:rFonts w:cstheme="minorHAnsi"/>
          <w:sz w:val="24"/>
        </w:rPr>
        <w:t>9,16</w:t>
      </w:r>
      <w:r w:rsidRPr="003F41B4">
        <w:rPr>
          <w:rFonts w:cstheme="minorHAnsi"/>
          <w:sz w:val="24"/>
        </w:rPr>
        <w:sym w:font="Symbol" w:char="F07D"/>
      </w:r>
      <w:r w:rsidRPr="003F41B4">
        <w:rPr>
          <w:rFonts w:cstheme="minorHAnsi"/>
          <w:sz w:val="24"/>
          <w:vertAlign w:val="subscript"/>
        </w:rPr>
        <w:sym w:font="Symbol" w:char="F046"/>
      </w:r>
      <w:r w:rsidRPr="003F41B4">
        <w:rPr>
          <w:rFonts w:cstheme="minorHAnsi"/>
          <w:sz w:val="24"/>
        </w:rPr>
        <w:t xml:space="preserve"> </w:t>
      </w:r>
      <w:r w:rsidRPr="00790438">
        <w:rPr>
          <w:rFonts w:cstheme="minorHAnsi"/>
          <w:sz w:val="20"/>
        </w:rPr>
        <w:t>)</w:t>
      </w:r>
      <w:r>
        <w:rPr>
          <w:rFonts w:cstheme="minorHAnsi"/>
          <w:sz w:val="24"/>
        </w:rPr>
        <w:t xml:space="preserve"> </w:t>
      </w:r>
      <w:r w:rsidRPr="003F41B4">
        <w:rPr>
          <w:rFonts w:cstheme="minorHAnsi"/>
          <w:b/>
          <w:sz w:val="20"/>
        </w:rPr>
        <w:t>by which the oscillatory magnetic field is programmed to stimulate  rhombic tiles formation</w:t>
      </w:r>
      <w:r w:rsidRPr="003F41B4">
        <w:rPr>
          <w:rFonts w:cstheme="minorHAnsi"/>
          <w:sz w:val="20"/>
        </w:rPr>
        <w:t xml:space="preserve"> . </w:t>
      </w:r>
      <w:r w:rsidRPr="003F41B4">
        <w:rPr>
          <w:rFonts w:cstheme="minorHAnsi"/>
        </w:rPr>
        <w:t xml:space="preserve">Since the determinant column is a linear combination of the remaining columns of that determinant, then the determinant is equal to zero (this follows from the law of the sequence: </w:t>
      </w:r>
      <w:r w:rsidRPr="003F41B4">
        <w:rPr>
          <w:rFonts w:cstheme="minorHAnsi"/>
          <w:i/>
        </w:rPr>
        <w:t>u</w:t>
      </w:r>
      <w:r w:rsidRPr="003F41B4">
        <w:rPr>
          <w:rFonts w:cstheme="minorHAnsi"/>
          <w:i/>
          <w:vertAlign w:val="subscript"/>
        </w:rPr>
        <w:t>n-1</w:t>
      </w:r>
      <w:r w:rsidRPr="003F41B4">
        <w:rPr>
          <w:rFonts w:cstheme="minorHAnsi"/>
          <w:i/>
        </w:rPr>
        <w:t xml:space="preserve"> + u</w:t>
      </w:r>
      <w:r w:rsidRPr="003F41B4">
        <w:rPr>
          <w:rFonts w:cstheme="minorHAnsi"/>
          <w:i/>
          <w:vertAlign w:val="subscript"/>
        </w:rPr>
        <w:t xml:space="preserve">n </w:t>
      </w:r>
      <w:r w:rsidRPr="003F41B4">
        <w:rPr>
          <w:rFonts w:cstheme="minorHAnsi"/>
          <w:i/>
        </w:rPr>
        <w:t>= u</w:t>
      </w:r>
      <w:r w:rsidRPr="003F41B4">
        <w:rPr>
          <w:rFonts w:cstheme="minorHAnsi"/>
          <w:i/>
          <w:vertAlign w:val="subscript"/>
        </w:rPr>
        <w:t>n+1</w:t>
      </w:r>
      <w:r w:rsidRPr="003F41B4">
        <w:rPr>
          <w:rFonts w:cstheme="minorHAnsi"/>
        </w:rPr>
        <w:t xml:space="preserve">) than the </w:t>
      </w:r>
      <w:r>
        <w:rPr>
          <w:rFonts w:cstheme="minorHAnsi"/>
        </w:rPr>
        <w:sym w:font="Symbol" w:char="F046"/>
      </w:r>
      <w:r>
        <w:rPr>
          <w:rFonts w:cstheme="minorHAnsi"/>
        </w:rPr>
        <w:t>-</w:t>
      </w:r>
      <w:r w:rsidRPr="003F41B4">
        <w:rPr>
          <w:rFonts w:cstheme="minorHAnsi"/>
          <w:sz w:val="20"/>
        </w:rPr>
        <w:t xml:space="preserve">rhombic tiles </w:t>
      </w:r>
      <w:r>
        <w:rPr>
          <w:rFonts w:cstheme="minorHAnsi"/>
          <w:sz w:val="20"/>
        </w:rPr>
        <w:t xml:space="preserve">of </w:t>
      </w:r>
      <w:r w:rsidRPr="00790438">
        <w:rPr>
          <w:rFonts w:cstheme="minorHAnsi"/>
          <w:sz w:val="20"/>
        </w:rPr>
        <w:sym w:font="Symbol" w:char="F07B"/>
      </w:r>
      <w:r w:rsidRPr="00790438">
        <w:rPr>
          <w:rFonts w:cstheme="minorHAnsi"/>
          <w:sz w:val="20"/>
        </w:rPr>
        <w:t>9,16</w:t>
      </w:r>
      <w:r w:rsidRPr="00790438">
        <w:rPr>
          <w:rFonts w:cstheme="minorHAnsi"/>
          <w:sz w:val="20"/>
        </w:rPr>
        <w:sym w:font="Symbol" w:char="F07D"/>
      </w:r>
      <w:r w:rsidRPr="00790438">
        <w:rPr>
          <w:rFonts w:cstheme="minorHAnsi"/>
          <w:sz w:val="20"/>
          <w:vertAlign w:val="subscript"/>
        </w:rPr>
        <w:sym w:font="Symbol" w:char="F046"/>
      </w:r>
      <w:r w:rsidRPr="00790438">
        <w:rPr>
          <w:rFonts w:cstheme="minorHAnsi"/>
          <w:sz w:val="20"/>
        </w:rPr>
        <w:t xml:space="preserve"> </w:t>
      </w:r>
      <w:r>
        <w:rPr>
          <w:rFonts w:cstheme="minorHAnsi"/>
          <w:sz w:val="20"/>
        </w:rPr>
        <w:t xml:space="preserve">set </w:t>
      </w:r>
      <w:r w:rsidRPr="003F41B4">
        <w:rPr>
          <w:rFonts w:cstheme="minorHAnsi"/>
          <w:sz w:val="20"/>
        </w:rPr>
        <w:t>are stable.</w:t>
      </w:r>
    </w:p>
    <w:p w:rsidR="00F40250" w:rsidRPr="003F41B4" w:rsidRDefault="00F40250" w:rsidP="00F40250">
      <w:pPr>
        <w:jc w:val="both"/>
        <w:rPr>
          <w:rFonts w:cstheme="minorHAnsi"/>
          <w:sz w:val="20"/>
        </w:rPr>
      </w:pPr>
    </w:p>
    <w:p w:rsidR="00F40250" w:rsidRPr="003F41B4" w:rsidRDefault="00F40250" w:rsidP="00F40250">
      <w:pPr>
        <w:jc w:val="center"/>
        <w:rPr>
          <w:rFonts w:cstheme="minorHAnsi"/>
          <w:sz w:val="24"/>
        </w:rPr>
      </w:pPr>
      <w:r w:rsidRPr="003F41B4">
        <w:rPr>
          <w:rFonts w:cstheme="minorHAnsi"/>
          <w:noProof/>
          <w:sz w:val="24"/>
        </w:rPr>
        <w:drawing>
          <wp:inline distT="0" distB="0" distL="0" distR="0" wp14:anchorId="7E2794A7" wp14:editId="4F7EBD75">
            <wp:extent cx="4985657" cy="16653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FM-C6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07774" cy="1672736"/>
                    </a:xfrm>
                    <a:prstGeom prst="rect">
                      <a:avLst/>
                    </a:prstGeom>
                  </pic:spPr>
                </pic:pic>
              </a:graphicData>
            </a:graphic>
          </wp:inline>
        </w:drawing>
      </w:r>
    </w:p>
    <w:p w:rsidR="00F40250" w:rsidRPr="003F41B4" w:rsidRDefault="00F40250" w:rsidP="00F40250">
      <w:pPr>
        <w:rPr>
          <w:rFonts w:cstheme="minorHAnsi"/>
          <w:sz w:val="20"/>
          <w:szCs w:val="20"/>
        </w:rPr>
      </w:pPr>
      <w:r w:rsidRPr="003F41B4">
        <w:rPr>
          <w:rFonts w:cstheme="minorHAnsi"/>
          <w:sz w:val="20"/>
          <w:szCs w:val="20"/>
        </w:rPr>
        <w:t>Supplement Figure</w:t>
      </w:r>
      <w:r w:rsidRPr="003F41B4">
        <w:rPr>
          <w:rFonts w:cstheme="minorHAnsi"/>
          <w:b/>
          <w:sz w:val="20"/>
          <w:szCs w:val="20"/>
        </w:rPr>
        <w:t xml:space="preserve"> </w:t>
      </w:r>
      <w:r w:rsidRPr="003F41B4">
        <w:rPr>
          <w:rFonts w:cstheme="minorHAnsi"/>
          <w:sz w:val="20"/>
          <w:szCs w:val="20"/>
        </w:rPr>
        <w:t>7:</w:t>
      </w:r>
      <w:r w:rsidRPr="003F41B4">
        <w:rPr>
          <w:rFonts w:cstheme="minorHAnsi"/>
          <w:b/>
          <w:sz w:val="20"/>
          <w:szCs w:val="20"/>
        </w:rPr>
        <w:t xml:space="preserve"> Presence water molecules in FD-C</w:t>
      </w:r>
      <w:r w:rsidRPr="003F41B4">
        <w:rPr>
          <w:rFonts w:cstheme="minorHAnsi"/>
          <w:b/>
          <w:sz w:val="20"/>
          <w:szCs w:val="20"/>
          <w:vertAlign w:val="subscript"/>
        </w:rPr>
        <w:t>60</w:t>
      </w:r>
      <w:r w:rsidRPr="003F41B4">
        <w:rPr>
          <w:rFonts w:cstheme="minorHAnsi"/>
          <w:b/>
          <w:sz w:val="20"/>
          <w:szCs w:val="20"/>
        </w:rPr>
        <w:t xml:space="preserve"> and SD-C</w:t>
      </w:r>
      <w:r w:rsidRPr="003F41B4">
        <w:rPr>
          <w:rFonts w:cstheme="minorHAnsi"/>
          <w:b/>
          <w:sz w:val="20"/>
          <w:szCs w:val="20"/>
          <w:vertAlign w:val="subscript"/>
        </w:rPr>
        <w:t>60</w:t>
      </w:r>
      <w:r w:rsidRPr="003F41B4">
        <w:rPr>
          <w:rFonts w:cstheme="minorHAnsi"/>
          <w:b/>
          <w:sz w:val="20"/>
          <w:szCs w:val="20"/>
        </w:rPr>
        <w:t>.</w:t>
      </w:r>
      <w:r>
        <w:rPr>
          <w:rFonts w:cstheme="minorHAnsi"/>
          <w:b/>
          <w:sz w:val="20"/>
          <w:szCs w:val="20"/>
        </w:rPr>
        <w:t xml:space="preserve"> </w:t>
      </w:r>
      <w:r w:rsidRPr="003F41B4">
        <w:rPr>
          <w:rFonts w:cstheme="minorHAnsi"/>
          <w:sz w:val="20"/>
          <w:szCs w:val="20"/>
        </w:rPr>
        <w:t>Comparative diagrams (from Figure 16 and 17, range 0-400 nm) of intensity values of dipole-dipole interactions between MFM magnetic tip and substrate (FD-C</w:t>
      </w:r>
      <w:r w:rsidRPr="003F41B4">
        <w:rPr>
          <w:rFonts w:cstheme="minorHAnsi"/>
          <w:sz w:val="20"/>
          <w:szCs w:val="20"/>
          <w:vertAlign w:val="subscript"/>
        </w:rPr>
        <w:t>60</w:t>
      </w:r>
      <w:r w:rsidRPr="003F41B4">
        <w:rPr>
          <w:rFonts w:cstheme="minorHAnsi"/>
          <w:sz w:val="20"/>
          <w:szCs w:val="20"/>
        </w:rPr>
        <w:t xml:space="preserve"> - blue line and SD-C</w:t>
      </w:r>
      <w:r w:rsidRPr="003F41B4">
        <w:rPr>
          <w:rFonts w:cstheme="minorHAnsi"/>
          <w:sz w:val="20"/>
          <w:szCs w:val="20"/>
          <w:vertAlign w:val="subscript"/>
        </w:rPr>
        <w:t>60</w:t>
      </w:r>
      <w:r w:rsidRPr="003F41B4">
        <w:rPr>
          <w:rFonts w:cstheme="minorHAnsi"/>
          <w:sz w:val="20"/>
          <w:szCs w:val="20"/>
        </w:rPr>
        <w:t xml:space="preserve"> - red line). FD-C</w:t>
      </w:r>
      <w:r w:rsidRPr="003F41B4">
        <w:rPr>
          <w:rFonts w:cstheme="minorHAnsi"/>
          <w:sz w:val="20"/>
          <w:szCs w:val="20"/>
          <w:vertAlign w:val="subscript"/>
        </w:rPr>
        <w:t>60</w:t>
      </w:r>
      <w:r w:rsidRPr="003F41B4">
        <w:rPr>
          <w:rFonts w:cstheme="minorHAnsi"/>
          <w:sz w:val="20"/>
          <w:szCs w:val="20"/>
        </w:rPr>
        <w:t xml:space="preserve"> has a low intensity of dipole-dipole interaction due to humidity, while SD-C60 has a high intensity of dipole-dipole interaction because, in addition to humidity, it contains water molecules packed in rhombic plates (3DPT).</w:t>
      </w:r>
    </w:p>
    <w:p w:rsidR="00F40250" w:rsidRPr="003F41B4" w:rsidRDefault="00F40250" w:rsidP="00F40250">
      <w:pPr>
        <w:jc w:val="center"/>
        <w:rPr>
          <w:rFonts w:cstheme="minorHAnsi"/>
          <w:b/>
        </w:rPr>
      </w:pPr>
      <w:r w:rsidRPr="003F41B4">
        <w:rPr>
          <w:rFonts w:cstheme="minorHAnsi"/>
          <w:b/>
          <w:noProof/>
        </w:rPr>
        <w:lastRenderedPageBreak/>
        <w:drawing>
          <wp:inline distT="0" distB="0" distL="0" distR="0" wp14:anchorId="4C3715D5" wp14:editId="784D6E88">
            <wp:extent cx="3133362" cy="30861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utofagij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5185" cy="3097758"/>
                    </a:xfrm>
                    <a:prstGeom prst="rect">
                      <a:avLst/>
                    </a:prstGeom>
                  </pic:spPr>
                </pic:pic>
              </a:graphicData>
            </a:graphic>
          </wp:inline>
        </w:drawing>
      </w:r>
    </w:p>
    <w:p w:rsidR="00F40250" w:rsidRPr="003F41B4" w:rsidRDefault="00F40250" w:rsidP="00F40250">
      <w:pPr>
        <w:jc w:val="both"/>
        <w:rPr>
          <w:rFonts w:cstheme="minorHAnsi"/>
          <w:sz w:val="24"/>
        </w:rPr>
      </w:pPr>
      <w:r w:rsidRPr="003F41B4">
        <w:rPr>
          <w:rFonts w:cstheme="minorHAnsi"/>
          <w:sz w:val="20"/>
          <w:szCs w:val="20"/>
        </w:rPr>
        <w:t xml:space="preserve">Supplement Figure 8. </w:t>
      </w:r>
      <w:r w:rsidRPr="003F41B4">
        <w:rPr>
          <w:rFonts w:cstheme="minorHAnsi"/>
          <w:b/>
          <w:sz w:val="20"/>
          <w:szCs w:val="20"/>
        </w:rPr>
        <w:t>The effect of 3HFWC-W on induction of autophagy in melanoma cells.</w:t>
      </w:r>
      <w:r w:rsidRPr="003F41B4">
        <w:rPr>
          <w:rFonts w:cstheme="minorHAnsi"/>
          <w:sz w:val="20"/>
          <w:szCs w:val="20"/>
        </w:rPr>
        <w:t xml:space="preserve"> The percentage of cells in autophagy in B16F1 (A) and B16F10 (B) cell cultures treated with </w:t>
      </w:r>
      <w:r>
        <w:rPr>
          <w:rFonts w:cstheme="minorHAnsi"/>
          <w:sz w:val="20"/>
          <w:szCs w:val="20"/>
        </w:rPr>
        <w:t xml:space="preserve">the </w:t>
      </w:r>
      <w:r w:rsidRPr="003F41B4">
        <w:rPr>
          <w:rFonts w:cstheme="minorHAnsi"/>
          <w:sz w:val="20"/>
          <w:szCs w:val="20"/>
        </w:rPr>
        <w:t>IC</w:t>
      </w:r>
      <w:r w:rsidRPr="00B169F1">
        <w:rPr>
          <w:rFonts w:cstheme="minorHAnsi"/>
          <w:sz w:val="20"/>
          <w:szCs w:val="20"/>
          <w:vertAlign w:val="subscript"/>
        </w:rPr>
        <w:t>50</w:t>
      </w:r>
      <w:r w:rsidRPr="003F41B4">
        <w:rPr>
          <w:rFonts w:cstheme="minorHAnsi"/>
          <w:sz w:val="20"/>
          <w:szCs w:val="20"/>
        </w:rPr>
        <w:t xml:space="preserve"> value of 3HFWC-W </w:t>
      </w:r>
      <w:r>
        <w:rPr>
          <w:rFonts w:cstheme="minorHAnsi"/>
          <w:sz w:val="20"/>
          <w:szCs w:val="20"/>
        </w:rPr>
        <w:t>(SD-C</w:t>
      </w:r>
      <w:r w:rsidRPr="00B169F1">
        <w:rPr>
          <w:rFonts w:cstheme="minorHAnsi"/>
          <w:sz w:val="20"/>
          <w:szCs w:val="20"/>
          <w:vertAlign w:val="subscript"/>
        </w:rPr>
        <w:t>60</w:t>
      </w:r>
      <w:r>
        <w:rPr>
          <w:rFonts w:cstheme="minorHAnsi"/>
          <w:sz w:val="20"/>
          <w:szCs w:val="20"/>
        </w:rPr>
        <w:t xml:space="preserve">) </w:t>
      </w:r>
      <w:r w:rsidRPr="003F41B4">
        <w:rPr>
          <w:rFonts w:cstheme="minorHAnsi"/>
          <w:sz w:val="20"/>
          <w:szCs w:val="20"/>
        </w:rPr>
        <w:t>for 24 h was determined by AO staining and subsequent flow cytometry. Representative dot plots of one out of three independently performed experiments are shown.</w:t>
      </w:r>
      <w:r w:rsidRPr="003F41B4">
        <w:rPr>
          <w:rFonts w:cstheme="minorHAnsi"/>
          <w:sz w:val="24"/>
        </w:rPr>
        <w:t xml:space="preserve"> </w:t>
      </w:r>
    </w:p>
    <w:p w:rsidR="00F40250" w:rsidRPr="003F41B4" w:rsidRDefault="00F40250" w:rsidP="00F40250">
      <w:pPr>
        <w:jc w:val="both"/>
        <w:rPr>
          <w:rFonts w:cstheme="minorHAnsi"/>
          <w:sz w:val="24"/>
        </w:rPr>
      </w:pPr>
    </w:p>
    <w:p w:rsidR="00F40250" w:rsidRPr="003F41B4" w:rsidRDefault="00F40250" w:rsidP="00F40250">
      <w:pPr>
        <w:jc w:val="both"/>
        <w:rPr>
          <w:rFonts w:cstheme="minorHAnsi"/>
          <w:sz w:val="24"/>
        </w:rPr>
      </w:pPr>
    </w:p>
    <w:p w:rsidR="00F40250" w:rsidRPr="003F41B4" w:rsidRDefault="00F40250" w:rsidP="00F40250">
      <w:pPr>
        <w:jc w:val="both"/>
        <w:rPr>
          <w:rFonts w:cstheme="minorHAnsi"/>
          <w:sz w:val="24"/>
        </w:rPr>
      </w:pPr>
    </w:p>
    <w:p w:rsidR="00F40250" w:rsidRPr="003F41B4" w:rsidRDefault="00F40250" w:rsidP="00F40250">
      <w:pPr>
        <w:jc w:val="both"/>
        <w:rPr>
          <w:rFonts w:cstheme="minorHAnsi"/>
          <w:sz w:val="24"/>
        </w:rPr>
      </w:pPr>
    </w:p>
    <w:p w:rsidR="00F40250" w:rsidRPr="003F41B4" w:rsidRDefault="00F40250" w:rsidP="00F40250">
      <w:pPr>
        <w:jc w:val="both"/>
        <w:rPr>
          <w:rFonts w:cstheme="minorHAnsi"/>
          <w:sz w:val="24"/>
        </w:rPr>
      </w:pPr>
    </w:p>
    <w:p w:rsidR="00F40250" w:rsidRPr="003F41B4" w:rsidRDefault="00F40250" w:rsidP="00F40250">
      <w:pPr>
        <w:jc w:val="both"/>
        <w:rPr>
          <w:rFonts w:cstheme="minorHAnsi"/>
          <w:sz w:val="24"/>
        </w:rPr>
      </w:pPr>
    </w:p>
    <w:p w:rsidR="00F40250" w:rsidRPr="003F41B4" w:rsidRDefault="00F40250" w:rsidP="00F40250">
      <w:pPr>
        <w:jc w:val="both"/>
        <w:rPr>
          <w:rFonts w:cstheme="minorHAnsi"/>
          <w:sz w:val="24"/>
        </w:rPr>
      </w:pPr>
    </w:p>
    <w:p w:rsidR="00F40250" w:rsidRPr="003F41B4" w:rsidRDefault="00F40250" w:rsidP="00F40250">
      <w:pPr>
        <w:jc w:val="both"/>
        <w:rPr>
          <w:rFonts w:cstheme="minorHAnsi"/>
          <w:sz w:val="24"/>
        </w:rPr>
      </w:pPr>
    </w:p>
    <w:p w:rsidR="00F40250" w:rsidRPr="003F41B4" w:rsidRDefault="00F40250" w:rsidP="00F40250">
      <w:pPr>
        <w:jc w:val="both"/>
        <w:rPr>
          <w:rFonts w:cstheme="minorHAnsi"/>
          <w:sz w:val="24"/>
        </w:rPr>
      </w:pPr>
    </w:p>
    <w:p w:rsidR="00F40250" w:rsidRPr="003F41B4" w:rsidRDefault="00F40250" w:rsidP="00F40250">
      <w:pPr>
        <w:jc w:val="both"/>
        <w:rPr>
          <w:rFonts w:cstheme="minorHAnsi"/>
          <w:sz w:val="24"/>
        </w:rPr>
      </w:pPr>
    </w:p>
    <w:p w:rsidR="00F40250" w:rsidRPr="003F41B4" w:rsidRDefault="00F40250" w:rsidP="00F40250">
      <w:pPr>
        <w:jc w:val="both"/>
        <w:rPr>
          <w:rFonts w:cstheme="minorHAnsi"/>
          <w:sz w:val="24"/>
        </w:rPr>
      </w:pPr>
    </w:p>
    <w:p w:rsidR="00F40250" w:rsidRPr="003F41B4" w:rsidRDefault="00F40250" w:rsidP="00F40250">
      <w:pPr>
        <w:jc w:val="both"/>
        <w:rPr>
          <w:rFonts w:cstheme="minorHAnsi"/>
          <w:sz w:val="24"/>
        </w:rPr>
      </w:pPr>
    </w:p>
    <w:p w:rsidR="0016458B" w:rsidRDefault="0016458B"/>
    <w:sectPr w:rsidR="0016458B" w:rsidSect="0062031E">
      <w:footerReference w:type="default" r:id="rId18"/>
      <w:pgSz w:w="12240" w:h="15840"/>
      <w:pgMar w:top="630" w:right="900" w:bottom="81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9048655"/>
      <w:docPartObj>
        <w:docPartGallery w:val="Page Numbers (Bottom of Page)"/>
        <w:docPartUnique/>
      </w:docPartObj>
    </w:sdtPr>
    <w:sdtEndPr/>
    <w:sdtContent>
      <w:sdt>
        <w:sdtPr>
          <w:id w:val="-1769616900"/>
          <w:docPartObj>
            <w:docPartGallery w:val="Page Numbers (Top of Page)"/>
            <w:docPartUnique/>
          </w:docPartObj>
        </w:sdtPr>
        <w:sdtEndPr/>
        <w:sdtContent>
          <w:p w:rsidR="00A7304F" w:rsidRDefault="00F4025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rsidR="00A7304F" w:rsidRDefault="00F40250">
    <w:pPr>
      <w:pStyle w:val="Footer"/>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6E53DF"/>
    <w:multiLevelType w:val="hybridMultilevel"/>
    <w:tmpl w:val="3D265DD8"/>
    <w:lvl w:ilvl="0" w:tplc="E5625FB2">
      <w:start w:val="1"/>
      <w:numFmt w:val="decimal"/>
      <w:lvlText w:val="%1."/>
      <w:lvlJc w:val="left"/>
      <w:pPr>
        <w:ind w:left="720" w:hanging="360"/>
      </w:pPr>
      <w:rPr>
        <w:rFonts w:cstheme="minorHAnsi"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250"/>
    <w:rsid w:val="0016458B"/>
    <w:rsid w:val="00F40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7BF14"/>
  <w15:chartTrackingRefBased/>
  <w15:docId w15:val="{D2DA137D-A383-46E2-A6C2-8829FCA3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2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0250"/>
    <w:pPr>
      <w:ind w:left="720"/>
      <w:contextualSpacing/>
    </w:pPr>
  </w:style>
  <w:style w:type="paragraph" w:styleId="Footer">
    <w:name w:val="footer"/>
    <w:basedOn w:val="Normal"/>
    <w:link w:val="FooterChar"/>
    <w:uiPriority w:val="99"/>
    <w:unhideWhenUsed/>
    <w:rsid w:val="00F40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250"/>
  </w:style>
  <w:style w:type="character" w:styleId="Hyperlink">
    <w:name w:val="Hyperlink"/>
    <w:basedOn w:val="DefaultParagraphFont"/>
    <w:uiPriority w:val="99"/>
    <w:unhideWhenUsed/>
    <w:rsid w:val="00F402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k@mas.bg.ac.rs"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djuro.koruga@gmail.com"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lm@mas.bg.ac.rs" TargetMode="External"/><Relationship Id="rId11" Type="http://schemas.openxmlformats.org/officeDocument/2006/relationships/image" Target="media/image3.jpeg"/><Relationship Id="rId5" Type="http://schemas.openxmlformats.org/officeDocument/2006/relationships/hyperlink" Target="mailto:matijalidija@gmail.com" TargetMode="Externa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1131</Words>
  <Characters>6447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1</cp:revision>
  <dcterms:created xsi:type="dcterms:W3CDTF">2023-10-30T07:26:00Z</dcterms:created>
  <dcterms:modified xsi:type="dcterms:W3CDTF">2023-10-30T07:28:00Z</dcterms:modified>
</cp:coreProperties>
</file>