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C189" w14:textId="77777777" w:rsidR="005C4C94" w:rsidRPr="00613B31" w:rsidRDefault="005C4C94" w:rsidP="005C4C94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613B31">
        <w:rPr>
          <w:b/>
          <w:bCs/>
          <w:szCs w:val="18"/>
          <w:lang w:bidi="en-US"/>
        </w:rPr>
        <w:t>Appendix A</w:t>
      </w:r>
    </w:p>
    <w:p w14:paraId="2E2A6C7A" w14:textId="77777777" w:rsidR="005C4C94" w:rsidRPr="005307A4" w:rsidRDefault="005C4C94" w:rsidP="005C4C94">
      <w:pPr>
        <w:pStyle w:val="MDPI41tablecaption"/>
        <w:rPr>
          <w:snapToGrid w:val="0"/>
        </w:rPr>
      </w:pPr>
      <w:r w:rsidRPr="00E83F23">
        <w:rPr>
          <w:b/>
          <w:bCs/>
          <w:snapToGrid w:val="0"/>
        </w:rPr>
        <w:t xml:space="preserve">Supplement table </w:t>
      </w:r>
      <w:r w:rsidRPr="00E83F23">
        <w:rPr>
          <w:b/>
          <w:bCs/>
        </w:rPr>
        <w:t>A</w:t>
      </w:r>
      <w:r w:rsidRPr="00E83F23">
        <w:rPr>
          <w:b/>
          <w:bCs/>
          <w:snapToGrid w:val="0"/>
        </w:rPr>
        <w:t>1.</w:t>
      </w:r>
      <w:r w:rsidRPr="005307A4">
        <w:rPr>
          <w:snapToGrid w:val="0"/>
        </w:rPr>
        <w:t xml:space="preserve"> Hazard ratio for endoscopic recurrence at week 58 post surgery </w:t>
      </w:r>
    </w:p>
    <w:tbl>
      <w:tblPr>
        <w:tblStyle w:val="TableGrid"/>
        <w:tblW w:w="7857" w:type="dxa"/>
        <w:tblInd w:w="2201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2619"/>
        <w:gridCol w:w="1192"/>
        <w:gridCol w:w="1311"/>
        <w:gridCol w:w="1306"/>
      </w:tblGrid>
      <w:tr w:rsidR="005C4C94" w:rsidRPr="006A00B1" w14:paraId="090A7C25" w14:textId="77777777" w:rsidTr="005C4C94">
        <w:tc>
          <w:tcPr>
            <w:tcW w:w="40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057A4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b/>
              </w:rPr>
            </w:pPr>
            <w:r w:rsidRPr="006A00B1">
              <w:rPr>
                <w:b/>
              </w:rPr>
              <w:t>Study population (n=35)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87F07D2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lang w:val="en-GB"/>
              </w:rPr>
            </w:pPr>
            <w:proofErr w:type="spellStart"/>
            <w:r w:rsidRPr="006A00B1">
              <w:t>Rutgeerts</w:t>
            </w:r>
            <w:proofErr w:type="spellEnd"/>
            <w:r w:rsidRPr="006A00B1">
              <w:t xml:space="preserve"> &lt; i2 (n=14)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C5BC39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proofErr w:type="spellStart"/>
            <w:r w:rsidRPr="006A00B1">
              <w:t>Rutgeerts</w:t>
            </w:r>
            <w:proofErr w:type="spellEnd"/>
            <w:r w:rsidRPr="006A00B1">
              <w:t xml:space="preserve"> ≥ i2 (n=21)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76AD8C2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t>HR (95% CI)</w:t>
            </w:r>
          </w:p>
        </w:tc>
      </w:tr>
      <w:tr w:rsidR="005C4C94" w:rsidRPr="006A00B1" w14:paraId="1080A57B" w14:textId="77777777" w:rsidTr="005C4C94">
        <w:tc>
          <w:tcPr>
            <w:tcW w:w="14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5FF8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b/>
              </w:rPr>
            </w:pPr>
            <w:r w:rsidRPr="006A00B1">
              <w:rPr>
                <w:b/>
              </w:rPr>
              <w:t xml:space="preserve">Study drug </w:t>
            </w:r>
            <w:proofErr w:type="gramStart"/>
            <w:r w:rsidRPr="006A00B1">
              <w:rPr>
                <w:b/>
              </w:rPr>
              <w:t>n(</w:t>
            </w:r>
            <w:proofErr w:type="gramEnd"/>
            <w:r w:rsidRPr="006A00B1">
              <w:rPr>
                <w:b/>
              </w:rPr>
              <w:t>%)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3F3A6B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6MP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4F19BD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4(25)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69B330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12(75)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7B01D62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0.39 (0.16-0.93)</w:t>
            </w:r>
          </w:p>
        </w:tc>
      </w:tr>
      <w:tr w:rsidR="005C4C94" w:rsidRPr="006A00B1" w14:paraId="2C69B6F2" w14:textId="77777777" w:rsidTr="005C4C94">
        <w:tc>
          <w:tcPr>
            <w:tcW w:w="14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0BF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1D2CE9F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adalimumab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19278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10(53)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30F8FE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9(47)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14:paraId="6711AEB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</w:tr>
      <w:tr w:rsidR="005C4C94" w:rsidRPr="006A00B1" w14:paraId="0C7590F0" w14:textId="77777777" w:rsidTr="005C4C94">
        <w:tc>
          <w:tcPr>
            <w:tcW w:w="4048" w:type="dxa"/>
            <w:gridSpan w:val="2"/>
            <w:shd w:val="clear" w:color="auto" w:fill="auto"/>
            <w:vAlign w:val="center"/>
          </w:tcPr>
          <w:p w14:paraId="6E9C286B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Small bowel diameter [cm]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7C78E26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lang w:val="en-GB"/>
              </w:rPr>
            </w:pPr>
            <w:r w:rsidRPr="006A00B1">
              <w:rPr>
                <w:lang w:val="en-GB"/>
              </w:rPr>
              <w:t>3.25±0.9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DA53C9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3.5</w:t>
            </w:r>
            <w:r w:rsidRPr="006A00B1">
              <w:rPr>
                <w:lang w:val="en-GB"/>
              </w:rPr>
              <w:t>±1.6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7135A2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1.4 (1-1.8)</w:t>
            </w:r>
          </w:p>
        </w:tc>
      </w:tr>
      <w:tr w:rsidR="005C4C94" w:rsidRPr="006A00B1" w14:paraId="4257F956" w14:textId="77777777" w:rsidTr="005C4C94">
        <w:tc>
          <w:tcPr>
            <w:tcW w:w="1429" w:type="dxa"/>
            <w:vMerge w:val="restart"/>
            <w:shd w:val="clear" w:color="auto" w:fill="auto"/>
            <w:vAlign w:val="center"/>
          </w:tcPr>
          <w:p w14:paraId="1545FEB6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Week 1</w:t>
            </w:r>
            <w:r w:rsidRPr="006A00B1">
              <w:rPr>
                <w:rtl/>
                <w:lang w:bidi="he-IL"/>
              </w:rPr>
              <w:t>8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949567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Weight [Kg]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D86347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71</w:t>
            </w:r>
            <w:r w:rsidRPr="006A00B1">
              <w:rPr>
                <w:lang w:val="en-GB"/>
              </w:rPr>
              <w:t>±13.8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096DBD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61</w:t>
            </w:r>
            <w:r w:rsidRPr="006A00B1">
              <w:rPr>
                <w:lang w:val="en-GB"/>
              </w:rPr>
              <w:t>±19.1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67DC76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0.97 (0.95-1)</w:t>
            </w:r>
          </w:p>
        </w:tc>
      </w:tr>
      <w:tr w:rsidR="005C4C94" w:rsidRPr="006A00B1" w14:paraId="0178B30F" w14:textId="77777777" w:rsidTr="005C4C94">
        <w:tc>
          <w:tcPr>
            <w:tcW w:w="1429" w:type="dxa"/>
            <w:vMerge/>
            <w:shd w:val="clear" w:color="auto" w:fill="auto"/>
            <w:vAlign w:val="center"/>
          </w:tcPr>
          <w:p w14:paraId="44052B30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1556AD3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BMI [Kg/m</w:t>
            </w:r>
            <w:r w:rsidRPr="006A00B1">
              <w:rPr>
                <w:vertAlign w:val="superscript"/>
              </w:rPr>
              <w:t>2</w:t>
            </w:r>
            <w:r w:rsidRPr="006A00B1">
              <w:t>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93F526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24</w:t>
            </w:r>
            <w:r w:rsidRPr="006A00B1">
              <w:rPr>
                <w:lang w:val="en-GB"/>
              </w:rPr>
              <w:t>±3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D49CB5B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20.5</w:t>
            </w:r>
            <w:r w:rsidRPr="006A00B1">
              <w:rPr>
                <w:lang w:val="en-GB"/>
              </w:rPr>
              <w:t>±6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30B3EE6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0.92 (0.86-0.98)</w:t>
            </w:r>
          </w:p>
        </w:tc>
      </w:tr>
      <w:tr w:rsidR="005C4C94" w:rsidRPr="006A00B1" w14:paraId="1476CC50" w14:textId="77777777" w:rsidTr="005C4C94">
        <w:tc>
          <w:tcPr>
            <w:tcW w:w="1429" w:type="dxa"/>
            <w:vMerge/>
            <w:shd w:val="clear" w:color="auto" w:fill="auto"/>
            <w:vAlign w:val="center"/>
          </w:tcPr>
          <w:p w14:paraId="0E79EE17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76AF9F3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Hemoglobin [g/dL] [mean</w:t>
            </w:r>
            <w:r w:rsidRPr="006A00B1">
              <w:rPr>
                <w:lang w:val="en-GB"/>
              </w:rPr>
              <w:t>±SE</w:t>
            </w:r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A7B71BB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13.7</w:t>
            </w:r>
            <w:r w:rsidRPr="006A00B1">
              <w:rPr>
                <w:lang w:val="en-GB"/>
              </w:rPr>
              <w:t>±0.5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CC7017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12.5</w:t>
            </w:r>
            <w:r w:rsidRPr="006A00B1">
              <w:rPr>
                <w:lang w:val="en-GB"/>
              </w:rPr>
              <w:t>±0.4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98F95E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0.78 (0.62-0.99)</w:t>
            </w:r>
          </w:p>
        </w:tc>
      </w:tr>
      <w:tr w:rsidR="005C4C94" w:rsidRPr="006A00B1" w14:paraId="16A67F9C" w14:textId="77777777" w:rsidTr="005C4C94">
        <w:tc>
          <w:tcPr>
            <w:tcW w:w="4048" w:type="dxa"/>
            <w:gridSpan w:val="2"/>
            <w:shd w:val="clear" w:color="auto" w:fill="auto"/>
            <w:vAlign w:val="center"/>
          </w:tcPr>
          <w:p w14:paraId="2C88C340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CRP at Week 32 [mg/dL]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5B72BD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1.5±1.9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F19BCC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2.1±6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96C312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1.1 (1-1.2)</w:t>
            </w:r>
          </w:p>
        </w:tc>
      </w:tr>
      <w:tr w:rsidR="005C4C94" w:rsidRPr="006A00B1" w14:paraId="15F710AE" w14:textId="77777777" w:rsidTr="005C4C94">
        <w:tc>
          <w:tcPr>
            <w:tcW w:w="1429" w:type="dxa"/>
            <w:vMerge w:val="restart"/>
            <w:shd w:val="clear" w:color="auto" w:fill="auto"/>
            <w:vAlign w:val="center"/>
          </w:tcPr>
          <w:p w14:paraId="0C7A405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Change from baseline at week 18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9040E9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Weight [Kg]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BAFC84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4.6±2.5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1A2884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2.8±15.5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353191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0.97 (0.95-1)</w:t>
            </w:r>
          </w:p>
        </w:tc>
      </w:tr>
      <w:tr w:rsidR="005C4C94" w:rsidRPr="006A00B1" w14:paraId="56AB0FDE" w14:textId="77777777" w:rsidTr="005C4C94">
        <w:tc>
          <w:tcPr>
            <w:tcW w:w="1429" w:type="dxa"/>
            <w:vMerge/>
            <w:shd w:val="clear" w:color="auto" w:fill="auto"/>
            <w:vAlign w:val="center"/>
          </w:tcPr>
          <w:p w14:paraId="42479DF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50838310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BMI [Kg</w:t>
            </w:r>
            <w:r w:rsidRPr="006A00B1">
              <w:rPr>
                <w:vertAlign w:val="superscript"/>
              </w:rPr>
              <w:t>2</w:t>
            </w:r>
            <w:r w:rsidRPr="006A00B1">
              <w:t>/m]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047EC7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1.7±0.8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24710B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1±5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B58BF2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0.92 (0.85-1)</w:t>
            </w:r>
          </w:p>
        </w:tc>
      </w:tr>
      <w:tr w:rsidR="005C4C94" w:rsidRPr="006A00B1" w14:paraId="04380AC5" w14:textId="77777777" w:rsidTr="005C4C94">
        <w:tc>
          <w:tcPr>
            <w:tcW w:w="1429" w:type="dxa"/>
            <w:vMerge/>
            <w:shd w:val="clear" w:color="auto" w:fill="auto"/>
            <w:vAlign w:val="center"/>
          </w:tcPr>
          <w:p w14:paraId="7B8C8E6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5A405F6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Hemoglobin [g/dL] [mean</w:t>
            </w:r>
            <w:r w:rsidRPr="006A00B1">
              <w:rPr>
                <w:lang w:val="en-GB"/>
              </w:rPr>
              <w:t>±SE</w:t>
            </w:r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2981B9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1±0.3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066C29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0.16±0.3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1444C83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0.63 (0.44-0.91)</w:t>
            </w:r>
          </w:p>
        </w:tc>
      </w:tr>
      <w:tr w:rsidR="005C4C94" w:rsidRPr="006A00B1" w14:paraId="3BC9D7E3" w14:textId="77777777" w:rsidTr="005C4C94">
        <w:tc>
          <w:tcPr>
            <w:tcW w:w="1429" w:type="dxa"/>
            <w:vMerge w:val="restart"/>
            <w:shd w:val="clear" w:color="auto" w:fill="auto"/>
            <w:vAlign w:val="center"/>
          </w:tcPr>
          <w:p w14:paraId="7501DE7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Change from baseline at week 32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3C140B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Weight [Kg]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7DCAE7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6.7±1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81E842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3.6±0.8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5C042A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0.87 (0.77-0.99)</w:t>
            </w:r>
          </w:p>
        </w:tc>
      </w:tr>
      <w:tr w:rsidR="005C4C94" w:rsidRPr="006A00B1" w14:paraId="4DC6B989" w14:textId="77777777" w:rsidTr="005C4C94">
        <w:tc>
          <w:tcPr>
            <w:tcW w:w="1429" w:type="dxa"/>
            <w:vMerge/>
            <w:shd w:val="clear" w:color="auto" w:fill="auto"/>
            <w:vAlign w:val="center"/>
          </w:tcPr>
          <w:p w14:paraId="496BE36D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4B009CC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BMI [Kg</w:t>
            </w:r>
            <w:r w:rsidRPr="006A00B1">
              <w:rPr>
                <w:vertAlign w:val="superscript"/>
              </w:rPr>
              <w:t>2</w:t>
            </w:r>
            <w:r w:rsidRPr="006A00B1">
              <w:t>/m]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18B190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2.2±0.3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04C8EE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1.3±0.3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41391A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0.69 (0.48-0.99)</w:t>
            </w:r>
          </w:p>
        </w:tc>
      </w:tr>
      <w:tr w:rsidR="005C4C94" w:rsidRPr="006A00B1" w14:paraId="1BC4D823" w14:textId="77777777" w:rsidTr="005C4C94">
        <w:tc>
          <w:tcPr>
            <w:tcW w:w="1429" w:type="dxa"/>
            <w:shd w:val="clear" w:color="auto" w:fill="auto"/>
            <w:vAlign w:val="center"/>
          </w:tcPr>
          <w:p w14:paraId="5BC8A22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 xml:space="preserve">Change from week </w:t>
            </w:r>
            <w:r w:rsidRPr="006A00B1">
              <w:rPr>
                <w:rtl/>
                <w:lang w:bidi="he-IL"/>
              </w:rPr>
              <w:t>18</w:t>
            </w:r>
            <w:r w:rsidRPr="006A00B1">
              <w:t xml:space="preserve"> at week 32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B00A47B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Hemoglobin [g/dL]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2B2CA0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0.17±0.2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FFCD24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1±0.2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11C7517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1.8 (1.2-2.6)</w:t>
            </w:r>
          </w:p>
        </w:tc>
      </w:tr>
    </w:tbl>
    <w:p w14:paraId="69A475F4" w14:textId="77777777" w:rsidR="005C4C94" w:rsidRPr="005307A4" w:rsidRDefault="005C4C94" w:rsidP="005C4C94">
      <w:pPr>
        <w:pStyle w:val="MDPI43tablefooter"/>
        <w:spacing w:after="240"/>
        <w:rPr>
          <w:snapToGrid w:val="0"/>
        </w:rPr>
      </w:pPr>
      <w:r w:rsidRPr="005307A4">
        <w:rPr>
          <w:snapToGrid w:val="0"/>
        </w:rPr>
        <w:t>Abbreviations: BMI (Body Mass Index), WBC (White Blood Cells), PLT (Platelets), ALT (Alanine aminotransferase), AST (Aspartate aminotransferase), CRP (C-reactive protein), IBDQ (Inflammatory Bowel Disease Questionnaire), SF36 (36-Item Short Form Survey), CDAI (Crohn’s Disease Activity Index), SE (Standard Error), SD (Standard Deviation)</w:t>
      </w:r>
    </w:p>
    <w:p w14:paraId="654DF72B" w14:textId="77777777" w:rsidR="005C4C94" w:rsidRPr="005307A4" w:rsidRDefault="005C4C94" w:rsidP="005C4C94">
      <w:pPr>
        <w:pStyle w:val="MDPI41tablecaption"/>
        <w:rPr>
          <w:snapToGrid w:val="0"/>
        </w:rPr>
      </w:pPr>
      <w:r w:rsidRPr="008622B1">
        <w:rPr>
          <w:b/>
          <w:bCs/>
          <w:snapToGrid w:val="0"/>
        </w:rPr>
        <w:t xml:space="preserve">Supplement table </w:t>
      </w:r>
      <w:r>
        <w:rPr>
          <w:b/>
          <w:bCs/>
          <w:snapToGrid w:val="0"/>
        </w:rPr>
        <w:t>A</w:t>
      </w:r>
      <w:r w:rsidRPr="008622B1">
        <w:rPr>
          <w:b/>
          <w:bCs/>
          <w:snapToGrid w:val="0"/>
        </w:rPr>
        <w:t>2.</w:t>
      </w:r>
      <w:r w:rsidRPr="005307A4">
        <w:rPr>
          <w:snapToGrid w:val="0"/>
        </w:rPr>
        <w:t xml:space="preserve"> Week 32 endoscopic recurrence by week 18 </w:t>
      </w:r>
      <w:r w:rsidRPr="005307A4">
        <w:rPr>
          <w:snapToGrid w:val="0"/>
          <w:lang w:val="en-GB"/>
        </w:rPr>
        <w:t xml:space="preserve">characteristics change from </w:t>
      </w:r>
      <w:proofErr w:type="gramStart"/>
      <w:r w:rsidRPr="005307A4">
        <w:rPr>
          <w:snapToGrid w:val="0"/>
          <w:lang w:val="en-GB"/>
        </w:rPr>
        <w:t>baseline</w:t>
      </w:r>
      <w:proofErr w:type="gramEnd"/>
    </w:p>
    <w:tbl>
      <w:tblPr>
        <w:tblStyle w:val="TableGrid"/>
        <w:tblW w:w="7857" w:type="dxa"/>
        <w:tblInd w:w="2037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3116"/>
        <w:gridCol w:w="1342"/>
        <w:gridCol w:w="1318"/>
        <w:gridCol w:w="811"/>
      </w:tblGrid>
      <w:tr w:rsidR="005C4C94" w:rsidRPr="006A00B1" w14:paraId="349E792C" w14:textId="77777777" w:rsidTr="005C4C94">
        <w:tc>
          <w:tcPr>
            <w:tcW w:w="438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00B2D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b/>
              </w:rPr>
            </w:pPr>
            <w:r w:rsidRPr="006A00B1">
              <w:rPr>
                <w:b/>
              </w:rPr>
              <w:t>Study population (n=35)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189C665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lang w:val="en-GB"/>
              </w:rPr>
            </w:pPr>
            <w:proofErr w:type="spellStart"/>
            <w:r w:rsidRPr="006A00B1">
              <w:t>Rutgeerts</w:t>
            </w:r>
            <w:proofErr w:type="spellEnd"/>
            <w:r w:rsidRPr="006A00B1">
              <w:t xml:space="preserve"> &lt; i2 (n=20)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D8CCCB6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proofErr w:type="spellStart"/>
            <w:r w:rsidRPr="006A00B1">
              <w:t>Rutgeerts</w:t>
            </w:r>
            <w:proofErr w:type="spellEnd"/>
            <w:r w:rsidRPr="006A00B1">
              <w:t xml:space="preserve"> ≥ i2 (n=15)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D96288C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t>p-value</w:t>
            </w:r>
          </w:p>
        </w:tc>
      </w:tr>
      <w:tr w:rsidR="005C4C94" w:rsidRPr="006A00B1" w14:paraId="53216289" w14:textId="77777777" w:rsidTr="005C4C94">
        <w:tc>
          <w:tcPr>
            <w:tcW w:w="4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B5FA1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b/>
              </w:rPr>
            </w:pPr>
            <w:r w:rsidRPr="006A00B1">
              <w:rPr>
                <w:b/>
              </w:rPr>
              <w:t>BMI delta from baseline [Kg/m</w:t>
            </w:r>
            <w:r w:rsidRPr="006A00B1">
              <w:rPr>
                <w:b/>
                <w:vertAlign w:val="superscript"/>
              </w:rPr>
              <w:t>2</w:t>
            </w:r>
            <w:r w:rsidRPr="006A00B1">
              <w:rPr>
                <w:b/>
              </w:rPr>
              <w:t>] [</w:t>
            </w:r>
            <w:proofErr w:type="spellStart"/>
            <w:r w:rsidRPr="006A00B1">
              <w:rPr>
                <w:b/>
              </w:rPr>
              <w:t>median±SD</w:t>
            </w:r>
            <w:proofErr w:type="spellEnd"/>
            <w:r w:rsidRPr="006A00B1">
              <w:rPr>
                <w:b/>
              </w:rPr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9B08ABD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lang w:val="en-GB"/>
              </w:rPr>
            </w:pPr>
            <w:r w:rsidRPr="006A00B1">
              <w:rPr>
                <w:lang w:val="en-GB"/>
              </w:rPr>
              <w:t>1.7±1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4C75A0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0.9</w:t>
            </w:r>
            <w:r w:rsidRPr="006A00B1">
              <w:rPr>
                <w:lang w:val="en-GB"/>
              </w:rPr>
              <w:t>±6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ED60241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rPr>
                <w:i/>
                <w:iCs/>
              </w:rPr>
              <w:t>0.1</w:t>
            </w:r>
          </w:p>
        </w:tc>
      </w:tr>
      <w:tr w:rsidR="005C4C94" w:rsidRPr="006A00B1" w14:paraId="3C016D72" w14:textId="77777777" w:rsidTr="005C4C94"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E035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Labs (change from baseline at week 18)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2740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Hemoglobin [g/dL]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009E11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1.1</w:t>
            </w:r>
            <w:r w:rsidRPr="006A00B1">
              <w:rPr>
                <w:lang w:val="en-GB"/>
              </w:rPr>
              <w:t>±0.3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0D4A8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-0.4</w:t>
            </w:r>
            <w:r w:rsidRPr="006A00B1">
              <w:rPr>
                <w:lang w:val="en-GB"/>
              </w:rPr>
              <w:t>±0.3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F1241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0.0005</w:t>
            </w:r>
          </w:p>
        </w:tc>
      </w:tr>
      <w:tr w:rsidR="005C4C94" w:rsidRPr="006A00B1" w14:paraId="66AE12E2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1DD08AD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646A6AD6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WBC [10e3/µL]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9177B2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-0.55</w:t>
            </w:r>
            <w:r w:rsidRPr="006A00B1">
              <w:rPr>
                <w:lang w:val="en-GB"/>
              </w:rPr>
              <w:t>±2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4A9CD5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-1.1</w:t>
            </w:r>
            <w:r w:rsidRPr="006A00B1">
              <w:rPr>
                <w:lang w:val="en-GB"/>
              </w:rPr>
              <w:t>±3.3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1376F1B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rPr>
                <w:i/>
                <w:iCs/>
              </w:rPr>
              <w:t>0.5</w:t>
            </w:r>
          </w:p>
        </w:tc>
      </w:tr>
      <w:tr w:rsidR="005C4C94" w:rsidRPr="006A00B1" w14:paraId="2644028F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3F174B2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BAB1C50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PLT [10e3/µL]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6A20A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-20</w:t>
            </w:r>
            <w:r w:rsidRPr="006A00B1">
              <w:rPr>
                <w:lang w:val="en-GB"/>
              </w:rPr>
              <w:t>±67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73563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-7.5</w:t>
            </w:r>
            <w:r w:rsidRPr="006A00B1">
              <w:rPr>
                <w:lang w:val="en-GB"/>
              </w:rPr>
              <w:t>±31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BC095E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0.3</w:t>
            </w:r>
          </w:p>
        </w:tc>
      </w:tr>
      <w:tr w:rsidR="005C4C94" w:rsidRPr="006A00B1" w14:paraId="702EB030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1A22E59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7CFA4A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ALT [U/L]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ED8F97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-5</w:t>
            </w:r>
            <w:r w:rsidRPr="006A00B1">
              <w:rPr>
                <w:lang w:val="en-GB"/>
              </w:rPr>
              <w:t>±4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AA484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-12</w:t>
            </w:r>
            <w:r w:rsidRPr="006A00B1">
              <w:rPr>
                <w:lang w:val="en-GB"/>
              </w:rPr>
              <w:t>±3.4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EA4B7D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0.2</w:t>
            </w:r>
          </w:p>
        </w:tc>
      </w:tr>
      <w:tr w:rsidR="005C4C94" w:rsidRPr="006A00B1" w14:paraId="0B36DBA0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4A2A1AE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C56ADF7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AST [U/L]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45CB05A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</w:t>
            </w:r>
            <w:r w:rsidRPr="006A00B1">
              <w:rPr>
                <w:lang w:val="en-GB"/>
              </w:rPr>
              <w:t>±9.4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2E63B7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-7.5</w:t>
            </w:r>
            <w:r w:rsidRPr="006A00B1">
              <w:rPr>
                <w:lang w:val="en-GB"/>
              </w:rPr>
              <w:t>±7.3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5835A95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rPr>
                <w:i/>
                <w:iCs/>
              </w:rPr>
              <w:t>0.3</w:t>
            </w:r>
          </w:p>
        </w:tc>
      </w:tr>
      <w:tr w:rsidR="005C4C94" w:rsidRPr="006A00B1" w14:paraId="734CDE81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5294464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D5880F0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CRP [mg/dL]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7572FA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-2.42</w:t>
            </w:r>
            <w:r w:rsidRPr="006A00B1">
              <w:rPr>
                <w:lang w:val="en-GB"/>
              </w:rPr>
              <w:t>±4.2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CD24C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-0.3</w:t>
            </w:r>
            <w:r w:rsidRPr="006A00B1">
              <w:rPr>
                <w:lang w:val="en-GB"/>
              </w:rPr>
              <w:t>±18.8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7084506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rPr>
                <w:i/>
                <w:iCs/>
              </w:rPr>
              <w:t>0.6</w:t>
            </w:r>
          </w:p>
        </w:tc>
      </w:tr>
      <w:tr w:rsidR="005C4C94" w:rsidRPr="006A00B1" w14:paraId="039C2C26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6700E73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8B2CF4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Stool calprotectin [µg/gr]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C65CE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-155.3</w:t>
            </w:r>
            <w:r w:rsidRPr="006A00B1">
              <w:rPr>
                <w:lang w:val="en-GB"/>
              </w:rPr>
              <w:t>±24.2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AE838FB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-18.8</w:t>
            </w:r>
            <w:r w:rsidRPr="006A00B1">
              <w:rPr>
                <w:lang w:val="en-GB"/>
              </w:rPr>
              <w:t>±83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DECE46" w14:textId="77777777" w:rsidR="005C4C94" w:rsidRPr="006A00B1" w:rsidRDefault="005C4C94" w:rsidP="00344CE8">
            <w:pPr>
              <w:pStyle w:val="MDPI42tablebody"/>
              <w:autoSpaceDE w:val="0"/>
              <w:autoSpaceDN w:val="0"/>
              <w:rPr>
                <w:i/>
                <w:iCs/>
              </w:rPr>
            </w:pPr>
            <w:r w:rsidRPr="006A00B1">
              <w:rPr>
                <w:i/>
                <w:iCs/>
              </w:rPr>
              <w:t>0.4</w:t>
            </w:r>
          </w:p>
        </w:tc>
      </w:tr>
      <w:tr w:rsidR="005C4C94" w:rsidRPr="006A00B1" w14:paraId="357D41AB" w14:textId="77777777" w:rsidTr="005C4C94">
        <w:tc>
          <w:tcPr>
            <w:tcW w:w="1270" w:type="dxa"/>
            <w:vMerge w:val="restart"/>
            <w:shd w:val="clear" w:color="auto" w:fill="auto"/>
            <w:vAlign w:val="center"/>
          </w:tcPr>
          <w:p w14:paraId="195663AE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Clinical scores delta from baseline at week 18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23AD4B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IBDQ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5FE52E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6.4</w:t>
            </w:r>
            <w:r w:rsidRPr="006A00B1">
              <w:rPr>
                <w:lang w:val="en-GB"/>
              </w:rPr>
              <w:t>±4.4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8BF687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2.6</w:t>
            </w:r>
            <w:r w:rsidRPr="006A00B1">
              <w:rPr>
                <w:lang w:val="en-GB"/>
              </w:rPr>
              <w:t>±6.8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189E49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0.7</w:t>
            </w:r>
          </w:p>
        </w:tc>
      </w:tr>
      <w:tr w:rsidR="005C4C94" w:rsidRPr="006A00B1" w14:paraId="2CA96AB9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214D0D5F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406BD98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SF36 [</w:t>
            </w:r>
            <w:proofErr w:type="spellStart"/>
            <w:r w:rsidRPr="006A00B1">
              <w:t>mean±SE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1A4400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367</w:t>
            </w:r>
            <w:r w:rsidRPr="006A00B1">
              <w:rPr>
                <w:lang w:val="en-GB"/>
              </w:rPr>
              <w:t>±137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538C474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192</w:t>
            </w:r>
            <w:r w:rsidRPr="006A00B1">
              <w:rPr>
                <w:lang w:val="en-GB"/>
              </w:rPr>
              <w:t>±137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DD5584D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0.4</w:t>
            </w:r>
          </w:p>
        </w:tc>
      </w:tr>
      <w:tr w:rsidR="005C4C94" w:rsidRPr="006A00B1" w14:paraId="5A8C8483" w14:textId="77777777" w:rsidTr="005C4C94">
        <w:tc>
          <w:tcPr>
            <w:tcW w:w="1270" w:type="dxa"/>
            <w:vMerge/>
            <w:shd w:val="clear" w:color="auto" w:fill="auto"/>
            <w:vAlign w:val="center"/>
          </w:tcPr>
          <w:p w14:paraId="7A7012A5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3888432C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CDAI [</w:t>
            </w:r>
            <w:proofErr w:type="spellStart"/>
            <w:r w:rsidRPr="006A00B1">
              <w:t>median±SD</w:t>
            </w:r>
            <w:proofErr w:type="spellEnd"/>
            <w:r w:rsidRPr="006A00B1">
              <w:t>]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E85B2F1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-14</w:t>
            </w:r>
            <w:r w:rsidRPr="006A00B1">
              <w:rPr>
                <w:lang w:val="en-GB"/>
              </w:rPr>
              <w:t>±42.3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A2EBE16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-10</w:t>
            </w:r>
            <w:r w:rsidRPr="006A00B1">
              <w:rPr>
                <w:lang w:val="en-GB"/>
              </w:rPr>
              <w:t>±59.2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E3F3977" w14:textId="77777777" w:rsidR="005C4C94" w:rsidRPr="006A00B1" w:rsidRDefault="005C4C94" w:rsidP="00344CE8">
            <w:pPr>
              <w:pStyle w:val="MDPI42tablebody"/>
              <w:autoSpaceDE w:val="0"/>
              <w:autoSpaceDN w:val="0"/>
            </w:pPr>
            <w:r w:rsidRPr="006A00B1">
              <w:t>0.5</w:t>
            </w:r>
          </w:p>
        </w:tc>
      </w:tr>
    </w:tbl>
    <w:p w14:paraId="5BC48036" w14:textId="77777777" w:rsidR="005C4C94" w:rsidRDefault="005C4C94" w:rsidP="005C4C94">
      <w:pPr>
        <w:pStyle w:val="MDPI43tablefooter"/>
        <w:spacing w:after="240"/>
      </w:pPr>
      <w:r w:rsidRPr="005307A4">
        <w:t xml:space="preserve">Abbreviations: BMI (Body Mass Index), WBC (White Blood Cells), PLT (Platelets), ALT (Alanine aminotransferase), AST (Aspartate aminotransferase), CRP (C-reactive protein), IBDQ (Inflammatory Bowel </w:t>
      </w:r>
      <w:r w:rsidRPr="005307A4">
        <w:lastRenderedPageBreak/>
        <w:t>Disease Questionnaire), SF36 (36-Item Short Form Survey), CDAI (Crohn’s Disease Activity Index), SE (Standard Error), SD (Standard Deviation)</w:t>
      </w:r>
      <w:r>
        <w:t>.</w:t>
      </w:r>
    </w:p>
    <w:p w14:paraId="3B038C53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0E64" w14:textId="77777777" w:rsidR="00482C1D" w:rsidRDefault="00482C1D" w:rsidP="00C1340D">
      <w:r>
        <w:separator/>
      </w:r>
    </w:p>
  </w:endnote>
  <w:endnote w:type="continuationSeparator" w:id="0">
    <w:p w14:paraId="5773747C" w14:textId="77777777" w:rsidR="00482C1D" w:rsidRDefault="00482C1D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EE8A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1E26C4B9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055A3E7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09B5" w14:textId="77777777" w:rsidR="00482C1D" w:rsidRDefault="00482C1D" w:rsidP="00C1340D">
      <w:r>
        <w:separator/>
      </w:r>
    </w:p>
  </w:footnote>
  <w:footnote w:type="continuationSeparator" w:id="0">
    <w:p w14:paraId="361375DB" w14:textId="77777777" w:rsidR="00482C1D" w:rsidRDefault="00482C1D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CDA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A61D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4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1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94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71F0D"/>
  <w15:chartTrackingRefBased/>
  <w15:docId w15:val="{88ECBCD8-65B8-409A-9D37-6C207110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94"/>
    <w:pPr>
      <w:spacing w:after="0" w:line="260" w:lineRule="atLeast"/>
      <w:jc w:val="both"/>
    </w:pPr>
    <w:rPr>
      <w:rFonts w:ascii="Palatino Linotype" w:eastAsia="SimSun" w:hAnsi="Palatino Linotype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HAnsi" w:hAnsi="Arial"/>
      <w:b/>
      <w:kern w:val="2"/>
      <w:u w:val="single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HAnsi" w:hAnsi="Arial" w:cstheme="majorBidi"/>
      <w:b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HAnsi"/>
      <w:b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HAnsi" w:hAnsi="Arial" w:cstheme="majorBidi"/>
      <w:b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HAnsi"/>
      <w:b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HAnsi" w:cstheme="majorBidi"/>
      <w:kern w:val="2"/>
      <w:u w:val="single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HAnsi"/>
      <w:i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HAnsi" w:cstheme="majorBidi"/>
      <w:i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HAnsi" w:cstheme="majorBidi"/>
      <w:i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kern w:val="2"/>
      <w:sz w:val="14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HAnsi"/>
      <w:kern w:val="2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HAnsi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HAnsi" w:cs="Tahoma"/>
      <w:kern w:val="2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HAns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HAnsi"/>
      <w:kern w:val="2"/>
      <w:szCs w:val="24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HAnsi"/>
      <w:kern w:val="2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HAnsi"/>
      <w:kern w:val="2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HAnsi"/>
      <w:kern w:val="2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2089</Characters>
  <Application>Microsoft Office Word</Application>
  <DocSecurity>0</DocSecurity>
  <Lines>160</Lines>
  <Paragraphs>115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Andrea Ljubic</dc:creator>
  <cp:keywords/>
  <dc:description/>
  <cp:lastModifiedBy>Andrea Ljubic</cp:lastModifiedBy>
  <cp:revision>1</cp:revision>
  <dcterms:created xsi:type="dcterms:W3CDTF">2023-10-24T08:32:00Z</dcterms:created>
  <dcterms:modified xsi:type="dcterms:W3CDTF">2023-10-24T08:35:00Z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2ebde615-e6c0-4c12-b8db-f830f4f6ffdf</vt:lpwstr>
  </property>
</Properties>
</file>