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3491" w14:textId="33F7E68E" w:rsidR="00D055EF" w:rsidRPr="00BC0FF7" w:rsidRDefault="00C87D32">
      <w:pPr>
        <w:rPr>
          <w:i/>
          <w:iCs/>
          <w:sz w:val="20"/>
          <w:szCs w:val="20"/>
        </w:rPr>
      </w:pPr>
      <w:r w:rsidRPr="00BC0FF7">
        <w:rPr>
          <w:b/>
          <w:bCs/>
          <w:i/>
          <w:iCs/>
          <w:sz w:val="20"/>
          <w:szCs w:val="20"/>
        </w:rPr>
        <w:t xml:space="preserve"> Table S1</w:t>
      </w:r>
      <w:r w:rsidRPr="00BC0FF7">
        <w:rPr>
          <w:i/>
          <w:iCs/>
          <w:sz w:val="20"/>
          <w:szCs w:val="20"/>
        </w:rPr>
        <w:t>. Measured outcomes during intensive care stay and hospital mortality in all the patients and in patients with and without CAPA</w:t>
      </w:r>
      <w:r w:rsidR="00B97A46">
        <w:rPr>
          <w:i/>
          <w:iCs/>
          <w:sz w:val="20"/>
          <w:szCs w:val="20"/>
        </w:rPr>
        <w:t>.</w:t>
      </w:r>
    </w:p>
    <w:p w14:paraId="3D3C9F9F" w14:textId="77777777" w:rsidR="00C87D32" w:rsidRDefault="00C87D32"/>
    <w:tbl>
      <w:tblPr>
        <w:tblStyle w:val="Grigliatabella"/>
        <w:tblpPr w:leftFromText="141" w:rightFromText="141" w:vertAnchor="page" w:horzAnchor="margin" w:tblpY="2557"/>
        <w:tblW w:w="9438" w:type="dxa"/>
        <w:tblLook w:val="04A0" w:firstRow="1" w:lastRow="0" w:firstColumn="1" w:lastColumn="0" w:noHBand="0" w:noVBand="1"/>
      </w:tblPr>
      <w:tblGrid>
        <w:gridCol w:w="2531"/>
        <w:gridCol w:w="1883"/>
        <w:gridCol w:w="1551"/>
        <w:gridCol w:w="1714"/>
        <w:gridCol w:w="1759"/>
      </w:tblGrid>
      <w:tr w:rsidR="00C87D32" w:rsidRPr="00CF3B1F" w14:paraId="6DF99285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4D7588E0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1883" w:type="dxa"/>
            <w:vAlign w:val="center"/>
          </w:tcPr>
          <w:p w14:paraId="3110E38D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All population</w:t>
            </w:r>
          </w:p>
          <w:p w14:paraId="6FF65A75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(n=579)</w:t>
            </w:r>
          </w:p>
        </w:tc>
        <w:tc>
          <w:tcPr>
            <w:tcW w:w="1551" w:type="dxa"/>
            <w:vAlign w:val="center"/>
          </w:tcPr>
          <w:p w14:paraId="58F92A39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No CAPA</w:t>
            </w:r>
          </w:p>
          <w:p w14:paraId="69D59FF3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(n=483)</w:t>
            </w:r>
          </w:p>
        </w:tc>
        <w:tc>
          <w:tcPr>
            <w:tcW w:w="1714" w:type="dxa"/>
            <w:vAlign w:val="center"/>
          </w:tcPr>
          <w:p w14:paraId="436625E9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CAPA</w:t>
            </w:r>
          </w:p>
          <w:p w14:paraId="40C9466B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(n=96)</w:t>
            </w:r>
          </w:p>
        </w:tc>
        <w:tc>
          <w:tcPr>
            <w:tcW w:w="1759" w:type="dxa"/>
            <w:vAlign w:val="center"/>
          </w:tcPr>
          <w:p w14:paraId="049F4A7F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p value</w:t>
            </w:r>
          </w:p>
        </w:tc>
      </w:tr>
      <w:tr w:rsidR="00C87D32" w:rsidRPr="00CF3B1F" w14:paraId="1D169475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1A76F4DA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F3B1F">
              <w:rPr>
                <w:b/>
                <w:bCs/>
                <w:sz w:val="16"/>
                <w:szCs w:val="16"/>
                <w:lang w:val="en-US"/>
              </w:rPr>
              <w:t>ICU mortality (n, %)</w:t>
            </w:r>
          </w:p>
        </w:tc>
        <w:tc>
          <w:tcPr>
            <w:tcW w:w="1883" w:type="dxa"/>
            <w:vAlign w:val="center"/>
          </w:tcPr>
          <w:p w14:paraId="609BFE79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157 (27,1%)</w:t>
            </w:r>
          </w:p>
        </w:tc>
        <w:tc>
          <w:tcPr>
            <w:tcW w:w="1551" w:type="dxa"/>
            <w:vAlign w:val="center"/>
          </w:tcPr>
          <w:p w14:paraId="5B7E5966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109 (22,6%)</w:t>
            </w:r>
          </w:p>
        </w:tc>
        <w:tc>
          <w:tcPr>
            <w:tcW w:w="1714" w:type="dxa"/>
            <w:vAlign w:val="center"/>
          </w:tcPr>
          <w:p w14:paraId="1938780C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48 (50%)</w:t>
            </w:r>
          </w:p>
        </w:tc>
        <w:tc>
          <w:tcPr>
            <w:tcW w:w="1759" w:type="dxa"/>
            <w:vAlign w:val="center"/>
          </w:tcPr>
          <w:p w14:paraId="26621D9B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C87D32" w:rsidRPr="00CF3B1F" w14:paraId="0A0E2F0B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064A1B7B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F3B1F">
              <w:rPr>
                <w:b/>
                <w:bCs/>
                <w:sz w:val="16"/>
                <w:szCs w:val="16"/>
              </w:rPr>
              <w:t>90-day mortality (n, %)</w:t>
            </w:r>
          </w:p>
        </w:tc>
        <w:tc>
          <w:tcPr>
            <w:tcW w:w="1883" w:type="dxa"/>
            <w:vAlign w:val="center"/>
          </w:tcPr>
          <w:p w14:paraId="640D0264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182 (31,5%)</w:t>
            </w:r>
          </w:p>
        </w:tc>
        <w:tc>
          <w:tcPr>
            <w:tcW w:w="1551" w:type="dxa"/>
            <w:vAlign w:val="center"/>
          </w:tcPr>
          <w:p w14:paraId="6221A5D2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130 (27%)</w:t>
            </w:r>
          </w:p>
        </w:tc>
        <w:tc>
          <w:tcPr>
            <w:tcW w:w="1714" w:type="dxa"/>
            <w:vAlign w:val="center"/>
          </w:tcPr>
          <w:p w14:paraId="3FE34DEB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52 (54,2%)</w:t>
            </w:r>
          </w:p>
        </w:tc>
        <w:tc>
          <w:tcPr>
            <w:tcW w:w="1759" w:type="dxa"/>
            <w:vAlign w:val="center"/>
          </w:tcPr>
          <w:p w14:paraId="0E31080A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C87D32" w:rsidRPr="00CF3B1F" w14:paraId="42E2EAFF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5D2F7071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F3B1F">
              <w:rPr>
                <w:b/>
                <w:bCs/>
                <w:sz w:val="16"/>
                <w:szCs w:val="16"/>
                <w:lang w:val="en-US"/>
              </w:rPr>
              <w:t>ICU length of stay (days; median, IQR)</w:t>
            </w:r>
          </w:p>
        </w:tc>
        <w:tc>
          <w:tcPr>
            <w:tcW w:w="1883" w:type="dxa"/>
            <w:vAlign w:val="center"/>
          </w:tcPr>
          <w:p w14:paraId="7FF988C5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8 (4-18)</w:t>
            </w:r>
          </w:p>
        </w:tc>
        <w:tc>
          <w:tcPr>
            <w:tcW w:w="1551" w:type="dxa"/>
            <w:vAlign w:val="center"/>
          </w:tcPr>
          <w:p w14:paraId="2300F916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7 (4-14)</w:t>
            </w:r>
          </w:p>
        </w:tc>
        <w:tc>
          <w:tcPr>
            <w:tcW w:w="1714" w:type="dxa"/>
            <w:vAlign w:val="center"/>
          </w:tcPr>
          <w:p w14:paraId="77607CDB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19 (8-39)</w:t>
            </w:r>
          </w:p>
        </w:tc>
        <w:tc>
          <w:tcPr>
            <w:tcW w:w="1759" w:type="dxa"/>
            <w:vAlign w:val="center"/>
          </w:tcPr>
          <w:p w14:paraId="4BA2E2C8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C87D32" w:rsidRPr="00CF3B1F" w14:paraId="087F4D90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165E1866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F3B1F">
              <w:rPr>
                <w:b/>
                <w:bCs/>
                <w:sz w:val="16"/>
                <w:szCs w:val="16"/>
                <w:lang w:val="en-US"/>
              </w:rPr>
              <w:t>Hospital length of stay (days; median, IQR)</w:t>
            </w:r>
          </w:p>
        </w:tc>
        <w:tc>
          <w:tcPr>
            <w:tcW w:w="1883" w:type="dxa"/>
            <w:vAlign w:val="center"/>
          </w:tcPr>
          <w:p w14:paraId="32DAB9C7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23 (15-37)</w:t>
            </w:r>
          </w:p>
        </w:tc>
        <w:tc>
          <w:tcPr>
            <w:tcW w:w="1551" w:type="dxa"/>
            <w:vAlign w:val="center"/>
          </w:tcPr>
          <w:p w14:paraId="0C15CE07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22(14-35)</w:t>
            </w:r>
          </w:p>
        </w:tc>
        <w:tc>
          <w:tcPr>
            <w:tcW w:w="1714" w:type="dxa"/>
            <w:vAlign w:val="center"/>
          </w:tcPr>
          <w:p w14:paraId="3B8DA801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31 (20-54)</w:t>
            </w:r>
          </w:p>
        </w:tc>
        <w:tc>
          <w:tcPr>
            <w:tcW w:w="1759" w:type="dxa"/>
            <w:vAlign w:val="center"/>
          </w:tcPr>
          <w:p w14:paraId="4472F073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C87D32" w:rsidRPr="00CF3B1F" w14:paraId="727EC50C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16CF425D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F3B1F">
              <w:rPr>
                <w:b/>
                <w:bCs/>
                <w:sz w:val="16"/>
                <w:szCs w:val="16"/>
                <w:lang w:val="en-US"/>
              </w:rPr>
              <w:t>Mechanical ventilation-free days at day 60 (days; median, IQR)</w:t>
            </w:r>
          </w:p>
        </w:tc>
        <w:tc>
          <w:tcPr>
            <w:tcW w:w="1883" w:type="dxa"/>
            <w:vAlign w:val="center"/>
          </w:tcPr>
          <w:p w14:paraId="2831B457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51 (0-57)</w:t>
            </w:r>
          </w:p>
        </w:tc>
        <w:tc>
          <w:tcPr>
            <w:tcW w:w="1551" w:type="dxa"/>
            <w:vAlign w:val="center"/>
          </w:tcPr>
          <w:p w14:paraId="15E03D2F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53 (0-58)</w:t>
            </w:r>
          </w:p>
        </w:tc>
        <w:tc>
          <w:tcPr>
            <w:tcW w:w="1714" w:type="dxa"/>
            <w:vAlign w:val="center"/>
          </w:tcPr>
          <w:p w14:paraId="5697E3CD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0 (0-35)</w:t>
            </w:r>
          </w:p>
        </w:tc>
        <w:tc>
          <w:tcPr>
            <w:tcW w:w="1759" w:type="dxa"/>
            <w:vAlign w:val="center"/>
          </w:tcPr>
          <w:p w14:paraId="1C0B245D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C87D32" w:rsidRPr="00CF3B1F" w14:paraId="6D1428F2" w14:textId="77777777" w:rsidTr="00C87D32">
        <w:trPr>
          <w:trHeight w:val="314"/>
        </w:trPr>
        <w:tc>
          <w:tcPr>
            <w:tcW w:w="2531" w:type="dxa"/>
            <w:vAlign w:val="center"/>
          </w:tcPr>
          <w:p w14:paraId="045A3F38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F3B1F">
              <w:rPr>
                <w:b/>
                <w:bCs/>
                <w:sz w:val="16"/>
                <w:szCs w:val="16"/>
                <w:lang w:val="en-US"/>
              </w:rPr>
              <w:t>Time to CAPA occurrence (days; median, IQR)</w:t>
            </w:r>
          </w:p>
        </w:tc>
        <w:tc>
          <w:tcPr>
            <w:tcW w:w="1883" w:type="dxa"/>
            <w:vAlign w:val="center"/>
          </w:tcPr>
          <w:p w14:paraId="15380384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5,5 (1,0-12,0)</w:t>
            </w:r>
          </w:p>
        </w:tc>
        <w:tc>
          <w:tcPr>
            <w:tcW w:w="1551" w:type="dxa"/>
            <w:vAlign w:val="center"/>
          </w:tcPr>
          <w:p w14:paraId="20EB8CF6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vAlign w:val="center"/>
          </w:tcPr>
          <w:p w14:paraId="078B8114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5,5 (1,0-12,0)</w:t>
            </w:r>
          </w:p>
        </w:tc>
        <w:tc>
          <w:tcPr>
            <w:tcW w:w="1759" w:type="dxa"/>
            <w:vAlign w:val="center"/>
          </w:tcPr>
          <w:p w14:paraId="0DE3893A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</w:p>
        </w:tc>
      </w:tr>
      <w:tr w:rsidR="00C87D32" w:rsidRPr="00CF3B1F" w14:paraId="0EE7644B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3973B291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Secondary bacterial infection (n, %)</w:t>
            </w:r>
          </w:p>
        </w:tc>
        <w:tc>
          <w:tcPr>
            <w:tcW w:w="1883" w:type="dxa"/>
            <w:vAlign w:val="center"/>
          </w:tcPr>
          <w:p w14:paraId="269638D2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200 (34, 5%)</w:t>
            </w:r>
          </w:p>
        </w:tc>
        <w:tc>
          <w:tcPr>
            <w:tcW w:w="1551" w:type="dxa"/>
            <w:vAlign w:val="center"/>
          </w:tcPr>
          <w:p w14:paraId="6C0EA974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139 (28.8%)</w:t>
            </w:r>
          </w:p>
        </w:tc>
        <w:tc>
          <w:tcPr>
            <w:tcW w:w="1714" w:type="dxa"/>
            <w:vAlign w:val="center"/>
          </w:tcPr>
          <w:p w14:paraId="0987A6D4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61 (63.5%)</w:t>
            </w:r>
          </w:p>
        </w:tc>
        <w:tc>
          <w:tcPr>
            <w:tcW w:w="1759" w:type="dxa"/>
            <w:vAlign w:val="center"/>
          </w:tcPr>
          <w:p w14:paraId="3417C4D8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C87D32" w:rsidRPr="00CF3B1F" w14:paraId="6FCB7B6E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5DFF5235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F3B1F">
              <w:rPr>
                <w:b/>
                <w:bCs/>
                <w:sz w:val="16"/>
                <w:szCs w:val="16"/>
              </w:rPr>
              <w:t>Bacteremia</w:t>
            </w:r>
            <w:proofErr w:type="spellEnd"/>
            <w:r w:rsidRPr="00CF3B1F">
              <w:rPr>
                <w:b/>
                <w:bCs/>
                <w:sz w:val="16"/>
                <w:szCs w:val="16"/>
              </w:rPr>
              <w:t xml:space="preserve"> (n, %)</w:t>
            </w:r>
          </w:p>
        </w:tc>
        <w:tc>
          <w:tcPr>
            <w:tcW w:w="1883" w:type="dxa"/>
            <w:vAlign w:val="center"/>
          </w:tcPr>
          <w:p w14:paraId="2701A79A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85 (14,7%)</w:t>
            </w:r>
          </w:p>
        </w:tc>
        <w:tc>
          <w:tcPr>
            <w:tcW w:w="1551" w:type="dxa"/>
            <w:vAlign w:val="center"/>
          </w:tcPr>
          <w:p w14:paraId="05878B73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61 (12.7%)</w:t>
            </w:r>
          </w:p>
        </w:tc>
        <w:tc>
          <w:tcPr>
            <w:tcW w:w="1714" w:type="dxa"/>
            <w:vAlign w:val="center"/>
          </w:tcPr>
          <w:p w14:paraId="3BFD7FB6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24 (25%)</w:t>
            </w:r>
          </w:p>
        </w:tc>
        <w:tc>
          <w:tcPr>
            <w:tcW w:w="1759" w:type="dxa"/>
            <w:vAlign w:val="center"/>
          </w:tcPr>
          <w:p w14:paraId="07194728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0.002</w:t>
            </w:r>
          </w:p>
        </w:tc>
      </w:tr>
      <w:tr w:rsidR="00C87D32" w:rsidRPr="00CF3B1F" w14:paraId="678741D8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6C4B2A1D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Pneumonia (n, %)</w:t>
            </w:r>
          </w:p>
        </w:tc>
        <w:tc>
          <w:tcPr>
            <w:tcW w:w="1883" w:type="dxa"/>
            <w:vAlign w:val="center"/>
          </w:tcPr>
          <w:p w14:paraId="1A9B7DD1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162 (28%)</w:t>
            </w:r>
          </w:p>
        </w:tc>
        <w:tc>
          <w:tcPr>
            <w:tcW w:w="1551" w:type="dxa"/>
            <w:vAlign w:val="center"/>
          </w:tcPr>
          <w:p w14:paraId="5A368853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113 (23.4%)</w:t>
            </w:r>
          </w:p>
        </w:tc>
        <w:tc>
          <w:tcPr>
            <w:tcW w:w="1714" w:type="dxa"/>
            <w:vAlign w:val="center"/>
          </w:tcPr>
          <w:p w14:paraId="7918CA57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49 (51%)</w:t>
            </w:r>
          </w:p>
        </w:tc>
        <w:tc>
          <w:tcPr>
            <w:tcW w:w="1759" w:type="dxa"/>
            <w:vAlign w:val="center"/>
          </w:tcPr>
          <w:p w14:paraId="471764EA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C87D32" w:rsidRPr="00CF3B1F" w14:paraId="7913989D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4AF5D755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Viral reactivations (n, %)</w:t>
            </w:r>
          </w:p>
        </w:tc>
        <w:tc>
          <w:tcPr>
            <w:tcW w:w="1883" w:type="dxa"/>
            <w:vAlign w:val="center"/>
          </w:tcPr>
          <w:p w14:paraId="5452A5E1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181 (58,8%)</w:t>
            </w:r>
          </w:p>
        </w:tc>
        <w:tc>
          <w:tcPr>
            <w:tcW w:w="1551" w:type="dxa"/>
            <w:vAlign w:val="center"/>
          </w:tcPr>
          <w:p w14:paraId="01B285F4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128 (53,8%)</w:t>
            </w:r>
          </w:p>
        </w:tc>
        <w:tc>
          <w:tcPr>
            <w:tcW w:w="1714" w:type="dxa"/>
            <w:vAlign w:val="center"/>
          </w:tcPr>
          <w:p w14:paraId="38C9939E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CF3B1F">
              <w:rPr>
                <w:sz w:val="16"/>
                <w:szCs w:val="16"/>
              </w:rPr>
              <w:t>53 (75,7%)</w:t>
            </w:r>
          </w:p>
        </w:tc>
        <w:tc>
          <w:tcPr>
            <w:tcW w:w="1759" w:type="dxa"/>
            <w:vAlign w:val="center"/>
          </w:tcPr>
          <w:p w14:paraId="2830F429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CF3B1F">
              <w:rPr>
                <w:b/>
                <w:bCs/>
                <w:sz w:val="16"/>
                <w:szCs w:val="16"/>
              </w:rPr>
              <w:t>0.001</w:t>
            </w:r>
          </w:p>
        </w:tc>
      </w:tr>
      <w:tr w:rsidR="00C87D32" w:rsidRPr="00CF3B1F" w14:paraId="709E7F53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7FD2C96D" w14:textId="77777777" w:rsidR="00C87D32" w:rsidRPr="00CF3B1F" w:rsidRDefault="00C87D32" w:rsidP="00C87D32">
            <w:pPr>
              <w:rPr>
                <w:b/>
                <w:bCs/>
                <w:sz w:val="16"/>
                <w:szCs w:val="16"/>
              </w:rPr>
            </w:pPr>
            <w:r w:rsidRPr="001E34B6">
              <w:rPr>
                <w:b/>
                <w:bCs/>
                <w:sz w:val="16"/>
                <w:szCs w:val="16"/>
              </w:rPr>
              <w:t>CMV reactivation</w:t>
            </w:r>
            <w:r>
              <w:rPr>
                <w:b/>
                <w:bCs/>
                <w:sz w:val="16"/>
                <w:szCs w:val="16"/>
              </w:rPr>
              <w:t xml:space="preserve"> (n, %)</w:t>
            </w:r>
          </w:p>
        </w:tc>
        <w:tc>
          <w:tcPr>
            <w:tcW w:w="1883" w:type="dxa"/>
            <w:vAlign w:val="center"/>
          </w:tcPr>
          <w:p w14:paraId="54864751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</w:rPr>
              <w:t>117 (20,6)</w:t>
            </w:r>
          </w:p>
        </w:tc>
        <w:tc>
          <w:tcPr>
            <w:tcW w:w="1551" w:type="dxa"/>
            <w:vAlign w:val="center"/>
          </w:tcPr>
          <w:p w14:paraId="3E6ADDD8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</w:rPr>
              <w:t>77 (16,3)</w:t>
            </w:r>
          </w:p>
        </w:tc>
        <w:tc>
          <w:tcPr>
            <w:tcW w:w="1714" w:type="dxa"/>
            <w:vAlign w:val="center"/>
          </w:tcPr>
          <w:p w14:paraId="24CD8522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</w:rPr>
              <w:t>40 (41,7)</w:t>
            </w:r>
          </w:p>
        </w:tc>
        <w:tc>
          <w:tcPr>
            <w:tcW w:w="1759" w:type="dxa"/>
            <w:vAlign w:val="center"/>
          </w:tcPr>
          <w:p w14:paraId="7B791EC6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1E34B6">
              <w:rPr>
                <w:b/>
                <w:bCs/>
                <w:sz w:val="16"/>
                <w:szCs w:val="16"/>
              </w:rPr>
              <w:t>&lt;0,001</w:t>
            </w:r>
          </w:p>
        </w:tc>
      </w:tr>
      <w:tr w:rsidR="00C87D32" w:rsidRPr="00CF3B1F" w14:paraId="5EFD5E2A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0B87747D" w14:textId="77777777" w:rsidR="00C87D32" w:rsidRPr="00690288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690288">
              <w:rPr>
                <w:b/>
                <w:bCs/>
                <w:sz w:val="16"/>
                <w:szCs w:val="16"/>
                <w:lang w:val="en-US"/>
              </w:rPr>
              <w:t>Peak CMV-DNA load (copies/ml; median, IQR)</w:t>
            </w:r>
          </w:p>
        </w:tc>
        <w:tc>
          <w:tcPr>
            <w:tcW w:w="1883" w:type="dxa"/>
            <w:vAlign w:val="center"/>
          </w:tcPr>
          <w:p w14:paraId="668C9116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  <w:lang w:val="en-US"/>
              </w:rPr>
              <w:t>671 (194-1741)</w:t>
            </w:r>
          </w:p>
        </w:tc>
        <w:tc>
          <w:tcPr>
            <w:tcW w:w="1551" w:type="dxa"/>
            <w:vAlign w:val="center"/>
          </w:tcPr>
          <w:p w14:paraId="39A6E33E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</w:rPr>
              <w:t>441 (155-1374)</w:t>
            </w:r>
          </w:p>
        </w:tc>
        <w:tc>
          <w:tcPr>
            <w:tcW w:w="1714" w:type="dxa"/>
            <w:vAlign w:val="center"/>
          </w:tcPr>
          <w:p w14:paraId="52688ABA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</w:rPr>
              <w:t>1077 (499-2649)</w:t>
            </w:r>
          </w:p>
        </w:tc>
        <w:tc>
          <w:tcPr>
            <w:tcW w:w="1759" w:type="dxa"/>
            <w:vAlign w:val="center"/>
          </w:tcPr>
          <w:p w14:paraId="0F9EED2C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1E34B6">
              <w:rPr>
                <w:b/>
                <w:bCs/>
                <w:sz w:val="16"/>
                <w:szCs w:val="16"/>
              </w:rPr>
              <w:t>0,015</w:t>
            </w:r>
          </w:p>
        </w:tc>
      </w:tr>
      <w:tr w:rsidR="00C87D32" w:rsidRPr="00CF3B1F" w14:paraId="2AB0AACC" w14:textId="77777777" w:rsidTr="00C87D32">
        <w:trPr>
          <w:trHeight w:val="341"/>
        </w:trPr>
        <w:tc>
          <w:tcPr>
            <w:tcW w:w="2531" w:type="dxa"/>
            <w:vAlign w:val="center"/>
          </w:tcPr>
          <w:p w14:paraId="39125F67" w14:textId="77777777" w:rsidR="00C87D32" w:rsidRPr="00690288" w:rsidRDefault="00C87D32" w:rsidP="00C87D3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690288">
              <w:rPr>
                <w:b/>
                <w:bCs/>
                <w:sz w:val="16"/>
                <w:szCs w:val="16"/>
                <w:lang w:val="en-US"/>
              </w:rPr>
              <w:t>Time to CMV reactivation (days; median, IQR)</w:t>
            </w:r>
          </w:p>
        </w:tc>
        <w:tc>
          <w:tcPr>
            <w:tcW w:w="1883" w:type="dxa"/>
            <w:vAlign w:val="center"/>
          </w:tcPr>
          <w:p w14:paraId="10E2CCB6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</w:rPr>
              <w:t>14(4-24)</w:t>
            </w:r>
          </w:p>
        </w:tc>
        <w:tc>
          <w:tcPr>
            <w:tcW w:w="1551" w:type="dxa"/>
            <w:vAlign w:val="center"/>
          </w:tcPr>
          <w:p w14:paraId="67D410DF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  <w:lang w:val="en-US"/>
              </w:rPr>
              <w:t>13 (3-23)</w:t>
            </w:r>
          </w:p>
        </w:tc>
        <w:tc>
          <w:tcPr>
            <w:tcW w:w="1714" w:type="dxa"/>
            <w:vAlign w:val="center"/>
          </w:tcPr>
          <w:p w14:paraId="4D98220A" w14:textId="77777777" w:rsidR="00C87D32" w:rsidRPr="00CF3B1F" w:rsidRDefault="00C87D32" w:rsidP="00C87D32">
            <w:pPr>
              <w:jc w:val="center"/>
              <w:rPr>
                <w:sz w:val="16"/>
                <w:szCs w:val="16"/>
              </w:rPr>
            </w:pPr>
            <w:r w:rsidRPr="001E34B6">
              <w:rPr>
                <w:sz w:val="16"/>
                <w:szCs w:val="16"/>
                <w:lang w:val="en-US"/>
              </w:rPr>
              <w:t>18 (7-27)</w:t>
            </w:r>
          </w:p>
        </w:tc>
        <w:tc>
          <w:tcPr>
            <w:tcW w:w="1759" w:type="dxa"/>
            <w:vAlign w:val="center"/>
          </w:tcPr>
          <w:p w14:paraId="605EAA1B" w14:textId="77777777" w:rsidR="00C87D32" w:rsidRPr="00CF3B1F" w:rsidRDefault="00C87D32" w:rsidP="00C87D32">
            <w:pPr>
              <w:jc w:val="center"/>
              <w:rPr>
                <w:b/>
                <w:bCs/>
                <w:sz w:val="16"/>
                <w:szCs w:val="16"/>
              </w:rPr>
            </w:pPr>
            <w:r w:rsidRPr="001E34B6">
              <w:rPr>
                <w:b/>
                <w:bCs/>
                <w:sz w:val="16"/>
                <w:szCs w:val="16"/>
                <w:lang w:val="en-US"/>
              </w:rPr>
              <w:t>0,154</w:t>
            </w:r>
          </w:p>
        </w:tc>
      </w:tr>
    </w:tbl>
    <w:p w14:paraId="1BDDCF39" w14:textId="77777777" w:rsidR="00C87D32" w:rsidRDefault="00C87D32"/>
    <w:sectPr w:rsidR="00C87D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D"/>
    <w:rsid w:val="00986F3D"/>
    <w:rsid w:val="00B97A46"/>
    <w:rsid w:val="00BC0FF7"/>
    <w:rsid w:val="00C87D32"/>
    <w:rsid w:val="00D0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55CD"/>
  <w15:chartTrackingRefBased/>
  <w15:docId w15:val="{83FD7A99-AD1A-41A0-A63D-4AF65FEF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7D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coloretti</dc:creator>
  <cp:keywords/>
  <dc:description/>
  <cp:lastModifiedBy>Stefano BUSANI</cp:lastModifiedBy>
  <cp:revision>3</cp:revision>
  <dcterms:created xsi:type="dcterms:W3CDTF">2023-09-08T10:19:00Z</dcterms:created>
  <dcterms:modified xsi:type="dcterms:W3CDTF">2023-10-08T15:46:00Z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dd519818918ad211bcd47fd33215c057e2ae7f72e637621c27fa4edc6ba569dd</vt:lpwstr>
  </property>
</Properties>
</file>