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41" w:rsidRPr="006D18C1" w:rsidRDefault="007E0A41" w:rsidP="007E0A41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D18C1">
        <w:rPr>
          <w:rFonts w:ascii="Times New Roman" w:hAnsi="Times New Roman" w:cs="Times New Roman"/>
          <w:b/>
          <w:sz w:val="20"/>
          <w:szCs w:val="20"/>
          <w:lang w:val="en-US"/>
        </w:rPr>
        <w:t>Supplementary Table S1. Immunomodulators, immunosuppressants and cytostatic agents for the rescue of patients with multirefractory primary ITP</w:t>
      </w:r>
    </w:p>
    <w:tbl>
      <w:tblPr>
        <w:tblStyle w:val="Tablaconcuadrcula1"/>
        <w:tblW w:w="1513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288"/>
        <w:gridCol w:w="907"/>
        <w:gridCol w:w="1644"/>
        <w:gridCol w:w="1701"/>
        <w:gridCol w:w="4762"/>
      </w:tblGrid>
      <w:tr w:rsidR="007E0A41" w:rsidRPr="007E0A41" w:rsidTr="00F144F6">
        <w:trPr>
          <w:trHeight w:val="624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b/>
                <w:sz w:val="20"/>
                <w:szCs w:val="20"/>
              </w:rPr>
              <w:t>Drug</w:t>
            </w:r>
          </w:p>
        </w:tc>
        <w:tc>
          <w:tcPr>
            <w:tcW w:w="3288" w:type="dxa"/>
            <w:tcBorders>
              <w:top w:val="single" w:sz="12" w:space="0" w:color="auto"/>
              <w:bottom w:val="single" w:sz="12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b/>
                <w:sz w:val="20"/>
                <w:szCs w:val="20"/>
              </w:rPr>
              <w:t>Dose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</w:tcPr>
          <w:p w:rsidR="007E0A41" w:rsidRPr="007E0A41" w:rsidRDefault="007E0A41" w:rsidP="007E0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b/>
                <w:sz w:val="20"/>
                <w:szCs w:val="20"/>
              </w:rPr>
              <w:t>Route</w:t>
            </w:r>
          </w:p>
        </w:tc>
        <w:tc>
          <w:tcPr>
            <w:tcW w:w="1644" w:type="dxa"/>
            <w:tcBorders>
              <w:top w:val="single" w:sz="12" w:space="0" w:color="auto"/>
              <w:bottom w:val="single" w:sz="12" w:space="0" w:color="auto"/>
            </w:tcBorders>
          </w:tcPr>
          <w:p w:rsidR="007E0A41" w:rsidRPr="007E0A41" w:rsidRDefault="007E0A41" w:rsidP="007E0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b/>
                <w:sz w:val="20"/>
                <w:szCs w:val="20"/>
              </w:rPr>
              <w:t>Response after 1 month (%)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7E0A41" w:rsidRPr="007E0A41" w:rsidRDefault="007E0A41" w:rsidP="007E0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b/>
                <w:sz w:val="20"/>
                <w:szCs w:val="20"/>
              </w:rPr>
              <w:t>Sustained response (%)</w:t>
            </w:r>
          </w:p>
        </w:tc>
        <w:tc>
          <w:tcPr>
            <w:tcW w:w="4762" w:type="dxa"/>
            <w:tcBorders>
              <w:top w:val="single" w:sz="12" w:space="0" w:color="auto"/>
              <w:bottom w:val="single" w:sz="12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b/>
                <w:sz w:val="20"/>
                <w:szCs w:val="20"/>
              </w:rPr>
              <w:t>Side effects</w:t>
            </w:r>
          </w:p>
        </w:tc>
      </w:tr>
      <w:tr w:rsidR="007E0A41" w:rsidRPr="007E0A41" w:rsidTr="00F144F6">
        <w:trPr>
          <w:trHeight w:val="340"/>
        </w:trPr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 xml:space="preserve">     Azathioprine</w:t>
            </w:r>
          </w:p>
        </w:tc>
        <w:tc>
          <w:tcPr>
            <w:tcW w:w="3288" w:type="dxa"/>
            <w:tcBorders>
              <w:top w:val="single" w:sz="12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50-300 mg/day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Oral</w:t>
            </w:r>
          </w:p>
        </w:tc>
        <w:tc>
          <w:tcPr>
            <w:tcW w:w="1644" w:type="dxa"/>
            <w:tcBorders>
              <w:top w:val="single" w:sz="12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51-64</w:t>
            </w:r>
          </w:p>
        </w:tc>
        <w:tc>
          <w:tcPr>
            <w:tcW w:w="4762" w:type="dxa"/>
            <w:tcBorders>
              <w:top w:val="single" w:sz="12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Neutropenia, nausea, infection, liver toxicity</w:t>
            </w:r>
          </w:p>
        </w:tc>
      </w:tr>
      <w:tr w:rsidR="007E0A41" w:rsidRPr="007E0A41" w:rsidTr="00F144F6">
        <w:trPr>
          <w:trHeight w:val="5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Cyclosporine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2.5-6 mg/kg/day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Oral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38-57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23-44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Asthenia, weakness, AHT, gingival hyperplasia, neuropathy, renal toxicity</w:t>
            </w:r>
          </w:p>
        </w:tc>
      </w:tr>
      <w:tr w:rsidR="007E0A41" w:rsidRPr="007E0A41" w:rsidTr="00F144F6">
        <w:trPr>
          <w:trHeight w:val="3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Mycophenolate mofetil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250-1,000 mg, twice daily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Oral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57-62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Diarrhea, cephalea</w:t>
            </w:r>
          </w:p>
        </w:tc>
      </w:tr>
      <w:tr w:rsidR="007E0A41" w:rsidRPr="007E0A41" w:rsidTr="00F144F6">
        <w:trPr>
          <w:trHeight w:val="5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 xml:space="preserve">     Danazol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400-800 mg/day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Oral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24-58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9.5-96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 gain, hair loss, amenorrhea, virilization, liver toxicity</w:t>
            </w:r>
          </w:p>
        </w:tc>
      </w:tr>
      <w:tr w:rsidR="007E0A41" w:rsidRPr="007E0A41" w:rsidTr="00F144F6">
        <w:trPr>
          <w:trHeight w:val="3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Dapsone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50-100 mg/day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Oral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36-63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0-55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Hemolytic anemia, methemoglobinemia, skin affection </w:t>
            </w:r>
          </w:p>
        </w:tc>
      </w:tr>
      <w:tr w:rsidR="007E0A41" w:rsidRPr="007E0A41" w:rsidTr="00F144F6">
        <w:trPr>
          <w:trHeight w:val="5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Cyclophosphamide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1-2 mg/kg/day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Oral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10-70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Myelosuppression, infection, secondary neoplasm, infertility, hemorrhagic cystitis</w:t>
            </w:r>
          </w:p>
        </w:tc>
      </w:tr>
      <w:tr w:rsidR="007E0A41" w:rsidRPr="007E0A41" w:rsidTr="00F144F6">
        <w:trPr>
          <w:trHeight w:val="340"/>
        </w:trPr>
        <w:tc>
          <w:tcPr>
            <w:tcW w:w="2835" w:type="dxa"/>
            <w:tcBorders>
              <w:top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 xml:space="preserve">Vinca alkaloids </w:t>
            </w: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1-2 mg/wk VC; 5-10 mg/wk VB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7E0A41" w:rsidRPr="007E0A41" w:rsidRDefault="007E0A41" w:rsidP="007E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i.v.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7E0A41" w:rsidRPr="007E0A41" w:rsidRDefault="007E0A41" w:rsidP="007E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0A41" w:rsidRPr="007E0A41" w:rsidRDefault="007E0A41" w:rsidP="007E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0-42</w:t>
            </w: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Myelosuppression, neuropathy, constipation</w:t>
            </w:r>
          </w:p>
        </w:tc>
      </w:tr>
    </w:tbl>
    <w:p w:rsidR="007E0A41" w:rsidRPr="007E0A41" w:rsidRDefault="007E0A41" w:rsidP="007E0A4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E0A41">
        <w:rPr>
          <w:rFonts w:ascii="Times New Roman" w:hAnsi="Times New Roman" w:cs="Times New Roman"/>
          <w:sz w:val="20"/>
          <w:szCs w:val="20"/>
          <w:lang w:val="en-US"/>
        </w:rPr>
        <w:t>AHT, arterial hypertension; ITP, immune thrombocytopenia; i.v., intravenous; VB, vinblastine; VC, vincristine; wk, week.</w:t>
      </w:r>
    </w:p>
    <w:p w:rsidR="007E0A41" w:rsidRPr="007E0A41" w:rsidRDefault="007E0A41" w:rsidP="007E0A41">
      <w:pPr>
        <w:rPr>
          <w:rFonts w:ascii="Times New Roman" w:hAnsi="Times New Roman" w:cs="Times New Roman"/>
          <w:b/>
          <w:sz w:val="20"/>
          <w:szCs w:val="20"/>
          <w:lang w:val="en-US"/>
        </w:rPr>
        <w:sectPr w:rsidR="007E0A41" w:rsidRPr="007E0A41" w:rsidSect="007C3264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7E0A41" w:rsidRPr="007E0A41" w:rsidRDefault="007E0A41" w:rsidP="007E0A41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E0A41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 xml:space="preserve">Supplementary Table S2. A proposal for the progressive dose reduction and suspension of treatment with TPO-RA  </w:t>
      </w: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E0A41" w:rsidRPr="007E0A41" w:rsidTr="00F144F6">
        <w:trPr>
          <w:trHeight w:val="340"/>
        </w:trPr>
        <w:tc>
          <w:tcPr>
            <w:tcW w:w="8494" w:type="dxa"/>
            <w:tcBorders>
              <w:top w:val="single" w:sz="12" w:space="0" w:color="auto"/>
              <w:bottom w:val="single" w:sz="12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Dose de-escalation proposal </w:t>
            </w:r>
          </w:p>
        </w:tc>
      </w:tr>
      <w:tr w:rsidR="007E0A41" w:rsidRPr="007E0A41" w:rsidTr="00F144F6">
        <w:trPr>
          <w:trHeight w:val="340"/>
        </w:trPr>
        <w:tc>
          <w:tcPr>
            <w:tcW w:w="8494" w:type="dxa"/>
            <w:tcBorders>
              <w:top w:val="single" w:sz="12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 xml:space="preserve">     Eltrombopag</w:t>
            </w:r>
          </w:p>
        </w:tc>
      </w:tr>
      <w:tr w:rsidR="007E0A41" w:rsidRPr="007E0A41" w:rsidTr="00F144F6">
        <w:trPr>
          <w:trHeight w:val="340"/>
        </w:trPr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Reduce 30% dose in each step</w:t>
            </w:r>
          </w:p>
        </w:tc>
      </w:tr>
      <w:tr w:rsidR="007E0A41" w:rsidRPr="007E0A41" w:rsidTr="00F144F6">
        <w:trPr>
          <w:trHeight w:val="567"/>
        </w:trPr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Monitor patient each 2 weeks: with stable platelet counts &gt;50x10</w:t>
            </w:r>
            <w:r w:rsidRPr="007E0A4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9</w:t>
            </w: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/L, introduce a new dose-</w:t>
            </w:r>
          </w:p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reduction step each 2-4 weeks </w:t>
            </w:r>
          </w:p>
        </w:tc>
      </w:tr>
      <w:tr w:rsidR="007E0A41" w:rsidRPr="007E0A41" w:rsidTr="00F144F6">
        <w:trPr>
          <w:trHeight w:val="340"/>
        </w:trPr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Romiplostim</w:t>
            </w:r>
          </w:p>
        </w:tc>
      </w:tr>
      <w:tr w:rsidR="007E0A41" w:rsidRPr="007E0A41" w:rsidTr="00F144F6">
        <w:trPr>
          <w:trHeight w:val="340"/>
        </w:trPr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Reduce 1mg/kg/week in each step</w:t>
            </w:r>
          </w:p>
        </w:tc>
      </w:tr>
      <w:tr w:rsidR="007E0A41" w:rsidRPr="007E0A41" w:rsidTr="00F144F6">
        <w:trPr>
          <w:trHeight w:val="340"/>
        </w:trPr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Avatrombopag</w:t>
            </w:r>
          </w:p>
        </w:tc>
      </w:tr>
      <w:tr w:rsidR="007E0A41" w:rsidRPr="007E0A41" w:rsidTr="00F144F6">
        <w:trPr>
          <w:trHeight w:val="340"/>
        </w:trPr>
        <w:tc>
          <w:tcPr>
            <w:tcW w:w="8494" w:type="dxa"/>
            <w:tcBorders>
              <w:top w:val="single" w:sz="4" w:space="0" w:color="auto"/>
              <w:bottom w:val="single" w:sz="12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Reduce dose progressively according to technical sheet</w:t>
            </w:r>
          </w:p>
        </w:tc>
      </w:tr>
      <w:tr w:rsidR="007E0A41" w:rsidRPr="007E0A41" w:rsidTr="00F144F6">
        <w:trPr>
          <w:trHeight w:val="340"/>
        </w:trPr>
        <w:tc>
          <w:tcPr>
            <w:tcW w:w="8494" w:type="dxa"/>
            <w:tcBorders>
              <w:top w:val="single" w:sz="12" w:space="0" w:color="auto"/>
              <w:bottom w:val="single" w:sz="12" w:space="0" w:color="auto"/>
            </w:tcBorders>
          </w:tcPr>
          <w:p w:rsidR="007E0A41" w:rsidRPr="007E0A41" w:rsidRDefault="007E0A41" w:rsidP="00865A8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b/>
                <w:sz w:val="20"/>
                <w:szCs w:val="20"/>
              </w:rPr>
              <w:t>Suitability</w:t>
            </w: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0A4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[5</w:t>
            </w:r>
            <w:r w:rsidR="00865A8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9</w:t>
            </w:r>
            <w:r w:rsidRPr="007E0A4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,6</w:t>
            </w:r>
            <w:r w:rsidR="00865A8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2</w:t>
            </w:r>
            <w:r w:rsidRPr="007E0A4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,6</w:t>
            </w:r>
            <w:r w:rsidR="00865A8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3</w:t>
            </w:r>
            <w:r w:rsidRPr="007E0A4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]</w:t>
            </w:r>
          </w:p>
        </w:tc>
      </w:tr>
      <w:tr w:rsidR="007E0A41" w:rsidRPr="007E0A41" w:rsidTr="00F144F6">
        <w:trPr>
          <w:trHeight w:val="340"/>
        </w:trPr>
        <w:tc>
          <w:tcPr>
            <w:tcW w:w="8494" w:type="dxa"/>
            <w:tcBorders>
              <w:top w:val="single" w:sz="12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 xml:space="preserve">     Candidate patients</w:t>
            </w:r>
          </w:p>
        </w:tc>
      </w:tr>
      <w:tr w:rsidR="007E0A41" w:rsidRPr="007E0A41" w:rsidTr="00F144F6">
        <w:trPr>
          <w:trHeight w:val="567"/>
        </w:trPr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Patients with platelet counts &gt;100×10</w:t>
            </w:r>
            <w:r w:rsidRPr="007E0A4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9</w:t>
            </w: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/L (complete response) which have been maintained for </w:t>
            </w:r>
          </w:p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≥6 months without rescue treatment </w:t>
            </w:r>
          </w:p>
        </w:tc>
      </w:tr>
      <w:tr w:rsidR="007E0A41" w:rsidRPr="007E0A41" w:rsidTr="00F144F6">
        <w:trPr>
          <w:trHeight w:val="340"/>
        </w:trPr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Patients with platelet counts &gt;50×10</w:t>
            </w:r>
            <w:r w:rsidRPr="007E0A4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9</w:t>
            </w: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/L in 75% of controls during ≥6 months</w:t>
            </w:r>
          </w:p>
        </w:tc>
      </w:tr>
      <w:tr w:rsidR="007E0A41" w:rsidRPr="007E0A41" w:rsidTr="00F144F6">
        <w:trPr>
          <w:trHeight w:val="340"/>
        </w:trPr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Non-indicated patients</w:t>
            </w:r>
          </w:p>
        </w:tc>
      </w:tr>
      <w:tr w:rsidR="007E0A41" w:rsidRPr="007E0A41" w:rsidTr="00F144F6">
        <w:trPr>
          <w:trHeight w:val="340"/>
        </w:trPr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Patients with history of severe or life-threatening bleeding and poor response to </w:t>
            </w: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 xml:space="preserve">rescue therapy </w:t>
            </w:r>
          </w:p>
        </w:tc>
      </w:tr>
      <w:tr w:rsidR="007E0A41" w:rsidRPr="007E0A41" w:rsidTr="00F144F6">
        <w:trPr>
          <w:trHeight w:val="340"/>
        </w:trPr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Patients with history of unsteady platelet count values </w:t>
            </w:r>
          </w:p>
        </w:tc>
      </w:tr>
      <w:tr w:rsidR="007E0A41" w:rsidRPr="007E0A41" w:rsidTr="00F144F6">
        <w:trPr>
          <w:trHeight w:val="340"/>
        </w:trPr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Patients with comorbidities increasing hemorrhagic risk </w:t>
            </w:r>
          </w:p>
        </w:tc>
      </w:tr>
      <w:tr w:rsidR="007E0A41" w:rsidRPr="007E0A41" w:rsidTr="00F144F6">
        <w:trPr>
          <w:trHeight w:val="340"/>
        </w:trPr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Patients in treatment with anticoagulant or antiplatelet agents </w:t>
            </w:r>
          </w:p>
        </w:tc>
      </w:tr>
      <w:tr w:rsidR="007E0A41" w:rsidRPr="007E0A41" w:rsidTr="00F144F6">
        <w:trPr>
          <w:trHeight w:val="340"/>
        </w:trPr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Patients with history of sharp drop of platelet count values after a slight dose </w:t>
            </w:r>
            <w:r w:rsidRPr="007E0A41">
              <w:rPr>
                <w:rFonts w:ascii="Times New Roman" w:hAnsi="Times New Roman" w:cs="Times New Roman"/>
                <w:sz w:val="20"/>
                <w:szCs w:val="20"/>
              </w:rPr>
              <w:t>modification</w:t>
            </w:r>
          </w:p>
        </w:tc>
      </w:tr>
      <w:tr w:rsidR="007E0A41" w:rsidRPr="007E0A41" w:rsidTr="00F144F6">
        <w:trPr>
          <w:trHeight w:val="340"/>
        </w:trPr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7E0A41" w:rsidRPr="007E0A41" w:rsidRDefault="007E0A41" w:rsidP="007E0A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Patients with platelet count values in the range of 30-50x10</w:t>
            </w:r>
            <w:r w:rsidRPr="007E0A4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9</w:t>
            </w:r>
            <w:r w:rsidRPr="007E0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/L</w:t>
            </w:r>
          </w:p>
        </w:tc>
      </w:tr>
    </w:tbl>
    <w:p w:rsidR="007E0A41" w:rsidRPr="007E0A41" w:rsidRDefault="007E0A41" w:rsidP="007E0A4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E0A41">
        <w:rPr>
          <w:rFonts w:ascii="Times New Roman" w:hAnsi="Times New Roman" w:cs="Times New Roman"/>
          <w:sz w:val="20"/>
          <w:szCs w:val="20"/>
          <w:lang w:val="en-US"/>
        </w:rPr>
        <w:t>TPO-RA, agonist of thrombopoietin receptor.</w:t>
      </w:r>
      <w:bookmarkStart w:id="0" w:name="_GoBack"/>
      <w:bookmarkEnd w:id="0"/>
    </w:p>
    <w:p w:rsidR="007E0A41" w:rsidRPr="007E0A41" w:rsidRDefault="007E0A41" w:rsidP="007E0A41">
      <w:pPr>
        <w:rPr>
          <w:lang w:val="en-US"/>
        </w:rPr>
      </w:pPr>
    </w:p>
    <w:p w:rsidR="007E0A41" w:rsidRPr="007E0A41" w:rsidRDefault="007E0A41" w:rsidP="007E0A41">
      <w:pPr>
        <w:rPr>
          <w:lang w:val="en-US"/>
        </w:rPr>
      </w:pPr>
    </w:p>
    <w:p w:rsidR="007E0A41" w:rsidRPr="007E0A41" w:rsidRDefault="007E0A41" w:rsidP="007E0A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E0A41" w:rsidRDefault="007E0A41"/>
    <w:sectPr w:rsidR="007E0A41" w:rsidSect="007E0A4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41"/>
    <w:rsid w:val="007E0A41"/>
    <w:rsid w:val="00851C39"/>
    <w:rsid w:val="00865A80"/>
    <w:rsid w:val="00ED61BF"/>
    <w:rsid w:val="00FB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2C871-E98B-4DBC-9769-B2C23AEE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7E0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E0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</dc:creator>
  <cp:keywords/>
  <dc:description/>
  <cp:lastModifiedBy>ramon</cp:lastModifiedBy>
  <cp:revision>3</cp:revision>
  <dcterms:created xsi:type="dcterms:W3CDTF">2023-09-04T10:30:00Z</dcterms:created>
  <dcterms:modified xsi:type="dcterms:W3CDTF">2023-09-04T10:31:00Z</dcterms:modified>
</cp:coreProperties>
</file>