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9D05" w14:textId="77777777" w:rsidR="00247F61" w:rsidRPr="00247F61" w:rsidRDefault="00247F61" w:rsidP="00247F61">
      <w:pPr>
        <w:adjustRightInd w:val="0"/>
        <w:snapToGrid w:val="0"/>
        <w:spacing w:before="240" w:after="60" w:line="228" w:lineRule="auto"/>
        <w:ind w:left="900"/>
        <w:outlineLvl w:val="0"/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val="en-US" w:eastAsia="de-DE" w:bidi="en-US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val="en-US" w:eastAsia="de-DE" w:bidi="en-US"/>
          <w14:ligatures w14:val="none"/>
        </w:rPr>
        <w:t xml:space="preserve">Supplementary Materials: </w:t>
      </w:r>
    </w:p>
    <w:p w14:paraId="20C193F9" w14:textId="77777777" w:rsidR="00247F61" w:rsidRPr="00247F61" w:rsidRDefault="00247F61" w:rsidP="00247F61">
      <w:pPr>
        <w:adjustRightInd w:val="0"/>
        <w:snapToGrid w:val="0"/>
        <w:spacing w:before="240" w:after="60" w:line="228" w:lineRule="auto"/>
        <w:ind w:left="2608"/>
        <w:outlineLvl w:val="0"/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val="en-US" w:eastAsia="de-DE" w:bidi="en-US"/>
          <w14:ligatures w14:val="none"/>
        </w:rPr>
      </w:pPr>
    </w:p>
    <w:p w14:paraId="3D56720D" w14:textId="77777777" w:rsidR="00247F61" w:rsidRPr="00247F61" w:rsidDel="00AB6BEA" w:rsidRDefault="00247F61" w:rsidP="00247F61">
      <w:pPr>
        <w:spacing w:line="257" w:lineRule="auto"/>
        <w:ind w:left="810"/>
        <w:rPr>
          <w:rFonts w:ascii="Palatino Linotype" w:eastAsia="Palatino Linotype" w:hAnsi="Palatino Linotype" w:cs="Palatino Linotype"/>
          <w:color w:val="000000"/>
          <w:kern w:val="0"/>
          <w:sz w:val="18"/>
          <w:szCs w:val="18"/>
          <w:lang w:val="en-US" w:eastAsia="zh-CN"/>
          <w14:ligatures w14:val="none"/>
        </w:rPr>
      </w:pPr>
      <w:r w:rsidRPr="00247F61">
        <w:rPr>
          <w:rFonts w:ascii="Palatino Linotype" w:eastAsia="Palatino Linotype" w:hAnsi="Palatino Linotype" w:cs="Palatino Linotype"/>
          <w:b/>
          <w:bCs/>
          <w:color w:val="000000"/>
          <w:kern w:val="0"/>
          <w:sz w:val="18"/>
          <w:szCs w:val="18"/>
          <w:lang w:val="en-US" w:eastAsia="zh-CN"/>
          <w14:ligatures w14:val="none"/>
        </w:rPr>
        <w:t>Table S1:</w:t>
      </w:r>
      <w:r w:rsidRPr="00247F61">
        <w:rPr>
          <w:rFonts w:ascii="Palatino Linotype" w:eastAsia="Palatino Linotype" w:hAnsi="Palatino Linotype" w:cs="Palatino Linotype"/>
          <w:color w:val="000000"/>
          <w:kern w:val="0"/>
          <w:sz w:val="18"/>
          <w:szCs w:val="18"/>
          <w:lang w:val="en-US" w:eastAsia="zh-CN"/>
          <w14:ligatures w14:val="none"/>
        </w:rPr>
        <w:t xml:space="preserve"> Recombinant RBD proteins evaluated in this project. </w:t>
      </w:r>
    </w:p>
    <w:tbl>
      <w:tblPr>
        <w:tblStyle w:val="MDPI41threelinetable"/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1860"/>
        <w:gridCol w:w="1830"/>
        <w:gridCol w:w="2115"/>
      </w:tblGrid>
      <w:tr w:rsidR="00247F61" w:rsidRPr="00247F61" w14:paraId="58494C61" w14:textId="77777777" w:rsidTr="00DD6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060" w:type="dxa"/>
          </w:tcPr>
          <w:p w14:paraId="38623836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9"/>
                <w:szCs w:val="19"/>
                <w14:ligatures w14:val="none"/>
              </w:rPr>
            </w:pPr>
            <w:r w:rsidRPr="00247F61">
              <w:rPr>
                <w:rFonts w:eastAsia="Palatino Linotype" w:cs="Palatino Linotype"/>
                <w:sz w:val="19"/>
                <w:szCs w:val="19"/>
                <w14:ligatures w14:val="none"/>
              </w:rPr>
              <w:t xml:space="preserve">RBD lot# used for vaccination  </w:t>
            </w:r>
          </w:p>
        </w:tc>
        <w:tc>
          <w:tcPr>
            <w:tcW w:w="1860" w:type="dxa"/>
          </w:tcPr>
          <w:p w14:paraId="2B134124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9"/>
                <w:szCs w:val="19"/>
                <w14:ligatures w14:val="none"/>
              </w:rPr>
            </w:pPr>
            <w:r w:rsidRPr="00247F61">
              <w:rPr>
                <w:rFonts w:eastAsia="Palatino Linotype" w:cs="Palatino Linotype"/>
                <w:sz w:val="19"/>
                <w:szCs w:val="19"/>
                <w14:ligatures w14:val="none"/>
              </w:rPr>
              <w:t xml:space="preserve">Purification ID </w:t>
            </w:r>
          </w:p>
        </w:tc>
        <w:tc>
          <w:tcPr>
            <w:tcW w:w="1830" w:type="dxa"/>
          </w:tcPr>
          <w:p w14:paraId="1CB6CD89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9"/>
                <w:szCs w:val="19"/>
                <w14:ligatures w14:val="none"/>
              </w:rPr>
            </w:pPr>
            <w:r w:rsidRPr="00247F61">
              <w:rPr>
                <w:rFonts w:eastAsia="Palatino Linotype" w:cs="Palatino Linotype"/>
                <w:sz w:val="19"/>
                <w:szCs w:val="19"/>
                <w14:ligatures w14:val="none"/>
              </w:rPr>
              <w:t xml:space="preserve">Fermentation ID </w:t>
            </w:r>
          </w:p>
        </w:tc>
        <w:tc>
          <w:tcPr>
            <w:tcW w:w="2115" w:type="dxa"/>
          </w:tcPr>
          <w:p w14:paraId="2BF7B0E0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9"/>
                <w:szCs w:val="19"/>
                <w14:ligatures w14:val="none"/>
              </w:rPr>
            </w:pPr>
            <w:r w:rsidRPr="00247F61">
              <w:rPr>
                <w:rFonts w:eastAsia="Palatino Linotype" w:cs="Palatino Linotype"/>
                <w:sz w:val="19"/>
                <w:szCs w:val="19"/>
                <w14:ligatures w14:val="none"/>
              </w:rPr>
              <w:t xml:space="preserve">RBD classification  </w:t>
            </w:r>
          </w:p>
        </w:tc>
      </w:tr>
      <w:tr w:rsidR="00247F61" w:rsidRPr="00247F61" w14:paraId="6F8C0B72" w14:textId="77777777" w:rsidTr="00DD6378">
        <w:trPr>
          <w:trHeight w:val="300"/>
        </w:trPr>
        <w:tc>
          <w:tcPr>
            <w:tcW w:w="3060" w:type="dxa"/>
          </w:tcPr>
          <w:p w14:paraId="0F03F843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S2RBD-150121JXL-1  </w:t>
            </w:r>
          </w:p>
        </w:tc>
        <w:tc>
          <w:tcPr>
            <w:tcW w:w="1860" w:type="dxa"/>
          </w:tcPr>
          <w:p w14:paraId="2657DFB5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PDD011221 </w:t>
            </w:r>
          </w:p>
        </w:tc>
        <w:tc>
          <w:tcPr>
            <w:tcW w:w="1830" w:type="dxa"/>
          </w:tcPr>
          <w:p w14:paraId="142DF388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PDF110220C </w:t>
            </w:r>
          </w:p>
        </w:tc>
        <w:tc>
          <w:tcPr>
            <w:tcW w:w="2115" w:type="dxa"/>
          </w:tcPr>
          <w:p w14:paraId="41E4548A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WT </w:t>
            </w:r>
          </w:p>
        </w:tc>
      </w:tr>
      <w:tr w:rsidR="00247F61" w:rsidRPr="00247F61" w14:paraId="5F8C6261" w14:textId="77777777" w:rsidTr="00DD6378">
        <w:trPr>
          <w:trHeight w:val="300"/>
        </w:trPr>
        <w:tc>
          <w:tcPr>
            <w:tcW w:w="3060" w:type="dxa"/>
          </w:tcPr>
          <w:p w14:paraId="6AA00208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S2RBD-140421JXL-1  </w:t>
            </w:r>
          </w:p>
        </w:tc>
        <w:tc>
          <w:tcPr>
            <w:tcW w:w="1860" w:type="dxa"/>
          </w:tcPr>
          <w:p w14:paraId="177AE339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PDD041221 </w:t>
            </w:r>
          </w:p>
        </w:tc>
        <w:tc>
          <w:tcPr>
            <w:tcW w:w="1830" w:type="dxa"/>
          </w:tcPr>
          <w:p w14:paraId="606BADEA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PDF032221B </w:t>
            </w:r>
          </w:p>
        </w:tc>
        <w:tc>
          <w:tcPr>
            <w:tcW w:w="2115" w:type="dxa"/>
          </w:tcPr>
          <w:p w14:paraId="1DFBCA4B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trike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>Beta</w:t>
            </w:r>
          </w:p>
        </w:tc>
      </w:tr>
      <w:tr w:rsidR="00247F61" w:rsidRPr="00247F61" w14:paraId="2D3F05B9" w14:textId="77777777" w:rsidTr="00DD6378">
        <w:trPr>
          <w:trHeight w:val="300"/>
        </w:trPr>
        <w:tc>
          <w:tcPr>
            <w:tcW w:w="3060" w:type="dxa"/>
          </w:tcPr>
          <w:p w14:paraId="27A719DA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S2RBD-300721JXL-1  </w:t>
            </w:r>
          </w:p>
        </w:tc>
        <w:tc>
          <w:tcPr>
            <w:tcW w:w="1860" w:type="dxa"/>
          </w:tcPr>
          <w:p w14:paraId="50978847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PDD072721A </w:t>
            </w:r>
          </w:p>
        </w:tc>
        <w:tc>
          <w:tcPr>
            <w:tcW w:w="1830" w:type="dxa"/>
          </w:tcPr>
          <w:p w14:paraId="6053DB97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PDF071221A </w:t>
            </w:r>
          </w:p>
        </w:tc>
        <w:tc>
          <w:tcPr>
            <w:tcW w:w="2115" w:type="dxa"/>
          </w:tcPr>
          <w:p w14:paraId="0C1C1ADB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Delta </w:t>
            </w:r>
          </w:p>
        </w:tc>
      </w:tr>
      <w:tr w:rsidR="00247F61" w:rsidRPr="00247F61" w14:paraId="1D7A7E14" w14:textId="77777777" w:rsidTr="00DD6378">
        <w:trPr>
          <w:trHeight w:val="300"/>
        </w:trPr>
        <w:tc>
          <w:tcPr>
            <w:tcW w:w="3060" w:type="dxa"/>
          </w:tcPr>
          <w:p w14:paraId="65CB4C97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S2RBD-141022JXL-1  </w:t>
            </w:r>
          </w:p>
        </w:tc>
        <w:tc>
          <w:tcPr>
            <w:tcW w:w="1860" w:type="dxa"/>
          </w:tcPr>
          <w:p w14:paraId="43463A83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PDD101022 </w:t>
            </w:r>
          </w:p>
        </w:tc>
        <w:tc>
          <w:tcPr>
            <w:tcW w:w="1830" w:type="dxa"/>
          </w:tcPr>
          <w:p w14:paraId="783F7E84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PDF082922B </w:t>
            </w:r>
          </w:p>
        </w:tc>
        <w:tc>
          <w:tcPr>
            <w:tcW w:w="2115" w:type="dxa"/>
          </w:tcPr>
          <w:p w14:paraId="36E5805F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BA.4/5  </w:t>
            </w:r>
          </w:p>
        </w:tc>
      </w:tr>
      <w:tr w:rsidR="00247F61" w:rsidRPr="00247F61" w14:paraId="0648FA88" w14:textId="77777777" w:rsidTr="00DD6378">
        <w:trPr>
          <w:trHeight w:val="360"/>
        </w:trPr>
        <w:tc>
          <w:tcPr>
            <w:tcW w:w="3060" w:type="dxa"/>
          </w:tcPr>
          <w:p w14:paraId="7F437644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Sc2RBD-140423JXL-1 </w:t>
            </w:r>
          </w:p>
        </w:tc>
        <w:tc>
          <w:tcPr>
            <w:tcW w:w="1860" w:type="dxa"/>
          </w:tcPr>
          <w:p w14:paraId="5A1D06F6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PDD041123 </w:t>
            </w:r>
          </w:p>
        </w:tc>
        <w:tc>
          <w:tcPr>
            <w:tcW w:w="1830" w:type="dxa"/>
          </w:tcPr>
          <w:p w14:paraId="26A0F9BD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PDF032023B1 </w:t>
            </w:r>
          </w:p>
        </w:tc>
        <w:tc>
          <w:tcPr>
            <w:tcW w:w="2115" w:type="dxa"/>
          </w:tcPr>
          <w:p w14:paraId="0899907F" w14:textId="77777777" w:rsidR="00247F61" w:rsidRPr="00247F61" w:rsidRDefault="00247F61" w:rsidP="00247F61">
            <w:pPr>
              <w:spacing w:line="260" w:lineRule="atLeast"/>
              <w:rPr>
                <w:rFonts w:eastAsia="Palatino Linotype" w:cs="Palatino Linotype"/>
                <w:sz w:val="18"/>
                <w:szCs w:val="18"/>
                <w14:ligatures w14:val="none"/>
              </w:rPr>
            </w:pPr>
            <w:r w:rsidRPr="00247F61">
              <w:rPr>
                <w:rFonts w:eastAsia="Palatino Linotype" w:cs="Palatino Linotype"/>
                <w:sz w:val="18"/>
                <w:szCs w:val="18"/>
                <w14:ligatures w14:val="none"/>
              </w:rPr>
              <w:t xml:space="preserve">XBB.1.5 </w:t>
            </w:r>
          </w:p>
        </w:tc>
      </w:tr>
    </w:tbl>
    <w:p w14:paraId="38BFF532" w14:textId="77777777" w:rsidR="00247F61" w:rsidRPr="00247F61" w:rsidRDefault="00247F61" w:rsidP="00247F61">
      <w:pPr>
        <w:spacing w:after="0" w:line="240" w:lineRule="auto"/>
        <w:ind w:left="2606"/>
        <w:jc w:val="both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</w:pPr>
    </w:p>
    <w:p w14:paraId="372E4513" w14:textId="77777777" w:rsidR="00247F61" w:rsidRPr="00247F61" w:rsidRDefault="00247F61" w:rsidP="00247F61">
      <w:pPr>
        <w:spacing w:after="0" w:line="240" w:lineRule="auto"/>
        <w:ind w:left="2606"/>
        <w:jc w:val="both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</w:pPr>
    </w:p>
    <w:p w14:paraId="051CAF71" w14:textId="77777777" w:rsidR="00247F61" w:rsidRPr="00247F61" w:rsidRDefault="00247F61" w:rsidP="00247F61">
      <w:pPr>
        <w:spacing w:after="0" w:line="240" w:lineRule="auto"/>
        <w:ind w:left="810"/>
        <w:jc w:val="both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List of mutations included in the SARS-COV-2 spikeprotein of the lentiviral-based pseudoviruses</w:t>
      </w:r>
    </w:p>
    <w:p w14:paraId="388324BE" w14:textId="77777777" w:rsidR="00247F61" w:rsidRPr="00247F61" w:rsidRDefault="00247F61" w:rsidP="00247F61">
      <w:pPr>
        <w:spacing w:after="0" w:line="240" w:lineRule="auto"/>
        <w:ind w:left="810"/>
        <w:jc w:val="both"/>
        <w:rPr>
          <w:rFonts w:ascii="Palatino Linotype" w:eastAsia="宋体" w:hAnsi="Palatino Linotype" w:cs="Times New Roman"/>
          <w:kern w:val="0"/>
          <w:sz w:val="20"/>
          <w:szCs w:val="20"/>
          <w:lang w:val="pt-BR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BA.2.75.2</w:t>
      </w:r>
      <w:r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>: T19I, del24-26, A27S, G142D, K147E, W152R, F157L, I210V, V213G, G257S, G339H, R346T, S371F, S373P, S375F, T376A, D405N, R408S, K417N, N440K, G446S, N460K, S477N, T478K, E484A, F486S, Q498R, N501Y, Y505H, D614G, H655Y, N679K, P681H, N764K, D796Y, Q954H, N969K, D1199N</w:t>
      </w:r>
    </w:p>
    <w:p w14:paraId="1A256AB0" w14:textId="77777777" w:rsidR="00247F61" w:rsidRPr="00247F61" w:rsidRDefault="00247F61" w:rsidP="00247F61">
      <w:pPr>
        <w:spacing w:after="0" w:line="240" w:lineRule="auto"/>
        <w:ind w:left="810"/>
        <w:jc w:val="both"/>
        <w:rPr>
          <w:rFonts w:ascii="Palatino Linotype" w:eastAsia="宋体" w:hAnsi="Palatino Linotype" w:cs="Times New Roman"/>
          <w:kern w:val="0"/>
          <w:sz w:val="20"/>
          <w:szCs w:val="20"/>
          <w:lang w:val="pt-BR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BA.4:</w:t>
      </w:r>
      <w:r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 T19I, del24-26, A27S, del69-70, G142D, V213G, G339D, S371F, T376A, D405N, R408S, K417N, N440K, L452R, S477N, T478K, E484A, F486V, Q498R, N501Y, Y505H, D614G, H655Y, N679K, P681H, N764K, D796Y, Q954H, N969K</w:t>
      </w:r>
    </w:p>
    <w:p w14:paraId="287A975D" w14:textId="77777777" w:rsidR="00247F61" w:rsidRPr="00247F61" w:rsidRDefault="00247F61" w:rsidP="00247F61">
      <w:pPr>
        <w:spacing w:after="0" w:line="240" w:lineRule="auto"/>
        <w:ind w:left="810"/>
        <w:jc w:val="both"/>
        <w:rPr>
          <w:rFonts w:ascii="Palatino Linotype" w:eastAsia="宋体" w:hAnsi="Palatino Linotype" w:cs="Times New Roman"/>
          <w:kern w:val="0"/>
          <w:sz w:val="20"/>
          <w:szCs w:val="20"/>
          <w:lang w:val="pt-BR"/>
          <w14:ligatures w14:val="none"/>
        </w:rPr>
      </w:pPr>
      <w:r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 </w:t>
      </w:r>
    </w:p>
    <w:p w14:paraId="020D91D2" w14:textId="77777777" w:rsidR="00247F61" w:rsidRPr="00247F61" w:rsidRDefault="00247F61" w:rsidP="00247F61">
      <w:pPr>
        <w:spacing w:after="0" w:line="240" w:lineRule="auto"/>
        <w:ind w:left="810"/>
        <w:jc w:val="both"/>
        <w:rPr>
          <w:rFonts w:ascii="Palatino Linotype" w:eastAsia="宋体" w:hAnsi="Palatino Linotype" w:cs="Times New Roman"/>
          <w:kern w:val="0"/>
          <w:sz w:val="20"/>
          <w:szCs w:val="20"/>
          <w:lang w:val="pt-BR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BQ.1.1:</w:t>
      </w:r>
      <w:r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 T19I, del24-26, A27S, del69-70, G142D, V213G, G339D, R346T, S371F, T376A, D405N, R408S, K417N, N440K, K444T, L452R, N460K, S477N, T478K, E484A, F486V, Q498R, N501Y, Y505H, D614G, H655Y, N679K, P681H, N764K, D796Y, Q954H, N969K</w:t>
      </w:r>
    </w:p>
    <w:p w14:paraId="5D9FE042" w14:textId="77777777" w:rsidR="00247F61" w:rsidRPr="00247F61" w:rsidRDefault="00247F61" w:rsidP="00247F61">
      <w:pPr>
        <w:spacing w:after="0" w:line="240" w:lineRule="auto"/>
        <w:ind w:left="810"/>
        <w:jc w:val="both"/>
        <w:rPr>
          <w:rFonts w:ascii="Palatino Linotype" w:eastAsia="宋体" w:hAnsi="Palatino Linotype" w:cs="Times New Roman"/>
          <w:kern w:val="0"/>
          <w:sz w:val="20"/>
          <w:szCs w:val="20"/>
          <w:lang w:val="pt-BR"/>
          <w14:ligatures w14:val="none"/>
        </w:rPr>
      </w:pPr>
      <w:r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 </w:t>
      </w:r>
    </w:p>
    <w:p w14:paraId="596B1BF2" w14:textId="77777777" w:rsidR="00247F61" w:rsidRPr="00247F61" w:rsidRDefault="00247F61" w:rsidP="00247F61">
      <w:pPr>
        <w:spacing w:after="0" w:line="240" w:lineRule="auto"/>
        <w:ind w:left="810"/>
        <w:jc w:val="both"/>
        <w:rPr>
          <w:rFonts w:ascii="Palatino Linotype" w:eastAsia="宋体" w:hAnsi="Palatino Linotype" w:cs="Times New Roman"/>
          <w:kern w:val="0"/>
          <w:sz w:val="20"/>
          <w:szCs w:val="20"/>
          <w:lang w:val="pt-BR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XBB.1.5:</w:t>
      </w:r>
      <w:r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 T19I, L24S, del25-27, V83A, G142D, del144, H146Q, Q183E, V213E, G252V, G339H, R346T, L368I, S371F, S373P, S375F, T376A, D405N, R408S, K417N, N440K, V445P, G446S, N460K, S477N, T478K, E484A, F486P, F490S, Q498R, N501Y, Y505H, D614G, H655Y, N679K, P681H, N764K, D796Y, Q954H, N969K</w:t>
      </w:r>
    </w:p>
    <w:p w14:paraId="7D1BE6D5" w14:textId="77777777" w:rsidR="00247F61" w:rsidRPr="00247F61" w:rsidRDefault="00247F61" w:rsidP="00247F61">
      <w:pPr>
        <w:spacing w:after="0" w:line="240" w:lineRule="auto"/>
        <w:ind w:left="810"/>
        <w:jc w:val="both"/>
        <w:rPr>
          <w:rFonts w:ascii="Palatino Linotype" w:eastAsia="宋体" w:hAnsi="Palatino Linotype" w:cs="Times New Roman"/>
          <w:kern w:val="0"/>
          <w:sz w:val="20"/>
          <w:szCs w:val="20"/>
          <w:lang w:val="pt-BR"/>
          <w14:ligatures w14:val="none"/>
        </w:rPr>
      </w:pPr>
      <w:r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 </w:t>
      </w:r>
    </w:p>
    <w:p w14:paraId="32736401" w14:textId="77777777" w:rsidR="00247F61" w:rsidRDefault="00247F61" w:rsidP="00247F61">
      <w:pPr>
        <w:spacing w:after="0" w:line="240" w:lineRule="auto"/>
        <w:ind w:left="810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XBB.1.16:</w:t>
      </w:r>
      <w:r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 T19I, L24S, del25-27, V83A, G142D, del144, H146Q, E180V, Q183E, V213E, G252V, G339H, R346T, L368I, S371F, S373P, S375F, T376A, D405N, R408S, K417N, N440K, V445P, G446S, N460K, S477N, T478R, E484A, F486P, F490S, Q498R, N501Y, Y505H, D614G, H655Y, N679K, P681H, N764K, D796Y, Q954H, N969K</w:t>
      </w:r>
    </w:p>
    <w:p w14:paraId="22FFDC9D" w14:textId="77777777" w:rsidR="00F06712" w:rsidRDefault="00F06712" w:rsidP="00247F61">
      <w:pPr>
        <w:spacing w:after="0" w:line="240" w:lineRule="auto"/>
        <w:ind w:left="810"/>
        <w:jc w:val="both"/>
        <w:rPr>
          <w:rFonts w:ascii="Palatino Linotype" w:eastAsia="宋体" w:hAnsi="Palatino Linotype" w:cs="Times New Roman"/>
          <w:kern w:val="0"/>
          <w:sz w:val="20"/>
          <w:szCs w:val="20"/>
          <w:lang w:val="pt-BR"/>
          <w14:ligatures w14:val="none"/>
        </w:rPr>
      </w:pPr>
    </w:p>
    <w:p w14:paraId="1B332068" w14:textId="3D0BFBAA" w:rsidR="00F06712" w:rsidRPr="00247F61" w:rsidRDefault="00F06712" w:rsidP="00247F61">
      <w:pPr>
        <w:spacing w:after="0" w:line="240" w:lineRule="auto"/>
        <w:ind w:left="810"/>
        <w:jc w:val="both"/>
        <w:rPr>
          <w:rFonts w:ascii="Palatino Linotype" w:eastAsia="宋体" w:hAnsi="Palatino Linotype" w:cs="Times New Roman"/>
          <w:kern w:val="0"/>
          <w:sz w:val="20"/>
          <w:szCs w:val="20"/>
          <w:lang w:val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EG</w:t>
      </w: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.</w:t>
      </w:r>
      <w:r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5</w:t>
      </w:r>
      <w:r w:rsidR="00864BE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.1</w:t>
      </w: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t>:</w:t>
      </w:r>
      <w:r w:rsidR="00D8552E" w:rsidRPr="00D8552E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 </w:t>
      </w:r>
      <w:r w:rsidR="00D8552E"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T19I, L24S, del25-27, </w:t>
      </w:r>
      <w:r w:rsidR="00864BEA">
        <w:rPr>
          <w:rFonts w:eastAsia="Times New Roman"/>
        </w:rPr>
        <w:t xml:space="preserve">Q52H, </w:t>
      </w:r>
      <w:r w:rsidR="00D8552E"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V83A, G142D, del144, H146Q, Q183E, V213E, G252V, G339H, R346T, L368I, S371F, S373P, S375F, T376A, D405N, R408S, K417N, N440K, V445P, G446S, </w:t>
      </w:r>
      <w:r w:rsidR="004D52BD" w:rsidRPr="004D52BD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>F456L</w:t>
      </w:r>
      <w:r w:rsidR="004D52BD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 xml:space="preserve">, </w:t>
      </w:r>
      <w:r w:rsidR="00D8552E" w:rsidRPr="00247F61">
        <w:rPr>
          <w:rFonts w:ascii="Palatino Linotype" w:eastAsia="Times New Roman" w:hAnsi="Palatino Linotype" w:cs="Times New Roman"/>
          <w:kern w:val="0"/>
          <w:sz w:val="20"/>
          <w:szCs w:val="20"/>
          <w:lang w:val="pt-BR" w:bidi="en-US"/>
          <w14:ligatures w14:val="none"/>
        </w:rPr>
        <w:t>N460K, S477N, T478K, E484A, F486P, F490S, Q498R, N501Y, Y505H, D614G, H655Y, N679K, P681H, N764K, D796Y, Q954H, N969K</w:t>
      </w:r>
    </w:p>
    <w:p w14:paraId="0FD04020" w14:textId="77777777" w:rsidR="00247F61" w:rsidRPr="00247F61" w:rsidRDefault="00247F61" w:rsidP="00247F61">
      <w:pPr>
        <w:spacing w:after="0" w:line="240" w:lineRule="auto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br w:type="page"/>
      </w:r>
    </w:p>
    <w:p w14:paraId="4338C339" w14:textId="77777777" w:rsidR="00247F61" w:rsidRPr="00247F61" w:rsidRDefault="00247F61" w:rsidP="00247F61">
      <w:pPr>
        <w:spacing w:after="0" w:line="240" w:lineRule="auto"/>
        <w:ind w:left="810"/>
        <w:jc w:val="both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pt-BR" w:bidi="en-US"/>
          <w14:ligatures w14:val="none"/>
        </w:rPr>
        <w:lastRenderedPageBreak/>
        <w:t xml:space="preserve">Fitted data plots of pseudovirus neutralization experiments </w:t>
      </w:r>
    </w:p>
    <w:p w14:paraId="73A63300" w14:textId="77777777" w:rsidR="00247F61" w:rsidRPr="00247F61" w:rsidRDefault="00247F61" w:rsidP="00247F61">
      <w:pPr>
        <w:adjustRightInd w:val="0"/>
        <w:snapToGrid w:val="0"/>
        <w:spacing w:before="240" w:after="60" w:line="228" w:lineRule="auto"/>
        <w:ind w:left="360"/>
        <w:outlineLvl w:val="0"/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20"/>
          <w:lang w:val="en-US" w:eastAsia="de-DE" w:bidi="en-US"/>
          <w14:ligatures w14:val="none"/>
        </w:rPr>
      </w:pPr>
      <w:r w:rsidRPr="00247F61">
        <w:rPr>
          <w:rFonts w:ascii="Palatino Linotype" w:eastAsia="Times New Roman" w:hAnsi="Palatino Linotype" w:cs="Times New Roman"/>
          <w:b/>
          <w:noProof/>
          <w:snapToGrid w:val="0"/>
          <w:color w:val="000000"/>
          <w:kern w:val="0"/>
          <w:sz w:val="20"/>
          <w:lang w:val="en-US" w:eastAsia="de-DE" w:bidi="en-US"/>
          <w14:ligatures w14:val="none"/>
        </w:rPr>
        <w:drawing>
          <wp:inline distT="0" distB="0" distL="0" distR="0" wp14:anchorId="50E05814" wp14:editId="01E87D57">
            <wp:extent cx="6645910" cy="5016500"/>
            <wp:effectExtent l="0" t="0" r="2540" b="0"/>
            <wp:docPr id="5" name="Picture 5" descr="A graph of different types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aph of different types of dat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8A46" w14:textId="77777777" w:rsidR="00247F61" w:rsidRPr="00247F61" w:rsidRDefault="00247F61" w:rsidP="00247F61">
      <w:pPr>
        <w:adjustRightInd w:val="0"/>
        <w:snapToGrid w:val="0"/>
        <w:spacing w:before="120" w:after="240" w:line="228" w:lineRule="auto"/>
        <w:ind w:left="900"/>
        <w:jc w:val="both"/>
        <w:rPr>
          <w:rFonts w:ascii="Palatino Linotype" w:eastAsia="Times New Roman" w:hAnsi="Palatino Linotype" w:cs="Calibri"/>
          <w:kern w:val="0"/>
          <w:sz w:val="18"/>
          <w:szCs w:val="20"/>
          <w:lang w:val="en-US" w:eastAsia="de-DE" w:bidi="en-US"/>
          <w14:ligatures w14:val="none"/>
        </w:rPr>
      </w:pPr>
      <w:r w:rsidRPr="00247F61">
        <w:rPr>
          <w:rFonts w:ascii="Palatino Linotype" w:eastAsia="Times New Roman" w:hAnsi="Palatino Linotype" w:cs="Calibri"/>
          <w:b/>
          <w:bCs/>
          <w:kern w:val="0"/>
          <w:sz w:val="20"/>
          <w:szCs w:val="20"/>
          <w:lang w:val="en-US" w:eastAsia="de-DE" w:bidi="en-US"/>
          <w14:ligatures w14:val="none"/>
        </w:rPr>
        <w:t>Figure S1.</w:t>
      </w:r>
      <w:r w:rsidRPr="00247F61">
        <w:rPr>
          <w:rFonts w:ascii="Palatino Linotype" w:eastAsia="Times New Roman" w:hAnsi="Palatino Linotype" w:cs="Calibri"/>
          <w:kern w:val="0"/>
          <w:sz w:val="20"/>
          <w:szCs w:val="20"/>
          <w:lang w:val="en-US" w:eastAsia="de-DE" w:bidi="en-US"/>
          <w14:ligatures w14:val="none"/>
        </w:rPr>
        <w:t xml:space="preserve"> Neutralizing antibody titers of sera from mice immunized with five variant RBDs (WT, Beta, Delta, BA.4/5 and XBB.1.5) adjuvanted with </w:t>
      </w:r>
      <w:proofErr w:type="spellStart"/>
      <w:r w:rsidRPr="00247F61">
        <w:rPr>
          <w:rFonts w:ascii="Palatino Linotype" w:eastAsia="Times New Roman" w:hAnsi="Palatino Linotype" w:cs="Calibri"/>
          <w:kern w:val="0"/>
          <w:sz w:val="20"/>
          <w:szCs w:val="20"/>
          <w:lang w:val="en-US" w:eastAsia="de-DE" w:bidi="en-US"/>
          <w14:ligatures w14:val="none"/>
        </w:rPr>
        <w:t>Alum+CpG</w:t>
      </w:r>
      <w:proofErr w:type="spellEnd"/>
      <w:r w:rsidRPr="00247F61">
        <w:rPr>
          <w:rFonts w:ascii="Palatino Linotype" w:eastAsia="Times New Roman" w:hAnsi="Palatino Linotype" w:cs="Calibri"/>
          <w:kern w:val="0"/>
          <w:sz w:val="20"/>
          <w:szCs w:val="20"/>
          <w:lang w:val="en-US" w:eastAsia="de-DE" w:bidi="en-US"/>
          <w14:ligatures w14:val="none"/>
        </w:rPr>
        <w:t xml:space="preserve"> against a panel of five </w:t>
      </w:r>
      <w:proofErr w:type="spellStart"/>
      <w:r w:rsidRPr="00247F61">
        <w:rPr>
          <w:rFonts w:ascii="Palatino Linotype" w:eastAsia="Times New Roman" w:hAnsi="Palatino Linotype" w:cs="Calibri"/>
          <w:kern w:val="0"/>
          <w:sz w:val="20"/>
          <w:szCs w:val="20"/>
          <w:lang w:val="en-US" w:eastAsia="de-DE" w:bidi="en-US"/>
          <w14:ligatures w14:val="none"/>
        </w:rPr>
        <w:t>pseudovirus</w:t>
      </w:r>
      <w:proofErr w:type="spellEnd"/>
      <w:r w:rsidRPr="00247F61">
        <w:rPr>
          <w:rFonts w:ascii="Palatino Linotype" w:eastAsia="Times New Roman" w:hAnsi="Palatino Linotype" w:cs="Calibri"/>
          <w:kern w:val="0"/>
          <w:sz w:val="20"/>
          <w:szCs w:val="20"/>
          <w:lang w:val="en-US" w:eastAsia="de-DE" w:bidi="en-US"/>
          <w14:ligatures w14:val="none"/>
        </w:rPr>
        <w:t xml:space="preserve"> variants (WT, Beta, Delta, BA.4/5 and XBB.1.5). Cross-protection against </w:t>
      </w:r>
      <w:proofErr w:type="spellStart"/>
      <w:r w:rsidRPr="00247F61">
        <w:rPr>
          <w:rFonts w:ascii="Palatino Linotype" w:eastAsia="Times New Roman" w:hAnsi="Palatino Linotype" w:cs="Calibri"/>
          <w:kern w:val="0"/>
          <w:sz w:val="20"/>
          <w:szCs w:val="20"/>
          <w:lang w:val="en-US" w:eastAsia="de-DE" w:bidi="en-US"/>
          <w14:ligatures w14:val="none"/>
        </w:rPr>
        <w:t>pseudoviruses</w:t>
      </w:r>
      <w:proofErr w:type="spellEnd"/>
      <w:r w:rsidRPr="00247F61">
        <w:rPr>
          <w:rFonts w:ascii="Palatino Linotype" w:eastAsia="Times New Roman" w:hAnsi="Palatino Linotype" w:cs="Calibri"/>
          <w:kern w:val="0"/>
          <w:sz w:val="20"/>
          <w:szCs w:val="20"/>
          <w:lang w:val="en-US" w:eastAsia="de-DE" w:bidi="en-US"/>
          <w14:ligatures w14:val="none"/>
        </w:rPr>
        <w:t xml:space="preserve"> decreases progressively from WT RBD to XBB 1.5. (Varying levels of cross-protection among WT, Beta, and Delta, but almost none against Omicron BA 4/5 and XBB 1.5). On the other hand, XBB 1.5 antigen showed cross-protection against Omicron BA 4/5, while BA 4/5 RBD showed very low-level neutralization titers against XBB 1.5 </w:t>
      </w:r>
      <w:proofErr w:type="spellStart"/>
      <w:r w:rsidRPr="00247F61">
        <w:rPr>
          <w:rFonts w:ascii="Palatino Linotype" w:eastAsia="Times New Roman" w:hAnsi="Palatino Linotype" w:cs="Calibri"/>
          <w:kern w:val="0"/>
          <w:sz w:val="20"/>
          <w:szCs w:val="20"/>
          <w:lang w:val="en-US" w:eastAsia="de-DE" w:bidi="en-US"/>
          <w14:ligatures w14:val="none"/>
        </w:rPr>
        <w:t>pseudovirus</w:t>
      </w:r>
      <w:proofErr w:type="spellEnd"/>
      <w:r w:rsidRPr="00247F61">
        <w:rPr>
          <w:rFonts w:ascii="Palatino Linotype" w:eastAsia="Times New Roman" w:hAnsi="Palatino Linotype" w:cs="Calibri"/>
          <w:kern w:val="0"/>
          <w:sz w:val="20"/>
          <w:szCs w:val="20"/>
          <w:lang w:val="en-US" w:eastAsia="de-DE" w:bidi="en-US"/>
          <w14:ligatures w14:val="none"/>
        </w:rPr>
        <w:t>.</w:t>
      </w:r>
    </w:p>
    <w:p w14:paraId="6B688242" w14:textId="77777777" w:rsidR="00247F61" w:rsidRPr="00247F61" w:rsidRDefault="00247F61" w:rsidP="00247F61">
      <w:pPr>
        <w:adjustRightInd w:val="0"/>
        <w:snapToGrid w:val="0"/>
        <w:spacing w:before="240" w:after="120" w:line="228" w:lineRule="auto"/>
        <w:ind w:left="2608"/>
        <w:jc w:val="both"/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18"/>
          <w:szCs w:val="20"/>
          <w:lang w:val="en-US" w:bidi="en-US"/>
          <w14:ligatures w14:val="none"/>
        </w:rPr>
      </w:pPr>
    </w:p>
    <w:p w14:paraId="235A0E39" w14:textId="77777777" w:rsidR="00247F61" w:rsidRPr="00247F61" w:rsidRDefault="00247F61" w:rsidP="00247F61">
      <w:pPr>
        <w:spacing w:after="0" w:line="240" w:lineRule="auto"/>
        <w:rPr>
          <w:rFonts w:ascii="Palatino Linotype" w:eastAsia="宋体" w:hAnsi="Palatino Linotype" w:cs="Times New Roman"/>
          <w:color w:val="000000"/>
          <w:kern w:val="0"/>
          <w:sz w:val="20"/>
          <w:szCs w:val="20"/>
          <w:lang w:val="en-US" w:eastAsia="zh-CN"/>
          <w14:ligatures w14:val="none"/>
        </w:rPr>
      </w:pPr>
    </w:p>
    <w:p w14:paraId="4F24AD45" w14:textId="77777777" w:rsidR="00CE0004" w:rsidRDefault="00CE0004"/>
    <w:sectPr w:rsidR="00CE0004" w:rsidSect="00247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4CE5" w14:textId="77777777" w:rsidR="004E1A33" w:rsidRDefault="004E1A33">
      <w:pPr>
        <w:spacing w:after="0" w:line="240" w:lineRule="auto"/>
      </w:pPr>
      <w:r>
        <w:separator/>
      </w:r>
    </w:p>
  </w:endnote>
  <w:endnote w:type="continuationSeparator" w:id="0">
    <w:p w14:paraId="37D1071A" w14:textId="77777777" w:rsidR="004E1A33" w:rsidRDefault="004E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6546" w14:textId="77777777" w:rsidR="0065117E" w:rsidRDefault="00651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2028" w14:textId="77777777" w:rsidR="0057193F" w:rsidRPr="00F63698" w:rsidRDefault="0057193F" w:rsidP="00151E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4ED1" w14:textId="77777777" w:rsidR="0057193F" w:rsidRDefault="0057193F" w:rsidP="008E1E9E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B38A" w14:textId="77777777" w:rsidR="004E1A33" w:rsidRDefault="004E1A33">
      <w:pPr>
        <w:spacing w:after="0" w:line="240" w:lineRule="auto"/>
      </w:pPr>
      <w:r>
        <w:separator/>
      </w:r>
    </w:p>
  </w:footnote>
  <w:footnote w:type="continuationSeparator" w:id="0">
    <w:p w14:paraId="2F25FA84" w14:textId="77777777" w:rsidR="004E1A33" w:rsidRDefault="004E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DB18" w14:textId="77777777" w:rsidR="0057193F" w:rsidRDefault="0057193F" w:rsidP="00151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FFBA" w14:textId="77777777" w:rsidR="0057193F" w:rsidRPr="0010772D" w:rsidRDefault="0057193F" w:rsidP="008E1E9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957EF8" w:rsidRPr="0079253B" w14:paraId="5E4C935D" w14:textId="77777777" w:rsidTr="00B71393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52EB7B7" w14:textId="69A5A5EF" w:rsidR="0057193F" w:rsidRPr="00E57C04" w:rsidRDefault="0057193F" w:rsidP="0079253B">
          <w:pPr>
            <w:pStyle w:val="Header"/>
            <w:rPr>
              <w:rFonts w:eastAsia="等线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14:paraId="4C4ADD58" w14:textId="77777777" w:rsidR="0057193F" w:rsidRPr="00E57C04" w:rsidRDefault="0057193F" w:rsidP="0079253B">
          <w:pPr>
            <w:pStyle w:val="Header"/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6F1A4817" w14:textId="4178C6FE" w:rsidR="0057193F" w:rsidRPr="00E57C04" w:rsidRDefault="0057193F" w:rsidP="00B71393">
          <w:pPr>
            <w:pStyle w:val="Header"/>
            <w:jc w:val="right"/>
            <w:rPr>
              <w:rFonts w:eastAsia="等线"/>
              <w:b/>
              <w:bCs/>
            </w:rPr>
          </w:pPr>
        </w:p>
      </w:tc>
    </w:tr>
  </w:tbl>
  <w:p w14:paraId="3ABE3E1D" w14:textId="77777777" w:rsidR="0057193F" w:rsidRPr="00957EF8" w:rsidRDefault="0057193F" w:rsidP="008E1E9E">
    <w:pPr>
      <w:pBdr>
        <w:bottom w:val="single" w:sz="4" w:space="1" w:color="000000"/>
      </w:pBdr>
      <w:adjustRightInd w:val="0"/>
      <w:snapToGrid w:val="0"/>
      <w:spacing w:line="1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61"/>
    <w:rsid w:val="00247F61"/>
    <w:rsid w:val="003370A4"/>
    <w:rsid w:val="0035040C"/>
    <w:rsid w:val="004D52BD"/>
    <w:rsid w:val="004E1A33"/>
    <w:rsid w:val="00530613"/>
    <w:rsid w:val="0057193F"/>
    <w:rsid w:val="0065117E"/>
    <w:rsid w:val="00686854"/>
    <w:rsid w:val="006E0696"/>
    <w:rsid w:val="00864BEA"/>
    <w:rsid w:val="008C7A8E"/>
    <w:rsid w:val="008F226B"/>
    <w:rsid w:val="00A92EC5"/>
    <w:rsid w:val="00CE0004"/>
    <w:rsid w:val="00D8552E"/>
    <w:rsid w:val="00DD71E7"/>
    <w:rsid w:val="00EB3F42"/>
    <w:rsid w:val="00F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35A7"/>
  <w15:chartTrackingRefBased/>
  <w15:docId w15:val="{05DBAAC1-469E-4AC3-B3C1-10109273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F61"/>
  </w:style>
  <w:style w:type="paragraph" w:styleId="Header">
    <w:name w:val="header"/>
    <w:basedOn w:val="Normal"/>
    <w:link w:val="HeaderChar"/>
    <w:uiPriority w:val="99"/>
    <w:semiHidden/>
    <w:unhideWhenUsed/>
    <w:rsid w:val="0024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F61"/>
  </w:style>
  <w:style w:type="table" w:customStyle="1" w:styleId="MDPI41threelinetable">
    <w:name w:val="MDPI_4.1_three_line_table"/>
    <w:basedOn w:val="TableNormal"/>
    <w:uiPriority w:val="99"/>
    <w:rsid w:val="00247F61"/>
    <w:pPr>
      <w:adjustRightInd w:val="0"/>
      <w:snapToGrid w:val="0"/>
      <w:spacing w:after="0" w:line="240" w:lineRule="auto"/>
      <w:jc w:val="center"/>
    </w:pPr>
    <w:rPr>
      <w:rFonts w:ascii="Palatino Linotype" w:eastAsia="宋体" w:hAnsi="Palatino Linotype" w:cs="Times New Roman"/>
      <w:color w:val="000000"/>
      <w:kern w:val="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2396</Characters>
  <Application>Microsoft Office Word</Application>
  <DocSecurity>0</DocSecurity>
  <Lines>63</Lines>
  <Paragraphs>35</Paragraphs>
  <ScaleCrop>false</ScaleCrop>
  <Company>Baylor College of Medicine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Wolf</dc:creator>
  <cp:keywords/>
  <dc:description/>
  <cp:lastModifiedBy>Icey Wang</cp:lastModifiedBy>
  <cp:revision>3</cp:revision>
  <dcterms:created xsi:type="dcterms:W3CDTF">2023-09-25T03:27:00Z</dcterms:created>
  <dcterms:modified xsi:type="dcterms:W3CDTF">2023-09-30T02:02:00Z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3f6c9a438f64daf2758ad04d3765e5b971e82625bc3ff17f3fc0410a56dca61e</vt:lpwstr>
  </property>
</Properties>
</file>