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1E" w:rsidRPr="00D16EA3" w:rsidRDefault="00E6741E" w:rsidP="00E6741E">
      <w:pPr>
        <w:rPr>
          <w:rStyle w:val="jlqj4b"/>
          <w:rFonts w:ascii="Palatino Linotype" w:hAnsi="Palatino Linotype" w:cs="Times New Roman"/>
          <w:b/>
          <w:sz w:val="20"/>
          <w:szCs w:val="20"/>
          <w:lang w:val="en-US"/>
        </w:rPr>
      </w:pPr>
      <w:r w:rsidRPr="00D16EA3">
        <w:rPr>
          <w:rStyle w:val="jlqj4b"/>
          <w:rFonts w:ascii="Palatino Linotype" w:hAnsi="Palatino Linotype" w:cs="Times New Roman"/>
          <w:b/>
          <w:sz w:val="20"/>
          <w:szCs w:val="20"/>
          <w:lang w:val="en-US"/>
        </w:rPr>
        <w:t>Supplementary</w:t>
      </w:r>
    </w:p>
    <w:p w:rsidR="00E6741E" w:rsidRPr="00D16EA3" w:rsidRDefault="00E6741E" w:rsidP="00E6741E">
      <w:pPr>
        <w:rPr>
          <w:rStyle w:val="jlqj4b"/>
          <w:rFonts w:ascii="Palatino Linotype" w:hAnsi="Palatino Linotype" w:cs="Times New Roman"/>
          <w:b/>
          <w:sz w:val="18"/>
          <w:szCs w:val="18"/>
          <w:lang w:val="en-US"/>
        </w:rPr>
      </w:pPr>
    </w:p>
    <w:p w:rsidR="002D4870" w:rsidRPr="00D16EA3" w:rsidRDefault="002D4870" w:rsidP="002D4870">
      <w:pPr>
        <w:spacing w:after="0" w:line="312" w:lineRule="auto"/>
        <w:ind w:firstLine="284"/>
        <w:rPr>
          <w:rFonts w:ascii="Palatino Linotype" w:eastAsia="Calibri" w:hAnsi="Palatino Linotype" w:cs="Times New Roman"/>
          <w:sz w:val="18"/>
          <w:szCs w:val="18"/>
          <w:lang w:val="en-US"/>
        </w:rPr>
      </w:pPr>
      <w:r w:rsidRPr="00D16EA3">
        <w:rPr>
          <w:rFonts w:ascii="Palatino Linotype" w:eastAsia="Calibri" w:hAnsi="Palatino Linotype" w:cs="Times New Roman"/>
          <w:b/>
          <w:sz w:val="18"/>
          <w:szCs w:val="18"/>
          <w:lang w:val="en-US"/>
        </w:rPr>
        <w:t>Table S</w:t>
      </w:r>
      <w:r>
        <w:rPr>
          <w:rFonts w:ascii="Palatino Linotype" w:eastAsia="Calibri" w:hAnsi="Palatino Linotype" w:cs="Times New Roman"/>
          <w:b/>
          <w:sz w:val="18"/>
          <w:szCs w:val="18"/>
          <w:lang w:val="en-US"/>
        </w:rPr>
        <w:t>1</w:t>
      </w:r>
      <w:r w:rsidRPr="00D16EA3">
        <w:rPr>
          <w:rFonts w:ascii="Palatino Linotype" w:eastAsia="Calibri" w:hAnsi="Palatino Linotype" w:cs="Times New Roman"/>
          <w:b/>
          <w:sz w:val="18"/>
          <w:szCs w:val="18"/>
          <w:lang w:val="en-US"/>
        </w:rPr>
        <w:t>.</w:t>
      </w:r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Representations (%) of </w:t>
      </w:r>
      <w:proofErr w:type="spellStart"/>
      <w:r w:rsidRPr="00D16EA3">
        <w:rPr>
          <w:rFonts w:ascii="Palatino Linotype" w:eastAsia="Calibri" w:hAnsi="Palatino Linotype" w:cs="Times New Roman"/>
          <w:i/>
          <w:sz w:val="18"/>
          <w:szCs w:val="18"/>
          <w:lang w:val="en-US"/>
        </w:rPr>
        <w:t>Neorhizobium</w:t>
      </w:r>
      <w:proofErr w:type="spellEnd"/>
      <w:r w:rsidRPr="00D16EA3">
        <w:rPr>
          <w:rFonts w:ascii="Palatino Linotype" w:eastAsia="Calibri" w:hAnsi="Palatino Linotype" w:cs="Times New Roman"/>
          <w:i/>
          <w:sz w:val="18"/>
          <w:szCs w:val="18"/>
          <w:lang w:val="en-US"/>
        </w:rPr>
        <w:t xml:space="preserve"> </w:t>
      </w:r>
      <w:proofErr w:type="spellStart"/>
      <w:r w:rsidRPr="00D16EA3">
        <w:rPr>
          <w:rFonts w:ascii="Palatino Linotype" w:eastAsia="Calibri" w:hAnsi="Palatino Linotype" w:cs="Times New Roman"/>
          <w:i/>
          <w:sz w:val="18"/>
          <w:szCs w:val="18"/>
          <w:lang w:val="en-US"/>
        </w:rPr>
        <w:t>galegae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core genes in the clusters identified by the gene nucleotide polymorphism (p-distance) and natural selection (</w:t>
      </w:r>
      <w:proofErr w:type="spell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dN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/</w:t>
      </w:r>
      <w:proofErr w:type="spell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dS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) indices (based on analysis of 782 genes which are polymorphic in </w:t>
      </w:r>
      <w:proofErr w:type="spell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biovars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</w:t>
      </w:r>
      <w:proofErr w:type="spellStart"/>
      <w:r w:rsidRPr="00D16EA3">
        <w:rPr>
          <w:rFonts w:ascii="Palatino Linotype" w:eastAsia="Calibri" w:hAnsi="Palatino Linotype" w:cs="Times New Roman"/>
          <w:i/>
          <w:sz w:val="18"/>
          <w:szCs w:val="18"/>
          <w:lang w:val="en-US"/>
        </w:rPr>
        <w:t>orientalis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and </w:t>
      </w:r>
      <w:proofErr w:type="spellStart"/>
      <w:r w:rsidRPr="00D16EA3">
        <w:rPr>
          <w:rFonts w:ascii="Palatino Linotype" w:eastAsia="Calibri" w:hAnsi="Palatino Linotype" w:cs="Times New Roman"/>
          <w:i/>
          <w:sz w:val="18"/>
          <w:szCs w:val="18"/>
          <w:lang w:val="en-US"/>
        </w:rPr>
        <w:t>officinalis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). 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1559"/>
        <w:gridCol w:w="1843"/>
        <w:gridCol w:w="1843"/>
        <w:gridCol w:w="850"/>
        <w:gridCol w:w="1270"/>
      </w:tblGrid>
      <w:tr w:rsidR="002D4870" w:rsidRPr="00140CC0" w:rsidTr="0071109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 xml:space="preserve">Indices 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Phenotypes of clusters (introduced in the text)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</w:tr>
      <w:tr w:rsidR="002D4870" w:rsidRPr="00D16EA3" w:rsidTr="0071109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Ori+Off</w:t>
            </w:r>
            <w:proofErr w:type="spellEnd"/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Ori+Off</w:t>
            </w:r>
            <w:proofErr w:type="spellEnd"/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Ori–Off+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Ori–Off–</w:t>
            </w:r>
          </w:p>
        </w:tc>
      </w:tr>
      <w:tr w:rsidR="002D4870" w:rsidRPr="00D16EA3" w:rsidTr="00711098"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p-distance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29,3±1,63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14,3±1,25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19,6±1,42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36,8±1,72</w:t>
            </w:r>
          </w:p>
        </w:tc>
      </w:tr>
      <w:tr w:rsidR="002D4870" w:rsidRPr="00D16EA3" w:rsidTr="00711098"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dN</w:t>
            </w:r>
            <w:proofErr w:type="spellEnd"/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/</w:t>
            </w:r>
            <w:proofErr w:type="spellStart"/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dS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18,9±1,40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24,4±1,53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10,8±1,11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70" w:rsidRPr="00D16EA3" w:rsidRDefault="002D4870" w:rsidP="00711098">
            <w:pPr>
              <w:spacing w:line="36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D16EA3">
              <w:rPr>
                <w:rFonts w:ascii="Palatino Linotype" w:hAnsi="Palatino Linotype"/>
                <w:sz w:val="18"/>
                <w:szCs w:val="18"/>
                <w:lang w:val="en-US"/>
              </w:rPr>
              <w:t>45,9±1,78</w:t>
            </w:r>
          </w:p>
        </w:tc>
      </w:tr>
    </w:tbl>
    <w:p w:rsidR="002D4870" w:rsidRDefault="002D4870" w:rsidP="00D16EA3">
      <w:pPr>
        <w:spacing w:after="0" w:line="312" w:lineRule="auto"/>
        <w:ind w:firstLine="284"/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</w:pPr>
    </w:p>
    <w:p w:rsidR="002D4870" w:rsidRDefault="002D4870" w:rsidP="00D16EA3">
      <w:pPr>
        <w:spacing w:after="0" w:line="312" w:lineRule="auto"/>
        <w:ind w:firstLine="284"/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</w:pPr>
    </w:p>
    <w:p w:rsidR="00E6741E" w:rsidRPr="00D16EA3" w:rsidRDefault="002D4870" w:rsidP="00D16EA3">
      <w:pPr>
        <w:spacing w:after="0" w:line="312" w:lineRule="auto"/>
        <w:ind w:firstLine="284"/>
        <w:rPr>
          <w:rStyle w:val="jlqj4b"/>
          <w:rFonts w:ascii="Palatino Linotype" w:hAnsi="Palatino Linotype" w:cs="Times New Roman"/>
          <w:sz w:val="18"/>
          <w:szCs w:val="18"/>
          <w:lang w:val="en"/>
        </w:rPr>
      </w:pPr>
      <w:r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  <w:t>Table S2</w:t>
      </w:r>
      <w:r w:rsidR="00E6741E" w:rsidRPr="00D16EA3"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  <w:t>.</w:t>
      </w:r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GO (Gene Ontology) enrichment (predominance of functional groups) of </w:t>
      </w:r>
      <w:proofErr w:type="spellStart"/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biovars</w:t>
      </w:r>
      <w:proofErr w:type="spellEnd"/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</w:t>
      </w:r>
      <w:proofErr w:type="spellStart"/>
      <w:r w:rsidR="00E6741E" w:rsidRPr="00D16EA3">
        <w:rPr>
          <w:rStyle w:val="jlqj4b"/>
          <w:rFonts w:ascii="Palatino Linotype" w:hAnsi="Palatino Linotype" w:cs="Times New Roman"/>
          <w:i/>
          <w:sz w:val="18"/>
          <w:szCs w:val="18"/>
          <w:lang w:val="en"/>
        </w:rPr>
        <w:t>orientalis</w:t>
      </w:r>
      <w:proofErr w:type="spellEnd"/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and </w:t>
      </w:r>
      <w:proofErr w:type="spellStart"/>
      <w:r w:rsidR="00E6741E" w:rsidRPr="00D16EA3">
        <w:rPr>
          <w:rStyle w:val="jlqj4b"/>
          <w:rFonts w:ascii="Palatino Linotype" w:hAnsi="Palatino Linotype" w:cs="Times New Roman"/>
          <w:i/>
          <w:sz w:val="18"/>
          <w:szCs w:val="18"/>
          <w:lang w:val="en"/>
        </w:rPr>
        <w:t>officinalis</w:t>
      </w:r>
      <w:proofErr w:type="spellEnd"/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(I), 229 genes, </w:t>
      </w:r>
      <w:proofErr w:type="spellStart"/>
      <w:r w:rsidR="00E6741E" w:rsidRPr="00D16EA3">
        <w:rPr>
          <w:rStyle w:val="jlqj4b"/>
          <w:rFonts w:ascii="Palatino Linotype" w:hAnsi="Palatino Linotype" w:cs="Times New Roman"/>
          <w:i/>
          <w:sz w:val="18"/>
          <w:szCs w:val="18"/>
          <w:lang w:val="en"/>
        </w:rPr>
        <w:t>orientalis</w:t>
      </w:r>
      <w:proofErr w:type="spellEnd"/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(II), 153 genes and </w:t>
      </w:r>
      <w:r w:rsidR="00E6741E" w:rsidRPr="00D16EA3">
        <w:rPr>
          <w:rStyle w:val="jlqj4b"/>
          <w:rFonts w:ascii="Palatino Linotype" w:hAnsi="Palatino Linotype" w:cs="Times New Roman"/>
          <w:i/>
          <w:sz w:val="18"/>
          <w:szCs w:val="18"/>
          <w:lang w:val="en"/>
        </w:rPr>
        <w:t>officinalis</w:t>
      </w:r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(III), 112 genes. The most enriched 10 functional groups of GO are shown,</w:t>
      </w:r>
      <w:r w:rsidR="00E6741E" w:rsidRPr="00D16EA3">
        <w:rPr>
          <w:rStyle w:val="viiyi"/>
          <w:rFonts w:ascii="Palatino Linotype" w:hAnsi="Palatino Linotype" w:cs="Times New Roman"/>
          <w:sz w:val="18"/>
          <w:szCs w:val="18"/>
          <w:lang w:val="en"/>
        </w:rPr>
        <w:t xml:space="preserve"> </w:t>
      </w:r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with a polymorphism (p-</w:t>
      </w:r>
      <w:proofErr w:type="gramStart"/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distance )</w:t>
      </w:r>
      <w:proofErr w:type="gramEnd"/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value above the average. The last group (IV) </w:t>
      </w:r>
      <w:proofErr w:type="spellStart"/>
      <w:r w:rsidR="00E6741E" w:rsidRPr="00D16EA3">
        <w:rPr>
          <w:rStyle w:val="jlqj4b"/>
          <w:rFonts w:ascii="Palatino Linotype" w:hAnsi="Palatino Linotype" w:cs="Times New Roman"/>
          <w:i/>
          <w:sz w:val="18"/>
          <w:szCs w:val="18"/>
          <w:lang w:val="en"/>
        </w:rPr>
        <w:t>officinalis</w:t>
      </w:r>
      <w:proofErr w:type="spellEnd"/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and </w:t>
      </w:r>
      <w:proofErr w:type="spellStart"/>
      <w:r w:rsidR="00E6741E" w:rsidRPr="00D16EA3">
        <w:rPr>
          <w:rStyle w:val="jlqj4b"/>
          <w:rFonts w:ascii="Palatino Linotype" w:hAnsi="Palatino Linotype" w:cs="Times New Roman"/>
          <w:i/>
          <w:sz w:val="18"/>
          <w:szCs w:val="18"/>
          <w:lang w:val="en"/>
        </w:rPr>
        <w:t>orientalis</w:t>
      </w:r>
      <w:proofErr w:type="spellEnd"/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, 288 genes with a polymorphism (p-</w:t>
      </w:r>
      <w:proofErr w:type="gramStart"/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distance )</w:t>
      </w:r>
      <w:proofErr w:type="gramEnd"/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value below the average.</w:t>
      </w:r>
      <w:r w:rsidR="00E6741E" w:rsidRPr="00D16EA3">
        <w:rPr>
          <w:rStyle w:val="viiyi"/>
          <w:rFonts w:ascii="Palatino Linotype" w:hAnsi="Palatino Linotype" w:cs="Times New Roman"/>
          <w:sz w:val="18"/>
          <w:szCs w:val="18"/>
          <w:lang w:val="en"/>
        </w:rPr>
        <w:t xml:space="preserve"> </w:t>
      </w:r>
      <w:r w:rsidR="00E6741E"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782 genes were used in the functional analysis.</w:t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2552"/>
        <w:gridCol w:w="1069"/>
        <w:gridCol w:w="749"/>
        <w:gridCol w:w="906"/>
        <w:gridCol w:w="1175"/>
        <w:gridCol w:w="955"/>
        <w:gridCol w:w="2552"/>
      </w:tblGrid>
      <w:tr w:rsidR="00E6741E" w:rsidRPr="00D16EA3" w:rsidTr="00102148">
        <w:trPr>
          <w:trHeight w:val="2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GO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COG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All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genes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Selected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Enrichment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val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Description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(I)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  <w:lang w:val="en-US"/>
              </w:rPr>
              <w:t>orientalis</w:t>
            </w: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  <w:t>+</w:t>
            </w:r>
            <w:r w:rsidRPr="00D16EA3"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  <w:lang w:val="en-US"/>
              </w:rPr>
              <w:t>officinalis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(p-distance  more than average)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</w:tr>
      <w:tr w:rsidR="00E6741E" w:rsidRPr="00140CC0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GO:0009396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EFH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3.41485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0.0005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folic acid-containing compound biosynthetic process</w:t>
            </w:r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GO:0006040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FGJM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3.41485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amino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sugar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140CC0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GO:0042559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EFH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2.92701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pteridine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-containing compound biosynthetic process</w:t>
            </w:r>
          </w:p>
        </w:tc>
      </w:tr>
      <w:tr w:rsidR="00E6741E" w:rsidRPr="00140CC0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GO:0006760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EFH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2.92701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folic acid-containing compound metabolic process</w:t>
            </w:r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GO:0046653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EFH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2.84571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tetrahydrofolate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GO:0008170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JS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2.84571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N-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methyltransferase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activity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GO:0032508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2.73188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DNA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duplex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unwinding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GO:0032392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2.73188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DNA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geometric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change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GO:0019200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GQ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2.73188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0.0263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carbohydrate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kinase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activity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GO:0017004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OS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2.73188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cytochrome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complex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assembly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(II)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  <w:lang w:val="en-US"/>
              </w:rPr>
              <w:t>orientalis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only  (p-distance  more than average)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lastRenderedPageBreak/>
              <w:t>GO:1901271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IMS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4.08889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lipooligosaccharide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biosynthetic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GO:0033293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4.08889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0.0062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monocarboxylic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acid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binding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GO:0009245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IMS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4.08889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lipid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biosynthetic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GO:0009312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GIMS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3.65079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oligosaccharide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biosynthetic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GO:1901269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IMS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3.40741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lipooligosaccharide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GO:0046493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IMS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3.40741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lipid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GO:0016791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EFGIPT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3.40741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phosphatase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activity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GO:0016311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EFGIPT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3.40741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dephosphorylation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GO:0009311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GIMS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3.19444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oligosaccharide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GO:0042578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EFGIKPST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2.55556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0.0273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phosphoric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ester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hydrolase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activity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(III) </w:t>
            </w:r>
            <w:r w:rsidRPr="00D16EA3"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  <w:lang w:val="en-US"/>
              </w:rPr>
              <w:t>officinalis</w:t>
            </w: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only  (p-distance  more than average)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112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GO:0016840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EF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5.58571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carbon-nitrogen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lyase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activity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GO:0043023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JMS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4.18929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0.0248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ribosomal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large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subunit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binding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GO:0009185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FG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4.18929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ribonucleoside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diphosphate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140CC0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GO:0009179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FG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4.18929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 xml:space="preserve">purine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ribonucleoside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 xml:space="preserve"> diphosphate metabolic process</w:t>
            </w:r>
          </w:p>
        </w:tc>
      </w:tr>
      <w:tr w:rsidR="00E6741E" w:rsidRPr="00140CC0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GO:0009135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FG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4.18929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purine nucleoside diphosphate metabolic process</w:t>
            </w:r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GO:0006526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EF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3.98980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arginine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biosynthetic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GO:0006525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EF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3.98980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arginine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GO:0031163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EOS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3.49107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0.0386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metallo-sulfur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cluster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assembly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GO:0019318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CGM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3.49107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hexose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GO:0016226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EOS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3.49107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0.0406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iron-sulfur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cluster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assembly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(IV)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  <w:lang w:val="en-US"/>
              </w:rPr>
              <w:t>officinalis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and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  <w:lang w:val="en-US"/>
              </w:rPr>
              <w:t>orientalis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(p-distance  less than average)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  <w:t>782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</w:tr>
      <w:tr w:rsidR="00E6741E" w:rsidRPr="00140CC0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GO:0051085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2.71528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0.0066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chaperone cofactor-dependent protein refolding</w:t>
            </w:r>
          </w:p>
        </w:tc>
      </w:tr>
      <w:tr w:rsidR="00E6741E" w:rsidRPr="00140CC0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GO:0051084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2.71528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'de novo' posttranslational protein folding</w:t>
            </w:r>
          </w:p>
        </w:tc>
      </w:tr>
      <w:tr w:rsidR="00E6741E" w:rsidRPr="00140CC0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GO:0045259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2.71528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proton-transporting ATP synthase complex</w:t>
            </w:r>
          </w:p>
        </w:tc>
      </w:tr>
      <w:tr w:rsidR="00E6741E" w:rsidRPr="00140CC0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lastRenderedPageBreak/>
              <w:t>GO:0044087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DJKOS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2.71528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regulation of cellular component biogenesis</w:t>
            </w:r>
          </w:p>
        </w:tc>
      </w:tr>
      <w:tr w:rsidR="00E6741E" w:rsidRPr="00140CC0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GO:0043254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KO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2.71528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0.0069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regulation of protein-containing complex assembly</w:t>
            </w:r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GO:0042274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JS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2.71528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ribosomal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small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subunit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biogenesis</w:t>
            </w:r>
            <w:proofErr w:type="spellEnd"/>
          </w:p>
        </w:tc>
      </w:tr>
      <w:tr w:rsidR="00E6741E" w:rsidRPr="00140CC0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GO:0034249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JS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2.71528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negative regulation of cellular amide metabolic process</w:t>
            </w:r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GO:0022625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J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2.71528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cytosolic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large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ribosomal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subunit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GO:0017148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JS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2.71528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negative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regulation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translation</w:t>
            </w:r>
            <w:proofErr w:type="spellEnd"/>
          </w:p>
        </w:tc>
      </w:tr>
      <w:tr w:rsidR="00E6741E" w:rsidRPr="00140CC0" w:rsidTr="00102148">
        <w:trPr>
          <w:trHeight w:val="28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GO:0016469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2.71528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proton-transporting two-sector ATPase complex</w:t>
            </w:r>
          </w:p>
        </w:tc>
      </w:tr>
    </w:tbl>
    <w:p w:rsidR="00E6741E" w:rsidRDefault="00E6741E" w:rsidP="00455E1D">
      <w:pPr>
        <w:spacing w:after="0"/>
        <w:rPr>
          <w:rStyle w:val="jlqj4b"/>
          <w:rFonts w:ascii="Palatino Linotype" w:hAnsi="Palatino Linotype" w:cs="Times New Roman"/>
          <w:sz w:val="18"/>
          <w:szCs w:val="18"/>
          <w:lang w:val="en-US"/>
        </w:rPr>
      </w:pPr>
    </w:p>
    <w:p w:rsidR="00410834" w:rsidRPr="00D16EA3" w:rsidRDefault="00410834" w:rsidP="00455E1D">
      <w:pPr>
        <w:spacing w:after="0"/>
        <w:rPr>
          <w:rStyle w:val="jlqj4b"/>
          <w:rFonts w:ascii="Palatino Linotype" w:hAnsi="Palatino Linotype" w:cs="Times New Roman"/>
          <w:sz w:val="18"/>
          <w:szCs w:val="18"/>
          <w:lang w:val="en-US"/>
        </w:rPr>
      </w:pPr>
    </w:p>
    <w:p w:rsidR="00E6741E" w:rsidRPr="00D16EA3" w:rsidRDefault="00E6741E" w:rsidP="00E6741E">
      <w:pPr>
        <w:spacing w:after="0" w:line="312" w:lineRule="auto"/>
        <w:ind w:firstLine="284"/>
        <w:rPr>
          <w:rStyle w:val="jlqj4b"/>
          <w:rFonts w:ascii="Palatino Linotype" w:hAnsi="Palatino Linotype" w:cs="Times New Roman"/>
          <w:sz w:val="18"/>
          <w:szCs w:val="18"/>
          <w:lang w:val="en"/>
        </w:rPr>
      </w:pPr>
      <w:r w:rsidRPr="00D16EA3"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  <w:t>Table</w:t>
      </w:r>
      <w:r w:rsidR="00D16EA3" w:rsidRPr="00D16EA3"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  <w:t xml:space="preserve"> S</w:t>
      </w:r>
      <w:r w:rsidR="002D4870"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  <w:t>3</w:t>
      </w:r>
      <w:r w:rsidRPr="00D16EA3"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  <w:t>.</w:t>
      </w:r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GO (Gene Ontology) enrichment (predominance of functional groups) of </w:t>
      </w:r>
      <w:proofErr w:type="spellStart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biovars</w:t>
      </w:r>
      <w:proofErr w:type="spellEnd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</w:t>
      </w:r>
      <w:proofErr w:type="spellStart"/>
      <w:r w:rsidRPr="00D16EA3">
        <w:rPr>
          <w:rStyle w:val="jlqj4b"/>
          <w:rFonts w:ascii="Palatino Linotype" w:hAnsi="Palatino Linotype" w:cs="Times New Roman"/>
          <w:i/>
          <w:sz w:val="18"/>
          <w:szCs w:val="18"/>
          <w:lang w:val="en"/>
        </w:rPr>
        <w:t>orientalis</w:t>
      </w:r>
      <w:proofErr w:type="spellEnd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(646 genes) and </w:t>
      </w:r>
      <w:r w:rsidRPr="00D16EA3">
        <w:rPr>
          <w:rStyle w:val="jlqj4b"/>
          <w:rFonts w:ascii="Palatino Linotype" w:hAnsi="Palatino Linotype" w:cs="Times New Roman"/>
          <w:i/>
          <w:sz w:val="18"/>
          <w:szCs w:val="18"/>
          <w:lang w:val="en"/>
        </w:rPr>
        <w:t>officinalis</w:t>
      </w:r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(623 genes). The most enriched 10 functional groups of GO with a </w:t>
      </w:r>
      <w:proofErr w:type="spellStart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dN</w:t>
      </w:r>
      <w:proofErr w:type="spellEnd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/</w:t>
      </w:r>
      <w:proofErr w:type="spellStart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dS</w:t>
      </w:r>
      <w:proofErr w:type="spellEnd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ratio less than one (stabilizing selection) are shown.</w:t>
      </w:r>
      <w:r w:rsidRPr="00D16EA3">
        <w:rPr>
          <w:rStyle w:val="viiyi"/>
          <w:rFonts w:ascii="Palatino Linotype" w:hAnsi="Palatino Linotype" w:cs="Times New Roman"/>
          <w:sz w:val="18"/>
          <w:szCs w:val="18"/>
          <w:lang w:val="en"/>
        </w:rPr>
        <w:t xml:space="preserve"> </w:t>
      </w:r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782 genes were used in the functional analysis.</w:t>
      </w:r>
    </w:p>
    <w:tbl>
      <w:tblPr>
        <w:tblW w:w="9844" w:type="dxa"/>
        <w:tblInd w:w="113" w:type="dxa"/>
        <w:tblLook w:val="04A0" w:firstRow="1" w:lastRow="0" w:firstColumn="1" w:lastColumn="0" w:noHBand="0" w:noVBand="1"/>
      </w:tblPr>
      <w:tblGrid>
        <w:gridCol w:w="1271"/>
        <w:gridCol w:w="686"/>
        <w:gridCol w:w="916"/>
        <w:gridCol w:w="1183"/>
        <w:gridCol w:w="766"/>
        <w:gridCol w:w="750"/>
        <w:gridCol w:w="728"/>
        <w:gridCol w:w="3544"/>
      </w:tblGrid>
      <w:tr w:rsidR="00E6741E" w:rsidRPr="00D16EA3" w:rsidTr="00102148">
        <w:trPr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GO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  <w:t>ll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  <w:t>genes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  <w:t>elected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  <w:t>nrchment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P.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  <w:t>val</w:t>
            </w:r>
            <w:proofErr w:type="spellEnd"/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  <w:t>dN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  <w:t>dS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  <w:t>StDev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ind w:right="785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eastAsia="ru-RU"/>
              </w:rPr>
              <w:t>escription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  <w:lang w:val="en-US" w:eastAsia="ru-RU"/>
              </w:rPr>
              <w:t>Orientalis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782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646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1E" w:rsidRPr="00D16EA3" w:rsidRDefault="00E6741E" w:rsidP="00102148">
            <w:pPr>
              <w:spacing w:before="60" w:after="6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GO:0098797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1,21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0,0372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0,403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0,252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plasma membrane protein complex</w:t>
            </w:r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GO:0097659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1,21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0,</w:t>
            </w: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0302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nucleic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acid-templated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transcription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GO:0046031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0,438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ADP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GO:0032774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0,0336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RNA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biosynthetic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GO:0009124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0,0448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0,38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nucleoside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monophosphate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biosynthetic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GO:0007154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0,0282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0,394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0,191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cell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communication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GO:0006351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transcription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, DNA-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templated</w:t>
            </w:r>
            <w:proofErr w:type="spellEnd"/>
          </w:p>
        </w:tc>
      </w:tr>
      <w:tr w:rsidR="00E6741E" w:rsidRPr="00140CC0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GO:0006091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0,0193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0,437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generation of precursor metabolites and energy</w:t>
            </w:r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GO:0016874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0,0387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0,426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Ligase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activity</w:t>
            </w:r>
            <w:proofErr w:type="spellEnd"/>
          </w:p>
        </w:tc>
      </w:tr>
      <w:tr w:rsidR="00E6741E" w:rsidRPr="00140CC0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GO:0005515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0,0007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0,407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protein amino acid binding, glycoprotein binding</w:t>
            </w:r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  <w:lang w:val="en-US" w:eastAsia="ru-RU"/>
              </w:rPr>
              <w:t>Officinalis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ru-RU"/>
              </w:rPr>
              <w:t>782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ru-RU"/>
              </w:rPr>
              <w:t>623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GO:0072330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1,26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0,0153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0,574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0,262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 xml:space="preserve"> monocarboxylic acid biosynthetic process</w:t>
            </w:r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GO:0071826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1,26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  <w:t>0,0008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0,366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ribonucleoprotein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complex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subunit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organization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GO:0070925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0,0003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0,369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organelle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assembly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GO:0046364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0,0001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0,475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0,164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monosaccharide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biosynthetic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lastRenderedPageBreak/>
              <w:t>GO:0042886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0,0393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0,399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amide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transport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GO:0042274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0,0313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0,455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ribosomal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small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subunit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biogenesis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GO:0042273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0,0428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0,224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ribosomal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large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subunit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biogenesis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GO:0042255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0,0011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ribosome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assembly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GO:0033036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0,0245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0,349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0,234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macromolecule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localization</w:t>
            </w:r>
            <w:proofErr w:type="spellEnd"/>
          </w:p>
        </w:tc>
      </w:tr>
      <w:tr w:rsidR="00E6741E" w:rsidRPr="00D16EA3" w:rsidTr="00102148">
        <w:trPr>
          <w:trHeight w:val="319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GO:0022618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1,26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0,0009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0,34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0,115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ribonucleoprotein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complex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eastAsia="ru-RU"/>
              </w:rPr>
              <w:t>assembly</w:t>
            </w:r>
            <w:proofErr w:type="spellEnd"/>
          </w:p>
        </w:tc>
      </w:tr>
    </w:tbl>
    <w:p w:rsidR="00E6741E" w:rsidRPr="00D16EA3" w:rsidRDefault="00E6741E" w:rsidP="00E6741E">
      <w:pPr>
        <w:spacing w:after="0" w:line="312" w:lineRule="auto"/>
        <w:ind w:firstLine="284"/>
        <w:rPr>
          <w:rStyle w:val="jlqj4b"/>
          <w:rFonts w:ascii="Palatino Linotype" w:hAnsi="Palatino Linotype" w:cs="Times New Roman"/>
          <w:sz w:val="18"/>
          <w:szCs w:val="18"/>
          <w:lang w:val="en"/>
        </w:rPr>
      </w:pPr>
    </w:p>
    <w:p w:rsidR="002D4870" w:rsidRDefault="002D4870" w:rsidP="00E6741E">
      <w:pPr>
        <w:spacing w:after="0" w:line="312" w:lineRule="auto"/>
        <w:ind w:firstLine="284"/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</w:pPr>
    </w:p>
    <w:p w:rsidR="00E6741E" w:rsidRPr="00D16EA3" w:rsidRDefault="00E6741E" w:rsidP="00E6741E">
      <w:pPr>
        <w:spacing w:after="0" w:line="312" w:lineRule="auto"/>
        <w:ind w:firstLine="284"/>
        <w:rPr>
          <w:rStyle w:val="jlqj4b"/>
          <w:rFonts w:ascii="Palatino Linotype" w:hAnsi="Palatino Linotype" w:cs="Times New Roman"/>
          <w:sz w:val="18"/>
          <w:szCs w:val="18"/>
          <w:lang w:val="en"/>
        </w:rPr>
      </w:pPr>
      <w:r w:rsidRPr="00D16EA3"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  <w:t>Table</w:t>
      </w:r>
      <w:r w:rsidR="00D16EA3" w:rsidRPr="00D16EA3"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  <w:t xml:space="preserve"> S</w:t>
      </w:r>
      <w:r w:rsidR="002D4870"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  <w:t>4</w:t>
      </w:r>
      <w:r w:rsidRPr="00D16EA3">
        <w:rPr>
          <w:rStyle w:val="jlqj4b"/>
          <w:rFonts w:ascii="Palatino Linotype" w:hAnsi="Palatino Linotype" w:cs="Times New Roman"/>
          <w:b/>
          <w:sz w:val="18"/>
          <w:szCs w:val="18"/>
          <w:lang w:val="en"/>
        </w:rPr>
        <w:t>.</w:t>
      </w:r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GO (Gene Ontology) enrichment (predominance of functional groups) of </w:t>
      </w:r>
      <w:proofErr w:type="spellStart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biovars</w:t>
      </w:r>
      <w:proofErr w:type="spellEnd"/>
      <w:r w:rsidRPr="00D16EA3">
        <w:rPr>
          <w:rStyle w:val="viiyi"/>
          <w:rFonts w:ascii="Palatino Linotype" w:hAnsi="Palatino Linotype" w:cs="Times New Roman"/>
          <w:sz w:val="18"/>
          <w:szCs w:val="18"/>
          <w:lang w:val="en"/>
        </w:rPr>
        <w:t xml:space="preserve"> </w:t>
      </w:r>
      <w:proofErr w:type="spellStart"/>
      <w:r w:rsidRPr="00D16EA3">
        <w:rPr>
          <w:rStyle w:val="jlqj4b"/>
          <w:rFonts w:ascii="Palatino Linotype" w:hAnsi="Palatino Linotype" w:cs="Times New Roman"/>
          <w:i/>
          <w:sz w:val="18"/>
          <w:szCs w:val="18"/>
          <w:lang w:val="en"/>
        </w:rPr>
        <w:t>orientalis</w:t>
      </w:r>
      <w:proofErr w:type="spellEnd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(136 genes) and </w:t>
      </w:r>
      <w:r w:rsidRPr="00D16EA3">
        <w:rPr>
          <w:rStyle w:val="jlqj4b"/>
          <w:rFonts w:ascii="Palatino Linotype" w:hAnsi="Palatino Linotype" w:cs="Times New Roman"/>
          <w:i/>
          <w:sz w:val="18"/>
          <w:szCs w:val="18"/>
          <w:lang w:val="en"/>
        </w:rPr>
        <w:t>officinalis</w:t>
      </w:r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(159 genes). The most enriched 10 functional groups of GO with </w:t>
      </w:r>
      <w:proofErr w:type="spellStart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dN</w:t>
      </w:r>
      <w:proofErr w:type="spellEnd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/</w:t>
      </w:r>
      <w:proofErr w:type="spellStart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dS</w:t>
      </w:r>
      <w:proofErr w:type="spellEnd"/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 xml:space="preserve"> ratio greater than one (driving selection) are shown.</w:t>
      </w:r>
      <w:r w:rsidRPr="00D16EA3">
        <w:rPr>
          <w:rStyle w:val="viiyi"/>
          <w:rFonts w:ascii="Palatino Linotype" w:hAnsi="Palatino Linotype" w:cs="Times New Roman"/>
          <w:sz w:val="18"/>
          <w:szCs w:val="18"/>
          <w:lang w:val="en"/>
        </w:rPr>
        <w:t xml:space="preserve"> </w:t>
      </w:r>
      <w:r w:rsidRPr="00D16EA3">
        <w:rPr>
          <w:rStyle w:val="jlqj4b"/>
          <w:rFonts w:ascii="Palatino Linotype" w:hAnsi="Palatino Linotype" w:cs="Times New Roman"/>
          <w:sz w:val="18"/>
          <w:szCs w:val="18"/>
          <w:lang w:val="en"/>
        </w:rPr>
        <w:t>782 genes participated in the functional analysis.</w:t>
      </w:r>
    </w:p>
    <w:tbl>
      <w:tblPr>
        <w:tblW w:w="9794" w:type="dxa"/>
        <w:tblInd w:w="93" w:type="dxa"/>
        <w:tblLook w:val="04A0" w:firstRow="1" w:lastRow="0" w:firstColumn="1" w:lastColumn="0" w:noHBand="0" w:noVBand="1"/>
      </w:tblPr>
      <w:tblGrid>
        <w:gridCol w:w="1340"/>
        <w:gridCol w:w="686"/>
        <w:gridCol w:w="916"/>
        <w:gridCol w:w="1239"/>
        <w:gridCol w:w="830"/>
        <w:gridCol w:w="794"/>
        <w:gridCol w:w="728"/>
        <w:gridCol w:w="3261"/>
      </w:tblGrid>
      <w:tr w:rsidR="00E6741E" w:rsidRPr="00D16EA3" w:rsidTr="00102148">
        <w:trPr>
          <w:trHeight w:val="288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GO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All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genes</w:t>
            </w:r>
            <w:proofErr w:type="spellEnd"/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Selected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Enrichment</w:t>
            </w:r>
            <w:proofErr w:type="spellEnd"/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 xml:space="preserve">P.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val</w:t>
            </w:r>
            <w:proofErr w:type="spellEnd"/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dN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dS</w:t>
            </w:r>
            <w:proofErr w:type="spellEnd"/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StDev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Description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</w:rPr>
              <w:t>Orientalis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782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741E" w:rsidRPr="00D16EA3" w:rsidRDefault="00E6741E" w:rsidP="00102148">
            <w:pPr>
              <w:spacing w:before="60" w:after="6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GO:0019584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3.383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2.957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galactonate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catabolic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GO:0019583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5.75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3.383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2.957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galactonate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140CC0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GO:0016855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1.585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0.359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racemase and epimerase activity, acting on amino acids and derivatives</w:t>
            </w:r>
          </w:p>
        </w:tc>
      </w:tr>
      <w:tr w:rsidR="00E6741E" w:rsidRPr="00140CC0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GO:0047661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1.595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0.401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L-amino acid racemase activity</w:t>
            </w:r>
          </w:p>
        </w:tc>
      </w:tr>
      <w:tr w:rsidR="00E6741E" w:rsidRPr="00140CC0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GO:0036361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1.595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0.401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racemase activity, acting on amino acids and derivatives</w:t>
            </w:r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GO:0046176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3.383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2.957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aldonic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acid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catabolic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GO:0019520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3.383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2.957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aldonic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acid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GO:0009103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1.676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0.408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lipopolysaccharide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biosynthetic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GO:0016854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4.02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1.536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0.376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racemase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epimerase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activity</w:t>
            </w:r>
            <w:proofErr w:type="spellEnd"/>
          </w:p>
        </w:tc>
      </w:tr>
      <w:tr w:rsidR="00E6741E" w:rsidRPr="00140CC0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GO:0009074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0.0419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3.606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aromatic amino acid family catabolic process</w:t>
            </w:r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</w:rPr>
              <w:t>Officinalis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  <w:t>782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GO:0019584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2.073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0.486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741E" w:rsidRPr="00D16EA3" w:rsidRDefault="00E6741E" w:rsidP="00102148">
            <w:pPr>
              <w:spacing w:before="60" w:after="6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galactonate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catabolic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i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GO:0019583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b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4.92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2.073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0.486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60" w:after="6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galactonate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GO:0046176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2.073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0.486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aldonic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acid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catabolic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GO:0019520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0.0279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2.073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0.486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aldonic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acid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GO:0006749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3.69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2.694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1.432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glutathione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metabolic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process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GO:0008168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0.0082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1.595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molecular_function</w:t>
            </w:r>
            <w:proofErr w:type="spellEnd"/>
          </w:p>
        </w:tc>
      </w:tr>
      <w:tr w:rsidR="00E6741E" w:rsidRPr="00140CC0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GO:0008757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1.564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0.597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 xml:space="preserve"> S-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adenosylmethionine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 xml:space="preserve">-dependent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methyltransferase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 xml:space="preserve"> activity</w:t>
            </w:r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GO:0019842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1.924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0.682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vitamin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binding</w:t>
            </w:r>
            <w:proofErr w:type="spellEnd"/>
          </w:p>
        </w:tc>
      </w:tr>
      <w:tr w:rsidR="00E6741E" w:rsidRPr="00D16EA3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GO:0006400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0.0150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1.505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tRNA</w:t>
            </w:r>
            <w:proofErr w:type="spellEnd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modification</w:t>
            </w:r>
            <w:proofErr w:type="spellEnd"/>
          </w:p>
        </w:tc>
      </w:tr>
      <w:tr w:rsidR="00E6741E" w:rsidRPr="00140CC0" w:rsidTr="00102148">
        <w:trPr>
          <w:trHeight w:val="288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GO:0016616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0.0264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2.713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jc w:val="center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</w:rPr>
              <w:t>1.051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741E" w:rsidRPr="00D16EA3" w:rsidRDefault="00E6741E" w:rsidP="00102148">
            <w:pPr>
              <w:spacing w:before="40" w:after="40" w:line="240" w:lineRule="auto"/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Times New Roman" w:hAnsi="Palatino Linotype" w:cs="Times New Roman"/>
                <w:color w:val="000000"/>
                <w:sz w:val="18"/>
                <w:szCs w:val="18"/>
                <w:lang w:val="en-US"/>
              </w:rPr>
              <w:t>oxidoreductase activity, acting on the CH-OH group of donors, NAD or NADP as acceptor</w:t>
            </w:r>
          </w:p>
        </w:tc>
      </w:tr>
    </w:tbl>
    <w:p w:rsidR="00102148" w:rsidRDefault="00102148" w:rsidP="00E6741E">
      <w:pPr>
        <w:spacing w:after="0" w:line="360" w:lineRule="auto"/>
        <w:jc w:val="both"/>
        <w:rPr>
          <w:rFonts w:ascii="Palatino Linotype" w:eastAsia="Calibri" w:hAnsi="Palatino Linotype" w:cs="Times New Roman"/>
          <w:sz w:val="18"/>
          <w:szCs w:val="18"/>
          <w:lang w:val="en-US"/>
        </w:rPr>
      </w:pPr>
    </w:p>
    <w:p w:rsidR="00102148" w:rsidRDefault="00102148">
      <w:pPr>
        <w:rPr>
          <w:rFonts w:ascii="Palatino Linotype" w:eastAsia="Calibri" w:hAnsi="Palatino Linotype" w:cs="Times New Roman"/>
          <w:sz w:val="18"/>
          <w:szCs w:val="18"/>
          <w:lang w:val="en-US"/>
        </w:rPr>
      </w:pPr>
    </w:p>
    <w:p w:rsidR="00E6741E" w:rsidRPr="00D16EA3" w:rsidRDefault="00E6741E" w:rsidP="00092379">
      <w:pPr>
        <w:spacing w:after="0" w:line="312" w:lineRule="auto"/>
        <w:ind w:firstLine="284"/>
        <w:rPr>
          <w:rFonts w:ascii="Palatino Linotype" w:eastAsia="Calibri" w:hAnsi="Palatino Linotype" w:cs="Times New Roman"/>
          <w:sz w:val="18"/>
          <w:szCs w:val="18"/>
          <w:lang w:val="en-US"/>
        </w:rPr>
      </w:pPr>
      <w:r w:rsidRPr="00D16EA3">
        <w:rPr>
          <w:rFonts w:ascii="Palatino Linotype" w:eastAsia="Calibri" w:hAnsi="Palatino Linotype" w:cs="Times New Roman"/>
          <w:b/>
          <w:sz w:val="18"/>
          <w:szCs w:val="18"/>
          <w:lang w:val="en-US"/>
        </w:rPr>
        <w:t>Table</w:t>
      </w:r>
      <w:r w:rsidR="00D16EA3" w:rsidRPr="00D16EA3">
        <w:rPr>
          <w:rFonts w:ascii="Palatino Linotype" w:eastAsia="Calibri" w:hAnsi="Palatino Linotype" w:cs="Times New Roman"/>
          <w:b/>
          <w:sz w:val="18"/>
          <w:szCs w:val="18"/>
          <w:lang w:val="en-US"/>
        </w:rPr>
        <w:t xml:space="preserve"> S</w:t>
      </w:r>
      <w:r w:rsidRPr="00D16EA3">
        <w:rPr>
          <w:rFonts w:ascii="Palatino Linotype" w:eastAsia="Calibri" w:hAnsi="Palatino Linotype" w:cs="Times New Roman"/>
          <w:b/>
          <w:sz w:val="18"/>
          <w:szCs w:val="18"/>
          <w:lang w:val="en-US"/>
        </w:rPr>
        <w:t>5.</w:t>
      </w:r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Frequencies (F) of Gene Ontology Groups (GOGs) with high </w:t>
      </w:r>
      <w:proofErr w:type="spell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dN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/</w:t>
      </w:r>
      <w:proofErr w:type="spell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dS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values among GOGs with high or low p-distance values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3"/>
        <w:gridCol w:w="1589"/>
        <w:gridCol w:w="1559"/>
        <w:gridCol w:w="1560"/>
        <w:gridCol w:w="1701"/>
        <w:gridCol w:w="1553"/>
      </w:tblGrid>
      <w:tr w:rsidR="00E6741E" w:rsidRPr="00D16EA3" w:rsidTr="00102148">
        <w:tc>
          <w:tcPr>
            <w:tcW w:w="1383" w:type="dxa"/>
            <w:vMerge w:val="restart"/>
          </w:tcPr>
          <w:p w:rsidR="00E6741E" w:rsidRPr="00D16EA3" w:rsidRDefault="00E6741E" w:rsidP="00102148">
            <w:pPr>
              <w:spacing w:line="360" w:lineRule="auto"/>
              <w:jc w:val="both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</w:p>
          <w:p w:rsidR="00E6741E" w:rsidRPr="00D16EA3" w:rsidRDefault="00E6741E" w:rsidP="00102148">
            <w:pPr>
              <w:spacing w:line="360" w:lineRule="auto"/>
              <w:jc w:val="both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 xml:space="preserve">Biovars </w:t>
            </w:r>
          </w:p>
        </w:tc>
        <w:tc>
          <w:tcPr>
            <w:tcW w:w="6409" w:type="dxa"/>
            <w:gridSpan w:val="4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 xml:space="preserve">p-distances in the compared GOGs </w:t>
            </w:r>
          </w:p>
        </w:tc>
        <w:tc>
          <w:tcPr>
            <w:tcW w:w="1553" w:type="dxa"/>
            <w:vMerge w:val="restart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</w:p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t</w:t>
            </w: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vertAlign w:val="subscript"/>
                <w:lang w:val="en-US"/>
              </w:rPr>
              <w:t>St</w:t>
            </w:r>
            <w:proofErr w:type="spellEnd"/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 xml:space="preserve"> (P</w:t>
            </w: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vertAlign w:val="subscript"/>
                <w:lang w:val="en-US"/>
              </w:rPr>
              <w:t>0</w:t>
            </w: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)*</w:t>
            </w:r>
          </w:p>
        </w:tc>
      </w:tr>
      <w:tr w:rsidR="00E6741E" w:rsidRPr="00D16EA3" w:rsidTr="00102148">
        <w:tc>
          <w:tcPr>
            <w:tcW w:w="1383" w:type="dxa"/>
            <w:vMerge/>
          </w:tcPr>
          <w:p w:rsidR="00E6741E" w:rsidRPr="00D16EA3" w:rsidRDefault="00E6741E" w:rsidP="00102148">
            <w:pPr>
              <w:spacing w:line="360" w:lineRule="auto"/>
              <w:jc w:val="both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3148" w:type="dxa"/>
            <w:gridSpan w:val="2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 xml:space="preserve">High-in-High </w:t>
            </w:r>
          </w:p>
        </w:tc>
        <w:tc>
          <w:tcPr>
            <w:tcW w:w="3261" w:type="dxa"/>
            <w:gridSpan w:val="2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 xml:space="preserve">Low-in-High </w:t>
            </w:r>
          </w:p>
        </w:tc>
        <w:tc>
          <w:tcPr>
            <w:tcW w:w="1553" w:type="dxa"/>
            <w:vMerge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E6741E" w:rsidRPr="00D16EA3" w:rsidTr="00102148">
        <w:tc>
          <w:tcPr>
            <w:tcW w:w="1383" w:type="dxa"/>
            <w:vMerge/>
          </w:tcPr>
          <w:p w:rsidR="00E6741E" w:rsidRPr="00D16EA3" w:rsidRDefault="00E6741E" w:rsidP="00102148">
            <w:pPr>
              <w:spacing w:line="360" w:lineRule="auto"/>
              <w:jc w:val="both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1589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N (n)</w:t>
            </w:r>
          </w:p>
        </w:tc>
        <w:tc>
          <w:tcPr>
            <w:tcW w:w="1559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F = n/N</w:t>
            </w:r>
          </w:p>
        </w:tc>
        <w:tc>
          <w:tcPr>
            <w:tcW w:w="1560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N (n)</w:t>
            </w:r>
          </w:p>
        </w:tc>
        <w:tc>
          <w:tcPr>
            <w:tcW w:w="1701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F = n/N</w:t>
            </w:r>
          </w:p>
        </w:tc>
        <w:tc>
          <w:tcPr>
            <w:tcW w:w="1553" w:type="dxa"/>
            <w:vMerge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E6741E" w:rsidRPr="00D16EA3" w:rsidTr="00102148">
        <w:tc>
          <w:tcPr>
            <w:tcW w:w="1383" w:type="dxa"/>
          </w:tcPr>
          <w:p w:rsidR="00E6741E" w:rsidRPr="00D16EA3" w:rsidRDefault="00D16EA3" w:rsidP="00102148">
            <w:pPr>
              <w:spacing w:line="360" w:lineRule="auto"/>
              <w:jc w:val="both"/>
              <w:rPr>
                <w:rFonts w:ascii="Palatino Linotype" w:eastAsia="Calibri" w:hAnsi="Palatino Linotype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eastAsia="Calibri" w:hAnsi="Palatino Linotype" w:cs="Times New Roman"/>
                <w:i/>
                <w:sz w:val="18"/>
                <w:szCs w:val="18"/>
                <w:lang w:val="en-US"/>
              </w:rPr>
              <w:t>O</w:t>
            </w:r>
            <w:r w:rsidR="00E6741E" w:rsidRPr="00D16EA3">
              <w:rPr>
                <w:rFonts w:ascii="Palatino Linotype" w:eastAsia="Calibri" w:hAnsi="Palatino Linotype" w:cs="Times New Roman"/>
                <w:i/>
                <w:sz w:val="18"/>
                <w:szCs w:val="18"/>
                <w:lang w:val="en-US"/>
              </w:rPr>
              <w:t>rientalis</w:t>
            </w:r>
            <w:proofErr w:type="spellEnd"/>
          </w:p>
        </w:tc>
        <w:tc>
          <w:tcPr>
            <w:tcW w:w="1589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31 (11)</w:t>
            </w:r>
          </w:p>
        </w:tc>
        <w:tc>
          <w:tcPr>
            <w:tcW w:w="1559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0,35±0,09</w:t>
            </w:r>
          </w:p>
        </w:tc>
        <w:tc>
          <w:tcPr>
            <w:tcW w:w="1560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45 (1)</w:t>
            </w:r>
          </w:p>
        </w:tc>
        <w:tc>
          <w:tcPr>
            <w:tcW w:w="1701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0,02±0,02</w:t>
            </w:r>
          </w:p>
        </w:tc>
        <w:tc>
          <w:tcPr>
            <w:tcW w:w="1553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3,58 (&lt; 0,01)</w:t>
            </w:r>
          </w:p>
        </w:tc>
      </w:tr>
      <w:tr w:rsidR="00E6741E" w:rsidRPr="00D16EA3" w:rsidTr="00102148">
        <w:tc>
          <w:tcPr>
            <w:tcW w:w="1383" w:type="dxa"/>
          </w:tcPr>
          <w:p w:rsidR="00E6741E" w:rsidRPr="00D16EA3" w:rsidRDefault="00D16EA3" w:rsidP="00102148">
            <w:pPr>
              <w:spacing w:line="360" w:lineRule="auto"/>
              <w:jc w:val="both"/>
              <w:rPr>
                <w:rFonts w:ascii="Palatino Linotype" w:eastAsia="Calibri" w:hAnsi="Palatino Linotype" w:cs="Times New Roman"/>
                <w:i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i/>
                <w:sz w:val="18"/>
                <w:szCs w:val="18"/>
                <w:lang w:val="en-US"/>
              </w:rPr>
              <w:t>O</w:t>
            </w:r>
            <w:r w:rsidR="00E6741E" w:rsidRPr="00D16EA3">
              <w:rPr>
                <w:rFonts w:ascii="Palatino Linotype" w:eastAsia="Calibri" w:hAnsi="Palatino Linotype" w:cs="Times New Roman"/>
                <w:i/>
                <w:sz w:val="18"/>
                <w:szCs w:val="18"/>
                <w:lang w:val="en-US"/>
              </w:rPr>
              <w:t>fficinalis</w:t>
            </w:r>
          </w:p>
        </w:tc>
        <w:tc>
          <w:tcPr>
            <w:tcW w:w="1589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47 (9)</w:t>
            </w:r>
          </w:p>
        </w:tc>
        <w:tc>
          <w:tcPr>
            <w:tcW w:w="1559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0,19±0,06</w:t>
            </w:r>
          </w:p>
        </w:tc>
        <w:tc>
          <w:tcPr>
            <w:tcW w:w="1560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29 (4)</w:t>
            </w:r>
          </w:p>
        </w:tc>
        <w:tc>
          <w:tcPr>
            <w:tcW w:w="1701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0,16±0,07</w:t>
            </w:r>
          </w:p>
        </w:tc>
        <w:tc>
          <w:tcPr>
            <w:tcW w:w="1553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0,32 (&gt; 0,10)</w:t>
            </w:r>
          </w:p>
        </w:tc>
      </w:tr>
    </w:tbl>
    <w:p w:rsidR="00E6741E" w:rsidRPr="00D16EA3" w:rsidRDefault="00E6741E" w:rsidP="00102148">
      <w:pPr>
        <w:spacing w:after="0" w:line="312" w:lineRule="auto"/>
        <w:ind w:firstLine="284"/>
        <w:rPr>
          <w:rFonts w:ascii="Palatino Linotype" w:eastAsia="Calibri" w:hAnsi="Palatino Linotype" w:cs="Times New Roman"/>
          <w:sz w:val="18"/>
          <w:szCs w:val="18"/>
          <w:lang w:val="en-US"/>
        </w:rPr>
      </w:pPr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N – </w:t>
      </w:r>
      <w:proofErr w:type="gram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numbers</w:t>
      </w:r>
      <w:proofErr w:type="gram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of GOGs with high or low p-distance values identified in different biovars; n – numbers of GOGs with high </w:t>
      </w:r>
      <w:proofErr w:type="spell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dN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/</w:t>
      </w:r>
      <w:proofErr w:type="spell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dS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values (N and n values are calculated from Table 3). </w:t>
      </w:r>
    </w:p>
    <w:p w:rsidR="00E6741E" w:rsidRPr="00D16EA3" w:rsidRDefault="00E6741E" w:rsidP="00102148">
      <w:pPr>
        <w:spacing w:after="0" w:line="312" w:lineRule="auto"/>
        <w:ind w:firstLine="284"/>
        <w:rPr>
          <w:rFonts w:ascii="Palatino Linotype" w:eastAsia="Calibri" w:hAnsi="Palatino Linotype" w:cs="Times New Roman"/>
          <w:sz w:val="18"/>
          <w:szCs w:val="18"/>
          <w:lang w:val="en-US"/>
        </w:rPr>
      </w:pPr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*Students criterion values and probabilities of null-hypothesis are given for F value comparisons.  </w:t>
      </w:r>
    </w:p>
    <w:p w:rsidR="00E6741E" w:rsidRPr="00D16EA3" w:rsidRDefault="00E6741E" w:rsidP="00E6741E">
      <w:pPr>
        <w:spacing w:after="0" w:line="360" w:lineRule="auto"/>
        <w:jc w:val="both"/>
        <w:rPr>
          <w:rFonts w:ascii="Palatino Linotype" w:eastAsia="Calibri" w:hAnsi="Palatino Linotype" w:cs="Times New Roman"/>
          <w:sz w:val="18"/>
          <w:szCs w:val="18"/>
          <w:lang w:val="en-US"/>
        </w:rPr>
      </w:pPr>
    </w:p>
    <w:p w:rsidR="00E6741E" w:rsidRPr="00D16EA3" w:rsidRDefault="00E6741E" w:rsidP="00E6741E">
      <w:pPr>
        <w:spacing w:after="0" w:line="360" w:lineRule="auto"/>
        <w:jc w:val="both"/>
        <w:rPr>
          <w:rFonts w:ascii="Palatino Linotype" w:eastAsia="Calibri" w:hAnsi="Palatino Linotype" w:cs="Times New Roman"/>
          <w:sz w:val="18"/>
          <w:szCs w:val="18"/>
          <w:lang w:val="en-US"/>
        </w:rPr>
      </w:pPr>
    </w:p>
    <w:p w:rsidR="00E6741E" w:rsidRPr="00D16EA3" w:rsidRDefault="00E6741E" w:rsidP="00092379">
      <w:pPr>
        <w:spacing w:after="0" w:line="312" w:lineRule="auto"/>
        <w:ind w:firstLine="284"/>
        <w:rPr>
          <w:rFonts w:ascii="Palatino Linotype" w:eastAsia="Calibri" w:hAnsi="Palatino Linotype" w:cs="Times New Roman"/>
          <w:sz w:val="18"/>
          <w:szCs w:val="18"/>
          <w:lang w:val="en-US"/>
        </w:rPr>
      </w:pPr>
      <w:r w:rsidRPr="00D16EA3">
        <w:rPr>
          <w:rFonts w:ascii="Palatino Linotype" w:eastAsia="Calibri" w:hAnsi="Palatino Linotype" w:cs="Times New Roman"/>
          <w:b/>
          <w:sz w:val="18"/>
          <w:szCs w:val="18"/>
          <w:lang w:val="en-US"/>
        </w:rPr>
        <w:t>Table</w:t>
      </w:r>
      <w:r w:rsidR="00D16EA3" w:rsidRPr="00D16EA3">
        <w:rPr>
          <w:rFonts w:ascii="Palatino Linotype" w:eastAsia="Calibri" w:hAnsi="Palatino Linotype" w:cs="Times New Roman"/>
          <w:b/>
          <w:sz w:val="18"/>
          <w:szCs w:val="18"/>
          <w:lang w:val="en-US"/>
        </w:rPr>
        <w:t xml:space="preserve"> S</w:t>
      </w:r>
      <w:r w:rsidRPr="00D16EA3">
        <w:rPr>
          <w:rFonts w:ascii="Palatino Linotype" w:eastAsia="Calibri" w:hAnsi="Palatino Linotype" w:cs="Times New Roman"/>
          <w:b/>
          <w:sz w:val="18"/>
          <w:szCs w:val="18"/>
          <w:lang w:val="en-US"/>
        </w:rPr>
        <w:t>6.</w:t>
      </w:r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Frequencies (F) of Gene Ontology Groups (GOGs) with high p-distance values among GOGs with high or low </w:t>
      </w:r>
      <w:proofErr w:type="spell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dN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/</w:t>
      </w:r>
      <w:proofErr w:type="spell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dS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values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3"/>
        <w:gridCol w:w="1589"/>
        <w:gridCol w:w="1559"/>
        <w:gridCol w:w="1560"/>
        <w:gridCol w:w="1701"/>
        <w:gridCol w:w="1553"/>
      </w:tblGrid>
      <w:tr w:rsidR="00E6741E" w:rsidRPr="00D16EA3" w:rsidTr="00102148">
        <w:tc>
          <w:tcPr>
            <w:tcW w:w="1383" w:type="dxa"/>
            <w:vMerge w:val="restart"/>
          </w:tcPr>
          <w:p w:rsidR="00E6741E" w:rsidRPr="00D16EA3" w:rsidRDefault="00E6741E" w:rsidP="00102148">
            <w:pPr>
              <w:spacing w:line="360" w:lineRule="auto"/>
              <w:jc w:val="both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</w:p>
          <w:p w:rsidR="00E6741E" w:rsidRPr="00D16EA3" w:rsidRDefault="00E6741E" w:rsidP="00102148">
            <w:pPr>
              <w:spacing w:line="360" w:lineRule="auto"/>
              <w:jc w:val="both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 xml:space="preserve">Biovars </w:t>
            </w:r>
          </w:p>
        </w:tc>
        <w:tc>
          <w:tcPr>
            <w:tcW w:w="6409" w:type="dxa"/>
            <w:gridSpan w:val="4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dN</w:t>
            </w:r>
            <w:proofErr w:type="spellEnd"/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dS</w:t>
            </w:r>
            <w:proofErr w:type="spellEnd"/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 xml:space="preserve"> in the compared GOGs </w:t>
            </w:r>
          </w:p>
        </w:tc>
        <w:tc>
          <w:tcPr>
            <w:tcW w:w="1553" w:type="dxa"/>
            <w:vMerge w:val="restart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</w:p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t</w:t>
            </w: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vertAlign w:val="subscript"/>
                <w:lang w:val="en-US"/>
              </w:rPr>
              <w:t>St</w:t>
            </w:r>
            <w:proofErr w:type="spellEnd"/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 xml:space="preserve"> (P</w:t>
            </w: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vertAlign w:val="subscript"/>
                <w:lang w:val="en-US"/>
              </w:rPr>
              <w:t>0</w:t>
            </w: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)*</w:t>
            </w:r>
          </w:p>
        </w:tc>
      </w:tr>
      <w:tr w:rsidR="00E6741E" w:rsidRPr="00D16EA3" w:rsidTr="00102148">
        <w:tc>
          <w:tcPr>
            <w:tcW w:w="1383" w:type="dxa"/>
            <w:vMerge/>
          </w:tcPr>
          <w:p w:rsidR="00E6741E" w:rsidRPr="00D16EA3" w:rsidRDefault="00E6741E" w:rsidP="00102148">
            <w:pPr>
              <w:spacing w:line="360" w:lineRule="auto"/>
              <w:jc w:val="both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3148" w:type="dxa"/>
            <w:gridSpan w:val="2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 xml:space="preserve">High-in-High </w:t>
            </w:r>
          </w:p>
        </w:tc>
        <w:tc>
          <w:tcPr>
            <w:tcW w:w="3261" w:type="dxa"/>
            <w:gridSpan w:val="2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 xml:space="preserve">Low-in-High </w:t>
            </w:r>
          </w:p>
        </w:tc>
        <w:tc>
          <w:tcPr>
            <w:tcW w:w="1553" w:type="dxa"/>
            <w:vMerge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E6741E" w:rsidRPr="00D16EA3" w:rsidTr="00102148">
        <w:tc>
          <w:tcPr>
            <w:tcW w:w="1383" w:type="dxa"/>
            <w:vMerge/>
          </w:tcPr>
          <w:p w:rsidR="00E6741E" w:rsidRPr="00D16EA3" w:rsidRDefault="00E6741E" w:rsidP="00102148">
            <w:pPr>
              <w:spacing w:line="360" w:lineRule="auto"/>
              <w:jc w:val="both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</w:p>
        </w:tc>
        <w:tc>
          <w:tcPr>
            <w:tcW w:w="1589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N (n)</w:t>
            </w:r>
          </w:p>
        </w:tc>
        <w:tc>
          <w:tcPr>
            <w:tcW w:w="1559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F = n/N</w:t>
            </w:r>
          </w:p>
        </w:tc>
        <w:tc>
          <w:tcPr>
            <w:tcW w:w="1560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N (n)</w:t>
            </w:r>
          </w:p>
        </w:tc>
        <w:tc>
          <w:tcPr>
            <w:tcW w:w="1701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F = n/N</w:t>
            </w:r>
          </w:p>
        </w:tc>
        <w:tc>
          <w:tcPr>
            <w:tcW w:w="1553" w:type="dxa"/>
            <w:vMerge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</w:p>
        </w:tc>
      </w:tr>
      <w:tr w:rsidR="00E6741E" w:rsidRPr="00D16EA3" w:rsidTr="00102148">
        <w:tc>
          <w:tcPr>
            <w:tcW w:w="1383" w:type="dxa"/>
          </w:tcPr>
          <w:p w:rsidR="00E6741E" w:rsidRPr="00D16EA3" w:rsidRDefault="00455E1D" w:rsidP="00102148">
            <w:pPr>
              <w:spacing w:line="360" w:lineRule="auto"/>
              <w:jc w:val="both"/>
              <w:rPr>
                <w:rFonts w:ascii="Palatino Linotype" w:eastAsia="Calibri" w:hAnsi="Palatino Linotype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D16EA3">
              <w:rPr>
                <w:rFonts w:ascii="Palatino Linotype" w:eastAsia="Calibri" w:hAnsi="Palatino Linotype" w:cs="Times New Roman"/>
                <w:i/>
                <w:sz w:val="18"/>
                <w:szCs w:val="18"/>
                <w:lang w:val="en-US"/>
              </w:rPr>
              <w:t>O</w:t>
            </w:r>
            <w:r w:rsidR="00E6741E" w:rsidRPr="00D16EA3">
              <w:rPr>
                <w:rFonts w:ascii="Palatino Linotype" w:eastAsia="Calibri" w:hAnsi="Palatino Linotype" w:cs="Times New Roman"/>
                <w:i/>
                <w:sz w:val="18"/>
                <w:szCs w:val="18"/>
                <w:lang w:val="en-US"/>
              </w:rPr>
              <w:t>rientalis</w:t>
            </w:r>
            <w:proofErr w:type="spellEnd"/>
          </w:p>
        </w:tc>
        <w:tc>
          <w:tcPr>
            <w:tcW w:w="1589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12 (11)</w:t>
            </w:r>
          </w:p>
        </w:tc>
        <w:tc>
          <w:tcPr>
            <w:tcW w:w="1559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0,92±0,08</w:t>
            </w:r>
          </w:p>
        </w:tc>
        <w:tc>
          <w:tcPr>
            <w:tcW w:w="1560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64 (20)</w:t>
            </w:r>
          </w:p>
        </w:tc>
        <w:tc>
          <w:tcPr>
            <w:tcW w:w="1701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0,31±0,06</w:t>
            </w:r>
          </w:p>
        </w:tc>
        <w:tc>
          <w:tcPr>
            <w:tcW w:w="1553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6,10 (&lt; 0,01)</w:t>
            </w:r>
          </w:p>
        </w:tc>
      </w:tr>
      <w:tr w:rsidR="00E6741E" w:rsidRPr="00D16EA3" w:rsidTr="00102148">
        <w:tc>
          <w:tcPr>
            <w:tcW w:w="1383" w:type="dxa"/>
          </w:tcPr>
          <w:p w:rsidR="00E6741E" w:rsidRPr="00D16EA3" w:rsidRDefault="00455E1D" w:rsidP="00102148">
            <w:pPr>
              <w:spacing w:line="360" w:lineRule="auto"/>
              <w:jc w:val="both"/>
              <w:rPr>
                <w:rFonts w:ascii="Palatino Linotype" w:eastAsia="Calibri" w:hAnsi="Palatino Linotype" w:cs="Times New Roman"/>
                <w:i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i/>
                <w:sz w:val="18"/>
                <w:szCs w:val="18"/>
                <w:lang w:val="en-US"/>
              </w:rPr>
              <w:t>O</w:t>
            </w:r>
            <w:r w:rsidR="00E6741E" w:rsidRPr="00D16EA3">
              <w:rPr>
                <w:rFonts w:ascii="Palatino Linotype" w:eastAsia="Calibri" w:hAnsi="Palatino Linotype" w:cs="Times New Roman"/>
                <w:i/>
                <w:sz w:val="18"/>
                <w:szCs w:val="18"/>
                <w:lang w:val="en-US"/>
              </w:rPr>
              <w:t>fficinalis</w:t>
            </w:r>
          </w:p>
        </w:tc>
        <w:tc>
          <w:tcPr>
            <w:tcW w:w="1589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13 (9)</w:t>
            </w:r>
          </w:p>
        </w:tc>
        <w:tc>
          <w:tcPr>
            <w:tcW w:w="1559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0,69±0,13</w:t>
            </w:r>
          </w:p>
        </w:tc>
        <w:tc>
          <w:tcPr>
            <w:tcW w:w="1560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63 (38)</w:t>
            </w:r>
          </w:p>
        </w:tc>
        <w:tc>
          <w:tcPr>
            <w:tcW w:w="1701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0,60±0,06</w:t>
            </w:r>
          </w:p>
        </w:tc>
        <w:tc>
          <w:tcPr>
            <w:tcW w:w="1553" w:type="dxa"/>
          </w:tcPr>
          <w:p w:rsidR="00E6741E" w:rsidRPr="00D16EA3" w:rsidRDefault="00E6741E" w:rsidP="00102148">
            <w:pPr>
              <w:spacing w:line="360" w:lineRule="auto"/>
              <w:jc w:val="center"/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</w:pPr>
            <w:r w:rsidRPr="00D16EA3">
              <w:rPr>
                <w:rFonts w:ascii="Palatino Linotype" w:eastAsia="Calibri" w:hAnsi="Palatino Linotype" w:cs="Times New Roman"/>
                <w:sz w:val="18"/>
                <w:szCs w:val="18"/>
                <w:lang w:val="en-US"/>
              </w:rPr>
              <w:t>0,33 (&gt; 0,10)</w:t>
            </w:r>
          </w:p>
        </w:tc>
      </w:tr>
    </w:tbl>
    <w:p w:rsidR="00E6741E" w:rsidRPr="00D16EA3" w:rsidRDefault="00E6741E" w:rsidP="00E6741E">
      <w:pPr>
        <w:spacing w:after="0" w:line="360" w:lineRule="auto"/>
        <w:jc w:val="both"/>
        <w:rPr>
          <w:rFonts w:ascii="Palatino Linotype" w:eastAsia="Calibri" w:hAnsi="Palatino Linotype" w:cs="Times New Roman"/>
          <w:sz w:val="18"/>
          <w:szCs w:val="18"/>
          <w:lang w:val="en-US"/>
        </w:rPr>
      </w:pPr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 N – </w:t>
      </w:r>
      <w:proofErr w:type="gram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numbers</w:t>
      </w:r>
      <w:proofErr w:type="gram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of GOGs with high or low </w:t>
      </w:r>
      <w:proofErr w:type="spell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dN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/</w:t>
      </w:r>
      <w:proofErr w:type="spellStart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dS</w:t>
      </w:r>
      <w:proofErr w:type="spellEnd"/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 xml:space="preserve"> values identified in different biovars; n – numbers of GOGs with high p-distance values (N and n values are calculated from Table 3).</w:t>
      </w:r>
    </w:p>
    <w:p w:rsidR="00E6741E" w:rsidRPr="00D16EA3" w:rsidRDefault="00E6741E" w:rsidP="00E6741E">
      <w:pPr>
        <w:spacing w:after="0" w:line="360" w:lineRule="auto"/>
        <w:jc w:val="both"/>
        <w:rPr>
          <w:rFonts w:ascii="Palatino Linotype" w:eastAsia="Calibri" w:hAnsi="Palatino Linotype" w:cs="Times New Roman"/>
          <w:sz w:val="18"/>
          <w:szCs w:val="18"/>
          <w:lang w:val="en-US"/>
        </w:rPr>
      </w:pPr>
      <w:r w:rsidRPr="00D16EA3">
        <w:rPr>
          <w:rFonts w:ascii="Palatino Linotype" w:eastAsia="Calibri" w:hAnsi="Palatino Linotype" w:cs="Times New Roman"/>
          <w:sz w:val="18"/>
          <w:szCs w:val="18"/>
          <w:lang w:val="en-US"/>
        </w:rPr>
        <w:t>*Students criterion values and probabilities of null-hypothesis are given for F value comparisons.</w:t>
      </w:r>
      <w:bookmarkStart w:id="0" w:name="_GoBack"/>
      <w:bookmarkEnd w:id="0"/>
    </w:p>
    <w:sectPr w:rsidR="00E6741E" w:rsidRPr="00D16EA3" w:rsidSect="0010214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6409"/>
    <w:multiLevelType w:val="hybridMultilevel"/>
    <w:tmpl w:val="A2FA000A"/>
    <w:lvl w:ilvl="0" w:tplc="2E0E2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415C0C"/>
    <w:multiLevelType w:val="hybridMultilevel"/>
    <w:tmpl w:val="B01EFB3E"/>
    <w:lvl w:ilvl="0" w:tplc="C67E4A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55A35"/>
    <w:multiLevelType w:val="hybridMultilevel"/>
    <w:tmpl w:val="47C8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47795"/>
    <w:multiLevelType w:val="hybridMultilevel"/>
    <w:tmpl w:val="AD2E66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22FE1"/>
    <w:multiLevelType w:val="hybridMultilevel"/>
    <w:tmpl w:val="EB28261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5C2EF4"/>
    <w:multiLevelType w:val="hybridMultilevel"/>
    <w:tmpl w:val="148CA3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15211"/>
    <w:multiLevelType w:val="hybridMultilevel"/>
    <w:tmpl w:val="1E54C9A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F95A23"/>
    <w:multiLevelType w:val="hybridMultilevel"/>
    <w:tmpl w:val="46742B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6C1D"/>
    <w:multiLevelType w:val="hybridMultilevel"/>
    <w:tmpl w:val="6534E46C"/>
    <w:lvl w:ilvl="0" w:tplc="EA04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170C1D"/>
    <w:multiLevelType w:val="hybridMultilevel"/>
    <w:tmpl w:val="C386A640"/>
    <w:lvl w:ilvl="0" w:tplc="FE5EE8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EE033D"/>
    <w:multiLevelType w:val="hybridMultilevel"/>
    <w:tmpl w:val="C840F44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BA7264"/>
    <w:multiLevelType w:val="hybridMultilevel"/>
    <w:tmpl w:val="A4E0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25724"/>
    <w:multiLevelType w:val="hybridMultilevel"/>
    <w:tmpl w:val="353CBBDE"/>
    <w:lvl w:ilvl="0" w:tplc="89B68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A55B6A"/>
    <w:multiLevelType w:val="hybridMultilevel"/>
    <w:tmpl w:val="27845020"/>
    <w:lvl w:ilvl="0" w:tplc="EF3A0E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67F71A9"/>
    <w:multiLevelType w:val="multilevel"/>
    <w:tmpl w:val="9B5CA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FF65927"/>
    <w:multiLevelType w:val="hybridMultilevel"/>
    <w:tmpl w:val="67B28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F6FC8"/>
    <w:multiLevelType w:val="hybridMultilevel"/>
    <w:tmpl w:val="0E145DB4"/>
    <w:lvl w:ilvl="0" w:tplc="605E52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A147759"/>
    <w:multiLevelType w:val="hybridMultilevel"/>
    <w:tmpl w:val="5FF4B322"/>
    <w:lvl w:ilvl="0" w:tplc="7868BCBE">
      <w:start w:val="1"/>
      <w:numFmt w:val="decimal"/>
      <w:lvlText w:val="%1."/>
      <w:lvlJc w:val="left"/>
      <w:pPr>
        <w:ind w:left="1035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8358A"/>
    <w:multiLevelType w:val="hybridMultilevel"/>
    <w:tmpl w:val="2DBA9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28D8"/>
    <w:multiLevelType w:val="hybridMultilevel"/>
    <w:tmpl w:val="A2FA000A"/>
    <w:lvl w:ilvl="0" w:tplc="2E0E2E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EFC1A68"/>
    <w:multiLevelType w:val="hybridMultilevel"/>
    <w:tmpl w:val="0D4A110A"/>
    <w:lvl w:ilvl="0" w:tplc="3550C7A2">
      <w:start w:val="3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3D33D33"/>
    <w:multiLevelType w:val="hybridMultilevel"/>
    <w:tmpl w:val="A878A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C419A"/>
    <w:multiLevelType w:val="hybridMultilevel"/>
    <w:tmpl w:val="CF66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5157C"/>
    <w:multiLevelType w:val="hybridMultilevel"/>
    <w:tmpl w:val="29F4F9A0"/>
    <w:lvl w:ilvl="0" w:tplc="205CA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1"/>
  </w:num>
  <w:num w:numId="4">
    <w:abstractNumId w:val="12"/>
  </w:num>
  <w:num w:numId="5">
    <w:abstractNumId w:val="15"/>
  </w:num>
  <w:num w:numId="6">
    <w:abstractNumId w:val="17"/>
  </w:num>
  <w:num w:numId="7">
    <w:abstractNumId w:val="16"/>
  </w:num>
  <w:num w:numId="8">
    <w:abstractNumId w:val="8"/>
  </w:num>
  <w:num w:numId="9">
    <w:abstractNumId w:val="13"/>
  </w:num>
  <w:num w:numId="10">
    <w:abstractNumId w:val="2"/>
  </w:num>
  <w:num w:numId="11">
    <w:abstractNumId w:val="7"/>
  </w:num>
  <w:num w:numId="12">
    <w:abstractNumId w:val="14"/>
  </w:num>
  <w:num w:numId="13">
    <w:abstractNumId w:val="19"/>
  </w:num>
  <w:num w:numId="14">
    <w:abstractNumId w:val="0"/>
  </w:num>
  <w:num w:numId="15">
    <w:abstractNumId w:val="9"/>
  </w:num>
  <w:num w:numId="16">
    <w:abstractNumId w:val="23"/>
  </w:num>
  <w:num w:numId="17">
    <w:abstractNumId w:val="21"/>
  </w:num>
  <w:num w:numId="18">
    <w:abstractNumId w:val="4"/>
  </w:num>
  <w:num w:numId="19">
    <w:abstractNumId w:val="6"/>
  </w:num>
  <w:num w:numId="20">
    <w:abstractNumId w:val="10"/>
  </w:num>
  <w:num w:numId="21">
    <w:abstractNumId w:val="5"/>
  </w:num>
  <w:num w:numId="22">
    <w:abstractNumId w:val="3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1E"/>
    <w:rsid w:val="00092379"/>
    <w:rsid w:val="00102148"/>
    <w:rsid w:val="00140CC0"/>
    <w:rsid w:val="002D4870"/>
    <w:rsid w:val="00410834"/>
    <w:rsid w:val="00455E1D"/>
    <w:rsid w:val="00B714B3"/>
    <w:rsid w:val="00D16EA3"/>
    <w:rsid w:val="00E6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7F1D1-10C9-42E8-8377-0AB5D54B9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41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741E"/>
  </w:style>
  <w:style w:type="character" w:styleId="a3">
    <w:name w:val="Emphasis"/>
    <w:basedOn w:val="a0"/>
    <w:uiPriority w:val="20"/>
    <w:qFormat/>
    <w:rsid w:val="00E6741E"/>
    <w:rPr>
      <w:i/>
      <w:iCs/>
    </w:rPr>
  </w:style>
  <w:style w:type="paragraph" w:styleId="a4">
    <w:name w:val="List Paragraph"/>
    <w:basedOn w:val="a"/>
    <w:uiPriority w:val="34"/>
    <w:qFormat/>
    <w:rsid w:val="00E6741E"/>
    <w:pPr>
      <w:ind w:left="720"/>
      <w:contextualSpacing/>
    </w:pPr>
  </w:style>
  <w:style w:type="table" w:styleId="a5">
    <w:name w:val="Table Grid"/>
    <w:basedOn w:val="a1"/>
    <w:uiPriority w:val="59"/>
    <w:rsid w:val="00E6741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E6741E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7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741E"/>
    <w:rPr>
      <w:lang w:val="ru-RU"/>
    </w:rPr>
  </w:style>
  <w:style w:type="paragraph" w:styleId="a8">
    <w:name w:val="footer"/>
    <w:basedOn w:val="a"/>
    <w:link w:val="a9"/>
    <w:uiPriority w:val="99"/>
    <w:unhideWhenUsed/>
    <w:rsid w:val="00E67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741E"/>
    <w:rPr>
      <w:lang w:val="ru-RU"/>
    </w:rPr>
  </w:style>
  <w:style w:type="character" w:styleId="aa">
    <w:name w:val="Hyperlink"/>
    <w:basedOn w:val="a0"/>
    <w:uiPriority w:val="99"/>
    <w:unhideWhenUsed/>
    <w:rsid w:val="00E6741E"/>
    <w:rPr>
      <w:color w:val="0000FF" w:themeColor="hyperlink"/>
      <w:u w:val="single"/>
    </w:rPr>
  </w:style>
  <w:style w:type="character" w:customStyle="1" w:styleId="ab">
    <w:name w:val="Текст выноски Знак"/>
    <w:basedOn w:val="a0"/>
    <w:link w:val="ac"/>
    <w:uiPriority w:val="99"/>
    <w:semiHidden/>
    <w:rsid w:val="00E6741E"/>
    <w:rPr>
      <w:rFonts w:ascii="Tahoma" w:hAnsi="Tahoma" w:cs="Tahoma"/>
      <w:sz w:val="16"/>
      <w:szCs w:val="16"/>
      <w:lang w:val="ru-RU"/>
    </w:rPr>
  </w:style>
  <w:style w:type="paragraph" w:styleId="ac">
    <w:name w:val="Balloon Text"/>
    <w:basedOn w:val="a"/>
    <w:link w:val="ab"/>
    <w:uiPriority w:val="99"/>
    <w:semiHidden/>
    <w:unhideWhenUsed/>
    <w:rsid w:val="00E6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lqj4b">
    <w:name w:val="jlqj4b"/>
    <w:basedOn w:val="a0"/>
    <w:rsid w:val="00E6741E"/>
  </w:style>
  <w:style w:type="character" w:customStyle="1" w:styleId="html-italic">
    <w:name w:val="html-italic"/>
    <w:basedOn w:val="a0"/>
    <w:rsid w:val="00E6741E"/>
  </w:style>
  <w:style w:type="character" w:customStyle="1" w:styleId="viiyi">
    <w:name w:val="viiyi"/>
    <w:basedOn w:val="a0"/>
    <w:rsid w:val="00E6741E"/>
  </w:style>
  <w:style w:type="paragraph" w:styleId="ad">
    <w:name w:val="caption"/>
    <w:basedOn w:val="a"/>
    <w:next w:val="a"/>
    <w:uiPriority w:val="35"/>
    <w:unhideWhenUsed/>
    <w:qFormat/>
    <w:rsid w:val="00E6741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E6741E"/>
    <w:rPr>
      <w:sz w:val="20"/>
      <w:szCs w:val="20"/>
      <w:lang w:val="ru-RU"/>
    </w:rPr>
  </w:style>
  <w:style w:type="paragraph" w:styleId="af">
    <w:name w:val="annotation text"/>
    <w:basedOn w:val="a"/>
    <w:link w:val="ae"/>
    <w:uiPriority w:val="99"/>
    <w:semiHidden/>
    <w:unhideWhenUsed/>
    <w:rsid w:val="00E6741E"/>
    <w:pPr>
      <w:spacing w:line="240" w:lineRule="auto"/>
    </w:pPr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E6741E"/>
    <w:rPr>
      <w:b/>
      <w:bCs/>
      <w:sz w:val="20"/>
      <w:szCs w:val="20"/>
      <w:lang w:val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E6741E"/>
    <w:rPr>
      <w:b/>
      <w:bCs/>
    </w:rPr>
  </w:style>
  <w:style w:type="character" w:customStyle="1" w:styleId="CommentSubjectChar1">
    <w:name w:val="Comment Subject Char1"/>
    <w:basedOn w:val="ae"/>
    <w:uiPriority w:val="99"/>
    <w:semiHidden/>
    <w:rsid w:val="00E6741E"/>
    <w:rPr>
      <w:b/>
      <w:bCs/>
      <w:sz w:val="20"/>
      <w:szCs w:val="20"/>
      <w:lang w:val="ru-RU"/>
    </w:rPr>
  </w:style>
  <w:style w:type="character" w:customStyle="1" w:styleId="q4iawc">
    <w:name w:val="q4iawc"/>
    <w:basedOn w:val="a0"/>
    <w:rsid w:val="00E6741E"/>
  </w:style>
  <w:style w:type="character" w:customStyle="1" w:styleId="hwtze">
    <w:name w:val="hwtze"/>
    <w:basedOn w:val="a0"/>
    <w:rsid w:val="00E6741E"/>
  </w:style>
  <w:style w:type="character" w:customStyle="1" w:styleId="rynqvb">
    <w:name w:val="rynqvb"/>
    <w:basedOn w:val="a0"/>
    <w:rsid w:val="00E67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1335-6446-4CEA-9D10-17096532A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1383</Words>
  <Characters>7888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Hosid</dc:creator>
  <cp:lastModifiedBy>1</cp:lastModifiedBy>
  <cp:revision>2</cp:revision>
  <dcterms:created xsi:type="dcterms:W3CDTF">2023-08-17T12:17:00Z</dcterms:created>
  <dcterms:modified xsi:type="dcterms:W3CDTF">2023-08-17T12:17:00Z</dcterms:modified>
</cp:coreProperties>
</file>