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CFEA" w14:textId="77777777" w:rsidR="00443CDE" w:rsidRPr="00F70B77" w:rsidRDefault="00443CDE" w:rsidP="00443CDE">
      <w:pPr>
        <w:pStyle w:val="MDPI41tablecaption"/>
        <w:spacing w:before="0" w:after="0"/>
        <w:ind w:left="567"/>
        <w:jc w:val="left"/>
        <w:rPr>
          <w:b/>
          <w:sz w:val="22"/>
          <w:szCs w:val="32"/>
        </w:rPr>
      </w:pPr>
      <w:r w:rsidRPr="00F70B77">
        <w:rPr>
          <w:b/>
          <w:sz w:val="22"/>
          <w:szCs w:val="32"/>
        </w:rPr>
        <w:t>Supplementary Data</w:t>
      </w:r>
    </w:p>
    <w:p w14:paraId="69D515E7" w14:textId="77777777" w:rsidR="00443CDE" w:rsidRDefault="00443CDE" w:rsidP="00443CDE">
      <w:pPr>
        <w:pStyle w:val="MDPI41tablecaption"/>
        <w:spacing w:before="0" w:after="0"/>
        <w:ind w:left="567"/>
        <w:jc w:val="left"/>
        <w:rPr>
          <w:b/>
        </w:rPr>
      </w:pPr>
    </w:p>
    <w:p w14:paraId="2EB62D37" w14:textId="77777777" w:rsidR="00443CDE" w:rsidRDefault="00443CDE" w:rsidP="00443CDE">
      <w:pPr>
        <w:pStyle w:val="MDPI41tablecaption"/>
        <w:spacing w:before="0" w:after="0"/>
        <w:ind w:left="567"/>
      </w:pPr>
      <w:r w:rsidRPr="00B07E0E">
        <w:rPr>
          <w:b/>
        </w:rPr>
        <w:t xml:space="preserve">Table </w:t>
      </w:r>
      <w:r>
        <w:rPr>
          <w:b/>
        </w:rPr>
        <w:t>S1</w:t>
      </w:r>
      <w:r w:rsidRPr="00B07E0E">
        <w:rPr>
          <w:b/>
        </w:rPr>
        <w:t xml:space="preserve">. </w:t>
      </w:r>
      <w:r>
        <w:t>Diagnostic parameters of PCD patients.</w:t>
      </w:r>
    </w:p>
    <w:tbl>
      <w:tblPr>
        <w:tblW w:w="6906" w:type="dxa"/>
        <w:tblInd w:w="53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567"/>
        <w:gridCol w:w="3685"/>
        <w:gridCol w:w="567"/>
      </w:tblGrid>
      <w:tr w:rsidR="00443CDE" w:rsidRPr="00655E61" w14:paraId="1757B104" w14:textId="77777777" w:rsidTr="00443CDE">
        <w:trPr>
          <w:trHeight w:val="283"/>
        </w:trPr>
        <w:tc>
          <w:tcPr>
            <w:tcW w:w="208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43D6E" w14:textId="77777777" w:rsidR="00443CDE" w:rsidRPr="00196D5A" w:rsidRDefault="00443CDE" w:rsidP="005B4936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Diagnostic parameters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5743C" w14:textId="77777777" w:rsidR="00443CDE" w:rsidRPr="00196D5A" w:rsidRDefault="00443CDE" w:rsidP="005B4936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D90262" w14:textId="77777777" w:rsidR="00443CDE" w:rsidRPr="00196D5A" w:rsidRDefault="00443CDE" w:rsidP="005B4936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CF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D223F" w14:textId="77777777" w:rsidR="00443CDE" w:rsidRPr="00196D5A" w:rsidRDefault="00443CDE" w:rsidP="005B4936">
            <w:pPr>
              <w:pStyle w:val="MDPI42tablebody"/>
              <w:rPr>
                <w:b/>
                <w:bCs/>
              </w:rPr>
            </w:pPr>
          </w:p>
        </w:tc>
      </w:tr>
      <w:tr w:rsidR="00443CDE" w:rsidRPr="00655E61" w14:paraId="08159E5C" w14:textId="77777777" w:rsidTr="00443CDE">
        <w:trPr>
          <w:trHeight w:val="283"/>
        </w:trPr>
        <w:tc>
          <w:tcPr>
            <w:tcW w:w="20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2EB01C" w14:textId="77777777" w:rsidR="00443CDE" w:rsidRDefault="00443CDE" w:rsidP="005B4936">
            <w:pPr>
              <w:pStyle w:val="MDPI42tablebody"/>
            </w:pPr>
            <w:r>
              <w:t>Situs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26EADB" w14:textId="77777777" w:rsidR="00443CDE" w:rsidRPr="00655E61" w:rsidRDefault="00443CDE" w:rsidP="005B4936">
            <w:pPr>
              <w:pStyle w:val="MDPI42tablebody"/>
            </w:pPr>
            <w: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0C8E60" w14:textId="77777777" w:rsidR="00443CDE" w:rsidRDefault="00443CDE" w:rsidP="005B4936">
            <w:pPr>
              <w:pStyle w:val="MDPI42tablebody"/>
            </w:pPr>
            <w:r>
              <w:t>Situs inversus</w:t>
            </w:r>
          </w:p>
          <w:p w14:paraId="18BEE945" w14:textId="77777777" w:rsidR="00443CDE" w:rsidRPr="00655E61" w:rsidRDefault="00443CDE" w:rsidP="005B4936">
            <w:pPr>
              <w:pStyle w:val="MDPI42tablebody"/>
            </w:pPr>
            <w:r>
              <w:t>Situs solitus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07C139" w14:textId="77777777" w:rsidR="00443CDE" w:rsidRDefault="00443CDE" w:rsidP="005B4936">
            <w:pPr>
              <w:pStyle w:val="MDPI42tablebody"/>
            </w:pPr>
            <w:r>
              <w:t>12</w:t>
            </w:r>
          </w:p>
          <w:p w14:paraId="178C9AA6" w14:textId="77777777" w:rsidR="00443CDE" w:rsidRPr="00655E61" w:rsidRDefault="00443CDE" w:rsidP="005B4936">
            <w:pPr>
              <w:pStyle w:val="MDPI42tablebody"/>
            </w:pPr>
            <w:r>
              <w:t>12</w:t>
            </w:r>
          </w:p>
        </w:tc>
      </w:tr>
      <w:tr w:rsidR="00443CDE" w:rsidRPr="00655E61" w14:paraId="40126D97" w14:textId="77777777" w:rsidTr="00443CDE">
        <w:trPr>
          <w:trHeight w:val="283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8F0E9" w14:textId="77777777" w:rsidR="00443CDE" w:rsidRDefault="00443CDE" w:rsidP="005B4936">
            <w:pPr>
              <w:pStyle w:val="MDPI42tablebody"/>
            </w:pPr>
            <w:r>
              <w:t>HVMA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EEB0C" w14:textId="77777777" w:rsidR="00443CDE" w:rsidRDefault="00443CDE" w:rsidP="005B4936">
            <w:pPr>
              <w:pStyle w:val="MDPI42tablebody"/>
            </w:pPr>
            <w: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BDB04" w14:textId="77777777" w:rsidR="00443CDE" w:rsidRDefault="00443CDE" w:rsidP="005B4936">
            <w:pPr>
              <w:pStyle w:val="MDPI42tablebody"/>
            </w:pPr>
            <w:r>
              <w:t>Immotile</w:t>
            </w:r>
          </w:p>
          <w:p w14:paraId="3DCDF003" w14:textId="77777777" w:rsidR="00443CDE" w:rsidRDefault="00443CDE" w:rsidP="005B4936">
            <w:pPr>
              <w:pStyle w:val="MDPI42tablebody"/>
            </w:pPr>
            <w:r>
              <w:t>Dyskinetic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D687A" w14:textId="77777777" w:rsidR="00443CDE" w:rsidRDefault="00443CDE" w:rsidP="005B4936">
            <w:pPr>
              <w:pStyle w:val="MDPI42tablebody"/>
            </w:pPr>
            <w:r>
              <w:t>16</w:t>
            </w:r>
          </w:p>
          <w:p w14:paraId="061DCB71" w14:textId="77777777" w:rsidR="00443CDE" w:rsidRDefault="00443CDE" w:rsidP="005B4936">
            <w:pPr>
              <w:pStyle w:val="MDPI42tablebody"/>
            </w:pPr>
            <w:r>
              <w:t>5</w:t>
            </w:r>
          </w:p>
        </w:tc>
      </w:tr>
      <w:tr w:rsidR="00443CDE" w:rsidRPr="00655E61" w14:paraId="57272F4B" w14:textId="77777777" w:rsidTr="00443CDE">
        <w:trPr>
          <w:trHeight w:val="283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314E5" w14:textId="77777777" w:rsidR="00443CDE" w:rsidRDefault="00443CDE" w:rsidP="005B4936">
            <w:pPr>
              <w:pStyle w:val="MDPI42tablebody"/>
            </w:pPr>
            <w:r>
              <w:t>TEM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56343" w14:textId="77777777" w:rsidR="00443CDE" w:rsidRDefault="00443CDE" w:rsidP="005B4936">
            <w:pPr>
              <w:pStyle w:val="MDPI42tablebody"/>
            </w:pPr>
            <w: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E0BE2" w14:textId="77777777" w:rsidR="00443CDE" w:rsidRPr="008E745B" w:rsidRDefault="00443CDE" w:rsidP="005B4936">
            <w:pPr>
              <w:pStyle w:val="MDPI42tablebody"/>
            </w:pPr>
            <w:r w:rsidRPr="008E745B">
              <w:t>IDA + ODA defect</w:t>
            </w:r>
          </w:p>
          <w:p w14:paraId="1C1AB166" w14:textId="77777777" w:rsidR="00443CDE" w:rsidRPr="008E745B" w:rsidRDefault="00443CDE" w:rsidP="005B4936">
            <w:pPr>
              <w:pStyle w:val="MDPI42tablebody"/>
            </w:pPr>
            <w:r w:rsidRPr="008E745B">
              <w:t>ODA defect</w:t>
            </w:r>
          </w:p>
          <w:p w14:paraId="471456CB" w14:textId="77777777" w:rsidR="00443CDE" w:rsidRDefault="00443CDE" w:rsidP="005B4936">
            <w:pPr>
              <w:pStyle w:val="MDPI42tablebody"/>
            </w:pPr>
            <w:r w:rsidRPr="008E745B">
              <w:t>IDA defec</w:t>
            </w:r>
            <w:r>
              <w:t>t</w:t>
            </w:r>
          </w:p>
          <w:p w14:paraId="7252812F" w14:textId="77777777" w:rsidR="00443CDE" w:rsidRDefault="00443CDE" w:rsidP="005B4936">
            <w:pPr>
              <w:pStyle w:val="MDPI42tablebody"/>
            </w:pPr>
            <w:r>
              <w:t>Microtubule disorganization</w:t>
            </w:r>
          </w:p>
          <w:p w14:paraId="6232E74D" w14:textId="77777777" w:rsidR="00443CDE" w:rsidRDefault="00443CDE" w:rsidP="005B4936">
            <w:pPr>
              <w:pStyle w:val="MDPI42tablebody"/>
            </w:pPr>
            <w:r>
              <w:t>IDA defect + microtubule disorganization</w:t>
            </w:r>
          </w:p>
          <w:p w14:paraId="55E05F4B" w14:textId="77777777" w:rsidR="00443CDE" w:rsidRPr="008E745B" w:rsidRDefault="00443CDE" w:rsidP="005B4936">
            <w:pPr>
              <w:pStyle w:val="MDPI42tablebody"/>
            </w:pPr>
            <w:r>
              <w:t>normal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4B6C9" w14:textId="77777777" w:rsidR="00443CDE" w:rsidRDefault="00443CDE" w:rsidP="005B4936">
            <w:pPr>
              <w:pStyle w:val="MDPI42tablebody"/>
            </w:pPr>
            <w:r>
              <w:t>8</w:t>
            </w:r>
          </w:p>
          <w:p w14:paraId="7ED4FE21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4C263245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70636BB0" w14:textId="77777777" w:rsidR="00443CDE" w:rsidRDefault="00443CDE" w:rsidP="005B4936">
            <w:pPr>
              <w:pStyle w:val="MDPI42tablebody"/>
            </w:pPr>
            <w:r>
              <w:t>2</w:t>
            </w:r>
          </w:p>
          <w:p w14:paraId="31272AFC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46A8DCB0" w14:textId="77777777" w:rsidR="00443CDE" w:rsidRDefault="00443CDE" w:rsidP="005B4936">
            <w:pPr>
              <w:pStyle w:val="MDPI42tablebody"/>
            </w:pPr>
            <w:r>
              <w:t>2</w:t>
            </w:r>
          </w:p>
        </w:tc>
      </w:tr>
      <w:tr w:rsidR="00443CDE" w:rsidRPr="00655E61" w14:paraId="7F8E39B2" w14:textId="77777777" w:rsidTr="00443CDE">
        <w:trPr>
          <w:trHeight w:val="283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248B" w14:textId="77777777" w:rsidR="00443CDE" w:rsidRDefault="00443CDE" w:rsidP="005B4936">
            <w:pPr>
              <w:pStyle w:val="MDPI42tablebody"/>
            </w:pPr>
            <w:r>
              <w:t>IF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CA93B" w14:textId="77777777" w:rsidR="00443CDE" w:rsidRDefault="00443CDE" w:rsidP="005B4936">
            <w:pPr>
              <w:pStyle w:val="MDPI42tablebody"/>
            </w:pPr>
            <w: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53A3D" w14:textId="77777777" w:rsidR="00443CDE" w:rsidRDefault="00443CDE" w:rsidP="005B4936">
            <w:pPr>
              <w:pStyle w:val="MDPI42tablebody"/>
            </w:pPr>
            <w:r>
              <w:t>DNAH5</w:t>
            </w:r>
          </w:p>
          <w:p w14:paraId="15A80F1A" w14:textId="77777777" w:rsidR="00443CDE" w:rsidRDefault="00443CDE" w:rsidP="005B4936">
            <w:pPr>
              <w:pStyle w:val="MDPI42tablebody"/>
            </w:pPr>
            <w:r>
              <w:t>DNAH5 + DNALI2</w:t>
            </w:r>
          </w:p>
          <w:p w14:paraId="6B582339" w14:textId="77777777" w:rsidR="00443CDE" w:rsidRDefault="00443CDE" w:rsidP="005B4936">
            <w:pPr>
              <w:pStyle w:val="MDPI42tablebody"/>
            </w:pPr>
            <w:r>
              <w:t>DNAH5 + DNALI1</w:t>
            </w:r>
          </w:p>
          <w:p w14:paraId="2F4C2630" w14:textId="77777777" w:rsidR="00443CDE" w:rsidRDefault="00443CDE" w:rsidP="005B4936">
            <w:pPr>
              <w:pStyle w:val="MDPI42tablebody"/>
            </w:pPr>
            <w:r>
              <w:t>RSPH9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1C93F" w14:textId="77777777" w:rsidR="00443CDE" w:rsidRDefault="00443CDE" w:rsidP="005B4936">
            <w:pPr>
              <w:pStyle w:val="MDPI42tablebody"/>
            </w:pPr>
            <w:r>
              <w:t>8</w:t>
            </w:r>
          </w:p>
          <w:p w14:paraId="1D722625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3F2E0C05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648FE698" w14:textId="77777777" w:rsidR="00443CDE" w:rsidRDefault="00443CDE" w:rsidP="005B4936">
            <w:pPr>
              <w:pStyle w:val="MDPI42tablebody"/>
            </w:pPr>
            <w:r>
              <w:t>1</w:t>
            </w:r>
          </w:p>
        </w:tc>
      </w:tr>
      <w:tr w:rsidR="00443CDE" w:rsidRPr="00655E61" w14:paraId="1C571EB9" w14:textId="77777777" w:rsidTr="00443CDE">
        <w:trPr>
          <w:trHeight w:val="283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851C3" w14:textId="77777777" w:rsidR="00443CDE" w:rsidRDefault="00443CDE" w:rsidP="005B4936">
            <w:pPr>
              <w:pStyle w:val="MDPI42tablebody"/>
            </w:pPr>
            <w:r>
              <w:t>Genetics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54F21" w14:textId="77777777" w:rsidR="00443CDE" w:rsidRDefault="00443CDE" w:rsidP="005B4936">
            <w:pPr>
              <w:pStyle w:val="MDPI42tablebody"/>
            </w:pPr>
            <w: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95BB0" w14:textId="77777777" w:rsidR="00443CDE" w:rsidRDefault="00443CDE" w:rsidP="005B4936">
            <w:pPr>
              <w:pStyle w:val="MDPI42tablebody"/>
            </w:pPr>
            <w:r>
              <w:t>DNAH5</w:t>
            </w:r>
          </w:p>
          <w:p w14:paraId="76EF3957" w14:textId="77777777" w:rsidR="00443CDE" w:rsidRDefault="00443CDE" w:rsidP="005B4936">
            <w:pPr>
              <w:pStyle w:val="MDPI42tablebody"/>
            </w:pPr>
            <w:r>
              <w:t>ARMC4</w:t>
            </w:r>
          </w:p>
          <w:p w14:paraId="5277A69B" w14:textId="77777777" w:rsidR="00443CDE" w:rsidRDefault="00443CDE" w:rsidP="005B4936">
            <w:pPr>
              <w:pStyle w:val="MDPI42tablebody"/>
            </w:pPr>
            <w:r>
              <w:t>DNAAF3</w:t>
            </w:r>
          </w:p>
          <w:p w14:paraId="533F66A4" w14:textId="77777777" w:rsidR="00443CDE" w:rsidRDefault="00443CDE" w:rsidP="005B4936">
            <w:pPr>
              <w:pStyle w:val="MDPI42tablebody"/>
            </w:pPr>
            <w:r>
              <w:t>DNAI2</w:t>
            </w:r>
          </w:p>
          <w:p w14:paraId="425195B8" w14:textId="77777777" w:rsidR="00443CDE" w:rsidRDefault="00443CDE" w:rsidP="005B4936">
            <w:pPr>
              <w:pStyle w:val="MDPI42tablebody"/>
            </w:pPr>
            <w:r>
              <w:t>DYX1C1</w:t>
            </w:r>
          </w:p>
          <w:p w14:paraId="4EE97C26" w14:textId="77777777" w:rsidR="00443CDE" w:rsidRDefault="00443CDE" w:rsidP="005B4936">
            <w:pPr>
              <w:pStyle w:val="MDPI42tablebody"/>
            </w:pPr>
            <w:r>
              <w:t>SPAG1</w:t>
            </w:r>
          </w:p>
          <w:p w14:paraId="6E4CA281" w14:textId="77777777" w:rsidR="00443CDE" w:rsidRDefault="00443CDE" w:rsidP="005B4936">
            <w:pPr>
              <w:pStyle w:val="MDPI42tablebody"/>
            </w:pPr>
            <w:r>
              <w:t>DNAI1</w:t>
            </w:r>
          </w:p>
          <w:p w14:paraId="0D0333DD" w14:textId="77777777" w:rsidR="00443CDE" w:rsidRDefault="00443CDE" w:rsidP="005B4936">
            <w:pPr>
              <w:pStyle w:val="MDPI42tablebody"/>
            </w:pPr>
            <w:r>
              <w:t>CCDC39</w:t>
            </w:r>
          </w:p>
          <w:p w14:paraId="4EE968A5" w14:textId="77777777" w:rsidR="00443CDE" w:rsidRDefault="00443CDE" w:rsidP="005B4936">
            <w:pPr>
              <w:pStyle w:val="MDPI42tablebody"/>
            </w:pPr>
            <w:r>
              <w:t>CCDC40</w:t>
            </w:r>
          </w:p>
          <w:p w14:paraId="6B606718" w14:textId="77777777" w:rsidR="00443CDE" w:rsidRDefault="00443CDE" w:rsidP="005B4936">
            <w:pPr>
              <w:pStyle w:val="MDPI42tablebody"/>
            </w:pPr>
            <w:r>
              <w:t>RSPH4A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FE5CC" w14:textId="77777777" w:rsidR="00443CDE" w:rsidRDefault="00443CDE" w:rsidP="005B4936">
            <w:pPr>
              <w:pStyle w:val="MDPI42tablebody"/>
            </w:pPr>
            <w:r>
              <w:t>6</w:t>
            </w:r>
          </w:p>
          <w:p w14:paraId="35FFBA79" w14:textId="77777777" w:rsidR="00443CDE" w:rsidRDefault="00443CDE" w:rsidP="005B4936">
            <w:pPr>
              <w:pStyle w:val="MDPI42tablebody"/>
            </w:pPr>
            <w:r>
              <w:t>2</w:t>
            </w:r>
          </w:p>
          <w:p w14:paraId="2EA17512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03150776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58CBFE20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24E0FDAD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66709D7A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0956440A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4D7CEAA1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4C4208C4" w14:textId="77777777" w:rsidR="00443CDE" w:rsidRDefault="00443CDE" w:rsidP="005B4936">
            <w:pPr>
              <w:pStyle w:val="MDPI42tablebody"/>
            </w:pPr>
            <w:r>
              <w:t>1</w:t>
            </w:r>
          </w:p>
        </w:tc>
      </w:tr>
    </w:tbl>
    <w:p w14:paraId="680305BC" w14:textId="7950C6D7" w:rsidR="00443CDE" w:rsidRDefault="00443CDE" w:rsidP="00443CDE">
      <w:pPr>
        <w:pStyle w:val="MDPI41tablecaption"/>
        <w:spacing w:before="0" w:after="0"/>
        <w:ind w:left="567"/>
      </w:pPr>
      <w:r w:rsidRPr="00EA2237">
        <w:t>Abbreviations</w:t>
      </w:r>
      <w:r>
        <w:t>. n = number of subjects, HVMA = high-frequency video-microscopy analysis, TEM = transmission electron microscopy, IF = immunofluorescence</w:t>
      </w:r>
    </w:p>
    <w:p w14:paraId="4E7ACA58" w14:textId="77777777" w:rsidR="00443CDE" w:rsidRDefault="00443CDE" w:rsidP="00443CDE">
      <w:pPr>
        <w:pStyle w:val="MDPI41tablecaption"/>
        <w:spacing w:before="0" w:after="0"/>
        <w:ind w:left="567"/>
      </w:pPr>
    </w:p>
    <w:p w14:paraId="29346641" w14:textId="77777777" w:rsidR="00443CDE" w:rsidRDefault="00443CDE" w:rsidP="00443CDE">
      <w:pPr>
        <w:pStyle w:val="MDPI41tablecaption"/>
        <w:spacing w:before="0" w:after="0"/>
        <w:ind w:left="567"/>
      </w:pPr>
    </w:p>
    <w:p w14:paraId="38E49B83" w14:textId="77777777" w:rsidR="00443CDE" w:rsidRDefault="00443CDE" w:rsidP="00443CDE">
      <w:pPr>
        <w:pStyle w:val="MDPI41tablecaption"/>
        <w:spacing w:before="0" w:after="0"/>
        <w:ind w:left="567"/>
      </w:pPr>
      <w:r w:rsidRPr="00B07E0E">
        <w:rPr>
          <w:b/>
        </w:rPr>
        <w:t xml:space="preserve">Table </w:t>
      </w:r>
      <w:r>
        <w:rPr>
          <w:b/>
        </w:rPr>
        <w:t>S2</w:t>
      </w:r>
      <w:r w:rsidRPr="00B07E0E">
        <w:rPr>
          <w:b/>
        </w:rPr>
        <w:t xml:space="preserve">. </w:t>
      </w:r>
      <w:r w:rsidRPr="003A7C4F">
        <w:t>Data of patients with cystic fibrosis on treatment with CFTR modulators.</w:t>
      </w:r>
    </w:p>
    <w:p w14:paraId="703204AE" w14:textId="77777777" w:rsidR="00443CDE" w:rsidRDefault="00443CDE" w:rsidP="00443CDE">
      <w:pPr>
        <w:pStyle w:val="MDPI41tablecaption"/>
        <w:spacing w:before="0" w:after="0"/>
        <w:ind w:left="567"/>
      </w:pPr>
    </w:p>
    <w:tbl>
      <w:tblPr>
        <w:tblW w:w="5815" w:type="dxa"/>
        <w:tblInd w:w="163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2027"/>
      </w:tblGrid>
      <w:tr w:rsidR="00443CDE" w:rsidRPr="00196D5A" w14:paraId="5613DDFD" w14:textId="77777777" w:rsidTr="00443CDE">
        <w:trPr>
          <w:trHeight w:val="224"/>
        </w:trPr>
        <w:tc>
          <w:tcPr>
            <w:tcW w:w="378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3821A" w14:textId="77777777" w:rsidR="00443CDE" w:rsidRPr="00196D5A" w:rsidRDefault="00443CDE" w:rsidP="005B4936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Numbers of subjects</w:t>
            </w:r>
          </w:p>
        </w:tc>
        <w:tc>
          <w:tcPr>
            <w:tcW w:w="202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2E2CF" w14:textId="77777777" w:rsidR="00443CDE" w:rsidRPr="00196D5A" w:rsidRDefault="00443CDE" w:rsidP="005B4936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443CDE" w:rsidRPr="00655E61" w14:paraId="5CCB0443" w14:textId="77777777" w:rsidTr="00443CDE">
        <w:trPr>
          <w:trHeight w:val="224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814FE" w14:textId="77777777" w:rsidR="00443CDE" w:rsidRDefault="00443CDE" w:rsidP="005B4936">
            <w:pPr>
              <w:pStyle w:val="MDPI42tablebody"/>
              <w:jc w:val="left"/>
            </w:pPr>
            <w:r>
              <w:t>CFTR modulator</w:t>
            </w:r>
          </w:p>
          <w:p w14:paraId="298A2533" w14:textId="77777777" w:rsidR="00443CDE" w:rsidRDefault="00443CDE" w:rsidP="005B4936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Ivacaftor</w:t>
            </w:r>
          </w:p>
          <w:p w14:paraId="33C1CF99" w14:textId="77777777" w:rsidR="00443CDE" w:rsidRDefault="00443CDE" w:rsidP="005B4936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Lumacaftor/Ivacaftor</w:t>
            </w:r>
          </w:p>
          <w:p w14:paraId="2D45F1A8" w14:textId="77777777" w:rsidR="00443CDE" w:rsidRDefault="00443CDE" w:rsidP="005B4936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Tezacaftor/Ivacaftor</w:t>
            </w:r>
          </w:p>
          <w:p w14:paraId="6F548209" w14:textId="77777777" w:rsidR="00443CDE" w:rsidRDefault="00443CDE" w:rsidP="005B4936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Tezacaftor/Ivacaftor/Elexacaftor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D8277" w14:textId="77777777" w:rsidR="00443CDE" w:rsidRDefault="00443CDE" w:rsidP="005B4936">
            <w:pPr>
              <w:pStyle w:val="MDPI42tablebody"/>
            </w:pPr>
            <w:r>
              <w:t>9 (36%)</w:t>
            </w:r>
          </w:p>
          <w:p w14:paraId="5952D7FC" w14:textId="77777777" w:rsidR="00443CDE" w:rsidRDefault="00443CDE" w:rsidP="005B4936">
            <w:pPr>
              <w:pStyle w:val="MDPI42tablebody"/>
            </w:pPr>
            <w:r>
              <w:t>2</w:t>
            </w:r>
          </w:p>
          <w:p w14:paraId="5A34C6B2" w14:textId="77777777" w:rsidR="00443CDE" w:rsidRDefault="00443CDE" w:rsidP="005B4936">
            <w:pPr>
              <w:pStyle w:val="MDPI42tablebody"/>
            </w:pPr>
            <w:r>
              <w:t>6</w:t>
            </w:r>
          </w:p>
          <w:p w14:paraId="35B786F0" w14:textId="77777777" w:rsidR="00443CDE" w:rsidRDefault="00443CDE" w:rsidP="005B4936">
            <w:pPr>
              <w:pStyle w:val="MDPI42tablebody"/>
            </w:pPr>
            <w:r>
              <w:t>1</w:t>
            </w:r>
          </w:p>
          <w:p w14:paraId="5CC06AB8" w14:textId="77777777" w:rsidR="00443CDE" w:rsidRPr="00655E61" w:rsidRDefault="00443CDE" w:rsidP="005B4936">
            <w:pPr>
              <w:pStyle w:val="MDPI42tablebody"/>
            </w:pPr>
            <w:r>
              <w:t>0</w:t>
            </w:r>
          </w:p>
        </w:tc>
      </w:tr>
    </w:tbl>
    <w:p w14:paraId="4C7ED600" w14:textId="77777777" w:rsidR="00443CDE" w:rsidRDefault="00443CDE" w:rsidP="00443CDE">
      <w:pPr>
        <w:pStyle w:val="MDPI41tablecaption"/>
        <w:spacing w:before="0" w:after="0"/>
        <w:ind w:left="567"/>
      </w:pPr>
    </w:p>
    <w:p w14:paraId="44AA6738" w14:textId="77777777" w:rsidR="00443CDE" w:rsidRDefault="00443CDE" w:rsidP="00443CDE">
      <w:pPr>
        <w:pStyle w:val="MDPI41tablecaption"/>
        <w:spacing w:before="0" w:after="0"/>
        <w:ind w:left="567"/>
      </w:pPr>
    </w:p>
    <w:p w14:paraId="29486816" w14:textId="77777777" w:rsidR="00443CDE" w:rsidRDefault="00443CDE" w:rsidP="00443CDE">
      <w:pPr>
        <w:pStyle w:val="MDPI41tablecaption"/>
        <w:spacing w:before="0" w:after="0"/>
        <w:ind w:left="567"/>
      </w:pPr>
    </w:p>
    <w:p w14:paraId="47DCE795" w14:textId="77777777" w:rsidR="00443CDE" w:rsidRDefault="00443CDE" w:rsidP="00443CDE">
      <w:pPr>
        <w:pStyle w:val="MDPI41tablecaption"/>
        <w:spacing w:before="0" w:after="0"/>
        <w:ind w:left="567"/>
      </w:pPr>
    </w:p>
    <w:p w14:paraId="0C644B1B" w14:textId="77777777" w:rsidR="00443CDE" w:rsidRDefault="00443CDE" w:rsidP="00443CDE">
      <w:pPr>
        <w:pStyle w:val="MDPI41tablecaption"/>
        <w:spacing w:before="0" w:after="0"/>
        <w:ind w:left="567"/>
      </w:pPr>
    </w:p>
    <w:p w14:paraId="26718188" w14:textId="77777777" w:rsidR="00443CDE" w:rsidRDefault="00443CDE" w:rsidP="00443CDE">
      <w:pPr>
        <w:pStyle w:val="MDPI41tablecaption"/>
        <w:spacing w:before="0" w:after="0"/>
        <w:ind w:left="567"/>
      </w:pPr>
    </w:p>
    <w:p w14:paraId="1E82835B" w14:textId="77777777" w:rsidR="00443CDE" w:rsidRDefault="00443CDE" w:rsidP="00443CDE">
      <w:pPr>
        <w:pStyle w:val="MDPI41tablecaption"/>
        <w:spacing w:before="0" w:after="0"/>
        <w:ind w:left="567"/>
      </w:pPr>
    </w:p>
    <w:p w14:paraId="6A5B5EC8" w14:textId="77777777" w:rsidR="00443CDE" w:rsidRDefault="00443CDE" w:rsidP="00443CDE">
      <w:pPr>
        <w:pStyle w:val="MDPI41tablecaption"/>
        <w:spacing w:before="0" w:after="0"/>
        <w:ind w:left="567"/>
      </w:pPr>
    </w:p>
    <w:p w14:paraId="70C88618" w14:textId="77777777" w:rsidR="00443CDE" w:rsidRDefault="00443CDE" w:rsidP="00443CDE">
      <w:pPr>
        <w:pStyle w:val="MDPI41tablecaption"/>
        <w:spacing w:before="0" w:after="0"/>
        <w:ind w:left="567"/>
      </w:pPr>
    </w:p>
    <w:p w14:paraId="774F32B0" w14:textId="77777777" w:rsidR="00443CDE" w:rsidRDefault="00443CDE" w:rsidP="00443CDE">
      <w:pPr>
        <w:pStyle w:val="MDPI41tablecaption"/>
        <w:spacing w:before="0" w:after="0"/>
        <w:ind w:left="567"/>
      </w:pPr>
    </w:p>
    <w:p w14:paraId="427F06FF" w14:textId="77777777" w:rsidR="00443CDE" w:rsidRDefault="00443CDE" w:rsidP="00443CDE">
      <w:pPr>
        <w:pStyle w:val="MDPI41tablecaption"/>
        <w:spacing w:before="0" w:after="0"/>
        <w:ind w:left="567"/>
      </w:pPr>
    </w:p>
    <w:p w14:paraId="088EBBFD" w14:textId="77777777" w:rsidR="00443CDE" w:rsidRDefault="00443CDE" w:rsidP="00443CDE">
      <w:pPr>
        <w:pStyle w:val="MDPI41tablecaption"/>
        <w:spacing w:before="0" w:after="0"/>
        <w:ind w:left="567"/>
      </w:pPr>
    </w:p>
    <w:p w14:paraId="1AF57A45" w14:textId="77777777" w:rsidR="00443CDE" w:rsidRDefault="00443CDE" w:rsidP="00443CDE">
      <w:pPr>
        <w:pStyle w:val="MDPI41tablecaption"/>
        <w:spacing w:before="0" w:after="0"/>
        <w:ind w:left="567"/>
      </w:pPr>
    </w:p>
    <w:p w14:paraId="6D50CAE6" w14:textId="77777777" w:rsidR="00443CDE" w:rsidRDefault="00443CDE" w:rsidP="00443CDE">
      <w:pPr>
        <w:ind w:left="567"/>
      </w:pPr>
    </w:p>
    <w:p w14:paraId="422B1C4E" w14:textId="77777777" w:rsidR="00443CDE" w:rsidRDefault="00443CDE" w:rsidP="00443CDE">
      <w:pPr>
        <w:pStyle w:val="MDPI41tablecaption"/>
        <w:spacing w:before="0" w:after="0"/>
        <w:ind w:left="567"/>
      </w:pPr>
      <w:r w:rsidRPr="00B07E0E">
        <w:rPr>
          <w:b/>
        </w:rPr>
        <w:lastRenderedPageBreak/>
        <w:t xml:space="preserve">Table </w:t>
      </w:r>
      <w:r>
        <w:rPr>
          <w:b/>
        </w:rPr>
        <w:t>S3</w:t>
      </w:r>
      <w:r w:rsidRPr="00B07E0E">
        <w:rPr>
          <w:b/>
        </w:rPr>
        <w:t xml:space="preserve">. </w:t>
      </w:r>
      <w:r w:rsidRPr="003A7C4F">
        <w:t>Pulmonary bacterial colonization in patients with primary ciliary dyskinesia (PCD) and cystic fibrosis (CF).</w:t>
      </w:r>
    </w:p>
    <w:p w14:paraId="4E517E0D" w14:textId="77777777" w:rsidR="00443CDE" w:rsidRDefault="00443CDE" w:rsidP="00443CDE">
      <w:pPr>
        <w:pStyle w:val="MDPI41tablecaption"/>
        <w:spacing w:before="0" w:after="0"/>
        <w:ind w:left="567"/>
      </w:pPr>
    </w:p>
    <w:tbl>
      <w:tblPr>
        <w:tblpPr w:leftFromText="141" w:rightFromText="141" w:vertAnchor="text" w:horzAnchor="margin" w:tblpXSpec="right" w:tblpY="-88"/>
        <w:tblW w:w="779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1177"/>
        <w:gridCol w:w="1030"/>
      </w:tblGrid>
      <w:tr w:rsidR="00443CDE" w:rsidRPr="00196D5A" w14:paraId="4646CB5D" w14:textId="77777777" w:rsidTr="00443CDE">
        <w:trPr>
          <w:trHeight w:val="283"/>
        </w:trPr>
        <w:tc>
          <w:tcPr>
            <w:tcW w:w="559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0B67D" w14:textId="77777777" w:rsidR="00443CDE" w:rsidRPr="00196D5A" w:rsidRDefault="00443CDE" w:rsidP="00443CDE">
            <w:pPr>
              <w:pStyle w:val="MDPI42tablebody"/>
              <w:rPr>
                <w:b/>
                <w:bCs/>
              </w:rPr>
            </w:pP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59C7A" w14:textId="77777777" w:rsidR="00443CDE" w:rsidRPr="00196D5A" w:rsidRDefault="00443CDE" w:rsidP="00443CD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PCD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D0973C" w14:textId="77777777" w:rsidR="00443CDE" w:rsidRPr="00196D5A" w:rsidRDefault="00443CDE" w:rsidP="00443CD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CF</w:t>
            </w:r>
          </w:p>
        </w:tc>
      </w:tr>
      <w:tr w:rsidR="00443CDE" w:rsidRPr="00655E61" w14:paraId="6A55E9F8" w14:textId="77777777" w:rsidTr="00443CDE">
        <w:trPr>
          <w:trHeight w:val="283"/>
        </w:trPr>
        <w:tc>
          <w:tcPr>
            <w:tcW w:w="55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F489D3" w14:textId="77777777" w:rsidR="00443CDE" w:rsidRDefault="00443CDE" w:rsidP="00443CDE">
            <w:pPr>
              <w:pStyle w:val="MDPI42tablebody"/>
            </w:pPr>
            <w:r>
              <w:t xml:space="preserve">Number of subjects </w:t>
            </w:r>
          </w:p>
        </w:tc>
        <w:tc>
          <w:tcPr>
            <w:tcW w:w="11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5831BA" w14:textId="77777777" w:rsidR="00443CDE" w:rsidRPr="00655E61" w:rsidRDefault="00443CDE" w:rsidP="00443CDE">
            <w:pPr>
              <w:pStyle w:val="MDPI42tablebody"/>
            </w:pPr>
            <w:r>
              <w:t>23</w:t>
            </w:r>
          </w:p>
        </w:tc>
        <w:tc>
          <w:tcPr>
            <w:tcW w:w="10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7890C0" w14:textId="77777777" w:rsidR="00443CDE" w:rsidRPr="00655E61" w:rsidRDefault="00443CDE" w:rsidP="00443CDE">
            <w:pPr>
              <w:pStyle w:val="MDPI42tablebody"/>
            </w:pPr>
            <w:r>
              <w:t>25</w:t>
            </w:r>
          </w:p>
        </w:tc>
      </w:tr>
      <w:tr w:rsidR="00443CDE" w14:paraId="30F1330B" w14:textId="77777777" w:rsidTr="00443CDE">
        <w:trPr>
          <w:trHeight w:val="283"/>
        </w:trPr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DAF39" w14:textId="77777777" w:rsidR="00443CDE" w:rsidRDefault="00443CDE" w:rsidP="00443CDE">
            <w:pPr>
              <w:pStyle w:val="MDPI42tablebody"/>
              <w:jc w:val="both"/>
            </w:pPr>
            <w:r>
              <w:t>Pathological bacterial colonization</w:t>
            </w:r>
          </w:p>
          <w:p w14:paraId="2B381FA2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Aspergillus fumigatus</w:t>
            </w:r>
          </w:p>
          <w:p w14:paraId="2322627E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Burkholderia cenocepacia</w:t>
            </w:r>
          </w:p>
          <w:p w14:paraId="7929510A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Candida albicans</w:t>
            </w:r>
          </w:p>
          <w:p w14:paraId="4116E199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Candida tropicalis</w:t>
            </w:r>
          </w:p>
          <w:p w14:paraId="25D972E4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Enterobacter cloacae</w:t>
            </w:r>
          </w:p>
          <w:p w14:paraId="2219532C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Escherichia coli</w:t>
            </w:r>
          </w:p>
          <w:p w14:paraId="40987741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Haemophilus influenzae</w:t>
            </w:r>
          </w:p>
          <w:p w14:paraId="3423E243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Haemophilus parainfluenzae</w:t>
            </w:r>
          </w:p>
          <w:p w14:paraId="5FAC0286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Moraxella catarrhalis</w:t>
            </w:r>
          </w:p>
          <w:p w14:paraId="64E9B4E1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Methicillin-resistant Staphylococcus aureus (MRSA)</w:t>
            </w:r>
          </w:p>
          <w:p w14:paraId="74CD12A6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Mycobacterium abscessus</w:t>
            </w:r>
          </w:p>
          <w:p w14:paraId="7A514E41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Neisseria flavescens</w:t>
            </w:r>
          </w:p>
          <w:p w14:paraId="1C341FCE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Neisseria meningitidis</w:t>
            </w:r>
          </w:p>
          <w:p w14:paraId="16B4F5FC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Pseudomonas aeruginosa</w:t>
            </w:r>
          </w:p>
          <w:p w14:paraId="374D7759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Proteus mirabilis</w:t>
            </w:r>
          </w:p>
          <w:p w14:paraId="31E87104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Rothia mucilaginosa</w:t>
            </w:r>
          </w:p>
          <w:p w14:paraId="3D447E92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Staphylococcus aureus</w:t>
            </w:r>
          </w:p>
          <w:p w14:paraId="07B871E5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Serratia marcescens</w:t>
            </w:r>
          </w:p>
          <w:p w14:paraId="49F62346" w14:textId="77777777" w:rsidR="00443CDE" w:rsidRDefault="00443CDE" w:rsidP="00443CDE">
            <w:pPr>
              <w:pStyle w:val="MDPI42tablebody"/>
              <w:numPr>
                <w:ilvl w:val="0"/>
                <w:numId w:val="1"/>
              </w:numPr>
              <w:jc w:val="left"/>
            </w:pPr>
            <w:r>
              <w:t>Streptococcus pneumoniae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42068" w14:textId="77777777" w:rsidR="00443CDE" w:rsidRDefault="00443CDE" w:rsidP="00443CDE">
            <w:pPr>
              <w:pStyle w:val="MDPI42tablebody"/>
            </w:pPr>
            <w:r>
              <w:t>10 (43.48%)</w:t>
            </w:r>
          </w:p>
          <w:p w14:paraId="534BDF71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20C7CB98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2BDA5306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71AFC79F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7F8A12AC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6EFB50AF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3A5341AF" w14:textId="77777777" w:rsidR="00443CDE" w:rsidRDefault="00443CDE" w:rsidP="00443CDE">
            <w:pPr>
              <w:pStyle w:val="MDPI42tablebody"/>
            </w:pPr>
            <w:r>
              <w:t>5</w:t>
            </w:r>
          </w:p>
          <w:p w14:paraId="270BB702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077898CE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388AB87B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3CD40F84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2E6403B6" w14:textId="77777777" w:rsidR="00443CDE" w:rsidRDefault="00443CDE" w:rsidP="00443CDE">
            <w:pPr>
              <w:pStyle w:val="MDPI42tablebody"/>
            </w:pPr>
            <w:r>
              <w:t>2</w:t>
            </w:r>
          </w:p>
          <w:p w14:paraId="4DEF1EE7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69817030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25B9CD56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6407254C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012EB246" w14:textId="77777777" w:rsidR="00443CDE" w:rsidRDefault="00443CDE" w:rsidP="00443CDE">
            <w:pPr>
              <w:pStyle w:val="MDPI42tablebody"/>
            </w:pPr>
            <w:r>
              <w:t>5</w:t>
            </w:r>
          </w:p>
          <w:p w14:paraId="7779DCDA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191A8498" w14:textId="77777777" w:rsidR="00443CDE" w:rsidRDefault="00443CDE" w:rsidP="00443CDE">
            <w:pPr>
              <w:pStyle w:val="MDPI42tablebody"/>
            </w:pPr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D81BA" w14:textId="77777777" w:rsidR="00443CDE" w:rsidRDefault="00443CDE" w:rsidP="00443CDE">
            <w:pPr>
              <w:pStyle w:val="MDPI42tablebody"/>
            </w:pPr>
            <w:r>
              <w:t>20 (80%)</w:t>
            </w:r>
          </w:p>
          <w:p w14:paraId="0346937E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4594F0DC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7DE90894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6FFB12BE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0E0B0254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57651B5E" w14:textId="77777777" w:rsidR="00443CDE" w:rsidRDefault="00443CDE" w:rsidP="00443CDE">
            <w:pPr>
              <w:pStyle w:val="MDPI42tablebody"/>
            </w:pPr>
            <w:r>
              <w:t>2</w:t>
            </w:r>
          </w:p>
          <w:p w14:paraId="5CD7D098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5E6A4330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2DA07ED3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012E3E32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6614B9F6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442EFC3E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598FAEB6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782E744D" w14:textId="77777777" w:rsidR="00443CDE" w:rsidRDefault="00443CDE" w:rsidP="00443CDE">
            <w:pPr>
              <w:pStyle w:val="MDPI42tablebody"/>
            </w:pPr>
            <w:r>
              <w:t>7</w:t>
            </w:r>
          </w:p>
          <w:p w14:paraId="2930954D" w14:textId="77777777" w:rsidR="00443CDE" w:rsidRDefault="00443CDE" w:rsidP="00443CDE">
            <w:pPr>
              <w:pStyle w:val="MDPI42tablebody"/>
            </w:pPr>
            <w:r>
              <w:t>1</w:t>
            </w:r>
          </w:p>
          <w:p w14:paraId="47DC7108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6EE91360" w14:textId="77777777" w:rsidR="00443CDE" w:rsidRDefault="00443CDE" w:rsidP="00443CDE">
            <w:pPr>
              <w:pStyle w:val="MDPI42tablebody"/>
            </w:pPr>
            <w:r>
              <w:t>12</w:t>
            </w:r>
          </w:p>
          <w:p w14:paraId="7E99310C" w14:textId="77777777" w:rsidR="00443CDE" w:rsidRDefault="00443CDE" w:rsidP="00443CDE">
            <w:pPr>
              <w:pStyle w:val="MDPI42tablebody"/>
            </w:pPr>
            <w:r>
              <w:t>0</w:t>
            </w:r>
          </w:p>
          <w:p w14:paraId="55FB9E35" w14:textId="77777777" w:rsidR="00443CDE" w:rsidRDefault="00443CDE" w:rsidP="00443CDE">
            <w:pPr>
              <w:pStyle w:val="MDPI42tablebody"/>
            </w:pPr>
            <w:r>
              <w:t>0</w:t>
            </w:r>
          </w:p>
        </w:tc>
      </w:tr>
    </w:tbl>
    <w:p w14:paraId="37F84A46" w14:textId="77777777" w:rsidR="00443CDE" w:rsidRDefault="00443CDE" w:rsidP="00443CDE">
      <w:pPr>
        <w:pStyle w:val="MDPI41tablecaption"/>
        <w:spacing w:before="0" w:after="0"/>
        <w:ind w:left="567"/>
      </w:pPr>
    </w:p>
    <w:p w14:paraId="5EE20B51" w14:textId="77777777" w:rsidR="00443CDE" w:rsidRDefault="00443CDE" w:rsidP="00443CDE">
      <w:pPr>
        <w:pStyle w:val="MDPI41tablecaption"/>
        <w:spacing w:before="0" w:after="0"/>
        <w:ind w:left="567"/>
      </w:pPr>
    </w:p>
    <w:p w14:paraId="40DC5CA8" w14:textId="77777777" w:rsidR="00443CDE" w:rsidRDefault="00443CDE" w:rsidP="00443CDE">
      <w:pPr>
        <w:pStyle w:val="MDPI41tablecaption"/>
        <w:spacing w:before="0" w:after="0"/>
        <w:ind w:left="567"/>
      </w:pPr>
    </w:p>
    <w:p w14:paraId="5F6234B5" w14:textId="77777777" w:rsidR="00443CDE" w:rsidRDefault="00443CDE" w:rsidP="00443CDE">
      <w:pPr>
        <w:pStyle w:val="MDPI41tablecaption"/>
        <w:spacing w:before="0" w:after="0"/>
        <w:ind w:left="567"/>
      </w:pPr>
    </w:p>
    <w:p w14:paraId="208191E1" w14:textId="77777777" w:rsidR="00443CDE" w:rsidRDefault="00443CDE" w:rsidP="00443CDE">
      <w:pPr>
        <w:pStyle w:val="MDPI41tablecaption"/>
        <w:ind w:left="567"/>
        <w:rPr>
          <w:b/>
        </w:rPr>
      </w:pPr>
    </w:p>
    <w:p w14:paraId="3B53EAE3" w14:textId="77777777" w:rsidR="00443CDE" w:rsidRDefault="00443CDE" w:rsidP="00443CDE">
      <w:pPr>
        <w:pStyle w:val="MDPI41tablecaption"/>
        <w:ind w:left="567"/>
        <w:rPr>
          <w:b/>
        </w:rPr>
      </w:pPr>
    </w:p>
    <w:p w14:paraId="0CD7D79C" w14:textId="77777777" w:rsidR="00443CDE" w:rsidRDefault="00443CDE" w:rsidP="00443CDE">
      <w:pPr>
        <w:pStyle w:val="MDPI41tablecaption"/>
        <w:ind w:left="567"/>
        <w:rPr>
          <w:b/>
        </w:rPr>
      </w:pPr>
    </w:p>
    <w:p w14:paraId="29EE3B43" w14:textId="77777777" w:rsidR="00443CDE" w:rsidRDefault="00443CDE" w:rsidP="00443CDE">
      <w:pPr>
        <w:pStyle w:val="MDPI41tablecaption"/>
        <w:ind w:left="567"/>
        <w:rPr>
          <w:b/>
        </w:rPr>
      </w:pPr>
    </w:p>
    <w:p w14:paraId="2AA13FD7" w14:textId="77777777" w:rsidR="00443CDE" w:rsidRDefault="00443CDE" w:rsidP="00443CDE">
      <w:pPr>
        <w:pStyle w:val="MDPI41tablecaption"/>
        <w:ind w:left="567"/>
        <w:rPr>
          <w:b/>
        </w:rPr>
      </w:pPr>
    </w:p>
    <w:p w14:paraId="305ED7A6" w14:textId="77777777" w:rsidR="00443CDE" w:rsidRDefault="00443CDE" w:rsidP="00443CDE">
      <w:pPr>
        <w:pStyle w:val="MDPI41tablecaption"/>
        <w:ind w:left="567"/>
        <w:rPr>
          <w:b/>
        </w:rPr>
      </w:pPr>
    </w:p>
    <w:p w14:paraId="75FFC75D" w14:textId="77777777" w:rsidR="00443CDE" w:rsidRDefault="00443CDE" w:rsidP="00443CDE">
      <w:pPr>
        <w:pStyle w:val="MDPI41tablecaption"/>
        <w:ind w:left="567"/>
        <w:rPr>
          <w:b/>
        </w:rPr>
      </w:pPr>
    </w:p>
    <w:p w14:paraId="69AC5CCA" w14:textId="77777777" w:rsidR="00443CDE" w:rsidRDefault="00443CDE" w:rsidP="00443CDE">
      <w:pPr>
        <w:pStyle w:val="MDPI41tablecaption"/>
        <w:ind w:left="567"/>
        <w:rPr>
          <w:b/>
        </w:rPr>
      </w:pPr>
    </w:p>
    <w:p w14:paraId="3E37C8C2" w14:textId="77777777" w:rsidR="00443CDE" w:rsidRDefault="00443CDE" w:rsidP="00443CDE">
      <w:pPr>
        <w:pStyle w:val="MDPI41tablecaption"/>
        <w:ind w:left="567"/>
        <w:rPr>
          <w:b/>
        </w:rPr>
      </w:pPr>
    </w:p>
    <w:p w14:paraId="700C98E9" w14:textId="77777777" w:rsidR="00443CDE" w:rsidRDefault="00443CDE" w:rsidP="00443CDE">
      <w:pPr>
        <w:pStyle w:val="MDPI41tablecaption"/>
        <w:ind w:left="567"/>
        <w:rPr>
          <w:b/>
        </w:rPr>
      </w:pPr>
    </w:p>
    <w:p w14:paraId="0206835A" w14:textId="77777777" w:rsidR="00443CDE" w:rsidRDefault="00443CDE" w:rsidP="00443CDE">
      <w:pPr>
        <w:pStyle w:val="MDPI41tablecaption"/>
        <w:ind w:left="0"/>
        <w:rPr>
          <w:b/>
        </w:rPr>
      </w:pPr>
    </w:p>
    <w:p w14:paraId="7CC6C706" w14:textId="77777777" w:rsidR="00443CDE" w:rsidRDefault="00443CDE" w:rsidP="00443CDE">
      <w:pPr>
        <w:pStyle w:val="MDPI41tablecaption"/>
        <w:ind w:left="0"/>
        <w:rPr>
          <w:b/>
        </w:rPr>
      </w:pPr>
    </w:p>
    <w:p w14:paraId="7A92BE7C" w14:textId="77777777" w:rsidR="00443CDE" w:rsidRDefault="00443CDE" w:rsidP="00443CDE">
      <w:pPr>
        <w:pStyle w:val="MDPI41tablecaption"/>
        <w:ind w:left="0"/>
        <w:rPr>
          <w:b/>
        </w:rPr>
      </w:pPr>
    </w:p>
    <w:p w14:paraId="4B69C00C" w14:textId="13CEDD25" w:rsidR="00443CDE" w:rsidRPr="00FA04F1" w:rsidRDefault="00443CDE" w:rsidP="00443CDE">
      <w:pPr>
        <w:pStyle w:val="MDPI41tablecaption"/>
        <w:ind w:left="567"/>
      </w:pPr>
      <w:r w:rsidRPr="00B07E0E">
        <w:rPr>
          <w:b/>
        </w:rPr>
        <w:t xml:space="preserve">Table </w:t>
      </w:r>
      <w:r>
        <w:rPr>
          <w:b/>
        </w:rPr>
        <w:t>S4</w:t>
      </w:r>
      <w:r w:rsidRPr="00B07E0E">
        <w:rPr>
          <w:b/>
        </w:rPr>
        <w:t xml:space="preserve">. </w:t>
      </w:r>
      <w:r w:rsidRPr="00D03691">
        <w:t xml:space="preserve">Contents in </w:t>
      </w:r>
      <w:r>
        <w:t>plasma</w:t>
      </w:r>
      <w:r w:rsidRPr="00D03691">
        <w:t xml:space="preserve"> (</w:t>
      </w:r>
      <w:r>
        <w:t>µmol/L</w:t>
      </w:r>
      <w:r w:rsidRPr="00D03691">
        <w:t>)</w:t>
      </w:r>
      <w:r>
        <w:t xml:space="preserve"> and urine (µM or µM/mM creatinine)</w:t>
      </w:r>
      <w:r w:rsidRPr="00D03691">
        <w:t xml:space="preserve"> of metabolites of the L-Arg/NO pathway in patients with PCD or CF and in healthy controls (HC). Data are presented as median </w:t>
      </w:r>
      <w:r>
        <w:t>[</w:t>
      </w:r>
      <w:r w:rsidRPr="00D03691">
        <w:t>25-75th interquartile range</w:t>
      </w:r>
      <w:r>
        <w:t>]</w:t>
      </w:r>
      <w:r w:rsidRPr="00D03691">
        <w:t>.</w:t>
      </w:r>
    </w:p>
    <w:tbl>
      <w:tblPr>
        <w:tblpPr w:leftFromText="141" w:rightFromText="141" w:vertAnchor="text" w:horzAnchor="margin" w:tblpXSpec="center" w:tblpY="90"/>
        <w:tblW w:w="779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1453"/>
        <w:gridCol w:w="1889"/>
        <w:gridCol w:w="1654"/>
        <w:gridCol w:w="892"/>
      </w:tblGrid>
      <w:tr w:rsidR="00443CDE" w:rsidRPr="00655E61" w14:paraId="16B74910" w14:textId="77777777" w:rsidTr="00443CDE">
        <w:trPr>
          <w:trHeight w:val="283"/>
        </w:trPr>
        <w:tc>
          <w:tcPr>
            <w:tcW w:w="19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9393865" w14:textId="77777777" w:rsidR="00443CDE" w:rsidRPr="00196D5A" w:rsidRDefault="00443CDE" w:rsidP="00443CD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Plasma</w:t>
            </w:r>
          </w:p>
        </w:tc>
        <w:tc>
          <w:tcPr>
            <w:tcW w:w="14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335344F" w14:textId="77777777" w:rsidR="00443CDE" w:rsidRPr="00196D5A" w:rsidRDefault="00443CDE" w:rsidP="00443CD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PCD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5B24AEB0" w14:textId="77777777" w:rsidR="00443CDE" w:rsidRPr="00196D5A" w:rsidRDefault="00443CDE" w:rsidP="00443CD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CF</w:t>
            </w:r>
          </w:p>
        </w:tc>
        <w:tc>
          <w:tcPr>
            <w:tcW w:w="165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94E76AC" w14:textId="77777777" w:rsidR="00443CDE" w:rsidRPr="00196D5A" w:rsidRDefault="00443CDE" w:rsidP="00443CD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HC</w:t>
            </w:r>
          </w:p>
        </w:tc>
        <w:tc>
          <w:tcPr>
            <w:tcW w:w="892" w:type="dxa"/>
            <w:tcBorders>
              <w:top w:val="single" w:sz="8" w:space="0" w:color="auto"/>
              <w:bottom w:val="single" w:sz="4" w:space="0" w:color="auto"/>
            </w:tcBorders>
          </w:tcPr>
          <w:p w14:paraId="422B6B11" w14:textId="77777777" w:rsidR="00443CDE" w:rsidRDefault="00443CDE" w:rsidP="00443CDE">
            <w:pPr>
              <w:pStyle w:val="MDPI42tablebody"/>
              <w:rPr>
                <w:b/>
                <w:bCs/>
              </w:rPr>
            </w:pPr>
            <w:r w:rsidRPr="001A0AD7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</w:rPr>
              <w:t xml:space="preserve"> value</w:t>
            </w:r>
          </w:p>
        </w:tc>
      </w:tr>
      <w:tr w:rsidR="00443CDE" w:rsidRPr="00655E61" w14:paraId="4D408DFA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7AB525" w14:textId="77777777" w:rsidR="00443CDE" w:rsidRPr="00FB2673" w:rsidRDefault="00443CDE" w:rsidP="00443CDE">
            <w:pPr>
              <w:pStyle w:val="MDPI42tablebody"/>
            </w:pPr>
            <w:r w:rsidRPr="00FB2673">
              <w:t>Number of subjects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84071C" w14:textId="77777777" w:rsidR="00443CDE" w:rsidRPr="00655E61" w:rsidRDefault="00443CDE" w:rsidP="00443CDE">
            <w:pPr>
              <w:pStyle w:val="MDPI42tablebody"/>
            </w:pPr>
            <w:r>
              <w:t>22</w:t>
            </w:r>
          </w:p>
        </w:tc>
        <w:tc>
          <w:tcPr>
            <w:tcW w:w="18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119FA1" w14:textId="77777777" w:rsidR="00443CDE" w:rsidRPr="00655E61" w:rsidRDefault="00443CDE" w:rsidP="00443CDE">
            <w:pPr>
              <w:pStyle w:val="MDPI42tablebody"/>
            </w:pPr>
            <w:r>
              <w:t>24</w:t>
            </w: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25B0E3" w14:textId="77777777" w:rsidR="00443CDE" w:rsidRPr="00655E61" w:rsidRDefault="00443CDE" w:rsidP="00443CDE">
            <w:pPr>
              <w:pStyle w:val="MDPI42tablebody"/>
            </w:pPr>
            <w:r>
              <w:t>14</w:t>
            </w:r>
          </w:p>
        </w:tc>
        <w:tc>
          <w:tcPr>
            <w:tcW w:w="892" w:type="dxa"/>
            <w:tcBorders>
              <w:top w:val="single" w:sz="4" w:space="0" w:color="auto"/>
              <w:bottom w:val="nil"/>
            </w:tcBorders>
          </w:tcPr>
          <w:p w14:paraId="2DFFE6A8" w14:textId="77777777" w:rsidR="00443CDE" w:rsidRPr="00655E61" w:rsidRDefault="00443CDE" w:rsidP="00443CDE">
            <w:pPr>
              <w:pStyle w:val="MDPI42tablebody"/>
            </w:pPr>
          </w:p>
        </w:tc>
      </w:tr>
      <w:tr w:rsidR="00443CDE" w:rsidRPr="00655E61" w14:paraId="0FE2FD4B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38C95" w14:textId="77777777" w:rsidR="00443CDE" w:rsidRDefault="00443CDE" w:rsidP="00443CDE">
            <w:pPr>
              <w:pStyle w:val="MDPI42tablebody"/>
            </w:pPr>
            <w:r>
              <w:t>L-Arg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50505" w14:textId="77777777" w:rsidR="00443CDE" w:rsidRDefault="00443CDE" w:rsidP="00443CDE">
            <w:pPr>
              <w:pStyle w:val="MDPI42tablebody"/>
            </w:pPr>
            <w:r>
              <w:t>77.14</w:t>
            </w:r>
          </w:p>
          <w:p w14:paraId="451E894D" w14:textId="77777777" w:rsidR="00443CDE" w:rsidRDefault="00443CDE" w:rsidP="00443CDE">
            <w:pPr>
              <w:pStyle w:val="MDPI42tablebody"/>
            </w:pPr>
            <w:r>
              <w:t>[67.70 – 89.48]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62BCF" w14:textId="77777777" w:rsidR="00443CDE" w:rsidRDefault="00443CDE" w:rsidP="00443CDE">
            <w:pPr>
              <w:pStyle w:val="MDPI42tablebody"/>
            </w:pPr>
            <w:r>
              <w:t>87.56</w:t>
            </w:r>
          </w:p>
          <w:p w14:paraId="194B8010" w14:textId="77777777" w:rsidR="00443CDE" w:rsidRDefault="00443CDE" w:rsidP="00443CDE">
            <w:pPr>
              <w:pStyle w:val="MDPI42tablebody"/>
            </w:pPr>
            <w:r>
              <w:t>[72.65 – 116.86]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CB3D1" w14:textId="77777777" w:rsidR="00443CDE" w:rsidRDefault="00443CDE" w:rsidP="00443CDE">
            <w:pPr>
              <w:pStyle w:val="MDPI42tablebody"/>
            </w:pPr>
            <w:r>
              <w:t>83.45</w:t>
            </w:r>
          </w:p>
          <w:p w14:paraId="4B0B0FC6" w14:textId="77777777" w:rsidR="00443CDE" w:rsidRDefault="00443CDE" w:rsidP="00443CDE">
            <w:pPr>
              <w:pStyle w:val="MDPI42tablebody"/>
            </w:pPr>
            <w:r>
              <w:t>[71.96 – 86.66]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0268F747" w14:textId="77777777" w:rsidR="00443CDE" w:rsidRPr="008719C2" w:rsidRDefault="00443CDE" w:rsidP="00443CDE">
            <w:pPr>
              <w:pStyle w:val="MDPI42tablebody"/>
              <w:rPr>
                <w:b/>
                <w:bCs/>
              </w:rPr>
            </w:pPr>
            <w:r>
              <w:t>0.110</w:t>
            </w:r>
          </w:p>
        </w:tc>
      </w:tr>
      <w:tr w:rsidR="00443CDE" w:rsidRPr="00655E61" w14:paraId="67F2F2A5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BD6F4" w14:textId="77777777" w:rsidR="00443CDE" w:rsidRDefault="00443CDE" w:rsidP="00443CDE">
            <w:pPr>
              <w:pStyle w:val="MDPI42tablebody"/>
            </w:pPr>
            <w:r>
              <w:t>h-Arg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21BAB" w14:textId="77777777" w:rsidR="00443CDE" w:rsidRDefault="00443CDE" w:rsidP="00443CDE">
            <w:pPr>
              <w:pStyle w:val="MDPI42tablebody"/>
            </w:pPr>
            <w:r>
              <w:t>1.25</w:t>
            </w:r>
          </w:p>
          <w:p w14:paraId="3EBC3E78" w14:textId="77777777" w:rsidR="00443CDE" w:rsidRDefault="00443CDE" w:rsidP="00443CDE">
            <w:pPr>
              <w:pStyle w:val="MDPI42tablebody"/>
            </w:pPr>
            <w:r>
              <w:t>[0.93 – 1.70]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56925" w14:textId="77777777" w:rsidR="00443CDE" w:rsidRDefault="00443CDE" w:rsidP="00443CDE">
            <w:pPr>
              <w:pStyle w:val="MDPI42tablebody"/>
            </w:pPr>
            <w:r>
              <w:t>1.40</w:t>
            </w:r>
          </w:p>
          <w:p w14:paraId="088F8B55" w14:textId="77777777" w:rsidR="00443CDE" w:rsidRDefault="00443CDE" w:rsidP="00443CDE">
            <w:pPr>
              <w:pStyle w:val="MDPI42tablebody"/>
            </w:pPr>
            <w:r>
              <w:t>[0.93 – 1.79]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0FC05" w14:textId="77777777" w:rsidR="00443CDE" w:rsidRDefault="00443CDE" w:rsidP="00443CDE">
            <w:pPr>
              <w:pStyle w:val="MDPI42tablebody"/>
            </w:pPr>
            <w:r>
              <w:t>1.43</w:t>
            </w:r>
          </w:p>
          <w:p w14:paraId="233111E0" w14:textId="77777777" w:rsidR="00443CDE" w:rsidRDefault="00443CDE" w:rsidP="00443CDE">
            <w:pPr>
              <w:pStyle w:val="MDPI42tablebody"/>
            </w:pPr>
            <w:r>
              <w:t>[1.10 – 1.67]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2C8791D9" w14:textId="77777777" w:rsidR="00443CDE" w:rsidRDefault="00443CDE" w:rsidP="00443CDE">
            <w:pPr>
              <w:pStyle w:val="MDPI42tablebody"/>
            </w:pPr>
            <w:r>
              <w:t>0.606</w:t>
            </w:r>
          </w:p>
        </w:tc>
      </w:tr>
      <w:tr w:rsidR="00443CDE" w:rsidRPr="00655E61" w14:paraId="7E6D2106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38259" w14:textId="77777777" w:rsidR="00443CDE" w:rsidRDefault="00443CDE" w:rsidP="00443CDE">
            <w:pPr>
              <w:pStyle w:val="MDPI42tablebody"/>
            </w:pPr>
            <w:r>
              <w:t>ADMA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8B71" w14:textId="77777777" w:rsidR="00443CDE" w:rsidRDefault="00443CDE" w:rsidP="00443CDE">
            <w:pPr>
              <w:pStyle w:val="MDPI42tablebody"/>
            </w:pPr>
            <w:r>
              <w:t>0.51</w:t>
            </w:r>
          </w:p>
          <w:p w14:paraId="203E3250" w14:textId="77777777" w:rsidR="00443CDE" w:rsidRDefault="00443CDE" w:rsidP="00443CDE">
            <w:pPr>
              <w:pStyle w:val="MDPI42tablebody"/>
            </w:pPr>
            <w:r>
              <w:t>[0.36 – 0.55]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CECC0" w14:textId="77777777" w:rsidR="00443CDE" w:rsidRDefault="00443CDE" w:rsidP="00443CDE">
            <w:pPr>
              <w:pStyle w:val="MDPI42tablebody"/>
            </w:pPr>
            <w:r>
              <w:t>0.53</w:t>
            </w:r>
          </w:p>
          <w:p w14:paraId="29B33261" w14:textId="77777777" w:rsidR="00443CDE" w:rsidRDefault="00443CDE" w:rsidP="00443CDE">
            <w:pPr>
              <w:pStyle w:val="MDPI42tablebody"/>
            </w:pPr>
            <w:r>
              <w:t>[0.46 – 0.59]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088A8" w14:textId="77777777" w:rsidR="00443CDE" w:rsidRDefault="00443CDE" w:rsidP="00443CDE">
            <w:pPr>
              <w:pStyle w:val="MDPI42tablebody"/>
            </w:pPr>
            <w:r>
              <w:t>0.41</w:t>
            </w:r>
          </w:p>
          <w:p w14:paraId="5BA77191" w14:textId="77777777" w:rsidR="00443CDE" w:rsidRDefault="00443CDE" w:rsidP="00443CDE">
            <w:pPr>
              <w:pStyle w:val="MDPI42tablebody"/>
            </w:pPr>
            <w:r>
              <w:t>[0.36 – 0.52]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41BCAE07" w14:textId="77777777" w:rsidR="00443CDE" w:rsidRPr="00BE7FB3" w:rsidRDefault="00443CDE" w:rsidP="00443CDE">
            <w:pPr>
              <w:pStyle w:val="MDPI42tablebody"/>
            </w:pPr>
            <w:r w:rsidRPr="00BE7FB3">
              <w:t>0.886</w:t>
            </w:r>
          </w:p>
        </w:tc>
      </w:tr>
      <w:tr w:rsidR="00443CDE" w:rsidRPr="00655E61" w14:paraId="56C808EC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8E541" w14:textId="77777777" w:rsidR="00443CDE" w:rsidRPr="009E02F1" w:rsidRDefault="00443CDE" w:rsidP="00443CDE">
            <w:pPr>
              <w:pStyle w:val="MDPI42tablebody"/>
              <w:rPr>
                <w:b/>
                <w:bCs/>
              </w:rPr>
            </w:pPr>
            <w:r w:rsidRPr="009E02F1">
              <w:rPr>
                <w:b/>
                <w:bCs/>
              </w:rPr>
              <w:t>Nitrite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FD50A" w14:textId="77777777" w:rsidR="00443CDE" w:rsidRDefault="00443CDE" w:rsidP="00443CDE">
            <w:pPr>
              <w:pStyle w:val="MDPI42tablebody"/>
            </w:pPr>
            <w:r>
              <w:t>23.90</w:t>
            </w:r>
          </w:p>
          <w:p w14:paraId="55BCC616" w14:textId="77777777" w:rsidR="00443CDE" w:rsidRDefault="00443CDE" w:rsidP="00443CDE">
            <w:pPr>
              <w:pStyle w:val="MDPI42tablebody"/>
            </w:pPr>
            <w:r>
              <w:t>[22.19 – 24.92]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811BC" w14:textId="77777777" w:rsidR="00443CDE" w:rsidRDefault="00443CDE" w:rsidP="00443CDE">
            <w:pPr>
              <w:pStyle w:val="MDPI42tablebody"/>
            </w:pPr>
            <w:r>
              <w:t>22.22</w:t>
            </w:r>
          </w:p>
          <w:p w14:paraId="3E9D27AC" w14:textId="77777777" w:rsidR="00443CDE" w:rsidRDefault="00443CDE" w:rsidP="00443CDE">
            <w:pPr>
              <w:pStyle w:val="MDPI42tablebody"/>
            </w:pPr>
            <w:r>
              <w:t>[21.45 – 23.62]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7CB2D" w14:textId="77777777" w:rsidR="00443CDE" w:rsidRDefault="00443CDE" w:rsidP="00443CDE">
            <w:pPr>
              <w:pStyle w:val="MDPI42tablebody"/>
            </w:pPr>
            <w:r>
              <w:t>21.02</w:t>
            </w:r>
          </w:p>
          <w:p w14:paraId="7C0A4114" w14:textId="77777777" w:rsidR="00443CDE" w:rsidRDefault="00443CDE" w:rsidP="00443CDE">
            <w:pPr>
              <w:pStyle w:val="MDPI42tablebody"/>
            </w:pPr>
            <w:r>
              <w:t>[19.65 – 22.64]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306FA443" w14:textId="77777777" w:rsidR="00443CDE" w:rsidRPr="00BE7FB3" w:rsidRDefault="00443CDE" w:rsidP="00443CDE">
            <w:pPr>
              <w:pStyle w:val="MDPI42tablebody"/>
            </w:pPr>
            <w:r w:rsidRPr="00BE7FB3">
              <w:t>* 0.163</w:t>
            </w:r>
          </w:p>
          <w:p w14:paraId="45FD6BE4" w14:textId="77777777" w:rsidR="00443CDE" w:rsidRDefault="00443CDE" w:rsidP="00443CDE">
            <w:pPr>
              <w:pStyle w:val="MDPI42tablebody"/>
              <w:rPr>
                <w:b/>
                <w:bCs/>
              </w:rPr>
            </w:pPr>
            <w:r w:rsidRPr="00BE7FB3">
              <w:rPr>
                <w:b/>
                <w:bCs/>
                <w:vertAlign w:val="superscript"/>
              </w:rPr>
              <w:t xml:space="preserve"># </w:t>
            </w:r>
            <w:r>
              <w:rPr>
                <w:b/>
                <w:bCs/>
              </w:rPr>
              <w:t>&lt; 0.001</w:t>
            </w:r>
          </w:p>
          <w:p w14:paraId="2620E398" w14:textId="77777777" w:rsidR="00443CDE" w:rsidRDefault="00443CDE" w:rsidP="00443CDE">
            <w:pPr>
              <w:pStyle w:val="MDPI42tablebody"/>
            </w:pPr>
            <w:r w:rsidRPr="00BE7FB3">
              <w:rPr>
                <w:b/>
                <w:bCs/>
                <w:vertAlign w:val="superscript"/>
              </w:rPr>
              <w:t>+</w:t>
            </w:r>
            <w:r>
              <w:rPr>
                <w:b/>
                <w:bCs/>
              </w:rPr>
              <w:t xml:space="preserve"> 0.038</w:t>
            </w:r>
          </w:p>
        </w:tc>
      </w:tr>
      <w:tr w:rsidR="00443CDE" w:rsidRPr="00655E61" w14:paraId="54AD942B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B233E" w14:textId="77777777" w:rsidR="00443CDE" w:rsidRPr="009E02F1" w:rsidRDefault="00443CDE" w:rsidP="00443CDE">
            <w:pPr>
              <w:pStyle w:val="MDPI42tablebody"/>
              <w:rPr>
                <w:b/>
                <w:bCs/>
              </w:rPr>
            </w:pPr>
            <w:r w:rsidRPr="009E02F1">
              <w:rPr>
                <w:b/>
                <w:bCs/>
              </w:rPr>
              <w:t>Nitrate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3F5BC" w14:textId="77777777" w:rsidR="00443CDE" w:rsidRDefault="00443CDE" w:rsidP="00443CDE">
            <w:pPr>
              <w:pStyle w:val="MDPI42tablebody"/>
            </w:pPr>
            <w:r>
              <w:t>63.26</w:t>
            </w:r>
          </w:p>
          <w:p w14:paraId="490722EF" w14:textId="77777777" w:rsidR="00443CDE" w:rsidRDefault="00443CDE" w:rsidP="00443CDE">
            <w:pPr>
              <w:pStyle w:val="MDPI42tablebody"/>
            </w:pPr>
            <w:r>
              <w:t>[56.26 – 67.75]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40B8F" w14:textId="77777777" w:rsidR="00443CDE" w:rsidRDefault="00443CDE" w:rsidP="00443CDE">
            <w:pPr>
              <w:pStyle w:val="MDPI42tablebody"/>
            </w:pPr>
            <w:r>
              <w:t>81.61</w:t>
            </w:r>
          </w:p>
          <w:p w14:paraId="2ECC3388" w14:textId="77777777" w:rsidR="00443CDE" w:rsidRDefault="00443CDE" w:rsidP="00443CDE">
            <w:pPr>
              <w:pStyle w:val="MDPI42tablebody"/>
            </w:pPr>
            <w:r>
              <w:t>[73.88 – 100.86]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1C64A" w14:textId="77777777" w:rsidR="00443CDE" w:rsidRDefault="00443CDE" w:rsidP="00443CDE">
            <w:pPr>
              <w:pStyle w:val="MDPI42tablebody"/>
            </w:pPr>
            <w:r>
              <w:t>86.96</w:t>
            </w:r>
          </w:p>
          <w:p w14:paraId="7280F592" w14:textId="77777777" w:rsidR="00443CDE" w:rsidRDefault="00443CDE" w:rsidP="00443CDE">
            <w:pPr>
              <w:pStyle w:val="MDPI42tablebody"/>
            </w:pPr>
            <w:r>
              <w:t>[70.93 – 110.41]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5859E96F" w14:textId="77777777" w:rsidR="00443CDE" w:rsidRPr="008719C2" w:rsidRDefault="00443CDE" w:rsidP="00443CDE">
            <w:pPr>
              <w:pStyle w:val="MDPI42tablebody"/>
              <w:rPr>
                <w:b/>
                <w:bCs/>
              </w:rPr>
            </w:pPr>
            <w:r w:rsidRPr="008719C2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&lt; 0.001</w:t>
            </w:r>
          </w:p>
          <w:p w14:paraId="0C5D29DC" w14:textId="77777777" w:rsidR="00443CDE" w:rsidRPr="008719C2" w:rsidRDefault="00443CDE" w:rsidP="00443CDE">
            <w:pPr>
              <w:pStyle w:val="MDPI42tablebody"/>
              <w:rPr>
                <w:b/>
                <w:bCs/>
              </w:rPr>
            </w:pPr>
            <w:r w:rsidRPr="008719C2">
              <w:rPr>
                <w:b/>
                <w:bCs/>
                <w:vertAlign w:val="superscript"/>
              </w:rPr>
              <w:t xml:space="preserve"># </w:t>
            </w:r>
            <w:r w:rsidRPr="008719C2">
              <w:rPr>
                <w:b/>
                <w:bCs/>
              </w:rPr>
              <w:t>0.00</w:t>
            </w:r>
            <w:r>
              <w:rPr>
                <w:b/>
                <w:bCs/>
              </w:rPr>
              <w:t>2</w:t>
            </w:r>
          </w:p>
          <w:p w14:paraId="6D1B8AED" w14:textId="77777777" w:rsidR="00443CDE" w:rsidRDefault="00443CDE" w:rsidP="00443CDE">
            <w:pPr>
              <w:pStyle w:val="MDPI42tablebody"/>
            </w:pPr>
            <w:r w:rsidRPr="008719C2">
              <w:rPr>
                <w:vertAlign w:val="superscript"/>
              </w:rPr>
              <w:t xml:space="preserve">+ </w:t>
            </w:r>
            <w:r>
              <w:t>0.999</w:t>
            </w:r>
          </w:p>
        </w:tc>
      </w:tr>
      <w:tr w:rsidR="00443CDE" w:rsidRPr="00655E61" w14:paraId="72D0BDB4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A0905" w14:textId="77777777" w:rsidR="00443CDE" w:rsidRPr="009E02F1" w:rsidRDefault="00443CDE" w:rsidP="00443CDE">
            <w:pPr>
              <w:pStyle w:val="MDPI42tablebody"/>
              <w:rPr>
                <w:b/>
                <w:bCs/>
              </w:rPr>
            </w:pPr>
            <w:r w:rsidRPr="009E02F1">
              <w:rPr>
                <w:b/>
                <w:bCs/>
              </w:rPr>
              <w:t>Orn/Cit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8BEA9" w14:textId="77777777" w:rsidR="00443CDE" w:rsidRPr="00CD65B1" w:rsidRDefault="00443CDE" w:rsidP="00443CDE">
            <w:pPr>
              <w:pStyle w:val="MDPI42tablebody"/>
            </w:pPr>
            <w:r>
              <w:t>45.25</w:t>
            </w:r>
          </w:p>
          <w:p w14:paraId="25173BED" w14:textId="77777777" w:rsidR="00443CDE" w:rsidRDefault="00443CDE" w:rsidP="00443CDE">
            <w:pPr>
              <w:pStyle w:val="MDPI42tablebody"/>
            </w:pPr>
            <w:r>
              <w:t>[38.36 – 50.88]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2C778" w14:textId="77777777" w:rsidR="00443CDE" w:rsidRDefault="00443CDE" w:rsidP="00443CDE">
            <w:pPr>
              <w:pStyle w:val="MDPI42tablebody"/>
            </w:pPr>
            <w:r>
              <w:t>58.03</w:t>
            </w:r>
          </w:p>
          <w:p w14:paraId="738B0E4C" w14:textId="77777777" w:rsidR="00443CDE" w:rsidRDefault="00443CDE" w:rsidP="00443CDE">
            <w:pPr>
              <w:pStyle w:val="MDPI42tablebody"/>
            </w:pPr>
            <w:r>
              <w:t>[44.38 – 64.53]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0734B" w14:textId="77777777" w:rsidR="00443CDE" w:rsidRDefault="00443CDE" w:rsidP="00443CDE">
            <w:pPr>
              <w:pStyle w:val="MDPI42tablebody"/>
            </w:pPr>
            <w:r>
              <w:t>42.17</w:t>
            </w:r>
          </w:p>
          <w:p w14:paraId="6443DD7C" w14:textId="77777777" w:rsidR="00443CDE" w:rsidRDefault="00443CDE" w:rsidP="00443CDE">
            <w:pPr>
              <w:pStyle w:val="MDPI42tablebody"/>
            </w:pPr>
            <w:r>
              <w:t>[38.87 – 48.45]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1A94C4B4" w14:textId="77777777" w:rsidR="00443CDE" w:rsidRDefault="00443CDE" w:rsidP="00443CDE">
            <w:pPr>
              <w:pStyle w:val="MDPI42tablebody"/>
            </w:pPr>
            <w:r>
              <w:t>* 0.087</w:t>
            </w:r>
          </w:p>
          <w:p w14:paraId="584ADB05" w14:textId="77777777" w:rsidR="00443CDE" w:rsidRPr="00BE7FB3" w:rsidRDefault="00443CDE" w:rsidP="00443CDE">
            <w:pPr>
              <w:pStyle w:val="MDPI42tablebody"/>
            </w:pPr>
            <w:r w:rsidRPr="00BE7FB3">
              <w:rPr>
                <w:vertAlign w:val="superscript"/>
              </w:rPr>
              <w:t xml:space="preserve"># </w:t>
            </w:r>
            <w:r w:rsidRPr="00BE7FB3">
              <w:t>1.00</w:t>
            </w:r>
          </w:p>
          <w:p w14:paraId="4AC14068" w14:textId="77777777" w:rsidR="00443CDE" w:rsidRDefault="00443CDE" w:rsidP="00443CDE">
            <w:pPr>
              <w:pStyle w:val="MDPI42tablebody"/>
            </w:pPr>
            <w:r w:rsidRPr="008719C2">
              <w:rPr>
                <w:b/>
                <w:bCs/>
                <w:vertAlign w:val="superscript"/>
              </w:rPr>
              <w:t xml:space="preserve">+ </w:t>
            </w:r>
            <w:r>
              <w:rPr>
                <w:b/>
                <w:bCs/>
              </w:rPr>
              <w:t>0.046</w:t>
            </w:r>
          </w:p>
        </w:tc>
      </w:tr>
      <w:tr w:rsidR="00443CDE" w:rsidRPr="00655E61" w14:paraId="3BE90089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AA01F" w14:textId="77777777" w:rsidR="00443CDE" w:rsidRDefault="00443CDE" w:rsidP="00443CDE">
            <w:pPr>
              <w:pStyle w:val="MDPI42tablebody"/>
            </w:pPr>
            <w:r>
              <w:t>L-Arg/ADMA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D974F" w14:textId="77777777" w:rsidR="00443CDE" w:rsidRDefault="00443CDE" w:rsidP="00443CDE">
            <w:pPr>
              <w:pStyle w:val="MDPI42tablebody"/>
            </w:pPr>
            <w:r>
              <w:t>166.72</w:t>
            </w:r>
          </w:p>
          <w:p w14:paraId="3D928791" w14:textId="77777777" w:rsidR="00443CDE" w:rsidRDefault="00443CDE" w:rsidP="00443CDE">
            <w:pPr>
              <w:pStyle w:val="MDPI42tablebody"/>
            </w:pPr>
            <w:r>
              <w:t>[144.10 – 199.50]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7A5A9" w14:textId="77777777" w:rsidR="00443CDE" w:rsidRDefault="00443CDE" w:rsidP="00443CDE">
            <w:pPr>
              <w:pStyle w:val="MDPI42tablebody"/>
            </w:pPr>
            <w:r>
              <w:t>176.34</w:t>
            </w:r>
          </w:p>
          <w:p w14:paraId="584B1205" w14:textId="77777777" w:rsidR="00443CDE" w:rsidRDefault="00443CDE" w:rsidP="00443CDE">
            <w:pPr>
              <w:pStyle w:val="MDPI42tablebody"/>
            </w:pPr>
            <w:r>
              <w:t>[136.98 – 222.85]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F2A8C" w14:textId="77777777" w:rsidR="00443CDE" w:rsidRDefault="00443CDE" w:rsidP="00443CDE">
            <w:pPr>
              <w:pStyle w:val="MDPI42tablebody"/>
            </w:pPr>
            <w:r>
              <w:t>172.15</w:t>
            </w:r>
          </w:p>
          <w:p w14:paraId="221029CF" w14:textId="77777777" w:rsidR="00443CDE" w:rsidRDefault="00443CDE" w:rsidP="00443CDE">
            <w:pPr>
              <w:pStyle w:val="MDPI42tablebody"/>
            </w:pPr>
            <w:r>
              <w:t>[158.26 – 234.17]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6120A1B8" w14:textId="77777777" w:rsidR="00443CDE" w:rsidRDefault="00443CDE" w:rsidP="00443CDE">
            <w:pPr>
              <w:pStyle w:val="MDPI42tablebody"/>
            </w:pPr>
            <w:r>
              <w:t>0.531</w:t>
            </w:r>
          </w:p>
        </w:tc>
      </w:tr>
      <w:tr w:rsidR="00443CDE" w:rsidRPr="00655E61" w14:paraId="37F303BE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668CC" w14:textId="77777777" w:rsidR="00443CDE" w:rsidRPr="00CD65B1" w:rsidRDefault="00443CDE" w:rsidP="00443CDE">
            <w:pPr>
              <w:pStyle w:val="MDPI42tablebody"/>
              <w:rPr>
                <w:b/>
                <w:bCs/>
              </w:rPr>
            </w:pPr>
            <w:r w:rsidRPr="00CD65B1">
              <w:rPr>
                <w:b/>
                <w:bCs/>
              </w:rPr>
              <w:lastRenderedPageBreak/>
              <w:t>Urine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F62ED" w14:textId="77777777" w:rsidR="00443CDE" w:rsidRDefault="00443CDE" w:rsidP="00443CDE">
            <w:pPr>
              <w:pStyle w:val="MDPI42tablebody"/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31203" w14:textId="77777777" w:rsidR="00443CDE" w:rsidRDefault="00443CDE" w:rsidP="00443CDE">
            <w:pPr>
              <w:pStyle w:val="MDPI42tablebody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6D6EE" w14:textId="77777777" w:rsidR="00443CDE" w:rsidRDefault="00443CDE" w:rsidP="00443CDE">
            <w:pPr>
              <w:pStyle w:val="MDPI42tablebody"/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41F03A22" w14:textId="77777777" w:rsidR="00443CDE" w:rsidRDefault="00443CDE" w:rsidP="00443CDE">
            <w:pPr>
              <w:pStyle w:val="MDPI42tablebody"/>
            </w:pPr>
          </w:p>
        </w:tc>
      </w:tr>
      <w:tr w:rsidR="00443CDE" w:rsidRPr="00655E61" w14:paraId="0C2B8E21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35E41" w14:textId="77777777" w:rsidR="00443CDE" w:rsidRPr="00CD65B1" w:rsidRDefault="00443CDE" w:rsidP="00443CDE">
            <w:pPr>
              <w:pStyle w:val="MDPI42tablebody"/>
            </w:pPr>
            <w:r w:rsidRPr="00CD65B1">
              <w:t>Number of subjects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38901" w14:textId="77777777" w:rsidR="00443CDE" w:rsidRDefault="00443CDE" w:rsidP="00443CDE">
            <w:pPr>
              <w:pStyle w:val="MDPI42tablebody"/>
            </w:pPr>
            <w:r>
              <w:t>24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BB757" w14:textId="77777777" w:rsidR="00443CDE" w:rsidRDefault="00443CDE" w:rsidP="00443CDE">
            <w:pPr>
              <w:pStyle w:val="MDPI42tablebody"/>
            </w:pPr>
            <w:r>
              <w:t>25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570FE" w14:textId="77777777" w:rsidR="00443CDE" w:rsidRDefault="00443CDE" w:rsidP="00443CDE">
            <w:pPr>
              <w:pStyle w:val="MDPI42tablebody"/>
            </w:pPr>
            <w:r>
              <w:t>14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3A0C7D31" w14:textId="77777777" w:rsidR="00443CDE" w:rsidRDefault="00443CDE" w:rsidP="00443CDE">
            <w:pPr>
              <w:pStyle w:val="MDPI42tablebody"/>
            </w:pPr>
          </w:p>
        </w:tc>
      </w:tr>
      <w:tr w:rsidR="00443CDE" w:rsidRPr="00655E61" w14:paraId="390D53D2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84CD8" w14:textId="77777777" w:rsidR="00443CDE" w:rsidRPr="00CD65B1" w:rsidRDefault="00443CDE" w:rsidP="00443CDE">
            <w:pPr>
              <w:pStyle w:val="MDPI42tablebody"/>
            </w:pPr>
            <w:r>
              <w:t>L-Arg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8F7E6" w14:textId="77777777" w:rsidR="00443CDE" w:rsidRDefault="00443CDE" w:rsidP="00443CDE">
            <w:pPr>
              <w:pStyle w:val="MDPI42tablebody"/>
            </w:pPr>
            <w:r>
              <w:t>33.17</w:t>
            </w:r>
          </w:p>
          <w:p w14:paraId="223B0F18" w14:textId="77777777" w:rsidR="00443CDE" w:rsidRDefault="00443CDE" w:rsidP="00443CDE">
            <w:pPr>
              <w:pStyle w:val="MDPI42tablebody"/>
            </w:pPr>
            <w:r>
              <w:t>[18.88 – 43.22]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ECBB5" w14:textId="77777777" w:rsidR="00443CDE" w:rsidRDefault="00443CDE" w:rsidP="00443CDE">
            <w:pPr>
              <w:pStyle w:val="MDPI42tablebody"/>
            </w:pPr>
            <w:r>
              <w:t>35.89</w:t>
            </w:r>
          </w:p>
          <w:p w14:paraId="0899BD3E" w14:textId="77777777" w:rsidR="00443CDE" w:rsidRDefault="00443CDE" w:rsidP="00443CDE">
            <w:pPr>
              <w:pStyle w:val="MDPI42tablebody"/>
            </w:pPr>
            <w:r>
              <w:t>[25.68 – 61.10]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DA8E0" w14:textId="77777777" w:rsidR="00443CDE" w:rsidRDefault="00443CDE" w:rsidP="00443CDE">
            <w:pPr>
              <w:pStyle w:val="MDPI42tablebody"/>
            </w:pPr>
            <w:r>
              <w:t>32.27</w:t>
            </w:r>
          </w:p>
          <w:p w14:paraId="7A44596F" w14:textId="77777777" w:rsidR="00443CDE" w:rsidRDefault="00443CDE" w:rsidP="00443CDE">
            <w:pPr>
              <w:pStyle w:val="MDPI42tablebody"/>
            </w:pPr>
            <w:r>
              <w:t>[10.55 – 48.17]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2B280324" w14:textId="77777777" w:rsidR="00443CDE" w:rsidRDefault="00443CDE" w:rsidP="00443CDE">
            <w:pPr>
              <w:pStyle w:val="MDPI42tablebody"/>
            </w:pPr>
            <w:r>
              <w:t>0.145</w:t>
            </w:r>
          </w:p>
        </w:tc>
      </w:tr>
      <w:tr w:rsidR="00443CDE" w:rsidRPr="00655E61" w14:paraId="7CF3731B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6DAA" w14:textId="77777777" w:rsidR="00443CDE" w:rsidRDefault="00443CDE" w:rsidP="00443CDE">
            <w:pPr>
              <w:pStyle w:val="MDPI42tablebody"/>
            </w:pPr>
            <w:r>
              <w:t>hArg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CEC73" w14:textId="77777777" w:rsidR="00443CDE" w:rsidRDefault="00443CDE" w:rsidP="00443CDE">
            <w:pPr>
              <w:pStyle w:val="MDPI42tablebody"/>
            </w:pPr>
            <w:r>
              <w:t>2.82</w:t>
            </w:r>
          </w:p>
          <w:p w14:paraId="56E7BB83" w14:textId="77777777" w:rsidR="00443CDE" w:rsidRDefault="00443CDE" w:rsidP="00443CDE">
            <w:pPr>
              <w:pStyle w:val="MDPI42tablebody"/>
            </w:pPr>
            <w:r>
              <w:t>[1.12 – 6.58]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17239" w14:textId="77777777" w:rsidR="00443CDE" w:rsidRDefault="00443CDE" w:rsidP="00443CDE">
            <w:pPr>
              <w:pStyle w:val="MDPI42tablebody"/>
            </w:pPr>
            <w:r>
              <w:t>2.10</w:t>
            </w:r>
          </w:p>
          <w:p w14:paraId="1F57C22F" w14:textId="77777777" w:rsidR="00443CDE" w:rsidRDefault="00443CDE" w:rsidP="00443CDE">
            <w:pPr>
              <w:pStyle w:val="MDPI42tablebody"/>
            </w:pPr>
            <w:r>
              <w:t>[1.61 – 3.70]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157E0" w14:textId="77777777" w:rsidR="00443CDE" w:rsidRDefault="00443CDE" w:rsidP="00443CDE">
            <w:pPr>
              <w:pStyle w:val="MDPI42tablebody"/>
            </w:pPr>
            <w:r>
              <w:t>1.99</w:t>
            </w:r>
          </w:p>
          <w:p w14:paraId="0854D4D7" w14:textId="77777777" w:rsidR="00443CDE" w:rsidRDefault="00443CDE" w:rsidP="00443CDE">
            <w:pPr>
              <w:pStyle w:val="MDPI42tablebody"/>
            </w:pPr>
            <w:r>
              <w:t>[1.10 – 2.72]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3975F2E1" w14:textId="77777777" w:rsidR="00443CDE" w:rsidRDefault="00443CDE" w:rsidP="00443CDE">
            <w:pPr>
              <w:pStyle w:val="MDPI42tablebody"/>
            </w:pPr>
            <w:r>
              <w:t>0.734</w:t>
            </w:r>
          </w:p>
        </w:tc>
      </w:tr>
      <w:tr w:rsidR="00443CDE" w:rsidRPr="00655E61" w14:paraId="1A0E6109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3DD0E" w14:textId="77777777" w:rsidR="00443CDE" w:rsidRDefault="00443CDE" w:rsidP="00443CDE">
            <w:pPr>
              <w:pStyle w:val="MDPI42tablebody"/>
            </w:pPr>
            <w:r>
              <w:t>ADMA/Crea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41A82" w14:textId="77777777" w:rsidR="00443CDE" w:rsidRDefault="00443CDE" w:rsidP="00443CDE">
            <w:pPr>
              <w:pStyle w:val="MDPI42tablebody"/>
            </w:pPr>
            <w:r>
              <w:t>4.08</w:t>
            </w:r>
          </w:p>
          <w:p w14:paraId="55C9BE73" w14:textId="77777777" w:rsidR="00443CDE" w:rsidRDefault="00443CDE" w:rsidP="00443CDE">
            <w:pPr>
              <w:pStyle w:val="MDPI42tablebody"/>
            </w:pPr>
            <w:r>
              <w:t>[3.21 – 5.26]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C17B9" w14:textId="77777777" w:rsidR="00443CDE" w:rsidRDefault="00443CDE" w:rsidP="00443CDE">
            <w:pPr>
              <w:pStyle w:val="MDPI42tablebody"/>
            </w:pPr>
            <w:r>
              <w:t>4.29</w:t>
            </w:r>
          </w:p>
          <w:p w14:paraId="7A46D4CB" w14:textId="77777777" w:rsidR="00443CDE" w:rsidRDefault="00443CDE" w:rsidP="00443CDE">
            <w:pPr>
              <w:pStyle w:val="MDPI42tablebody"/>
            </w:pPr>
            <w:r>
              <w:t>[3.41 – 4.99]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E5F9E" w14:textId="77777777" w:rsidR="00443CDE" w:rsidRDefault="00443CDE" w:rsidP="00443CDE">
            <w:pPr>
              <w:pStyle w:val="MDPI42tablebody"/>
            </w:pPr>
            <w:r>
              <w:t>3.22</w:t>
            </w:r>
          </w:p>
          <w:p w14:paraId="6186EB37" w14:textId="77777777" w:rsidR="00443CDE" w:rsidRDefault="00443CDE" w:rsidP="00443CDE">
            <w:pPr>
              <w:pStyle w:val="MDPI42tablebody"/>
            </w:pPr>
            <w:r>
              <w:t>[2.57 – 3.65]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0FFA8D60" w14:textId="77777777" w:rsidR="00443CDE" w:rsidRDefault="00443CDE" w:rsidP="00443CDE">
            <w:pPr>
              <w:pStyle w:val="MDPI42tablebody"/>
            </w:pPr>
            <w:r>
              <w:t>0.077</w:t>
            </w:r>
          </w:p>
        </w:tc>
      </w:tr>
      <w:tr w:rsidR="00443CDE" w:rsidRPr="00655E61" w14:paraId="6B3703D1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D62D9" w14:textId="77777777" w:rsidR="00443CDE" w:rsidRDefault="00443CDE" w:rsidP="00443CDE">
            <w:pPr>
              <w:pStyle w:val="MDPI42tablebody"/>
            </w:pPr>
            <w:r>
              <w:t>Nitrite/Crea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5EABB" w14:textId="77777777" w:rsidR="00443CDE" w:rsidRDefault="00443CDE" w:rsidP="00443CDE">
            <w:pPr>
              <w:pStyle w:val="MDPI42tablebody"/>
            </w:pPr>
            <w:r>
              <w:t>0.20</w:t>
            </w:r>
          </w:p>
          <w:p w14:paraId="2FFB0836" w14:textId="77777777" w:rsidR="00443CDE" w:rsidRDefault="00443CDE" w:rsidP="00443CDE">
            <w:pPr>
              <w:pStyle w:val="MDPI42tablebody"/>
            </w:pPr>
            <w:r>
              <w:t>[0.12 – 0.45]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6D842" w14:textId="77777777" w:rsidR="00443CDE" w:rsidRDefault="00443CDE" w:rsidP="00443CDE">
            <w:pPr>
              <w:pStyle w:val="MDPI42tablebody"/>
            </w:pPr>
            <w:r>
              <w:t>0.22</w:t>
            </w:r>
          </w:p>
          <w:p w14:paraId="06533140" w14:textId="77777777" w:rsidR="00443CDE" w:rsidRDefault="00443CDE" w:rsidP="00443CDE">
            <w:pPr>
              <w:pStyle w:val="MDPI42tablebody"/>
            </w:pPr>
            <w:r>
              <w:t>[0.15 – 0.34]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50C7D" w14:textId="77777777" w:rsidR="00443CDE" w:rsidRDefault="00443CDE" w:rsidP="00443CDE">
            <w:pPr>
              <w:pStyle w:val="MDPI42tablebody"/>
            </w:pPr>
            <w:r>
              <w:t>0.23</w:t>
            </w:r>
          </w:p>
          <w:p w14:paraId="310CDFA4" w14:textId="77777777" w:rsidR="00443CDE" w:rsidRDefault="00443CDE" w:rsidP="00443CDE">
            <w:pPr>
              <w:pStyle w:val="MDPI42tablebody"/>
            </w:pPr>
            <w:r>
              <w:t>[0.15 – 0.66]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55EC7450" w14:textId="77777777" w:rsidR="00443CDE" w:rsidRDefault="00443CDE" w:rsidP="00443CDE">
            <w:pPr>
              <w:pStyle w:val="MDPI42tablebody"/>
            </w:pPr>
            <w:r>
              <w:t>0.320</w:t>
            </w:r>
          </w:p>
        </w:tc>
      </w:tr>
      <w:tr w:rsidR="00443CDE" w:rsidRPr="00655E61" w14:paraId="70D624F7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A5233" w14:textId="77777777" w:rsidR="00443CDE" w:rsidRPr="009E02F1" w:rsidRDefault="00443CDE" w:rsidP="00443CDE">
            <w:pPr>
              <w:pStyle w:val="MDPI42tablebody"/>
              <w:rPr>
                <w:b/>
                <w:bCs/>
              </w:rPr>
            </w:pPr>
            <w:r w:rsidRPr="009E02F1">
              <w:rPr>
                <w:b/>
                <w:bCs/>
              </w:rPr>
              <w:t>Nitrate/</w:t>
            </w:r>
            <w:r>
              <w:rPr>
                <w:b/>
                <w:bCs/>
              </w:rPr>
              <w:t>C</w:t>
            </w:r>
            <w:r w:rsidRPr="009E02F1">
              <w:rPr>
                <w:b/>
                <w:bCs/>
              </w:rPr>
              <w:t>rea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05050" w14:textId="77777777" w:rsidR="00443CDE" w:rsidRDefault="00443CDE" w:rsidP="00443CDE">
            <w:pPr>
              <w:pStyle w:val="MDPI42tablebody"/>
            </w:pPr>
            <w:r>
              <w:t>54.84</w:t>
            </w:r>
          </w:p>
          <w:p w14:paraId="0B25C21E" w14:textId="77777777" w:rsidR="00443CDE" w:rsidRDefault="00443CDE" w:rsidP="00443CDE">
            <w:pPr>
              <w:pStyle w:val="MDPI42tablebody"/>
            </w:pPr>
            <w:r>
              <w:t>[44.57 – 82.64]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49D17" w14:textId="77777777" w:rsidR="00443CDE" w:rsidRDefault="00443CDE" w:rsidP="00443CDE">
            <w:pPr>
              <w:pStyle w:val="MDPI42tablebody"/>
            </w:pPr>
            <w:r>
              <w:t>93.80</w:t>
            </w:r>
          </w:p>
          <w:p w14:paraId="5A5B4AEE" w14:textId="77777777" w:rsidR="00443CDE" w:rsidRDefault="00443CDE" w:rsidP="00443CDE">
            <w:pPr>
              <w:pStyle w:val="MDPI42tablebody"/>
            </w:pPr>
            <w:r>
              <w:t>[75.54 – 133.66]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6628D" w14:textId="77777777" w:rsidR="00443CDE" w:rsidRDefault="00443CDE" w:rsidP="00443CDE">
            <w:pPr>
              <w:pStyle w:val="MDPI42tablebody"/>
            </w:pPr>
            <w:r>
              <w:t>74.58</w:t>
            </w:r>
          </w:p>
          <w:p w14:paraId="3C0FB01D" w14:textId="77777777" w:rsidR="00443CDE" w:rsidRDefault="00443CDE" w:rsidP="00443CDE">
            <w:pPr>
              <w:pStyle w:val="MDPI42tablebody"/>
            </w:pPr>
            <w:r>
              <w:t>[57.04 – 103.02]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40E409CC" w14:textId="77777777" w:rsidR="00443CDE" w:rsidRPr="009E02F1" w:rsidRDefault="00443CDE" w:rsidP="00443CDE">
            <w:pPr>
              <w:pStyle w:val="MDPI42tablebody"/>
              <w:rPr>
                <w:b/>
                <w:bCs/>
              </w:rPr>
            </w:pPr>
            <w:r w:rsidRPr="009E02F1">
              <w:rPr>
                <w:b/>
                <w:bCs/>
              </w:rPr>
              <w:t>* 0.006</w:t>
            </w:r>
          </w:p>
          <w:p w14:paraId="0758B8F8" w14:textId="77777777" w:rsidR="00443CDE" w:rsidRDefault="00443CDE" w:rsidP="00443CDE">
            <w:pPr>
              <w:pStyle w:val="MDPI42tablebody"/>
            </w:pPr>
            <w:r w:rsidRPr="009E02F1">
              <w:rPr>
                <w:vertAlign w:val="superscript"/>
              </w:rPr>
              <w:t>#</w:t>
            </w:r>
            <w:r>
              <w:t xml:space="preserve"> 1.000</w:t>
            </w:r>
          </w:p>
          <w:p w14:paraId="71BCBE1C" w14:textId="77777777" w:rsidR="00443CDE" w:rsidRDefault="00443CDE" w:rsidP="00443CDE">
            <w:pPr>
              <w:pStyle w:val="MDPI42tablebody"/>
            </w:pPr>
            <w:r w:rsidRPr="009E02F1">
              <w:rPr>
                <w:vertAlign w:val="superscript"/>
              </w:rPr>
              <w:t>+</w:t>
            </w:r>
            <w:r>
              <w:t xml:space="preserve"> 0.185</w:t>
            </w:r>
          </w:p>
        </w:tc>
      </w:tr>
      <w:tr w:rsidR="00443CDE" w:rsidRPr="00655E61" w14:paraId="20CD2F28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50E0A" w14:textId="77777777" w:rsidR="00443CDE" w:rsidRDefault="00443CDE" w:rsidP="00443CDE">
            <w:pPr>
              <w:pStyle w:val="MDPI42tablebody"/>
            </w:pPr>
            <w:r>
              <w:t>Orn/Cit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88EA4" w14:textId="77777777" w:rsidR="00443CDE" w:rsidRDefault="00443CDE" w:rsidP="00443CDE">
            <w:pPr>
              <w:pStyle w:val="MDPI42tablebody"/>
            </w:pPr>
            <w:r>
              <w:t>42.63</w:t>
            </w:r>
          </w:p>
          <w:p w14:paraId="075510D5" w14:textId="77777777" w:rsidR="00443CDE" w:rsidRDefault="00443CDE" w:rsidP="00443CDE">
            <w:pPr>
              <w:pStyle w:val="MDPI42tablebody"/>
            </w:pPr>
            <w:r>
              <w:t>[25.26 – 65.70]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37A8B" w14:textId="77777777" w:rsidR="00443CDE" w:rsidRDefault="00443CDE" w:rsidP="00443CDE">
            <w:pPr>
              <w:pStyle w:val="MDPI42tablebody"/>
            </w:pPr>
            <w:r>
              <w:t>58.86</w:t>
            </w:r>
          </w:p>
          <w:p w14:paraId="1A31050F" w14:textId="77777777" w:rsidR="00443CDE" w:rsidRDefault="00443CDE" w:rsidP="00443CDE">
            <w:pPr>
              <w:pStyle w:val="MDPI42tablebody"/>
            </w:pPr>
            <w:r>
              <w:t>[34.26 – 73.9]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BCCC4" w14:textId="77777777" w:rsidR="00443CDE" w:rsidRDefault="00443CDE" w:rsidP="00443CDE">
            <w:pPr>
              <w:pStyle w:val="MDPI42tablebody"/>
            </w:pPr>
            <w:r>
              <w:t>49.77</w:t>
            </w:r>
          </w:p>
          <w:p w14:paraId="250B5D83" w14:textId="77777777" w:rsidR="00443CDE" w:rsidRDefault="00443CDE" w:rsidP="00443CDE">
            <w:pPr>
              <w:pStyle w:val="MDPI42tablebody"/>
            </w:pPr>
            <w:r>
              <w:t>[15.09 – 88.32]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400F2A0E" w14:textId="77777777" w:rsidR="00443CDE" w:rsidRDefault="00443CDE" w:rsidP="00443CDE">
            <w:pPr>
              <w:pStyle w:val="MDPI42tablebody"/>
            </w:pPr>
            <w:r>
              <w:t>0.170</w:t>
            </w:r>
          </w:p>
        </w:tc>
      </w:tr>
      <w:tr w:rsidR="00443CDE" w:rsidRPr="00655E61" w14:paraId="7D9343A9" w14:textId="77777777" w:rsidTr="00443CDE">
        <w:trPr>
          <w:trHeight w:val="283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E3B9" w14:textId="77777777" w:rsidR="00443CDE" w:rsidRDefault="00443CDE" w:rsidP="00443CDE">
            <w:pPr>
              <w:pStyle w:val="MDPI42tablebody"/>
            </w:pPr>
            <w:proofErr w:type="spellStart"/>
            <w:r>
              <w:t>UnoR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B3A61" w14:textId="77777777" w:rsidR="00443CDE" w:rsidRDefault="00443CDE" w:rsidP="00443CDE">
            <w:pPr>
              <w:pStyle w:val="MDPI42tablebody"/>
            </w:pPr>
            <w:r>
              <w:t>311.70</w:t>
            </w:r>
          </w:p>
          <w:p w14:paraId="08EB4C9F" w14:textId="77777777" w:rsidR="00443CDE" w:rsidRDefault="00443CDE" w:rsidP="00443CDE">
            <w:pPr>
              <w:pStyle w:val="MDPI42tablebody"/>
            </w:pPr>
            <w:r>
              <w:t>[175.81 – 403.66]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717C6" w14:textId="77777777" w:rsidR="00443CDE" w:rsidRDefault="00443CDE" w:rsidP="00443CDE">
            <w:pPr>
              <w:pStyle w:val="MDPI42tablebody"/>
            </w:pPr>
            <w:r>
              <w:t>530.48</w:t>
            </w:r>
          </w:p>
          <w:p w14:paraId="4D87E09E" w14:textId="77777777" w:rsidR="00443CDE" w:rsidRDefault="00443CDE" w:rsidP="00443CDE">
            <w:pPr>
              <w:pStyle w:val="MDPI42tablebody"/>
            </w:pPr>
            <w:r>
              <w:t>[268.08 – 655.81]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0F77F" w14:textId="77777777" w:rsidR="00443CDE" w:rsidRDefault="00443CDE" w:rsidP="00443CDE">
            <w:pPr>
              <w:pStyle w:val="MDPI42tablebody"/>
            </w:pPr>
            <w:r>
              <w:t>204.78</w:t>
            </w:r>
          </w:p>
          <w:p w14:paraId="35E3A4C5" w14:textId="77777777" w:rsidR="00443CDE" w:rsidRDefault="00443CDE" w:rsidP="00443CDE">
            <w:pPr>
              <w:pStyle w:val="MDPI42tablebody"/>
            </w:pPr>
            <w:r>
              <w:t>[168.53 – 633.59]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7934E71D" w14:textId="77777777" w:rsidR="00443CDE" w:rsidRDefault="00443CDE" w:rsidP="00443CDE">
            <w:pPr>
              <w:pStyle w:val="MDPI42tablebody"/>
            </w:pPr>
            <w:r>
              <w:t>0.070</w:t>
            </w:r>
          </w:p>
        </w:tc>
      </w:tr>
    </w:tbl>
    <w:p w14:paraId="32F96573" w14:textId="77777777" w:rsidR="00443CDE" w:rsidRDefault="00443CDE" w:rsidP="00443CDE">
      <w:pPr>
        <w:ind w:left="567"/>
      </w:pPr>
    </w:p>
    <w:p w14:paraId="24B5C57F" w14:textId="77777777" w:rsidR="00443CDE" w:rsidRDefault="00443CDE" w:rsidP="00443CDE"/>
    <w:p w14:paraId="18713E25" w14:textId="77777777" w:rsidR="00443CDE" w:rsidRDefault="00443CDE" w:rsidP="00443CDE">
      <w:pPr>
        <w:pStyle w:val="MDPI41tablecaption"/>
        <w:spacing w:before="0" w:after="0"/>
        <w:ind w:left="567"/>
      </w:pPr>
    </w:p>
    <w:p w14:paraId="114EE809" w14:textId="77777777" w:rsidR="00443CDE" w:rsidRDefault="00443CDE"/>
    <w:p w14:paraId="74F778AD" w14:textId="77777777" w:rsidR="00443CDE" w:rsidRDefault="00443CDE"/>
    <w:p w14:paraId="514055BA" w14:textId="77777777" w:rsidR="00443CDE" w:rsidRDefault="00443CDE"/>
    <w:p w14:paraId="3BD7C657" w14:textId="77777777" w:rsidR="00443CDE" w:rsidRDefault="00443CDE"/>
    <w:p w14:paraId="4DCFFF98" w14:textId="77777777" w:rsidR="00443CDE" w:rsidRDefault="00443CDE"/>
    <w:p w14:paraId="24794AEE" w14:textId="77777777" w:rsidR="00443CDE" w:rsidRDefault="00443CDE" w:rsidP="00443CDE">
      <w:pPr>
        <w:pStyle w:val="MDPI43tablefooter"/>
        <w:ind w:left="567"/>
      </w:pPr>
      <w:r>
        <w:t xml:space="preserve">Statistics: Bold indicates statistical significance; * = </w:t>
      </w:r>
      <w:bookmarkStart w:id="0" w:name="OLE_LINK1"/>
      <w:r>
        <w:t xml:space="preserve">Significance </w:t>
      </w:r>
      <w:bookmarkEnd w:id="0"/>
      <w:r>
        <w:t xml:space="preserve">PCD vs. CF; # = Significance PCD vs. HC; + = Significance CF vs. HC </w:t>
      </w:r>
    </w:p>
    <w:p w14:paraId="5C3C50DE" w14:textId="77777777" w:rsidR="00443CDE" w:rsidRDefault="00443CDE" w:rsidP="00443CDE">
      <w:pPr>
        <w:pStyle w:val="MDPI43tablefooter"/>
        <w:ind w:left="567"/>
      </w:pPr>
      <w:r w:rsidRPr="00EA2237">
        <w:t>Abbreviations</w:t>
      </w:r>
      <w:r>
        <w:t xml:space="preserve">. L-Arg, L-Arginine; hArg, Homoarginine, ADMA, asymmetric dimethylarginine; Crea = creatinine; Orn/Cit, Ornithine/Citrulline ratio; </w:t>
      </w:r>
      <w:proofErr w:type="spellStart"/>
      <w:r>
        <w:t>UnoR</w:t>
      </w:r>
      <w:proofErr w:type="spellEnd"/>
      <w:r>
        <w:t xml:space="preserve"> = Urinary nitrate/nitrite ratio</w:t>
      </w:r>
    </w:p>
    <w:p w14:paraId="2CA080C8" w14:textId="77777777" w:rsidR="00443CDE" w:rsidRDefault="00443CDE"/>
    <w:p w14:paraId="79E306BD" w14:textId="77777777" w:rsidR="00443CDE" w:rsidRDefault="00443CDE"/>
    <w:p w14:paraId="0E7FBB4B" w14:textId="77777777" w:rsidR="00443CDE" w:rsidRDefault="00443CDE" w:rsidP="00443CDE">
      <w:pPr>
        <w:pStyle w:val="MDPI41tablecaption"/>
        <w:ind w:left="0"/>
        <w:rPr>
          <w:b/>
        </w:rPr>
      </w:pPr>
      <w:r>
        <w:rPr>
          <w:noProof/>
          <w:lang w:val="de-DE" w:bidi="ar-SA"/>
        </w:rPr>
        <w:drawing>
          <wp:anchor distT="0" distB="0" distL="0" distR="0" simplePos="0" relativeHeight="251659264" behindDoc="0" locked="0" layoutInCell="1" allowOverlap="1" wp14:anchorId="604F506D" wp14:editId="5DCD5D7B">
            <wp:simplePos x="0" y="0"/>
            <wp:positionH relativeFrom="column">
              <wp:posOffset>4051300</wp:posOffset>
            </wp:positionH>
            <wp:positionV relativeFrom="paragraph">
              <wp:posOffset>241300</wp:posOffset>
            </wp:positionV>
            <wp:extent cx="1619885" cy="1436370"/>
            <wp:effectExtent l="0" t="0" r="18415" b="11430"/>
            <wp:wrapSquare wrapText="bothSides"/>
            <wp:docPr id="543001979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263EFBA1-8655-8E42-AE61-5BEA89C354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de-DE" w:bidi="ar-SA"/>
        </w:rPr>
        <w:drawing>
          <wp:anchor distT="0" distB="0" distL="0" distR="0" simplePos="0" relativeHeight="251661312" behindDoc="0" locked="0" layoutInCell="1" allowOverlap="1" wp14:anchorId="2A882980" wp14:editId="44ACE9F8">
            <wp:simplePos x="0" y="0"/>
            <wp:positionH relativeFrom="column">
              <wp:posOffset>2422773</wp:posOffset>
            </wp:positionH>
            <wp:positionV relativeFrom="paragraph">
              <wp:posOffset>239968</wp:posOffset>
            </wp:positionV>
            <wp:extent cx="1620000" cy="1436400"/>
            <wp:effectExtent l="0" t="0" r="18415" b="11430"/>
            <wp:wrapSquare wrapText="bothSides"/>
            <wp:docPr id="181546573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C8389FF4-BBE1-5D42-B0D6-3A52539BF7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 w:bidi="ar-SA"/>
        </w:rPr>
        <w:drawing>
          <wp:anchor distT="0" distB="0" distL="0" distR="0" simplePos="0" relativeHeight="251660288" behindDoc="0" locked="0" layoutInCell="1" allowOverlap="1" wp14:anchorId="38989A19" wp14:editId="515C841A">
            <wp:simplePos x="0" y="0"/>
            <wp:positionH relativeFrom="column">
              <wp:posOffset>802887</wp:posOffset>
            </wp:positionH>
            <wp:positionV relativeFrom="paragraph">
              <wp:posOffset>240247</wp:posOffset>
            </wp:positionV>
            <wp:extent cx="1620000" cy="1440000"/>
            <wp:effectExtent l="0" t="0" r="18415" b="8255"/>
            <wp:wrapSquare wrapText="bothSides"/>
            <wp:docPr id="93229003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9EF82970-0136-F940-B11C-19CF001643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0E2CB" w14:textId="77777777" w:rsidR="00443CDE" w:rsidRDefault="00443CDE" w:rsidP="00443CDE">
      <w:pPr>
        <w:pStyle w:val="MDPI41tablecaption"/>
        <w:ind w:left="567"/>
        <w:rPr>
          <w:b/>
        </w:rPr>
      </w:pPr>
    </w:p>
    <w:p w14:paraId="35496894" w14:textId="77777777" w:rsidR="00443CDE" w:rsidRDefault="00443CDE" w:rsidP="00443CDE">
      <w:pPr>
        <w:pStyle w:val="MDPI41tablecaption"/>
        <w:ind w:left="567"/>
        <w:rPr>
          <w:b/>
        </w:rPr>
      </w:pPr>
    </w:p>
    <w:p w14:paraId="5C3DBFA5" w14:textId="77777777" w:rsidR="00443CDE" w:rsidRDefault="00443CDE" w:rsidP="00443CDE">
      <w:pPr>
        <w:pStyle w:val="MDPI41tablecaption"/>
        <w:ind w:left="567"/>
        <w:rPr>
          <w:b/>
        </w:rPr>
      </w:pPr>
    </w:p>
    <w:p w14:paraId="47EDFA87" w14:textId="77777777" w:rsidR="00443CDE" w:rsidRDefault="00443CDE" w:rsidP="00443CDE">
      <w:pPr>
        <w:pStyle w:val="MDPI41tablecaption"/>
        <w:ind w:left="567"/>
        <w:rPr>
          <w:b/>
        </w:rPr>
      </w:pPr>
    </w:p>
    <w:p w14:paraId="0FB0E1DD" w14:textId="77777777" w:rsidR="00443CDE" w:rsidRPr="00851DB0" w:rsidRDefault="00443CDE" w:rsidP="00443CDE">
      <w:pPr>
        <w:pStyle w:val="MDPI31text"/>
      </w:pPr>
    </w:p>
    <w:p w14:paraId="0FD5A671" w14:textId="77777777" w:rsidR="00443CDE" w:rsidRPr="00BF4F43" w:rsidRDefault="00443CDE" w:rsidP="00443CDE">
      <w:pPr>
        <w:pStyle w:val="MDPI31text"/>
        <w:ind w:left="567"/>
      </w:pPr>
    </w:p>
    <w:p w14:paraId="125EF7A6" w14:textId="77777777" w:rsidR="00443CDE" w:rsidRPr="00BC31E8" w:rsidRDefault="00443CDE" w:rsidP="00443CDE">
      <w:pPr>
        <w:pStyle w:val="MDPI62BackMatter"/>
        <w:ind w:left="567"/>
        <w:rPr>
          <w:bCs/>
        </w:rPr>
      </w:pPr>
      <w:r>
        <w:rPr>
          <w:b/>
        </w:rPr>
        <w:t>Figure</w:t>
      </w:r>
      <w:r w:rsidRPr="00B07E0E">
        <w:rPr>
          <w:b/>
        </w:rPr>
        <w:t xml:space="preserve"> </w:t>
      </w:r>
      <w:r>
        <w:rPr>
          <w:b/>
        </w:rPr>
        <w:t>S5</w:t>
      </w:r>
      <w:r w:rsidRPr="00B07E0E">
        <w:rPr>
          <w:b/>
        </w:rPr>
        <w:t>.</w:t>
      </w:r>
      <w:r w:rsidRPr="00BC31E8">
        <w:t xml:space="preserve"> </w:t>
      </w:r>
      <w:r w:rsidRPr="00BC31E8">
        <w:rPr>
          <w:bCs/>
        </w:rPr>
        <w:t>Correlation between L-Arginine</w:t>
      </w:r>
      <w:r>
        <w:rPr>
          <w:bCs/>
        </w:rPr>
        <w:t xml:space="preserve"> (µM/mg sputum, y-axis)</w:t>
      </w:r>
      <w:r w:rsidRPr="00BC31E8">
        <w:rPr>
          <w:bCs/>
        </w:rPr>
        <w:t xml:space="preserve"> and Ornithine/Citrulline</w:t>
      </w:r>
      <w:r>
        <w:rPr>
          <w:bCs/>
        </w:rPr>
        <w:t xml:space="preserve"> </w:t>
      </w:r>
      <w:r w:rsidRPr="00BC31E8">
        <w:rPr>
          <w:bCs/>
        </w:rPr>
        <w:t>ratio</w:t>
      </w:r>
      <w:r>
        <w:rPr>
          <w:bCs/>
        </w:rPr>
        <w:t xml:space="preserve"> (µM/mg sputum, x-axis)</w:t>
      </w:r>
      <w:r w:rsidRPr="00BC31E8">
        <w:rPr>
          <w:bCs/>
        </w:rPr>
        <w:t xml:space="preserve"> in sputum of patients with primary ciliary dyskinesia (PCD), cystic fibrosis (CF) and healthy control (HC).</w:t>
      </w:r>
      <w:r>
        <w:rPr>
          <w:bCs/>
        </w:rPr>
        <w:t xml:space="preserve"> </w:t>
      </w:r>
      <w:r w:rsidRPr="00BC31E8">
        <w:rPr>
          <w:bCs/>
        </w:rPr>
        <w:t>R = Pearson correlation coefficient.</w:t>
      </w:r>
    </w:p>
    <w:p w14:paraId="60AEF6A0" w14:textId="77777777" w:rsidR="00443CDE" w:rsidRPr="00443CDE" w:rsidRDefault="00443CDE"/>
    <w:sectPr w:rsidR="00443CDE" w:rsidRPr="00443C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C1DC1"/>
    <w:multiLevelType w:val="hybridMultilevel"/>
    <w:tmpl w:val="AA2AA948"/>
    <w:lvl w:ilvl="0" w:tplc="E32CB328">
      <w:numFmt w:val="bullet"/>
      <w:lvlText w:val="-"/>
      <w:lvlJc w:val="left"/>
      <w:pPr>
        <w:ind w:left="643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9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DE"/>
    <w:rsid w:val="0044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3A9C63"/>
  <w15:chartTrackingRefBased/>
  <w15:docId w15:val="{A1C8A36B-1E26-0C42-A065-B72DD0AA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3CDE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443CDE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443CD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Standard"/>
    <w:qFormat/>
    <w:rsid w:val="00443CD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31text">
    <w:name w:val="MDPI_3.1_text"/>
    <w:qFormat/>
    <w:rsid w:val="00443CD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62BackMatter">
    <w:name w:val="MDPI_6.2_BackMatter"/>
    <w:qFormat/>
    <w:rsid w:val="00443CDE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character" w:styleId="Kommentarzeichen">
    <w:name w:val="annotation reference"/>
    <w:rsid w:val="00443CDE"/>
    <w:rPr>
      <w:sz w:val="21"/>
      <w:szCs w:val="21"/>
    </w:rPr>
  </w:style>
  <w:style w:type="paragraph" w:styleId="Kommentartext">
    <w:name w:val="annotation text"/>
    <w:basedOn w:val="Standard"/>
    <w:link w:val="KommentartextZchn"/>
    <w:rsid w:val="00443CDE"/>
  </w:style>
  <w:style w:type="character" w:customStyle="1" w:styleId="KommentartextZchn">
    <w:name w:val="Kommentartext Zchn"/>
    <w:basedOn w:val="Absatz-Standardschriftart"/>
    <w:link w:val="Kommentartext"/>
    <w:rsid w:val="00443CDE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isaeggenkemper\Documents\Universita&#776;t\Promotion\Promotion%20Teil%202%20JOBO\Meine%20Dissertation\PDF%20Tabellen\Tabellen%20-%200407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isaeggenkemper\Documents\Universita&#776;t\Promotion\Promotion%20Teil%202%20JOBO\Meine%20Dissertation\PDF%20Tabellen\Tabellen%20-%2021.12.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isaeggenkemper\Documents\Universita&#776;t\Promotion\Promotion%20Teil%202%20JOBO\Meine%20Dissertation\PDF%20Tabellen\Tabellen%20-%2021.12.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400" b="1">
                <a:solidFill>
                  <a:schemeClr val="tx1"/>
                </a:solidFill>
                <a:latin typeface="Palatino Linotype" panose="02040502050505030304" pitchFamily="18" charset="0"/>
                <a:cs typeface="Arial" panose="020B0604020202020204" pitchFamily="34" charset="0"/>
              </a:rPr>
              <a:t>HC</a:t>
            </a:r>
          </a:p>
        </c:rich>
      </c:tx>
      <c:layout>
        <c:manualLayout>
          <c:xMode val="edge"/>
          <c:yMode val="edge"/>
          <c:x val="6.9776558212465674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2882414492386805"/>
          <c:y val="0.28165235976802633"/>
          <c:w val="0.67034164921304029"/>
          <c:h val="0.5553472408077792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bg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1065384271105672"/>
                  <c:y val="-0.5904439663874906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aseline="0">
                        <a:solidFill>
                          <a:schemeClr val="tx1"/>
                        </a:solidFill>
                        <a:latin typeface="Palatino Linotype" panose="02040502050505030304" pitchFamily="18" charset="0"/>
                        <a:cs typeface="Arial" panose="020B0604020202020204" pitchFamily="34" charset="0"/>
                      </a:rPr>
                      <a:t>R = 0.640</a:t>
                    </a:r>
                    <a:endParaRPr lang="en-US" sz="1050">
                      <a:solidFill>
                        <a:schemeClr val="tx1"/>
                      </a:solidFill>
                      <a:latin typeface="Palatino Linotype" panose="02040502050505030304" pitchFamily="18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</c:trendlineLbl>
          </c:trendline>
          <c:xVal>
            <c:numRef>
              <c:f>'Lineare REgression'!$C$55:$C$68</c:f>
              <c:numCache>
                <c:formatCode>0.00</c:formatCode>
                <c:ptCount val="14"/>
                <c:pt idx="1">
                  <c:v>2.9752609313994856</c:v>
                </c:pt>
                <c:pt idx="3">
                  <c:v>4.1768471639740348</c:v>
                </c:pt>
                <c:pt idx="5">
                  <c:v>1.2154117738257937</c:v>
                </c:pt>
                <c:pt idx="6">
                  <c:v>0.49360514552469387</c:v>
                </c:pt>
                <c:pt idx="7">
                  <c:v>0.51005035738967475</c:v>
                </c:pt>
                <c:pt idx="8">
                  <c:v>1.5262686901376397</c:v>
                </c:pt>
                <c:pt idx="9">
                  <c:v>1.5972914611339839</c:v>
                </c:pt>
                <c:pt idx="10">
                  <c:v>1.7626404398859075</c:v>
                </c:pt>
                <c:pt idx="11">
                  <c:v>4.5641108134315447</c:v>
                </c:pt>
                <c:pt idx="12">
                  <c:v>9.3173855997099029</c:v>
                </c:pt>
                <c:pt idx="13">
                  <c:v>0.26738391155304586</c:v>
                </c:pt>
              </c:numCache>
            </c:numRef>
          </c:xVal>
          <c:yVal>
            <c:numRef>
              <c:f>'Lineare REgression'!$B$55:$B$68</c:f>
              <c:numCache>
                <c:formatCode>0.00</c:formatCode>
                <c:ptCount val="14"/>
                <c:pt idx="1">
                  <c:v>25.354601727343798</c:v>
                </c:pt>
                <c:pt idx="3">
                  <c:v>11.802347774203103</c:v>
                </c:pt>
                <c:pt idx="5">
                  <c:v>9.8577019738143985</c:v>
                </c:pt>
                <c:pt idx="6">
                  <c:v>5.1841475095804004</c:v>
                </c:pt>
                <c:pt idx="7">
                  <c:v>5.4118406488769102</c:v>
                </c:pt>
                <c:pt idx="8">
                  <c:v>7.6575383275553799</c:v>
                </c:pt>
                <c:pt idx="9">
                  <c:v>7.6713607083289119</c:v>
                </c:pt>
                <c:pt idx="10">
                  <c:v>10.517808739474724</c:v>
                </c:pt>
                <c:pt idx="11">
                  <c:v>21.374597094952346</c:v>
                </c:pt>
                <c:pt idx="12">
                  <c:v>17.489919246923986</c:v>
                </c:pt>
                <c:pt idx="13">
                  <c:v>5.1419042955032568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519-C94E-BA04-FA19F98D4C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82779215"/>
        <c:axId val="1664978783"/>
      </c:scatterChart>
      <c:valAx>
        <c:axId val="1682779215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664978783"/>
        <c:crosses val="autoZero"/>
        <c:crossBetween val="midCat"/>
      </c:valAx>
      <c:valAx>
        <c:axId val="1664978783"/>
        <c:scaling>
          <c:orientation val="minMax"/>
          <c:max val="100"/>
          <c:min val="0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682779215"/>
        <c:crosses val="autoZero"/>
        <c:crossBetween val="midCat"/>
        <c:majorUnit val="5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400" b="1">
                <a:solidFill>
                  <a:schemeClr val="tx1"/>
                </a:solidFill>
                <a:latin typeface="Palatino Linotype" panose="02040502050505030304" pitchFamily="18" charset="0"/>
                <a:cs typeface="Arial" panose="020B0604020202020204" pitchFamily="34" charset="0"/>
              </a:rPr>
              <a:t>CF</a:t>
            </a:r>
          </a:p>
        </c:rich>
      </c:tx>
      <c:layout>
        <c:manualLayout>
          <c:xMode val="edge"/>
          <c:yMode val="edge"/>
          <c:x val="4.0130307480467624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22942765791441613"/>
          <c:y val="0.21093675028915163"/>
          <c:w val="0.67154271477988481"/>
          <c:h val="0.5986836118356843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chemeClr val="bg1">
                  <a:lumMod val="50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44050217840645"/>
                  <c:y val="-0.3909645061460392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aseline="0">
                        <a:solidFill>
                          <a:schemeClr val="tx1"/>
                        </a:solidFill>
                        <a:latin typeface="Palatino Linotype" panose="02040502050505030304" pitchFamily="18" charset="0"/>
                        <a:cs typeface="Arial" panose="020B0604020202020204" pitchFamily="34" charset="0"/>
                      </a:rPr>
                      <a:t>R = 0.446</a:t>
                    </a:r>
                    <a:endParaRPr lang="en-US" sz="1000">
                      <a:solidFill>
                        <a:schemeClr val="tx1"/>
                      </a:solidFill>
                      <a:latin typeface="Palatino Linotype" panose="02040502050505030304" pitchFamily="18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</c:trendlineLbl>
          </c:trendline>
          <c:xVal>
            <c:numRef>
              <c:f>'[Tabellen - 04072023.xlsx]Lineare REgression'!$C$28:$C$52</c:f>
              <c:numCache>
                <c:formatCode>0.00</c:formatCode>
                <c:ptCount val="25"/>
                <c:pt idx="0">
                  <c:v>2.7137976663709797</c:v>
                </c:pt>
                <c:pt idx="1">
                  <c:v>15.120931109854135</c:v>
                </c:pt>
                <c:pt idx="2">
                  <c:v>14.080331546382036</c:v>
                </c:pt>
                <c:pt idx="3">
                  <c:v>37.07549030827392</c:v>
                </c:pt>
                <c:pt idx="4">
                  <c:v>11.428933801539506</c:v>
                </c:pt>
                <c:pt idx="6">
                  <c:v>65.486752379372476</c:v>
                </c:pt>
                <c:pt idx="7">
                  <c:v>61.544071574052111</c:v>
                </c:pt>
                <c:pt idx="9">
                  <c:v>17.784281997198086</c:v>
                </c:pt>
                <c:pt idx="10">
                  <c:v>47.690324909105243</c:v>
                </c:pt>
                <c:pt idx="11">
                  <c:v>37.520661812048502</c:v>
                </c:pt>
                <c:pt idx="12">
                  <c:v>21.203418570271353</c:v>
                </c:pt>
                <c:pt idx="13">
                  <c:v>9.0300633055730835</c:v>
                </c:pt>
                <c:pt idx="14">
                  <c:v>45.754176084962495</c:v>
                </c:pt>
                <c:pt idx="15">
                  <c:v>24.466145800961804</c:v>
                </c:pt>
                <c:pt idx="16">
                  <c:v>10.499950084047663</c:v>
                </c:pt>
                <c:pt idx="18">
                  <c:v>8.894170669754887</c:v>
                </c:pt>
                <c:pt idx="19">
                  <c:v>5.0539128227956773</c:v>
                </c:pt>
                <c:pt idx="22">
                  <c:v>94.89632031222898</c:v>
                </c:pt>
                <c:pt idx="23">
                  <c:v>41.762630713311836</c:v>
                </c:pt>
                <c:pt idx="24">
                  <c:v>37.747566912765038</c:v>
                </c:pt>
              </c:numCache>
            </c:numRef>
          </c:xVal>
          <c:yVal>
            <c:numRef>
              <c:f>'[Tabellen - 04072023.xlsx]Lineare REgression'!$B$28:$B$52</c:f>
              <c:numCache>
                <c:formatCode>0.00</c:formatCode>
                <c:ptCount val="25"/>
                <c:pt idx="0">
                  <c:v>16.129044693801717</c:v>
                </c:pt>
                <c:pt idx="1">
                  <c:v>19.809995181475621</c:v>
                </c:pt>
                <c:pt idx="2">
                  <c:v>29.942450823696372</c:v>
                </c:pt>
                <c:pt idx="3">
                  <c:v>22.609697184750228</c:v>
                </c:pt>
                <c:pt idx="4">
                  <c:v>18.492890472317111</c:v>
                </c:pt>
                <c:pt idx="6">
                  <c:v>41.898924685289458</c:v>
                </c:pt>
                <c:pt idx="7">
                  <c:v>43.51900703500187</c:v>
                </c:pt>
                <c:pt idx="9">
                  <c:v>28.970438195304101</c:v>
                </c:pt>
                <c:pt idx="10">
                  <c:v>49.387931894878029</c:v>
                </c:pt>
                <c:pt idx="11">
                  <c:v>79.365043908313496</c:v>
                </c:pt>
                <c:pt idx="12">
                  <c:v>71.869376767813193</c:v>
                </c:pt>
                <c:pt idx="13">
                  <c:v>28.461942951692585</c:v>
                </c:pt>
                <c:pt idx="14">
                  <c:v>15.3076258759422</c:v>
                </c:pt>
                <c:pt idx="15">
                  <c:v>77.637165690979842</c:v>
                </c:pt>
                <c:pt idx="16">
                  <c:v>23.360516662605029</c:v>
                </c:pt>
                <c:pt idx="18">
                  <c:v>6.0289247783786735</c:v>
                </c:pt>
                <c:pt idx="19">
                  <c:v>12.60099561207927</c:v>
                </c:pt>
                <c:pt idx="22">
                  <c:v>56.608095575728136</c:v>
                </c:pt>
                <c:pt idx="23">
                  <c:v>46.497903536085381</c:v>
                </c:pt>
                <c:pt idx="24">
                  <c:v>42.401811302773233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50F-D448-902C-EA5325607C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82779215"/>
        <c:axId val="1664978783"/>
      </c:scatterChart>
      <c:valAx>
        <c:axId val="1682779215"/>
        <c:scaling>
          <c:orientation val="minMax"/>
        </c:scaling>
        <c:delete val="0"/>
        <c:axPos val="b"/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664978783"/>
        <c:crosses val="autoZero"/>
        <c:crossBetween val="midCat"/>
        <c:majorUnit val="50"/>
      </c:valAx>
      <c:valAx>
        <c:axId val="1664978783"/>
        <c:scaling>
          <c:orientation val="minMax"/>
          <c:max val="1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 sz="1000">
                    <a:solidFill>
                      <a:schemeClr val="tx1"/>
                    </a:solidFill>
                    <a:latin typeface="Palatino Linotype" panose="02040502050505030304" pitchFamily="18" charset="0"/>
                    <a:cs typeface="Arial" panose="020B0604020202020204" pitchFamily="34" charset="0"/>
                  </a:rPr>
                  <a:t> </a:t>
                </a:r>
                <a:r>
                  <a:rPr lang="de-DE" sz="1000" baseline="0">
                    <a:solidFill>
                      <a:schemeClr val="tx1"/>
                    </a:solidFill>
                    <a:latin typeface="Palatino Linotype" panose="02040502050505030304" pitchFamily="18" charset="0"/>
                    <a:cs typeface="Arial" panose="020B0604020202020204" pitchFamily="34" charset="0"/>
                  </a:rPr>
                  <a:t> </a:t>
                </a:r>
                <a:endParaRPr lang="de-DE" sz="1000">
                  <a:solidFill>
                    <a:schemeClr val="tx1"/>
                  </a:solidFill>
                  <a:latin typeface="Palatino Linotype" panose="02040502050505030304" pitchFamily="18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1.7641870038224053E-2"/>
              <c:y val="0.403367795831165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682779215"/>
        <c:crosses val="autoZero"/>
        <c:crossBetween val="midCat"/>
        <c:majorUnit val="5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200" b="1">
                <a:solidFill>
                  <a:schemeClr val="tx1"/>
                </a:solidFill>
                <a:latin typeface="Palatino Linotype" panose="02040502050505030304" pitchFamily="18" charset="0"/>
                <a:cs typeface="Arial" panose="020B0604020202020204" pitchFamily="34" charset="0"/>
              </a:rPr>
              <a:t>PCD</a:t>
            </a:r>
            <a:endParaRPr lang="de-DE" b="1">
              <a:solidFill>
                <a:schemeClr val="tx1"/>
              </a:solidFill>
              <a:latin typeface="Palatino Linotype" panose="02040502050505030304" pitchFamily="18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1.3710849844279112E-3"/>
          <c:y val="2.5778978774543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23196829025951132"/>
          <c:y val="0.23471126538340167"/>
          <c:w val="0.66213218839608989"/>
          <c:h val="0.59258168379592158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2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1091065106473608"/>
                  <c:y val="-0.2898589484871956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aseline="0">
                        <a:solidFill>
                          <a:schemeClr val="tx1"/>
                        </a:solidFill>
                        <a:latin typeface="Palatino Linotype" panose="02040502050505030304" pitchFamily="18" charset="0"/>
                        <a:cs typeface="Arial" panose="020B0604020202020204" pitchFamily="34" charset="0"/>
                      </a:rPr>
                      <a:t>R = 0.938</a:t>
                    </a:r>
                    <a:endParaRPr lang="en-US" sz="1000">
                      <a:solidFill>
                        <a:schemeClr val="tx1"/>
                      </a:solidFill>
                      <a:latin typeface="Palatino Linotype" panose="02040502050505030304" pitchFamily="18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</c:trendlineLbl>
          </c:trendline>
          <c:xVal>
            <c:numRef>
              <c:f>'[Tabellen - 04072023.xlsx]Lineare REgression'!$C$2:$C$25</c:f>
              <c:numCache>
                <c:formatCode>0.00</c:formatCode>
                <c:ptCount val="24"/>
                <c:pt idx="0">
                  <c:v>48.921615153607142</c:v>
                </c:pt>
                <c:pt idx="1">
                  <c:v>44.3373456597486</c:v>
                </c:pt>
                <c:pt idx="2">
                  <c:v>4.4482299642255532</c:v>
                </c:pt>
                <c:pt idx="3">
                  <c:v>9.9973775893637224</c:v>
                </c:pt>
                <c:pt idx="4">
                  <c:v>10.394691219816883</c:v>
                </c:pt>
                <c:pt idx="5">
                  <c:v>64.636120286715709</c:v>
                </c:pt>
                <c:pt idx="6">
                  <c:v>44.530808017691626</c:v>
                </c:pt>
                <c:pt idx="7">
                  <c:v>1.499607050009774</c:v>
                </c:pt>
                <c:pt idx="8">
                  <c:v>54.625712975945611</c:v>
                </c:pt>
                <c:pt idx="9">
                  <c:v>80.177527364528899</c:v>
                </c:pt>
                <c:pt idx="10">
                  <c:v>30.219857713867704</c:v>
                </c:pt>
                <c:pt idx="11">
                  <c:v>5.9746408654127476</c:v>
                </c:pt>
                <c:pt idx="12">
                  <c:v>145.76321052533655</c:v>
                </c:pt>
                <c:pt idx="13">
                  <c:v>9.4608723749403119</c:v>
                </c:pt>
                <c:pt idx="14">
                  <c:v>0.62765228327378253</c:v>
                </c:pt>
                <c:pt idx="15">
                  <c:v>0.78633857184649647</c:v>
                </c:pt>
                <c:pt idx="16">
                  <c:v>9.4110063836307489</c:v>
                </c:pt>
                <c:pt idx="17">
                  <c:v>102.57588200596845</c:v>
                </c:pt>
                <c:pt idx="18">
                  <c:v>133.43892302466165</c:v>
                </c:pt>
                <c:pt idx="19">
                  <c:v>2.037878759393251</c:v>
                </c:pt>
                <c:pt idx="20">
                  <c:v>85.085119222121151</c:v>
                </c:pt>
                <c:pt idx="21">
                  <c:v>1.3655270012200698</c:v>
                </c:pt>
                <c:pt idx="22">
                  <c:v>4.7729647977813823</c:v>
                </c:pt>
                <c:pt idx="23">
                  <c:v>1.2471825351178896</c:v>
                </c:pt>
              </c:numCache>
            </c:numRef>
          </c:xVal>
          <c:yVal>
            <c:numRef>
              <c:f>'[Tabellen - 04072023.xlsx]Lineare REgression'!$B$2:$B$25</c:f>
              <c:numCache>
                <c:formatCode>0.00</c:formatCode>
                <c:ptCount val="24"/>
                <c:pt idx="0">
                  <c:v>33.330848658606115</c:v>
                </c:pt>
                <c:pt idx="1">
                  <c:v>25.980529787924819</c:v>
                </c:pt>
                <c:pt idx="2">
                  <c:v>13.046173481560716</c:v>
                </c:pt>
                <c:pt idx="3">
                  <c:v>21.950360343078465</c:v>
                </c:pt>
                <c:pt idx="4">
                  <c:v>10.946540938518282</c:v>
                </c:pt>
                <c:pt idx="5">
                  <c:v>59.926508598520208</c:v>
                </c:pt>
                <c:pt idx="6">
                  <c:v>30.556334391210818</c:v>
                </c:pt>
                <c:pt idx="7">
                  <c:v>10.582700777703314</c:v>
                </c:pt>
                <c:pt idx="8">
                  <c:v>39.536953856419331</c:v>
                </c:pt>
                <c:pt idx="9">
                  <c:v>66.371209271621382</c:v>
                </c:pt>
                <c:pt idx="10">
                  <c:v>33.476899914681248</c:v>
                </c:pt>
                <c:pt idx="11">
                  <c:v>7.4372830335989768</c:v>
                </c:pt>
                <c:pt idx="12">
                  <c:v>72.815838932796424</c:v>
                </c:pt>
                <c:pt idx="13">
                  <c:v>14.904582981848696</c:v>
                </c:pt>
                <c:pt idx="14">
                  <c:v>3.6295311423225369</c:v>
                </c:pt>
                <c:pt idx="15">
                  <c:v>8.7509430570674951</c:v>
                </c:pt>
                <c:pt idx="16">
                  <c:v>11.049168448830173</c:v>
                </c:pt>
                <c:pt idx="17">
                  <c:v>75.400427608587634</c:v>
                </c:pt>
                <c:pt idx="18">
                  <c:v>61.021700469108026</c:v>
                </c:pt>
                <c:pt idx="19">
                  <c:v>7.9087049663947235</c:v>
                </c:pt>
                <c:pt idx="20">
                  <c:v>67.183249918151873</c:v>
                </c:pt>
                <c:pt idx="21">
                  <c:v>2.4830445085056581</c:v>
                </c:pt>
                <c:pt idx="22">
                  <c:v>9.7524067146686555</c:v>
                </c:pt>
                <c:pt idx="23">
                  <c:v>2.7570815093103653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582-E244-8E1B-D653882B7F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82779215"/>
        <c:axId val="1664978783"/>
      </c:scatterChart>
      <c:valAx>
        <c:axId val="1682779215"/>
        <c:scaling>
          <c:orientation val="minMax"/>
          <c:max val="150"/>
        </c:scaling>
        <c:delete val="0"/>
        <c:axPos val="b"/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664978783"/>
        <c:crosses val="autoZero"/>
        <c:crossBetween val="midCat"/>
        <c:majorUnit val="50"/>
      </c:valAx>
      <c:valAx>
        <c:axId val="1664978783"/>
        <c:scaling>
          <c:orientation val="minMax"/>
          <c:max val="120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682779215"/>
        <c:crosses val="autoZero"/>
        <c:crossBetween val="midCat"/>
        <c:majorUnit val="5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Eggenkemper, Lisa</dc:creator>
  <cp:keywords/>
  <dc:description/>
  <cp:lastModifiedBy>Eggenkemper, Lisa</cp:lastModifiedBy>
  <cp:revision>1</cp:revision>
  <dcterms:created xsi:type="dcterms:W3CDTF">2023-07-27T17:09:00Z</dcterms:created>
  <dcterms:modified xsi:type="dcterms:W3CDTF">2023-07-27T17:23:00Z</dcterms:modified>
</cp:coreProperties>
</file>