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B1302" w14:textId="77777777" w:rsidR="007C709E" w:rsidRPr="007C709E" w:rsidRDefault="007C709E" w:rsidP="007C709E">
      <w:pPr>
        <w:adjustRightInd w:val="0"/>
        <w:snapToGrid w:val="0"/>
        <w:spacing w:after="240" w:line="240" w:lineRule="atLeast"/>
        <w:jc w:val="left"/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</w:pPr>
      <w:r w:rsidRPr="007C709E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szCs w:val="20"/>
          <w:lang w:val="en-US" w:eastAsia="de-DE" w:bidi="en-US"/>
        </w:rPr>
        <w:t>Enhancing Uranium Extraction Efficiency Using Protonated Amines and Quaternary Ammoniums-Based Ionic Liquids: Mechanistic Insights and Non-Linearities Analysis</w:t>
      </w:r>
    </w:p>
    <w:p w14:paraId="5CC507F2" w14:textId="77777777" w:rsidR="007C709E" w:rsidRPr="007C709E" w:rsidRDefault="007C709E" w:rsidP="007C709E">
      <w:pPr>
        <w:spacing w:line="260" w:lineRule="atLeast"/>
        <w:rPr>
          <w:rFonts w:eastAsia="SimSun"/>
          <w:noProof/>
          <w:color w:val="000000"/>
          <w:sz w:val="28"/>
          <w:szCs w:val="28"/>
          <w:vertAlign w:val="superscript"/>
          <w:lang w:eastAsia="zh-CN"/>
        </w:rPr>
      </w:pP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>E. Guerinoni</w:t>
      </w:r>
      <w:r w:rsidRPr="007C709E">
        <w:rPr>
          <w:rFonts w:eastAsia="Times New Roman"/>
          <w:noProof/>
          <w:color w:val="000000"/>
          <w:sz w:val="28"/>
          <w:szCs w:val="28"/>
          <w:vertAlign w:val="superscript"/>
          <w:lang w:eastAsia="en-GB"/>
        </w:rPr>
        <w:t>1</w:t>
      </w: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>, S. Dourdain</w:t>
      </w:r>
      <w:r w:rsidRPr="007C709E">
        <w:rPr>
          <w:rFonts w:eastAsia="Times New Roman"/>
          <w:noProof/>
          <w:color w:val="000000"/>
          <w:sz w:val="28"/>
          <w:szCs w:val="28"/>
          <w:vertAlign w:val="superscript"/>
          <w:lang w:eastAsia="en-GB"/>
        </w:rPr>
        <w:t>1*</w:t>
      </w: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>, T. Dumas</w:t>
      </w:r>
      <w:r w:rsidRPr="007C709E">
        <w:rPr>
          <w:rFonts w:eastAsia="Times New Roman"/>
          <w:noProof/>
          <w:color w:val="000000"/>
          <w:sz w:val="28"/>
          <w:szCs w:val="28"/>
          <w:vertAlign w:val="superscript"/>
          <w:lang w:eastAsia="en-GB"/>
        </w:rPr>
        <w:t>2</w:t>
      </w: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>, G. Arrachart</w:t>
      </w:r>
      <w:r w:rsidRPr="007C709E">
        <w:rPr>
          <w:rFonts w:eastAsia="Times New Roman"/>
          <w:noProof/>
          <w:color w:val="000000"/>
          <w:sz w:val="28"/>
          <w:szCs w:val="28"/>
          <w:vertAlign w:val="superscript"/>
          <w:lang w:eastAsia="en-GB"/>
        </w:rPr>
        <w:t>1</w:t>
      </w: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>, F. Giusti</w:t>
      </w:r>
      <w:r w:rsidRPr="007C709E">
        <w:rPr>
          <w:rFonts w:eastAsia="Times New Roman"/>
          <w:noProof/>
          <w:color w:val="000000"/>
          <w:sz w:val="28"/>
          <w:szCs w:val="28"/>
          <w:vertAlign w:val="superscript"/>
          <w:lang w:eastAsia="en-GB"/>
        </w:rPr>
        <w:t>1</w:t>
      </w: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>, Z.Lu</w:t>
      </w:r>
      <w:r w:rsidRPr="007C709E">
        <w:rPr>
          <w:rFonts w:eastAsia="Times New Roman"/>
          <w:noProof/>
          <w:color w:val="000000"/>
          <w:sz w:val="28"/>
          <w:szCs w:val="28"/>
          <w:vertAlign w:val="superscript"/>
          <w:lang w:eastAsia="en-GB"/>
        </w:rPr>
        <w:t>1</w:t>
      </w: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>, P.L. Solari</w:t>
      </w:r>
      <w:r w:rsidRPr="007C709E">
        <w:rPr>
          <w:rFonts w:eastAsia="Times New Roman"/>
          <w:noProof/>
          <w:color w:val="000000"/>
          <w:sz w:val="28"/>
          <w:szCs w:val="28"/>
          <w:vertAlign w:val="superscript"/>
          <w:lang w:eastAsia="en-GB"/>
        </w:rPr>
        <w:t>3</w:t>
      </w:r>
      <w:r w:rsidRPr="007C709E">
        <w:rPr>
          <w:rFonts w:eastAsia="Times New Roman"/>
          <w:noProof/>
          <w:color w:val="000000"/>
          <w:sz w:val="28"/>
          <w:szCs w:val="28"/>
          <w:lang w:eastAsia="en-GB"/>
        </w:rPr>
        <w:t xml:space="preserve"> and S.  Pellet-Rostaing</w:t>
      </w:r>
      <w:r w:rsidRPr="007C709E">
        <w:rPr>
          <w:rFonts w:eastAsia="SimSun"/>
          <w:noProof/>
          <w:color w:val="000000"/>
          <w:sz w:val="28"/>
          <w:szCs w:val="28"/>
          <w:vertAlign w:val="superscript"/>
          <w:lang w:eastAsia="zh-CN"/>
        </w:rPr>
        <w:t>1</w:t>
      </w:r>
    </w:p>
    <w:p w14:paraId="2E636ADA" w14:textId="77777777" w:rsidR="007C709E" w:rsidRPr="007C709E" w:rsidRDefault="007C709E" w:rsidP="007C709E">
      <w:pPr>
        <w:adjustRightInd w:val="0"/>
        <w:snapToGrid w:val="0"/>
        <w:spacing w:line="200" w:lineRule="atLeast"/>
        <w:ind w:left="2806" w:hanging="198"/>
        <w:jc w:val="lef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7C709E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eastAsia="de-DE" w:bidi="en-US"/>
        </w:rPr>
        <w:t>1</w:t>
      </w:r>
      <w:r w:rsidRPr="007C709E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ICSM, Univ Montpellier, CEA, CNRS, ENSCM, Marcoule, France</w:t>
      </w:r>
    </w:p>
    <w:p w14:paraId="3706E983" w14:textId="77777777" w:rsidR="007C709E" w:rsidRPr="007C709E" w:rsidRDefault="007C709E" w:rsidP="007C709E">
      <w:pPr>
        <w:adjustRightInd w:val="0"/>
        <w:snapToGrid w:val="0"/>
        <w:spacing w:line="200" w:lineRule="atLeast"/>
        <w:ind w:left="2806" w:hanging="198"/>
        <w:jc w:val="lef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7C709E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eastAsia="de-DE" w:bidi="en-US"/>
        </w:rPr>
        <w:t>2</w:t>
      </w:r>
      <w:r w:rsidRPr="007C709E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CEA, DES, ISEC, DMRC, UnivMontpellier ,Marcoule 30207,France</w:t>
      </w:r>
    </w:p>
    <w:p w14:paraId="1F3928E6" w14:textId="77777777" w:rsidR="007C709E" w:rsidRPr="007C709E" w:rsidRDefault="007C709E" w:rsidP="007C709E">
      <w:pPr>
        <w:adjustRightInd w:val="0"/>
        <w:snapToGrid w:val="0"/>
        <w:spacing w:line="200" w:lineRule="atLeast"/>
        <w:ind w:left="2806" w:hanging="198"/>
        <w:jc w:val="left"/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</w:pPr>
      <w:r w:rsidRPr="007C709E">
        <w:rPr>
          <w:rFonts w:ascii="Palatino Linotype" w:eastAsia="Times New Roman" w:hAnsi="Palatino Linotype" w:cs="Times New Roman"/>
          <w:color w:val="000000"/>
          <w:sz w:val="16"/>
          <w:szCs w:val="18"/>
          <w:vertAlign w:val="superscript"/>
          <w:lang w:eastAsia="de-DE" w:bidi="en-US"/>
        </w:rPr>
        <w:t>3</w:t>
      </w:r>
      <w:r w:rsidRPr="007C709E">
        <w:rPr>
          <w:rFonts w:ascii="Palatino Linotype" w:eastAsia="Times New Roman" w:hAnsi="Palatino Linotype" w:cs="Times New Roman"/>
          <w:color w:val="000000"/>
          <w:sz w:val="16"/>
          <w:szCs w:val="18"/>
          <w:lang w:eastAsia="de-DE" w:bidi="en-US"/>
        </w:rPr>
        <w:t>Synchrotron SOLEIL, MARS Beamline, BP 48, F-91192 Gif Sur Yvette, France</w:t>
      </w:r>
    </w:p>
    <w:p w14:paraId="6EE2BF04" w14:textId="77777777" w:rsidR="007C709E" w:rsidRPr="007C709E" w:rsidRDefault="007C709E" w:rsidP="007C709E">
      <w:pPr>
        <w:adjustRightInd w:val="0"/>
        <w:snapToGrid w:val="0"/>
        <w:spacing w:line="200" w:lineRule="atLeast"/>
        <w:ind w:left="2806" w:hanging="198"/>
        <w:jc w:val="left"/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</w:pPr>
      <w:r w:rsidRPr="007C709E">
        <w:rPr>
          <w:rFonts w:ascii="Palatino Linotype" w:eastAsia="Times New Roman" w:hAnsi="Palatino Linotype" w:cs="Times New Roman"/>
          <w:b/>
          <w:color w:val="000000"/>
          <w:sz w:val="16"/>
          <w:szCs w:val="18"/>
          <w:lang w:val="en-US" w:eastAsia="de-DE" w:bidi="en-US"/>
        </w:rPr>
        <w:t>*</w:t>
      </w:r>
      <w:r w:rsidRPr="007C709E">
        <w:rPr>
          <w:rFonts w:ascii="Palatino Linotype" w:eastAsia="Times New Roman" w:hAnsi="Palatino Linotype" w:cs="Times New Roman"/>
          <w:color w:val="000000"/>
          <w:sz w:val="16"/>
          <w:szCs w:val="18"/>
          <w:lang w:val="en-US" w:eastAsia="de-DE" w:bidi="en-US"/>
        </w:rPr>
        <w:tab/>
        <w:t>Correspondence: sandrine.dourdain@cea.fr</w:t>
      </w:r>
    </w:p>
    <w:p w14:paraId="24446C64" w14:textId="2A15FD54" w:rsidR="00915512" w:rsidRPr="007C709E" w:rsidRDefault="00915512" w:rsidP="00280D8F">
      <w:pPr>
        <w:rPr>
          <w:lang w:val="en-US"/>
        </w:rPr>
      </w:pPr>
    </w:p>
    <w:p w14:paraId="3FB52908" w14:textId="1E583313" w:rsidR="00BF3512" w:rsidRPr="007309D6" w:rsidRDefault="007C709E" w:rsidP="00313073">
      <w:pPr>
        <w:rPr>
          <w:lang w:val="en-US"/>
        </w:rPr>
      </w:pPr>
      <w:r>
        <w:rPr>
          <w:lang w:val="en-US"/>
        </w:rPr>
        <w:t xml:space="preserve">ESI </w:t>
      </w:r>
      <w:r w:rsidR="00D84B51">
        <w:rPr>
          <w:lang w:val="en-US"/>
        </w:rPr>
        <w:t>1 S</w:t>
      </w:r>
      <w:r w:rsidR="007309D6" w:rsidRPr="007309D6">
        <w:rPr>
          <w:lang w:val="en-US"/>
        </w:rPr>
        <w:t xml:space="preserve">ynthesis of </w:t>
      </w:r>
      <w:r w:rsidR="00D84B51" w:rsidRPr="007309D6">
        <w:rPr>
          <w:lang w:val="en-US"/>
        </w:rPr>
        <w:t>proto</w:t>
      </w:r>
      <w:r w:rsidR="00D84B51">
        <w:rPr>
          <w:lang w:val="en-US"/>
        </w:rPr>
        <w:t>n</w:t>
      </w:r>
      <w:r w:rsidR="00D84B51" w:rsidRPr="007309D6">
        <w:rPr>
          <w:lang w:val="en-US"/>
        </w:rPr>
        <w:t>ated</w:t>
      </w:r>
      <w:r w:rsidR="007309D6" w:rsidRPr="007309D6">
        <w:rPr>
          <w:lang w:val="en-US"/>
        </w:rPr>
        <w:t xml:space="preserve"> </w:t>
      </w:r>
      <w:r w:rsidR="00D84B51" w:rsidRPr="007309D6">
        <w:rPr>
          <w:lang w:val="en-US"/>
        </w:rPr>
        <w:t>tertiary</w:t>
      </w:r>
      <w:r w:rsidR="007309D6" w:rsidRPr="007309D6">
        <w:rPr>
          <w:lang w:val="en-US"/>
        </w:rPr>
        <w:t xml:space="preserve"> amines and quaterna</w:t>
      </w:r>
      <w:r w:rsidR="00D84B51">
        <w:rPr>
          <w:lang w:val="en-US"/>
        </w:rPr>
        <w:t>r</w:t>
      </w:r>
      <w:r w:rsidR="007309D6" w:rsidRPr="007309D6">
        <w:rPr>
          <w:lang w:val="en-US"/>
        </w:rPr>
        <w:t xml:space="preserve">y ammoniums </w:t>
      </w:r>
    </w:p>
    <w:p w14:paraId="724D10A8" w14:textId="540A66EE" w:rsidR="00BF3512" w:rsidRPr="00D032B9" w:rsidRDefault="00BF3512" w:rsidP="00313073">
      <w:pPr>
        <w:pStyle w:val="Paragraphedeliste"/>
        <w:numPr>
          <w:ilvl w:val="0"/>
          <w:numId w:val="9"/>
        </w:numPr>
        <w:rPr>
          <w:lang w:val="en-US"/>
        </w:rPr>
      </w:pPr>
      <w:r w:rsidRPr="00D032B9">
        <w:rPr>
          <w:lang w:val="en-US"/>
        </w:rPr>
        <w:t>Synthesis of [TOAH]</w:t>
      </w:r>
      <w:r w:rsidRPr="00D032B9">
        <w:rPr>
          <w:vertAlign w:val="subscript"/>
          <w:lang w:val="en-US"/>
        </w:rPr>
        <w:t>2</w:t>
      </w:r>
      <w:r w:rsidRPr="00D032B9">
        <w:rPr>
          <w:lang w:val="en-US"/>
        </w:rPr>
        <w:t>[SO</w:t>
      </w:r>
      <w:r w:rsidRPr="00D032B9">
        <w:rPr>
          <w:vertAlign w:val="subscript"/>
          <w:lang w:val="en-US"/>
        </w:rPr>
        <w:t>4</w:t>
      </w:r>
      <w:r w:rsidRPr="00D032B9">
        <w:rPr>
          <w:lang w:val="en-US"/>
        </w:rPr>
        <w:t>] and [Aliquat336]</w:t>
      </w:r>
      <w:r w:rsidRPr="00D032B9">
        <w:rPr>
          <w:vertAlign w:val="subscript"/>
          <w:lang w:val="en-US"/>
        </w:rPr>
        <w:t>2</w:t>
      </w:r>
      <w:r w:rsidRPr="00D032B9">
        <w:rPr>
          <w:lang w:val="en-US"/>
        </w:rPr>
        <w:t>[SO</w:t>
      </w:r>
      <w:r w:rsidRPr="00D032B9">
        <w:rPr>
          <w:vertAlign w:val="subscript"/>
          <w:lang w:val="en-US"/>
        </w:rPr>
        <w:t>4</w:t>
      </w:r>
      <w:r w:rsidRPr="00D032B9">
        <w:rPr>
          <w:lang w:val="en-US"/>
        </w:rPr>
        <w:t xml:space="preserve">] </w:t>
      </w:r>
    </w:p>
    <w:p w14:paraId="11850388" w14:textId="21DF7796" w:rsidR="00BF3512" w:rsidRDefault="00F967C7" w:rsidP="00313073">
      <w:pPr>
        <w:rPr>
          <w:lang w:val="en-US"/>
        </w:rPr>
      </w:pPr>
      <w:r>
        <w:rPr>
          <w:lang w:val="en-US"/>
        </w:rPr>
        <w:t>In a 100 mL round bottom flask cooled at 0 °C</w:t>
      </w:r>
      <w:r w:rsidRPr="00D032B9">
        <w:rPr>
          <w:lang w:val="en-US"/>
        </w:rPr>
        <w:t xml:space="preserve"> </w:t>
      </w:r>
      <w:r>
        <w:rPr>
          <w:lang w:val="en-US"/>
        </w:rPr>
        <w:t>(</w:t>
      </w:r>
      <w:r w:rsidRPr="00D032B9">
        <w:rPr>
          <w:lang w:val="en-US"/>
        </w:rPr>
        <w:t>ice bath</w:t>
      </w:r>
      <w:r>
        <w:rPr>
          <w:lang w:val="en-US"/>
        </w:rPr>
        <w:t xml:space="preserve">), </w:t>
      </w:r>
      <w:r w:rsidR="00BF3512" w:rsidRPr="00D032B9">
        <w:rPr>
          <w:lang w:val="en-US"/>
        </w:rPr>
        <w:t>98% mass. su</w:t>
      </w:r>
      <w:r w:rsidR="002652E4">
        <w:rPr>
          <w:lang w:val="en-US"/>
        </w:rPr>
        <w:t>lphuric acid (1.19 mL, 18.6 mol.</w:t>
      </w:r>
      <w:r w:rsidR="00BF3512" w:rsidRPr="00D032B9">
        <w:rPr>
          <w:lang w:val="en-US"/>
        </w:rPr>
        <w:t>L</w:t>
      </w:r>
      <w:r w:rsidR="002652E4" w:rsidRPr="002652E4">
        <w:rPr>
          <w:vertAlign w:val="superscript"/>
          <w:lang w:val="en-US"/>
        </w:rPr>
        <w:t>-1</w:t>
      </w:r>
      <w:r w:rsidR="00BF3512" w:rsidRPr="00D032B9">
        <w:rPr>
          <w:lang w:val="en-US"/>
        </w:rPr>
        <w:t>) was added dropwise to a 98% pur</w:t>
      </w:r>
      <w:r w:rsidR="002652E4">
        <w:rPr>
          <w:lang w:val="en-US"/>
        </w:rPr>
        <w:t>e TOA solution (20 mL, 2.22 mol.</w:t>
      </w:r>
      <w:r w:rsidR="00BF3512" w:rsidRPr="00D032B9">
        <w:rPr>
          <w:lang w:val="en-US"/>
        </w:rPr>
        <w:t>L</w:t>
      </w:r>
      <w:r w:rsidR="002652E4" w:rsidRPr="002652E4">
        <w:rPr>
          <w:vertAlign w:val="superscript"/>
          <w:lang w:val="en-US"/>
        </w:rPr>
        <w:t>-1</w:t>
      </w:r>
      <w:r w:rsidR="00BF3512" w:rsidRPr="00D032B9">
        <w:rPr>
          <w:lang w:val="en-US"/>
        </w:rPr>
        <w:t>) or an Aliquat</w:t>
      </w:r>
      <w:r w:rsidR="000C5E0C">
        <w:rPr>
          <w:lang w:val="en-US"/>
        </w:rPr>
        <w:t xml:space="preserve"> </w:t>
      </w:r>
      <w:r w:rsidR="00BF3512" w:rsidRPr="00D032B9">
        <w:rPr>
          <w:lang w:val="en-US"/>
        </w:rPr>
        <w:t xml:space="preserve">336 solution (20 mL) </w:t>
      </w:r>
      <w:r>
        <w:rPr>
          <w:lang w:val="en-US"/>
        </w:rPr>
        <w:t>under</w:t>
      </w:r>
      <w:r w:rsidRPr="00D032B9">
        <w:rPr>
          <w:lang w:val="en-US"/>
        </w:rPr>
        <w:t xml:space="preserve"> </w:t>
      </w:r>
      <w:r w:rsidR="00BF3512" w:rsidRPr="00D032B9">
        <w:rPr>
          <w:lang w:val="en-US"/>
        </w:rPr>
        <w:t>stirring. The remaining solution was solubilized in absolute ethanol (50 mL)</w:t>
      </w:r>
      <w:r w:rsidR="005C11E7">
        <w:rPr>
          <w:lang w:val="en-US"/>
        </w:rPr>
        <w:t xml:space="preserve"> that </w:t>
      </w:r>
      <w:r w:rsidR="00BF3512" w:rsidRPr="00D032B9">
        <w:rPr>
          <w:lang w:val="en-US"/>
        </w:rPr>
        <w:t xml:space="preserve">was further removed using a rotary evaporator. </w:t>
      </w:r>
      <w:r w:rsidR="005C11E7">
        <w:rPr>
          <w:lang w:val="en-US"/>
        </w:rPr>
        <w:t>T</w:t>
      </w:r>
      <w:r w:rsidR="00BF3512" w:rsidRPr="00D032B9">
        <w:rPr>
          <w:lang w:val="en-US"/>
        </w:rPr>
        <w:t xml:space="preserve">he </w:t>
      </w:r>
      <w:r w:rsidR="005C11E7">
        <w:rPr>
          <w:lang w:val="en-US"/>
        </w:rPr>
        <w:t>residual liquid</w:t>
      </w:r>
      <w:r w:rsidR="005C11E7" w:rsidRPr="00D032B9">
        <w:rPr>
          <w:lang w:val="en-US"/>
        </w:rPr>
        <w:t xml:space="preserve"> </w:t>
      </w:r>
      <w:r w:rsidR="00BF3512" w:rsidRPr="00D032B9">
        <w:rPr>
          <w:lang w:val="en-US"/>
        </w:rPr>
        <w:t>was dried at 60 °C under vacuum for 24 hours to obtain</w:t>
      </w:r>
      <w:r w:rsidR="00652A21">
        <w:rPr>
          <w:lang w:val="en-US"/>
        </w:rPr>
        <w:t xml:space="preserve"> each compound, </w:t>
      </w:r>
      <w:r w:rsidR="00652A21" w:rsidRPr="00D032B9">
        <w:rPr>
          <w:lang w:val="en-US"/>
        </w:rPr>
        <w:t>[TOAH]</w:t>
      </w:r>
      <w:r w:rsidR="00652A21" w:rsidRPr="00D032B9">
        <w:rPr>
          <w:vertAlign w:val="subscript"/>
          <w:lang w:val="en-US"/>
        </w:rPr>
        <w:t>2</w:t>
      </w:r>
      <w:r w:rsidR="00652A21" w:rsidRPr="00D032B9">
        <w:rPr>
          <w:lang w:val="en-US"/>
        </w:rPr>
        <w:t>[SO</w:t>
      </w:r>
      <w:r w:rsidR="00652A21" w:rsidRPr="00D032B9">
        <w:rPr>
          <w:vertAlign w:val="subscript"/>
          <w:lang w:val="en-US"/>
        </w:rPr>
        <w:t>4</w:t>
      </w:r>
      <w:r w:rsidR="00652A21" w:rsidRPr="00D032B9">
        <w:rPr>
          <w:lang w:val="en-US"/>
        </w:rPr>
        <w:t>]</w:t>
      </w:r>
      <w:r w:rsidR="00652A21">
        <w:rPr>
          <w:lang w:val="en-US"/>
        </w:rPr>
        <w:t xml:space="preserve"> as</w:t>
      </w:r>
      <w:r w:rsidR="00BF3512" w:rsidRPr="00D032B9">
        <w:rPr>
          <w:lang w:val="en-US"/>
        </w:rPr>
        <w:t xml:space="preserve"> a pale-yellow </w:t>
      </w:r>
      <w:r w:rsidR="00652A21">
        <w:rPr>
          <w:lang w:val="en-US"/>
        </w:rPr>
        <w:t xml:space="preserve">viscous </w:t>
      </w:r>
      <w:r w:rsidR="00652A21" w:rsidRPr="00D032B9">
        <w:rPr>
          <w:lang w:val="en-US"/>
        </w:rPr>
        <w:t>(</w:t>
      </w:r>
      <w:r w:rsidR="00652A21" w:rsidRPr="00CC69D5">
        <w:rPr>
          <w:i/>
        </w:rPr>
        <w:sym w:font="Symbol" w:char="F068"/>
      </w:r>
      <w:r w:rsidR="00652A21" w:rsidRPr="00D032B9">
        <w:rPr>
          <w:lang w:val="en-US"/>
        </w:rPr>
        <w:t xml:space="preserve"> = 4.9 Pa.s</w:t>
      </w:r>
      <w:r w:rsidR="00652A21">
        <w:rPr>
          <w:lang w:val="en-US"/>
        </w:rPr>
        <w:t xml:space="preserve"> at 25 °C</w:t>
      </w:r>
      <w:r w:rsidR="00652A21" w:rsidRPr="00D032B9">
        <w:rPr>
          <w:lang w:val="en-US"/>
        </w:rPr>
        <w:t>)</w:t>
      </w:r>
      <w:r w:rsidR="00652A21">
        <w:rPr>
          <w:lang w:val="en-US"/>
        </w:rPr>
        <w:t xml:space="preserve"> </w:t>
      </w:r>
      <w:r w:rsidR="005C11E7">
        <w:rPr>
          <w:lang w:val="en-US"/>
        </w:rPr>
        <w:t>oil</w:t>
      </w:r>
      <w:r w:rsidR="00652A21">
        <w:rPr>
          <w:lang w:val="en-US"/>
        </w:rPr>
        <w:t xml:space="preserve"> and </w:t>
      </w:r>
      <w:r w:rsidR="00652A21" w:rsidRPr="00D032B9">
        <w:rPr>
          <w:lang w:val="en-US"/>
        </w:rPr>
        <w:t>[Aliquat336]</w:t>
      </w:r>
      <w:r w:rsidR="00652A21" w:rsidRPr="00D032B9">
        <w:rPr>
          <w:vertAlign w:val="subscript"/>
          <w:lang w:val="en-US"/>
        </w:rPr>
        <w:t>2</w:t>
      </w:r>
      <w:r w:rsidR="00652A21" w:rsidRPr="00D032B9">
        <w:rPr>
          <w:lang w:val="en-US"/>
        </w:rPr>
        <w:t>[SO</w:t>
      </w:r>
      <w:r w:rsidR="00652A21" w:rsidRPr="00D032B9">
        <w:rPr>
          <w:vertAlign w:val="subscript"/>
          <w:lang w:val="en-US"/>
        </w:rPr>
        <w:t>4</w:t>
      </w:r>
      <w:r w:rsidR="00652A21" w:rsidRPr="00D032B9">
        <w:rPr>
          <w:lang w:val="en-US"/>
        </w:rPr>
        <w:t>]</w:t>
      </w:r>
      <w:r w:rsidR="00652A21">
        <w:rPr>
          <w:lang w:val="en-US"/>
        </w:rPr>
        <w:t xml:space="preserve"> as a</w:t>
      </w:r>
      <w:r w:rsidR="007C709E">
        <w:rPr>
          <w:lang w:val="en-US"/>
        </w:rPr>
        <w:t xml:space="preserve"> colorless viscous oil</w:t>
      </w:r>
      <w:r w:rsidR="00652A21">
        <w:rPr>
          <w:lang w:val="en-US"/>
        </w:rPr>
        <w:t xml:space="preserve">, </w:t>
      </w:r>
      <w:r w:rsidR="00BF3512" w:rsidRPr="00D032B9">
        <w:rPr>
          <w:lang w:val="en-US"/>
        </w:rPr>
        <w:t>with 100% yield.</w:t>
      </w:r>
    </w:p>
    <w:p w14:paraId="30D749DA" w14:textId="77777777" w:rsidR="00365289" w:rsidRPr="00D032B9" w:rsidRDefault="00365289" w:rsidP="00313073">
      <w:pPr>
        <w:rPr>
          <w:lang w:val="en-US"/>
        </w:rPr>
      </w:pPr>
    </w:p>
    <w:p w14:paraId="36E52DAE" w14:textId="067E2F69" w:rsidR="00BF3512" w:rsidRPr="00D032B9" w:rsidRDefault="00BF3512" w:rsidP="00313073">
      <w:pPr>
        <w:pStyle w:val="Paragraphedeliste"/>
        <w:numPr>
          <w:ilvl w:val="0"/>
          <w:numId w:val="9"/>
        </w:numPr>
        <w:rPr>
          <w:lang w:val="en-US"/>
        </w:rPr>
      </w:pPr>
      <w:r w:rsidRPr="00D032B9">
        <w:rPr>
          <w:lang w:val="en-US"/>
        </w:rPr>
        <w:t>Synthesis of [TOAH][NTf</w:t>
      </w:r>
      <w:r w:rsidRPr="00D032B9">
        <w:rPr>
          <w:vertAlign w:val="subscript"/>
          <w:lang w:val="en-US"/>
        </w:rPr>
        <w:t>2</w:t>
      </w:r>
      <w:r w:rsidRPr="00D032B9">
        <w:rPr>
          <w:lang w:val="en-US"/>
        </w:rPr>
        <w:t>] and [Aliquat336][NTf</w:t>
      </w:r>
      <w:r w:rsidRPr="00D032B9">
        <w:rPr>
          <w:vertAlign w:val="subscript"/>
          <w:lang w:val="en-US"/>
        </w:rPr>
        <w:t>2</w:t>
      </w:r>
      <w:r w:rsidRPr="00D032B9">
        <w:rPr>
          <w:lang w:val="en-US"/>
        </w:rPr>
        <w:t>] by anionic metathesis.</w:t>
      </w:r>
    </w:p>
    <w:p w14:paraId="11164BAC" w14:textId="0C38AE94" w:rsidR="00BF3512" w:rsidRPr="00D032B9" w:rsidRDefault="00BF3512" w:rsidP="00313073">
      <w:pPr>
        <w:rPr>
          <w:lang w:val="en-US"/>
        </w:rPr>
      </w:pPr>
      <w:r w:rsidRPr="00D032B9">
        <w:rPr>
          <w:lang w:val="en-US"/>
        </w:rPr>
        <w:t>10 g of [TOAH]</w:t>
      </w:r>
      <w:r w:rsidRPr="00D032B9">
        <w:rPr>
          <w:vertAlign w:val="subscript"/>
          <w:lang w:val="en-US"/>
        </w:rPr>
        <w:t>2</w:t>
      </w:r>
      <w:r w:rsidRPr="00D032B9">
        <w:rPr>
          <w:lang w:val="en-US"/>
        </w:rPr>
        <w:t>[SO</w:t>
      </w:r>
      <w:r w:rsidRPr="00D032B9">
        <w:rPr>
          <w:vertAlign w:val="subscript"/>
          <w:lang w:val="en-US"/>
        </w:rPr>
        <w:t>4</w:t>
      </w:r>
      <w:r w:rsidRPr="00D032B9">
        <w:rPr>
          <w:lang w:val="en-US"/>
        </w:rPr>
        <w:t>] (0.012 mol) or 10 g of [Aliquat336][Cl] (0.024 mol) was mixed wi</w:t>
      </w:r>
      <w:r w:rsidR="002652E4">
        <w:rPr>
          <w:lang w:val="en-US"/>
        </w:rPr>
        <w:t>th an aqueous solution of 1 mol.</w:t>
      </w:r>
      <w:r w:rsidRPr="00D032B9">
        <w:rPr>
          <w:lang w:val="en-US"/>
        </w:rPr>
        <w:t>L</w:t>
      </w:r>
      <w:r w:rsidR="002652E4" w:rsidRPr="002652E4">
        <w:rPr>
          <w:vertAlign w:val="superscript"/>
          <w:lang w:val="en-US"/>
        </w:rPr>
        <w:t>-1</w:t>
      </w:r>
      <w:r w:rsidRPr="00D032B9">
        <w:rPr>
          <w:lang w:val="en-US"/>
        </w:rPr>
        <w:t xml:space="preserve"> LiNTf</w:t>
      </w:r>
      <w:r w:rsidRPr="00D032B9">
        <w:rPr>
          <w:vertAlign w:val="subscript"/>
          <w:lang w:val="en-US"/>
        </w:rPr>
        <w:t>2</w:t>
      </w:r>
      <w:r w:rsidRPr="00D032B9">
        <w:rPr>
          <w:lang w:val="en-US"/>
        </w:rPr>
        <w:t xml:space="preserve"> (25 mL) in a 50 mL tube by mechanical stirring at room temperature, after which two phases were separated from each other by centrifugation </w:t>
      </w:r>
      <w:r w:rsidR="002652E4">
        <w:rPr>
          <w:lang w:val="en-US"/>
        </w:rPr>
        <w:t xml:space="preserve">(8000 rpm) for 20 minutes at </w:t>
      </w:r>
      <w:r w:rsidR="002652E4">
        <w:rPr>
          <w:lang w:val="en-US"/>
        </w:rPr>
        <w:br/>
        <w:t xml:space="preserve">25 </w:t>
      </w:r>
      <w:r w:rsidRPr="00D032B9">
        <w:rPr>
          <w:lang w:val="en-US"/>
        </w:rPr>
        <w:t xml:space="preserve">°C. The anion exchange is quantitative. The ionic liquid phase separated from the aqueous phase was washed 10 times with deionized water. </w:t>
      </w:r>
      <w:r w:rsidR="005C11E7">
        <w:rPr>
          <w:lang w:val="en-US"/>
        </w:rPr>
        <w:t>E</w:t>
      </w:r>
      <w:r w:rsidRPr="00D032B9">
        <w:rPr>
          <w:lang w:val="en-US"/>
        </w:rPr>
        <w:t>vaporation steps indicated above were further applied. The product was finally dried at 60 °C under vacuum for 24 hours to obtain</w:t>
      </w:r>
      <w:r w:rsidR="00232AE7">
        <w:rPr>
          <w:lang w:val="en-US"/>
        </w:rPr>
        <w:t xml:space="preserve"> </w:t>
      </w:r>
      <w:r w:rsidR="00232AE7" w:rsidRPr="00D032B9">
        <w:rPr>
          <w:lang w:val="en-US"/>
        </w:rPr>
        <w:t>[Aliquat336][NTf</w:t>
      </w:r>
      <w:r w:rsidR="00232AE7" w:rsidRPr="00D032B9">
        <w:rPr>
          <w:vertAlign w:val="subscript"/>
          <w:lang w:val="en-US"/>
        </w:rPr>
        <w:t>2</w:t>
      </w:r>
      <w:r w:rsidR="00232AE7" w:rsidRPr="00D032B9">
        <w:rPr>
          <w:lang w:val="en-US"/>
        </w:rPr>
        <w:t>]</w:t>
      </w:r>
      <w:r w:rsidR="00232AE7">
        <w:rPr>
          <w:lang w:val="en-US"/>
        </w:rPr>
        <w:t xml:space="preserve"> </w:t>
      </w:r>
      <w:r w:rsidR="00232AE7" w:rsidRPr="00D032B9">
        <w:rPr>
          <w:lang w:val="en-US"/>
        </w:rPr>
        <w:t>and</w:t>
      </w:r>
      <w:r w:rsidRPr="00D032B9">
        <w:rPr>
          <w:lang w:val="en-US"/>
        </w:rPr>
        <w:t xml:space="preserve"> </w:t>
      </w:r>
      <w:r w:rsidR="00232AE7" w:rsidRPr="00D032B9">
        <w:rPr>
          <w:lang w:val="en-US"/>
        </w:rPr>
        <w:t>[TOAH][NTf</w:t>
      </w:r>
      <w:r w:rsidR="00232AE7" w:rsidRPr="00D032B9">
        <w:rPr>
          <w:vertAlign w:val="subscript"/>
          <w:lang w:val="en-US"/>
        </w:rPr>
        <w:t>2</w:t>
      </w:r>
      <w:r w:rsidR="00232AE7" w:rsidRPr="00D032B9">
        <w:rPr>
          <w:lang w:val="en-US"/>
        </w:rPr>
        <w:t>]</w:t>
      </w:r>
      <w:r w:rsidR="00232AE7">
        <w:rPr>
          <w:lang w:val="en-US"/>
        </w:rPr>
        <w:t xml:space="preserve"> </w:t>
      </w:r>
      <w:r w:rsidRPr="00D032B9">
        <w:rPr>
          <w:lang w:val="en-US"/>
        </w:rPr>
        <w:t>a</w:t>
      </w:r>
      <w:r w:rsidR="00232AE7">
        <w:rPr>
          <w:lang w:val="en-US"/>
        </w:rPr>
        <w:t xml:space="preserve">s, </w:t>
      </w:r>
      <w:r w:rsidR="00232AE7" w:rsidRPr="00D032B9">
        <w:rPr>
          <w:lang w:val="en-US"/>
        </w:rPr>
        <w:t>respectively</w:t>
      </w:r>
      <w:r w:rsidR="00232AE7">
        <w:rPr>
          <w:lang w:val="en-US"/>
        </w:rPr>
        <w:t>,</w:t>
      </w:r>
      <w:r w:rsidR="00232AE7" w:rsidRPr="00D032B9">
        <w:rPr>
          <w:lang w:val="en-US"/>
        </w:rPr>
        <w:t xml:space="preserve"> pale and</w:t>
      </w:r>
      <w:r w:rsidRPr="00D032B9">
        <w:rPr>
          <w:lang w:val="en-US"/>
        </w:rPr>
        <w:t xml:space="preserve"> brown liquid in quantitative yield. The </w:t>
      </w:r>
      <w:r w:rsidR="00232AE7" w:rsidRPr="00D032B9">
        <w:rPr>
          <w:lang w:val="en-US"/>
        </w:rPr>
        <w:t>[TOAH][NTf</w:t>
      </w:r>
      <w:r w:rsidR="00232AE7" w:rsidRPr="00D032B9">
        <w:rPr>
          <w:vertAlign w:val="subscript"/>
          <w:lang w:val="en-US"/>
        </w:rPr>
        <w:t>2</w:t>
      </w:r>
      <w:r w:rsidR="00232AE7" w:rsidRPr="00D032B9">
        <w:rPr>
          <w:lang w:val="en-US"/>
        </w:rPr>
        <w:t>]</w:t>
      </w:r>
      <w:r w:rsidR="00232AE7">
        <w:rPr>
          <w:lang w:val="en-US"/>
        </w:rPr>
        <w:t xml:space="preserve"> </w:t>
      </w:r>
      <w:r w:rsidRPr="00D032B9">
        <w:rPr>
          <w:lang w:val="en-US"/>
        </w:rPr>
        <w:t xml:space="preserve">product was not further purified </w:t>
      </w:r>
      <w:r w:rsidR="00652A21">
        <w:rPr>
          <w:lang w:val="en-US"/>
        </w:rPr>
        <w:t xml:space="preserve">in order </w:t>
      </w:r>
      <w:r w:rsidRPr="00D032B9">
        <w:rPr>
          <w:lang w:val="en-US"/>
        </w:rPr>
        <w:t xml:space="preserve">to avoid additional step </w:t>
      </w:r>
      <w:r w:rsidR="00652A21">
        <w:rPr>
          <w:lang w:val="en-US"/>
        </w:rPr>
        <w:t>making</w:t>
      </w:r>
      <w:r w:rsidR="00652A21" w:rsidRPr="00D032B9">
        <w:rPr>
          <w:lang w:val="en-US"/>
        </w:rPr>
        <w:t xml:space="preserve"> </w:t>
      </w:r>
      <w:r w:rsidRPr="00D032B9">
        <w:rPr>
          <w:lang w:val="en-US"/>
        </w:rPr>
        <w:t>the process</w:t>
      </w:r>
      <w:r w:rsidR="00652A21">
        <w:rPr>
          <w:lang w:val="en-US"/>
        </w:rPr>
        <w:t xml:space="preserve"> more cumbersome</w:t>
      </w:r>
      <w:r w:rsidRPr="00D032B9">
        <w:rPr>
          <w:lang w:val="en-US"/>
        </w:rPr>
        <w:t xml:space="preserve">. </w:t>
      </w:r>
    </w:p>
    <w:p w14:paraId="75FC094B" w14:textId="43342057" w:rsidR="00236060" w:rsidRPr="00D032B9" w:rsidRDefault="00236060" w:rsidP="00313073">
      <w:pPr>
        <w:rPr>
          <w:lang w:val="en-US"/>
        </w:rPr>
      </w:pPr>
    </w:p>
    <w:p w14:paraId="00FE9425" w14:textId="0FE07CAE" w:rsidR="00236060" w:rsidRPr="00313073" w:rsidRDefault="00236060" w:rsidP="00236060">
      <w:pPr>
        <w:rPr>
          <w:lang w:val="en-US"/>
        </w:rPr>
      </w:pPr>
      <w:r>
        <w:rPr>
          <w:lang w:val="en-US"/>
        </w:rPr>
        <w:t xml:space="preserve">ESI 2 </w:t>
      </w:r>
      <w:r w:rsidR="004F61CA">
        <w:rPr>
          <w:lang w:val="en-US"/>
        </w:rPr>
        <w:t>FT-IR spectra of d</w:t>
      </w:r>
      <w:r w:rsidRPr="00B12D9A">
        <w:rPr>
          <w:lang w:val="en-US"/>
        </w:rPr>
        <w:t xml:space="preserve">ifferent </w:t>
      </w:r>
      <w:r>
        <w:rPr>
          <w:lang w:val="en-US"/>
        </w:rPr>
        <w:t xml:space="preserve"> </w:t>
      </w:r>
      <w:r w:rsidRPr="00B12D9A">
        <w:rPr>
          <w:lang w:val="en-US"/>
        </w:rPr>
        <w:t>x[TOAH]</w:t>
      </w:r>
      <w:r w:rsidRPr="0063477E">
        <w:rPr>
          <w:vertAlign w:val="subscript"/>
          <w:lang w:val="en-US"/>
        </w:rPr>
        <w:t>2</w:t>
      </w:r>
      <w:r w:rsidRPr="00B12D9A">
        <w:rPr>
          <w:lang w:val="en-US"/>
        </w:rPr>
        <w:t>[SO</w:t>
      </w:r>
      <w:r w:rsidRPr="0063477E">
        <w:rPr>
          <w:vertAlign w:val="subscript"/>
          <w:lang w:val="en-US"/>
        </w:rPr>
        <w:t>4</w:t>
      </w:r>
      <w:r w:rsidRPr="00B12D9A">
        <w:rPr>
          <w:lang w:val="en-US"/>
        </w:rPr>
        <w:t xml:space="preserve">] </w:t>
      </w:r>
      <w:r>
        <w:rPr>
          <w:lang w:val="en-US"/>
        </w:rPr>
        <w:t>r</w:t>
      </w:r>
      <w:r w:rsidRPr="00B12D9A">
        <w:rPr>
          <w:lang w:val="en-US"/>
        </w:rPr>
        <w:t xml:space="preserve">atios brought into contact with </w:t>
      </w:r>
      <w:r w:rsidR="00B273DA" w:rsidRPr="00B273DA">
        <w:rPr>
          <w:lang w:val="en-US"/>
        </w:rPr>
        <w:t>aqueous phase containing 2500 ppm U(VI), 0.1 mol.L</w:t>
      </w:r>
      <w:r w:rsidR="00B273DA" w:rsidRPr="00365289">
        <w:rPr>
          <w:vertAlign w:val="superscript"/>
          <w:lang w:val="en-US"/>
        </w:rPr>
        <w:t>-1</w:t>
      </w:r>
      <w:r w:rsidR="00B273DA" w:rsidRPr="00B273DA">
        <w:rPr>
          <w:lang w:val="en-US"/>
        </w:rPr>
        <w:t xml:space="preserve"> sulfuric acid and 1 mol.L</w:t>
      </w:r>
      <w:r w:rsidR="00B273DA" w:rsidRPr="00365289">
        <w:rPr>
          <w:vertAlign w:val="superscript"/>
          <w:lang w:val="en-US"/>
        </w:rPr>
        <w:t>-1</w:t>
      </w:r>
      <w:r w:rsidR="00B273DA" w:rsidRPr="00B273DA">
        <w:rPr>
          <w:lang w:val="en-US"/>
        </w:rPr>
        <w:t xml:space="preserve"> ammonium </w:t>
      </w:r>
      <w:r w:rsidR="00A76E12">
        <w:rPr>
          <w:lang w:val="en-US"/>
        </w:rPr>
        <w:t>sulphate</w:t>
      </w:r>
      <w:r w:rsidR="00B273DA" w:rsidRPr="00B273DA">
        <w:rPr>
          <w:lang w:val="en-US"/>
        </w:rPr>
        <w:t>. A/O = 4.</w:t>
      </w:r>
    </w:p>
    <w:bookmarkStart w:id="0" w:name="_GoBack"/>
    <w:p w14:paraId="349783EC" w14:textId="417003D4" w:rsidR="00280D8F" w:rsidRDefault="00576093" w:rsidP="00903DAB">
      <w:pPr>
        <w:jc w:val="center"/>
      </w:pPr>
      <w:r>
        <w:object w:dxaOrig="7855" w:dyaOrig="6031" w14:anchorId="1C9463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180.3pt" o:ole="">
            <v:imagedata r:id="rId8" o:title=""/>
          </v:shape>
          <o:OLEObject Type="Embed" ProgID="Origin50.Graph" ShapeID="_x0000_i1025" DrawAspect="Content" ObjectID="_1752072387" r:id="rId9"/>
        </w:object>
      </w:r>
      <w:bookmarkEnd w:id="0"/>
    </w:p>
    <w:p w14:paraId="1BB22C52" w14:textId="77777777" w:rsidR="00D2101F" w:rsidRPr="00236060" w:rsidRDefault="00D2101F" w:rsidP="002A7ACD">
      <w:pPr>
        <w:rPr>
          <w:lang w:val="en-US"/>
        </w:rPr>
      </w:pPr>
    </w:p>
    <w:p w14:paraId="1F8328B8" w14:textId="7AADC232" w:rsidR="00313073" w:rsidRDefault="00236060" w:rsidP="00061DA7">
      <w:pPr>
        <w:rPr>
          <w:lang w:val="en-US"/>
        </w:rPr>
      </w:pPr>
      <w:r>
        <w:rPr>
          <w:lang w:val="en-US"/>
        </w:rPr>
        <w:lastRenderedPageBreak/>
        <w:t>ESI 3</w:t>
      </w:r>
      <w:r w:rsidR="007309D6" w:rsidRPr="00313073">
        <w:rPr>
          <w:lang w:val="en-US"/>
        </w:rPr>
        <w:t xml:space="preserve"> </w:t>
      </w:r>
      <w:r w:rsidR="00B50D6D">
        <w:rPr>
          <w:lang w:val="en-US"/>
        </w:rPr>
        <w:t>Infra-red</w:t>
      </w:r>
      <w:r w:rsidR="00313073">
        <w:rPr>
          <w:lang w:val="en-US"/>
        </w:rPr>
        <w:t xml:space="preserve"> spectra of </w:t>
      </w:r>
      <w:r w:rsidR="00313073" w:rsidRPr="00B12D9A">
        <w:rPr>
          <w:lang w:val="en-US"/>
        </w:rPr>
        <w:t>x[TOAH]</w:t>
      </w:r>
      <w:r w:rsidR="00313073" w:rsidRPr="0063477E">
        <w:rPr>
          <w:vertAlign w:val="subscript"/>
          <w:lang w:val="en-US"/>
        </w:rPr>
        <w:t>2</w:t>
      </w:r>
      <w:r w:rsidR="00313073" w:rsidRPr="00B12D9A">
        <w:rPr>
          <w:lang w:val="en-US"/>
        </w:rPr>
        <w:t>[SO</w:t>
      </w:r>
      <w:r w:rsidR="00313073" w:rsidRPr="0063477E">
        <w:rPr>
          <w:vertAlign w:val="subscript"/>
          <w:lang w:val="en-US"/>
        </w:rPr>
        <w:t>4</w:t>
      </w:r>
      <w:r w:rsidR="00313073" w:rsidRPr="00B12D9A">
        <w:rPr>
          <w:lang w:val="en-US"/>
        </w:rPr>
        <w:t xml:space="preserve">] </w:t>
      </w:r>
      <w:r w:rsidR="00313073">
        <w:rPr>
          <w:lang w:val="en-US"/>
        </w:rPr>
        <w:t xml:space="preserve">= 65% mixture before contact, after contact with acid and acid + uranium aqueous solution. Orange spectra is TOA + dodecane reference system after contact with acid + uranium solution. </w:t>
      </w:r>
    </w:p>
    <w:p w14:paraId="6EAC5E3D" w14:textId="077D4688" w:rsidR="00313073" w:rsidRDefault="00576093" w:rsidP="00903DAB">
      <w:pPr>
        <w:jc w:val="center"/>
        <w:rPr>
          <w:lang w:val="en-US"/>
        </w:rPr>
      </w:pPr>
      <w:r w:rsidRPr="00903DAB">
        <w:object w:dxaOrig="8123" w:dyaOrig="5956" w14:anchorId="62C0550E">
          <v:shape id="_x0000_i1026" type="#_x0000_t75" style="width:283.3pt;height:207.8pt" o:ole="">
            <v:imagedata r:id="rId10" o:title=""/>
          </v:shape>
          <o:OLEObject Type="Embed" ProgID="Origin50.Graph" ShapeID="_x0000_i1026" DrawAspect="Content" ObjectID="_1752072388" r:id="rId11"/>
        </w:object>
      </w:r>
    </w:p>
    <w:p w14:paraId="295774E5" w14:textId="2DAAA7A2" w:rsidR="00280D8F" w:rsidRPr="00313073" w:rsidRDefault="00280D8F" w:rsidP="00280D8F">
      <w:pPr>
        <w:rPr>
          <w:lang w:val="en-US"/>
        </w:rPr>
      </w:pPr>
    </w:p>
    <w:p w14:paraId="5D2F0FC2" w14:textId="3D1B43AD" w:rsidR="007309D6" w:rsidRDefault="00906115" w:rsidP="00280D8F">
      <w:pPr>
        <w:rPr>
          <w:lang w:val="en-US"/>
        </w:rPr>
      </w:pPr>
      <w:r>
        <w:rPr>
          <w:lang w:val="en-US"/>
        </w:rPr>
        <w:t>ESI 4</w:t>
      </w:r>
      <w:r w:rsidR="00736FA3">
        <w:rPr>
          <w:lang w:val="en-US"/>
        </w:rPr>
        <w:t xml:space="preserve"> </w:t>
      </w:r>
      <w:r w:rsidR="00576093">
        <w:rPr>
          <w:lang w:val="en-US"/>
        </w:rPr>
        <w:t xml:space="preserve">Illustration of </w:t>
      </w:r>
      <w:r w:rsidR="00576093" w:rsidRPr="00CE5021">
        <w:rPr>
          <w:lang w:val="en-US"/>
        </w:rPr>
        <w:t xml:space="preserve">linear shift towards the lower frequencies of the </w:t>
      </w:r>
      <w:r w:rsidR="00843A18">
        <w:rPr>
          <w:lang w:val="en-US"/>
        </w:rPr>
        <w:t>transmission</w:t>
      </w:r>
      <w:r w:rsidR="00576093" w:rsidRPr="00CE5021">
        <w:rPr>
          <w:lang w:val="en-US"/>
        </w:rPr>
        <w:t xml:space="preserve"> band maximum with the molar ratio of </w:t>
      </w:r>
      <w:r w:rsidR="00A76E12">
        <w:rPr>
          <w:lang w:val="en-US"/>
        </w:rPr>
        <w:t>sulphate</w:t>
      </w:r>
      <w:r w:rsidR="00576093" w:rsidRPr="00CE5021">
        <w:rPr>
          <w:lang w:val="en-US"/>
        </w:rPr>
        <w:t xml:space="preserve">, indicating that </w:t>
      </w:r>
      <w:r w:rsidR="00A76E12">
        <w:rPr>
          <w:lang w:val="en-US"/>
        </w:rPr>
        <w:t>sulphate</w:t>
      </w:r>
      <w:r w:rsidR="00576093" w:rsidRPr="00CE5021">
        <w:rPr>
          <w:lang w:val="en-US"/>
        </w:rPr>
        <w:t xml:space="preserve"> becomes increasingly </w:t>
      </w:r>
      <w:r w:rsidR="00843A18">
        <w:rPr>
          <w:lang w:val="en-US"/>
        </w:rPr>
        <w:t>free</w:t>
      </w:r>
      <w:r w:rsidR="004F61CA">
        <w:rPr>
          <w:lang w:val="en-US"/>
        </w:rPr>
        <w:t>.</w:t>
      </w:r>
    </w:p>
    <w:p w14:paraId="5C2105BD" w14:textId="40F66EF6" w:rsidR="00576093" w:rsidRDefault="00576093" w:rsidP="00280D8F">
      <w:pPr>
        <w:rPr>
          <w:lang w:val="en-US"/>
        </w:rPr>
      </w:pPr>
    </w:p>
    <w:p w14:paraId="22822C4A" w14:textId="53EE4DEF" w:rsidR="007309D6" w:rsidRPr="00576093" w:rsidRDefault="00736FA3" w:rsidP="00576093">
      <w:pPr>
        <w:jc w:val="center"/>
        <w:rPr>
          <w:lang w:val="en-US"/>
        </w:rPr>
      </w:pPr>
      <w:r w:rsidRPr="00F63E41">
        <w:rPr>
          <w:rFonts w:asciiTheme="majorHAnsi" w:hAnsiTheme="majorHAnsi"/>
        </w:rPr>
        <w:object w:dxaOrig="7928" w:dyaOrig="6005" w14:anchorId="5BC91B0A">
          <v:shape id="_x0000_i1027" type="#_x0000_t75" style="width:222.45pt;height:169.15pt" o:ole="">
            <v:imagedata r:id="rId12" o:title=""/>
          </v:shape>
          <o:OLEObject Type="Embed" ProgID="Origin50.Graph" ShapeID="_x0000_i1027" DrawAspect="Content" ObjectID="_1752072389" r:id="rId13"/>
        </w:object>
      </w:r>
    </w:p>
    <w:p w14:paraId="4F2F4F26" w14:textId="326D4FC7" w:rsidR="00515A49" w:rsidRDefault="00515A49"/>
    <w:sectPr w:rsidR="00515A4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F697B" w14:textId="77777777" w:rsidR="00EF21DB" w:rsidRDefault="00EF21DB" w:rsidP="00EF2B42">
      <w:r>
        <w:separator/>
      </w:r>
    </w:p>
  </w:endnote>
  <w:endnote w:type="continuationSeparator" w:id="0">
    <w:p w14:paraId="6F2AD00C" w14:textId="77777777" w:rsidR="00EF21DB" w:rsidRDefault="00EF21DB" w:rsidP="00EF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809277"/>
      <w:docPartObj>
        <w:docPartGallery w:val="Page Numbers (Bottom of Page)"/>
        <w:docPartUnique/>
      </w:docPartObj>
    </w:sdtPr>
    <w:sdtEndPr/>
    <w:sdtContent>
      <w:p w14:paraId="2DFB1C17" w14:textId="2CB14931" w:rsidR="00CE0A5D" w:rsidRDefault="00CE0A5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DAB">
          <w:rPr>
            <w:noProof/>
          </w:rPr>
          <w:t>2</w:t>
        </w:r>
        <w:r>
          <w:fldChar w:fldCharType="end"/>
        </w:r>
      </w:p>
    </w:sdtContent>
  </w:sdt>
  <w:p w14:paraId="157178F2" w14:textId="77777777" w:rsidR="00CE0A5D" w:rsidRDefault="00CE0A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28E83" w14:textId="77777777" w:rsidR="00EF21DB" w:rsidRDefault="00EF21DB" w:rsidP="00EF2B42">
      <w:r>
        <w:separator/>
      </w:r>
    </w:p>
  </w:footnote>
  <w:footnote w:type="continuationSeparator" w:id="0">
    <w:p w14:paraId="6189722F" w14:textId="77777777" w:rsidR="00EF21DB" w:rsidRDefault="00EF21DB" w:rsidP="00EF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030D"/>
    <w:multiLevelType w:val="hybridMultilevel"/>
    <w:tmpl w:val="4C2A59A6"/>
    <w:lvl w:ilvl="0" w:tplc="127EE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B4F"/>
    <w:multiLevelType w:val="hybridMultilevel"/>
    <w:tmpl w:val="E4308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55BD"/>
    <w:multiLevelType w:val="hybridMultilevel"/>
    <w:tmpl w:val="87FA2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50E9"/>
    <w:multiLevelType w:val="hybridMultilevel"/>
    <w:tmpl w:val="8B06E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B4D69"/>
    <w:multiLevelType w:val="multilevel"/>
    <w:tmpl w:val="8F16E91E"/>
    <w:lvl w:ilvl="0">
      <w:start w:val="1"/>
      <w:numFmt w:val="upperRoman"/>
      <w:lvlText w:val="Chapitre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2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1.%2.%3"/>
      <w:lvlJc w:val="left"/>
      <w:pPr>
        <w:ind w:left="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4" w:hanging="1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8232B78"/>
    <w:multiLevelType w:val="hybridMultilevel"/>
    <w:tmpl w:val="3C76C5CA"/>
    <w:lvl w:ilvl="0" w:tplc="67104E8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5A01"/>
    <w:multiLevelType w:val="hybridMultilevel"/>
    <w:tmpl w:val="0D049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A2A98"/>
    <w:multiLevelType w:val="hybridMultilevel"/>
    <w:tmpl w:val="9FC6F0DC"/>
    <w:lvl w:ilvl="0" w:tplc="DFECE7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2C2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299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C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0F7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C9A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449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8BE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0C68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23EBB"/>
    <w:multiLevelType w:val="hybridMultilevel"/>
    <w:tmpl w:val="8B0E1194"/>
    <w:lvl w:ilvl="0" w:tplc="ED6CF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8F"/>
    <w:rsid w:val="00000201"/>
    <w:rsid w:val="00005E17"/>
    <w:rsid w:val="0000656D"/>
    <w:rsid w:val="0001231F"/>
    <w:rsid w:val="00012D12"/>
    <w:rsid w:val="00030858"/>
    <w:rsid w:val="0003498D"/>
    <w:rsid w:val="000354B9"/>
    <w:rsid w:val="0003657E"/>
    <w:rsid w:val="00036D00"/>
    <w:rsid w:val="00040EAD"/>
    <w:rsid w:val="00042174"/>
    <w:rsid w:val="00046CBF"/>
    <w:rsid w:val="00047135"/>
    <w:rsid w:val="00061DA7"/>
    <w:rsid w:val="00070F8D"/>
    <w:rsid w:val="000724D9"/>
    <w:rsid w:val="00075B20"/>
    <w:rsid w:val="00077F7B"/>
    <w:rsid w:val="00080D3A"/>
    <w:rsid w:val="00080E90"/>
    <w:rsid w:val="0009516A"/>
    <w:rsid w:val="000A2B74"/>
    <w:rsid w:val="000A2E6D"/>
    <w:rsid w:val="000A32A2"/>
    <w:rsid w:val="000C107A"/>
    <w:rsid w:val="000C4607"/>
    <w:rsid w:val="000C5E0C"/>
    <w:rsid w:val="000C5EAC"/>
    <w:rsid w:val="0011055E"/>
    <w:rsid w:val="0011774D"/>
    <w:rsid w:val="00124951"/>
    <w:rsid w:val="00125A4D"/>
    <w:rsid w:val="001324CD"/>
    <w:rsid w:val="00134466"/>
    <w:rsid w:val="00142C9D"/>
    <w:rsid w:val="0017089A"/>
    <w:rsid w:val="00171C08"/>
    <w:rsid w:val="0018435D"/>
    <w:rsid w:val="0019620B"/>
    <w:rsid w:val="001D0CC4"/>
    <w:rsid w:val="001E19DB"/>
    <w:rsid w:val="001E2029"/>
    <w:rsid w:val="001F1DD4"/>
    <w:rsid w:val="00206A76"/>
    <w:rsid w:val="00212C2D"/>
    <w:rsid w:val="00216068"/>
    <w:rsid w:val="00217611"/>
    <w:rsid w:val="00220DDE"/>
    <w:rsid w:val="0022326A"/>
    <w:rsid w:val="00231EFA"/>
    <w:rsid w:val="00232AE7"/>
    <w:rsid w:val="00236060"/>
    <w:rsid w:val="00247A67"/>
    <w:rsid w:val="00263543"/>
    <w:rsid w:val="002652E4"/>
    <w:rsid w:val="0027531C"/>
    <w:rsid w:val="00275CCD"/>
    <w:rsid w:val="00280D8F"/>
    <w:rsid w:val="002838E2"/>
    <w:rsid w:val="002844C2"/>
    <w:rsid w:val="002971BC"/>
    <w:rsid w:val="00297686"/>
    <w:rsid w:val="002A0395"/>
    <w:rsid w:val="002A0B68"/>
    <w:rsid w:val="002A7ACD"/>
    <w:rsid w:val="002B097C"/>
    <w:rsid w:val="002B73A2"/>
    <w:rsid w:val="002D7D7E"/>
    <w:rsid w:val="002E2771"/>
    <w:rsid w:val="002E3599"/>
    <w:rsid w:val="002F0CA9"/>
    <w:rsid w:val="002F4F69"/>
    <w:rsid w:val="00303D2C"/>
    <w:rsid w:val="00304292"/>
    <w:rsid w:val="0031196F"/>
    <w:rsid w:val="00313073"/>
    <w:rsid w:val="00316B7B"/>
    <w:rsid w:val="0032020A"/>
    <w:rsid w:val="0032188F"/>
    <w:rsid w:val="00324B31"/>
    <w:rsid w:val="00327F89"/>
    <w:rsid w:val="00331BB0"/>
    <w:rsid w:val="003322E1"/>
    <w:rsid w:val="0033564A"/>
    <w:rsid w:val="00335E7C"/>
    <w:rsid w:val="0034594E"/>
    <w:rsid w:val="0035152C"/>
    <w:rsid w:val="00351CEC"/>
    <w:rsid w:val="00355D29"/>
    <w:rsid w:val="0035619A"/>
    <w:rsid w:val="00357A48"/>
    <w:rsid w:val="00365289"/>
    <w:rsid w:val="00365EAE"/>
    <w:rsid w:val="00367B21"/>
    <w:rsid w:val="00367E1B"/>
    <w:rsid w:val="00373B02"/>
    <w:rsid w:val="0037762C"/>
    <w:rsid w:val="00390599"/>
    <w:rsid w:val="003918CE"/>
    <w:rsid w:val="00394B37"/>
    <w:rsid w:val="003A373A"/>
    <w:rsid w:val="003A7FB9"/>
    <w:rsid w:val="003C0C51"/>
    <w:rsid w:val="003C4132"/>
    <w:rsid w:val="003D1F21"/>
    <w:rsid w:val="003D6BBD"/>
    <w:rsid w:val="003E0E4C"/>
    <w:rsid w:val="003E1096"/>
    <w:rsid w:val="003E3DE1"/>
    <w:rsid w:val="003E6EA4"/>
    <w:rsid w:val="003F0760"/>
    <w:rsid w:val="003F18C0"/>
    <w:rsid w:val="004011B3"/>
    <w:rsid w:val="00406356"/>
    <w:rsid w:val="004103D6"/>
    <w:rsid w:val="00432A6F"/>
    <w:rsid w:val="004377A4"/>
    <w:rsid w:val="00441B10"/>
    <w:rsid w:val="004476AD"/>
    <w:rsid w:val="00460824"/>
    <w:rsid w:val="004632A9"/>
    <w:rsid w:val="00464AD0"/>
    <w:rsid w:val="00472C87"/>
    <w:rsid w:val="00481B82"/>
    <w:rsid w:val="00483F6A"/>
    <w:rsid w:val="0049270A"/>
    <w:rsid w:val="004942E4"/>
    <w:rsid w:val="004A748B"/>
    <w:rsid w:val="004C1006"/>
    <w:rsid w:val="004D569C"/>
    <w:rsid w:val="004D5F85"/>
    <w:rsid w:val="004D5FB3"/>
    <w:rsid w:val="004E1D30"/>
    <w:rsid w:val="004E681B"/>
    <w:rsid w:val="004F04E3"/>
    <w:rsid w:val="004F3CD9"/>
    <w:rsid w:val="004F54A6"/>
    <w:rsid w:val="004F61CA"/>
    <w:rsid w:val="00505F6F"/>
    <w:rsid w:val="00510AA1"/>
    <w:rsid w:val="00510B9C"/>
    <w:rsid w:val="00515A49"/>
    <w:rsid w:val="00522B4A"/>
    <w:rsid w:val="00526C5B"/>
    <w:rsid w:val="00531114"/>
    <w:rsid w:val="00536EF7"/>
    <w:rsid w:val="00550633"/>
    <w:rsid w:val="005569AC"/>
    <w:rsid w:val="005604B4"/>
    <w:rsid w:val="005618E9"/>
    <w:rsid w:val="00571904"/>
    <w:rsid w:val="00572B29"/>
    <w:rsid w:val="005755F7"/>
    <w:rsid w:val="00576093"/>
    <w:rsid w:val="00576C6E"/>
    <w:rsid w:val="00577423"/>
    <w:rsid w:val="00581E8C"/>
    <w:rsid w:val="005826F6"/>
    <w:rsid w:val="0059489B"/>
    <w:rsid w:val="00595D73"/>
    <w:rsid w:val="005A0F91"/>
    <w:rsid w:val="005B4A43"/>
    <w:rsid w:val="005B7718"/>
    <w:rsid w:val="005B7A3A"/>
    <w:rsid w:val="005C11E7"/>
    <w:rsid w:val="005C34D6"/>
    <w:rsid w:val="005D21DB"/>
    <w:rsid w:val="005D5AF6"/>
    <w:rsid w:val="005D7DFF"/>
    <w:rsid w:val="005D7FE1"/>
    <w:rsid w:val="005E236E"/>
    <w:rsid w:val="0060668C"/>
    <w:rsid w:val="00616728"/>
    <w:rsid w:val="00616ABA"/>
    <w:rsid w:val="0063477E"/>
    <w:rsid w:val="00637AF4"/>
    <w:rsid w:val="006434B9"/>
    <w:rsid w:val="0064573E"/>
    <w:rsid w:val="00645B4D"/>
    <w:rsid w:val="00652A21"/>
    <w:rsid w:val="00653317"/>
    <w:rsid w:val="00660585"/>
    <w:rsid w:val="006777DE"/>
    <w:rsid w:val="006874E8"/>
    <w:rsid w:val="00692A92"/>
    <w:rsid w:val="00697607"/>
    <w:rsid w:val="00697E0A"/>
    <w:rsid w:val="006B50C7"/>
    <w:rsid w:val="006C4D4F"/>
    <w:rsid w:val="006C63A7"/>
    <w:rsid w:val="006D049E"/>
    <w:rsid w:val="006D10EA"/>
    <w:rsid w:val="006D1EA6"/>
    <w:rsid w:val="006D5F6F"/>
    <w:rsid w:val="006D66DE"/>
    <w:rsid w:val="006E0E70"/>
    <w:rsid w:val="006E436C"/>
    <w:rsid w:val="006E520B"/>
    <w:rsid w:val="006E73AD"/>
    <w:rsid w:val="006E79C8"/>
    <w:rsid w:val="00704351"/>
    <w:rsid w:val="00704B7D"/>
    <w:rsid w:val="00705428"/>
    <w:rsid w:val="00712346"/>
    <w:rsid w:val="00724728"/>
    <w:rsid w:val="007309D6"/>
    <w:rsid w:val="00735223"/>
    <w:rsid w:val="00736FA3"/>
    <w:rsid w:val="0073762C"/>
    <w:rsid w:val="0074025F"/>
    <w:rsid w:val="00744129"/>
    <w:rsid w:val="00744A03"/>
    <w:rsid w:val="00746050"/>
    <w:rsid w:val="00751E44"/>
    <w:rsid w:val="00756A68"/>
    <w:rsid w:val="00767E14"/>
    <w:rsid w:val="0078481F"/>
    <w:rsid w:val="00790C45"/>
    <w:rsid w:val="007929B1"/>
    <w:rsid w:val="007959C9"/>
    <w:rsid w:val="007A568F"/>
    <w:rsid w:val="007A6006"/>
    <w:rsid w:val="007A7015"/>
    <w:rsid w:val="007B07B4"/>
    <w:rsid w:val="007B3799"/>
    <w:rsid w:val="007B55F8"/>
    <w:rsid w:val="007C37EA"/>
    <w:rsid w:val="007C709E"/>
    <w:rsid w:val="007D2B61"/>
    <w:rsid w:val="007D7E22"/>
    <w:rsid w:val="007F000B"/>
    <w:rsid w:val="007F1329"/>
    <w:rsid w:val="007F2B4A"/>
    <w:rsid w:val="008033EA"/>
    <w:rsid w:val="0080513E"/>
    <w:rsid w:val="00811822"/>
    <w:rsid w:val="00813C6F"/>
    <w:rsid w:val="00815527"/>
    <w:rsid w:val="00816D48"/>
    <w:rsid w:val="008202AA"/>
    <w:rsid w:val="0082149D"/>
    <w:rsid w:val="00822F37"/>
    <w:rsid w:val="00827B08"/>
    <w:rsid w:val="0083281C"/>
    <w:rsid w:val="00837113"/>
    <w:rsid w:val="00843A18"/>
    <w:rsid w:val="00850DA9"/>
    <w:rsid w:val="008557C1"/>
    <w:rsid w:val="00855F18"/>
    <w:rsid w:val="00861E59"/>
    <w:rsid w:val="008673ED"/>
    <w:rsid w:val="00872941"/>
    <w:rsid w:val="008731E6"/>
    <w:rsid w:val="008746B8"/>
    <w:rsid w:val="008769FA"/>
    <w:rsid w:val="00882383"/>
    <w:rsid w:val="00894261"/>
    <w:rsid w:val="00895BC1"/>
    <w:rsid w:val="008C62CE"/>
    <w:rsid w:val="008C675D"/>
    <w:rsid w:val="008C73B7"/>
    <w:rsid w:val="008C7665"/>
    <w:rsid w:val="008D0B4F"/>
    <w:rsid w:val="008D2C94"/>
    <w:rsid w:val="008D6957"/>
    <w:rsid w:val="008F7B59"/>
    <w:rsid w:val="0090122B"/>
    <w:rsid w:val="00902280"/>
    <w:rsid w:val="00903DAB"/>
    <w:rsid w:val="00903E4D"/>
    <w:rsid w:val="00906115"/>
    <w:rsid w:val="009071BC"/>
    <w:rsid w:val="009119FB"/>
    <w:rsid w:val="009124C2"/>
    <w:rsid w:val="00915512"/>
    <w:rsid w:val="00916BC4"/>
    <w:rsid w:val="009211C7"/>
    <w:rsid w:val="00926BEB"/>
    <w:rsid w:val="00927623"/>
    <w:rsid w:val="009429F0"/>
    <w:rsid w:val="00953637"/>
    <w:rsid w:val="00954A9E"/>
    <w:rsid w:val="0095795A"/>
    <w:rsid w:val="0096327C"/>
    <w:rsid w:val="00964E80"/>
    <w:rsid w:val="0097351C"/>
    <w:rsid w:val="009770BD"/>
    <w:rsid w:val="00981FF8"/>
    <w:rsid w:val="00984416"/>
    <w:rsid w:val="00993F72"/>
    <w:rsid w:val="00995076"/>
    <w:rsid w:val="009A3468"/>
    <w:rsid w:val="009A5923"/>
    <w:rsid w:val="009D49EE"/>
    <w:rsid w:val="009E0D1A"/>
    <w:rsid w:val="009E1B70"/>
    <w:rsid w:val="00A0008F"/>
    <w:rsid w:val="00A0385D"/>
    <w:rsid w:val="00A06347"/>
    <w:rsid w:val="00A07A5B"/>
    <w:rsid w:val="00A119A6"/>
    <w:rsid w:val="00A11E48"/>
    <w:rsid w:val="00A17853"/>
    <w:rsid w:val="00A21F5D"/>
    <w:rsid w:val="00A25D4A"/>
    <w:rsid w:val="00A26151"/>
    <w:rsid w:val="00A26C3D"/>
    <w:rsid w:val="00A30B0C"/>
    <w:rsid w:val="00A324A6"/>
    <w:rsid w:val="00A5323C"/>
    <w:rsid w:val="00A5580E"/>
    <w:rsid w:val="00A67E00"/>
    <w:rsid w:val="00A711BA"/>
    <w:rsid w:val="00A73F4D"/>
    <w:rsid w:val="00A746C2"/>
    <w:rsid w:val="00A7527F"/>
    <w:rsid w:val="00A76E12"/>
    <w:rsid w:val="00A82EF0"/>
    <w:rsid w:val="00A85C1E"/>
    <w:rsid w:val="00A96978"/>
    <w:rsid w:val="00AA60E2"/>
    <w:rsid w:val="00AB2DB2"/>
    <w:rsid w:val="00AB5299"/>
    <w:rsid w:val="00AB63CF"/>
    <w:rsid w:val="00AC1284"/>
    <w:rsid w:val="00AD1F1C"/>
    <w:rsid w:val="00AD2620"/>
    <w:rsid w:val="00AE0288"/>
    <w:rsid w:val="00AE0357"/>
    <w:rsid w:val="00AE0E55"/>
    <w:rsid w:val="00AE1EE5"/>
    <w:rsid w:val="00AF06AE"/>
    <w:rsid w:val="00AF2468"/>
    <w:rsid w:val="00AF3444"/>
    <w:rsid w:val="00AF5DAC"/>
    <w:rsid w:val="00B07360"/>
    <w:rsid w:val="00B110B2"/>
    <w:rsid w:val="00B12D9A"/>
    <w:rsid w:val="00B15E28"/>
    <w:rsid w:val="00B229A8"/>
    <w:rsid w:val="00B23BF2"/>
    <w:rsid w:val="00B273DA"/>
    <w:rsid w:val="00B33DAC"/>
    <w:rsid w:val="00B42950"/>
    <w:rsid w:val="00B43441"/>
    <w:rsid w:val="00B50D6D"/>
    <w:rsid w:val="00B5131D"/>
    <w:rsid w:val="00B53511"/>
    <w:rsid w:val="00B543AA"/>
    <w:rsid w:val="00B575A8"/>
    <w:rsid w:val="00B62373"/>
    <w:rsid w:val="00B77C3F"/>
    <w:rsid w:val="00B86D93"/>
    <w:rsid w:val="00B8787F"/>
    <w:rsid w:val="00B943AD"/>
    <w:rsid w:val="00BA7B5E"/>
    <w:rsid w:val="00BB3064"/>
    <w:rsid w:val="00BB3AA1"/>
    <w:rsid w:val="00BC3759"/>
    <w:rsid w:val="00BD6FD2"/>
    <w:rsid w:val="00BE04BE"/>
    <w:rsid w:val="00BE158A"/>
    <w:rsid w:val="00BE1C7A"/>
    <w:rsid w:val="00BF083C"/>
    <w:rsid w:val="00BF2FE2"/>
    <w:rsid w:val="00BF3512"/>
    <w:rsid w:val="00BF70C4"/>
    <w:rsid w:val="00C03D3B"/>
    <w:rsid w:val="00C06010"/>
    <w:rsid w:val="00C06AFC"/>
    <w:rsid w:val="00C07ADB"/>
    <w:rsid w:val="00C11A8F"/>
    <w:rsid w:val="00C134F2"/>
    <w:rsid w:val="00C15493"/>
    <w:rsid w:val="00C221B6"/>
    <w:rsid w:val="00C320B8"/>
    <w:rsid w:val="00C44820"/>
    <w:rsid w:val="00C459CC"/>
    <w:rsid w:val="00C466A2"/>
    <w:rsid w:val="00C521DE"/>
    <w:rsid w:val="00C611A4"/>
    <w:rsid w:val="00C72B9D"/>
    <w:rsid w:val="00C82496"/>
    <w:rsid w:val="00C838BF"/>
    <w:rsid w:val="00C91296"/>
    <w:rsid w:val="00C922F1"/>
    <w:rsid w:val="00CA1EDA"/>
    <w:rsid w:val="00CA368F"/>
    <w:rsid w:val="00CA64A0"/>
    <w:rsid w:val="00CB085D"/>
    <w:rsid w:val="00CC77F3"/>
    <w:rsid w:val="00CE0A5D"/>
    <w:rsid w:val="00CE1170"/>
    <w:rsid w:val="00CE2E83"/>
    <w:rsid w:val="00CE49FC"/>
    <w:rsid w:val="00CE5021"/>
    <w:rsid w:val="00CF13E6"/>
    <w:rsid w:val="00D032B9"/>
    <w:rsid w:val="00D0764A"/>
    <w:rsid w:val="00D13FC3"/>
    <w:rsid w:val="00D2101F"/>
    <w:rsid w:val="00D21138"/>
    <w:rsid w:val="00D27292"/>
    <w:rsid w:val="00D35AE0"/>
    <w:rsid w:val="00D37F9B"/>
    <w:rsid w:val="00D427DC"/>
    <w:rsid w:val="00D61A2A"/>
    <w:rsid w:val="00D81B74"/>
    <w:rsid w:val="00D84B51"/>
    <w:rsid w:val="00D90D36"/>
    <w:rsid w:val="00D92D85"/>
    <w:rsid w:val="00DA2D99"/>
    <w:rsid w:val="00DA677E"/>
    <w:rsid w:val="00DA6864"/>
    <w:rsid w:val="00DB48F7"/>
    <w:rsid w:val="00DB5B0C"/>
    <w:rsid w:val="00DB659D"/>
    <w:rsid w:val="00DD0FFF"/>
    <w:rsid w:val="00DE07B2"/>
    <w:rsid w:val="00DE119E"/>
    <w:rsid w:val="00DE5BC2"/>
    <w:rsid w:val="00DF7636"/>
    <w:rsid w:val="00DF780C"/>
    <w:rsid w:val="00E072EF"/>
    <w:rsid w:val="00E07E70"/>
    <w:rsid w:val="00E11286"/>
    <w:rsid w:val="00E2354E"/>
    <w:rsid w:val="00E262F2"/>
    <w:rsid w:val="00E265E2"/>
    <w:rsid w:val="00E266BC"/>
    <w:rsid w:val="00E2715B"/>
    <w:rsid w:val="00E33235"/>
    <w:rsid w:val="00E34523"/>
    <w:rsid w:val="00E353A6"/>
    <w:rsid w:val="00E406AD"/>
    <w:rsid w:val="00E57CA7"/>
    <w:rsid w:val="00E63305"/>
    <w:rsid w:val="00E63EBD"/>
    <w:rsid w:val="00E646EB"/>
    <w:rsid w:val="00E673D3"/>
    <w:rsid w:val="00E75FD1"/>
    <w:rsid w:val="00E827A0"/>
    <w:rsid w:val="00EA2DAF"/>
    <w:rsid w:val="00EA2F87"/>
    <w:rsid w:val="00EA335E"/>
    <w:rsid w:val="00EA4B18"/>
    <w:rsid w:val="00EB5BD4"/>
    <w:rsid w:val="00EC7ED2"/>
    <w:rsid w:val="00ED1330"/>
    <w:rsid w:val="00ED2F57"/>
    <w:rsid w:val="00ED68E7"/>
    <w:rsid w:val="00ED7E65"/>
    <w:rsid w:val="00EF1F88"/>
    <w:rsid w:val="00EF21DB"/>
    <w:rsid w:val="00EF2B42"/>
    <w:rsid w:val="00F04BF3"/>
    <w:rsid w:val="00F06F13"/>
    <w:rsid w:val="00F17065"/>
    <w:rsid w:val="00F17E40"/>
    <w:rsid w:val="00F2256E"/>
    <w:rsid w:val="00F3268D"/>
    <w:rsid w:val="00F44466"/>
    <w:rsid w:val="00F45B5C"/>
    <w:rsid w:val="00F71139"/>
    <w:rsid w:val="00F73373"/>
    <w:rsid w:val="00F750D9"/>
    <w:rsid w:val="00F76031"/>
    <w:rsid w:val="00F85D76"/>
    <w:rsid w:val="00F86368"/>
    <w:rsid w:val="00F90966"/>
    <w:rsid w:val="00F94DF5"/>
    <w:rsid w:val="00F95A6D"/>
    <w:rsid w:val="00F967C7"/>
    <w:rsid w:val="00FA1952"/>
    <w:rsid w:val="00FA4442"/>
    <w:rsid w:val="00FB246D"/>
    <w:rsid w:val="00FB4ECA"/>
    <w:rsid w:val="00FB7536"/>
    <w:rsid w:val="00FD09CB"/>
    <w:rsid w:val="00FD64C4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F735"/>
  <w15:chartTrackingRefBased/>
  <w15:docId w15:val="{9BC36E52-97A4-4160-8EA5-683F89C0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20B"/>
    <w:pPr>
      <w:spacing w:after="0" w:line="240" w:lineRule="auto"/>
      <w:jc w:val="both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EF2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7D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0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31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F2B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2B42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EF2B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2B42"/>
    <w:rPr>
      <w:rFonts w:ascii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EF2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F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B2D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B2D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2DB2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D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DB2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D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DB2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D7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gende">
    <w:name w:val="caption"/>
    <w:basedOn w:val="Normal"/>
    <w:next w:val="Normal"/>
    <w:uiPriority w:val="35"/>
    <w:unhideWhenUsed/>
    <w:qFormat/>
    <w:rsid w:val="005618E9"/>
    <w:pPr>
      <w:spacing w:after="200"/>
    </w:pPr>
    <w:rPr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73F4D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002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12D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ansinterligne">
    <w:name w:val="No Spacing"/>
    <w:uiPriority w:val="1"/>
    <w:qFormat/>
    <w:rsid w:val="004632A9"/>
    <w:pPr>
      <w:spacing w:after="0" w:line="240" w:lineRule="auto"/>
      <w:jc w:val="both"/>
    </w:pPr>
    <w:rPr>
      <w:rFonts w:ascii="Calibri" w:hAnsi="Calibri" w:cs="Calibri"/>
    </w:rPr>
  </w:style>
  <w:style w:type="paragraph" w:styleId="Bibliographie">
    <w:name w:val="Bibliography"/>
    <w:basedOn w:val="Normal"/>
    <w:next w:val="Normal"/>
    <w:uiPriority w:val="37"/>
    <w:unhideWhenUsed/>
    <w:rsid w:val="00BF3512"/>
    <w:pPr>
      <w:tabs>
        <w:tab w:val="left" w:pos="504"/>
      </w:tabs>
      <w:ind w:left="504" w:hanging="504"/>
    </w:pPr>
  </w:style>
  <w:style w:type="paragraph" w:customStyle="1" w:styleId="RSCB02ArticleText">
    <w:name w:val="RSC B02 Article Text"/>
    <w:basedOn w:val="Normal"/>
    <w:link w:val="RSCB02ArticleTextChar"/>
    <w:qFormat/>
    <w:rsid w:val="00BF3512"/>
    <w:pPr>
      <w:spacing w:line="240" w:lineRule="exact"/>
    </w:pPr>
    <w:rPr>
      <w:rFonts w:asciiTheme="minorHAnsi" w:hAnsiTheme="minorHAnsi" w:cs="Times New Roman"/>
      <w:w w:val="108"/>
      <w:sz w:val="18"/>
      <w:szCs w:val="18"/>
      <w:lang w:val="en-GB"/>
    </w:rPr>
  </w:style>
  <w:style w:type="character" w:customStyle="1" w:styleId="RSCB02ArticleTextChar">
    <w:name w:val="RSC B02 Article Text Char"/>
    <w:basedOn w:val="Policepardfaut"/>
    <w:link w:val="RSCB02ArticleText"/>
    <w:rsid w:val="00BF3512"/>
    <w:rPr>
      <w:rFonts w:cs="Times New Roman"/>
      <w:w w:val="108"/>
      <w:sz w:val="18"/>
      <w:szCs w:val="18"/>
      <w:lang w:val="en-GB"/>
    </w:rPr>
  </w:style>
  <w:style w:type="paragraph" w:customStyle="1" w:styleId="RSCB07BHeadingSub-Section-standalone">
    <w:name w:val="RSC B07 B Heading (Sub-Section - stand alone)"/>
    <w:link w:val="RSCB07BHeadingSub-Section-standaloneChar"/>
    <w:qFormat/>
    <w:rsid w:val="00BF3512"/>
    <w:pPr>
      <w:spacing w:before="160" w:after="80" w:line="240" w:lineRule="exact"/>
    </w:pPr>
    <w:rPr>
      <w:b/>
      <w:sz w:val="18"/>
      <w:lang w:val="en-GB"/>
    </w:rPr>
  </w:style>
  <w:style w:type="character" w:customStyle="1" w:styleId="RSCB07BHeadingSub-Section-standaloneChar">
    <w:name w:val="RSC B07 B Heading (Sub-Section - stand alone) Char"/>
    <w:basedOn w:val="Policepardfaut"/>
    <w:link w:val="RSCB07BHeadingSub-Section-standalone"/>
    <w:rsid w:val="00BF3512"/>
    <w:rPr>
      <w:b/>
      <w:sz w:val="18"/>
      <w:lang w:val="en-GB"/>
    </w:rPr>
  </w:style>
  <w:style w:type="character" w:customStyle="1" w:styleId="inlineblock">
    <w:name w:val="inlineblock"/>
    <w:basedOn w:val="Policepardfaut"/>
    <w:rsid w:val="00637AF4"/>
  </w:style>
  <w:style w:type="character" w:customStyle="1" w:styleId="sciprofiles-linkname">
    <w:name w:val="sciprofiles-link__name"/>
    <w:basedOn w:val="Policepardfaut"/>
    <w:rsid w:val="00637AF4"/>
  </w:style>
  <w:style w:type="character" w:customStyle="1" w:styleId="label">
    <w:name w:val="label"/>
    <w:basedOn w:val="Policepardfaut"/>
    <w:rsid w:val="00637AF4"/>
  </w:style>
  <w:style w:type="character" w:styleId="lev">
    <w:name w:val="Strong"/>
    <w:basedOn w:val="Policepardfaut"/>
    <w:uiPriority w:val="22"/>
    <w:qFormat/>
    <w:rsid w:val="00637AF4"/>
    <w:rPr>
      <w:b/>
      <w:bCs/>
    </w:rPr>
  </w:style>
  <w:style w:type="character" w:styleId="Accentuation">
    <w:name w:val="Emphasis"/>
    <w:basedOn w:val="Policepardfaut"/>
    <w:uiPriority w:val="20"/>
    <w:qFormat/>
    <w:rsid w:val="00637AF4"/>
    <w:rPr>
      <w:i/>
      <w:iCs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qFormat/>
    <w:rsid w:val="004D5FB3"/>
    <w:pPr>
      <w:pBdr>
        <w:bottom w:val="single" w:sz="12" w:space="1" w:color="A6A6A6" w:themeColor="background1" w:themeShade="A6"/>
      </w:pBdr>
      <w:spacing w:after="200" w:line="276" w:lineRule="auto"/>
      <w:jc w:val="both"/>
    </w:pPr>
    <w:rPr>
      <w:bCs/>
      <w:sz w:val="14"/>
      <w:szCs w:val="18"/>
      <w:lang w:val="en-GB"/>
    </w:rPr>
  </w:style>
  <w:style w:type="character" w:customStyle="1" w:styleId="RSCI05CaptiontoFigureSchemeChartwithbottombarChar">
    <w:name w:val="RSC I05 Caption to Figure/Scheme/Chart with bottom bar Char"/>
    <w:basedOn w:val="Policepardfaut"/>
    <w:link w:val="RSCI05CaptiontoFigureSchemeChartwithbottombar"/>
    <w:rsid w:val="004D5FB3"/>
    <w:rPr>
      <w:bCs/>
      <w:sz w:val="14"/>
      <w:szCs w:val="18"/>
      <w:lang w:val="en-GB"/>
    </w:rPr>
  </w:style>
  <w:style w:type="table" w:styleId="Tableausimple5">
    <w:name w:val="Plain Table 5"/>
    <w:basedOn w:val="TableauNormal"/>
    <w:uiPriority w:val="45"/>
    <w:rsid w:val="004D5FB3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RSCB06BHeadingSub-Section">
    <w:name w:val="RSC B06 B Heading (Sub-Section)"/>
    <w:link w:val="RSCB06BHeadingSub-SectionChar"/>
    <w:qFormat/>
    <w:rsid w:val="004D5FB3"/>
    <w:pPr>
      <w:spacing w:after="80" w:line="240" w:lineRule="exact"/>
    </w:pPr>
    <w:rPr>
      <w:b/>
      <w:sz w:val="18"/>
      <w:lang w:val="en-GB"/>
    </w:rPr>
  </w:style>
  <w:style w:type="character" w:customStyle="1" w:styleId="RSCB06BHeadingSub-SectionChar">
    <w:name w:val="RSC B06 B Heading (Sub-Section) Char"/>
    <w:basedOn w:val="Policepardfaut"/>
    <w:link w:val="RSCB06BHeadingSub-Section"/>
    <w:rsid w:val="004D5FB3"/>
    <w:rPr>
      <w:b/>
      <w:sz w:val="18"/>
      <w:lang w:val="en-GB"/>
    </w:rPr>
  </w:style>
  <w:style w:type="paragraph" w:styleId="Rvision">
    <w:name w:val="Revision"/>
    <w:hidden/>
    <w:uiPriority w:val="99"/>
    <w:semiHidden/>
    <w:rsid w:val="00D032B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31463-D6E7-4224-A2F8-9FCC2122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GUERINONI Elise</dc:creator>
  <cp:keywords/>
  <dc:description/>
  <cp:lastModifiedBy>GUERINONI Elise</cp:lastModifiedBy>
  <cp:revision>7</cp:revision>
  <cp:lastPrinted>2023-07-20T07:18:00Z</cp:lastPrinted>
  <dcterms:created xsi:type="dcterms:W3CDTF">2023-07-27T13:52:00Z</dcterms:created>
  <dcterms:modified xsi:type="dcterms:W3CDTF">2023-07-28T15:58:00Z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id="Xxn1KLa0"/&gt;&lt;style id="http://www.zotero.org/styles/american-chemical-society" hasBibliography="1" bibliographyStyleHasBeenSet="1"/&gt;&lt;prefs&gt;&lt;pref name="fieldType" value="Field"/&gt;&lt;pref name="automat</vt:lpwstr>
  </property>
  <property fmtid="{D5CDD505-2E9C-101B-9397-08002B2CF9AE}" pid="3" name="ZOTERO_PREF_2">
    <vt:lpwstr>icJournalAbbreviations" value="true"/&gt;&lt;/prefs&gt;&lt;/data&gt;</vt:lpwstr>
  </property>
</Properties>
</file>