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C368" w14:textId="77777777" w:rsidR="00944792" w:rsidRPr="003269C0" w:rsidRDefault="00944792" w:rsidP="009B69B6">
      <w:pPr>
        <w:spacing w:line="276" w:lineRule="auto"/>
        <w:jc w:val="both"/>
        <w:rPr>
          <w:b/>
          <w:bCs/>
          <w:sz w:val="32"/>
          <w:szCs w:val="32"/>
          <w:lang w:val="en-US"/>
        </w:rPr>
      </w:pPr>
      <w:bookmarkStart w:id="0" w:name="_Hlk117500825"/>
      <w:bookmarkEnd w:id="0"/>
      <w:r w:rsidRPr="003269C0">
        <w:rPr>
          <w:b/>
          <w:bCs/>
          <w:sz w:val="32"/>
          <w:szCs w:val="32"/>
          <w:lang w:val="en-US"/>
        </w:rPr>
        <w:t>Achieving discharge limits in single-stage domestic wastewater treatment by combining urban waste sources and phototrophic mixed cultures</w:t>
      </w:r>
    </w:p>
    <w:p w14:paraId="2D8A6E7C" w14:textId="77777777" w:rsidR="00944792" w:rsidRPr="003D2020" w:rsidRDefault="00944792" w:rsidP="009B69B6">
      <w:pPr>
        <w:spacing w:line="276" w:lineRule="auto"/>
        <w:jc w:val="both"/>
        <w:rPr>
          <w:sz w:val="24"/>
          <w:szCs w:val="24"/>
          <w:vertAlign w:val="superscript"/>
        </w:rPr>
      </w:pPr>
      <w:r w:rsidRPr="003D2020">
        <w:rPr>
          <w:sz w:val="24"/>
          <w:szCs w:val="24"/>
        </w:rPr>
        <w:t xml:space="preserve">Sandra Chacón-Aparicio </w:t>
      </w:r>
      <w:r w:rsidRPr="003D2020">
        <w:rPr>
          <w:sz w:val="24"/>
          <w:szCs w:val="24"/>
          <w:vertAlign w:val="superscript"/>
        </w:rPr>
        <w:t>a</w:t>
      </w:r>
      <w:r w:rsidRPr="003D2020">
        <w:rPr>
          <w:sz w:val="24"/>
          <w:szCs w:val="24"/>
        </w:rPr>
        <w:t xml:space="preserve">, John Villamil </w:t>
      </w:r>
      <w:r w:rsidRPr="003D2020">
        <w:rPr>
          <w:sz w:val="24"/>
          <w:szCs w:val="24"/>
          <w:vertAlign w:val="superscript"/>
        </w:rPr>
        <w:t>a</w:t>
      </w:r>
      <w:r w:rsidRPr="003D2020">
        <w:rPr>
          <w:sz w:val="24"/>
          <w:szCs w:val="24"/>
        </w:rPr>
        <w:t>, Fernando Martínez</w:t>
      </w:r>
      <w:r w:rsidRPr="003D2020">
        <w:rPr>
          <w:sz w:val="24"/>
          <w:szCs w:val="24"/>
          <w:vertAlign w:val="superscript"/>
        </w:rPr>
        <w:t xml:space="preserve"> a</w:t>
      </w:r>
      <w:r w:rsidRPr="003D2020">
        <w:rPr>
          <w:sz w:val="24"/>
          <w:szCs w:val="24"/>
        </w:rPr>
        <w:t>, Juan Antonio Melero</w:t>
      </w:r>
      <w:r w:rsidRPr="003D2020">
        <w:rPr>
          <w:sz w:val="24"/>
          <w:szCs w:val="24"/>
          <w:vertAlign w:val="superscript"/>
        </w:rPr>
        <w:t xml:space="preserve"> a</w:t>
      </w:r>
      <w:r w:rsidRPr="003D2020">
        <w:rPr>
          <w:sz w:val="24"/>
          <w:szCs w:val="24"/>
        </w:rPr>
        <w:t xml:space="preserve">, Raúl Molina </w:t>
      </w:r>
      <w:r w:rsidRPr="003D2020">
        <w:rPr>
          <w:sz w:val="24"/>
          <w:szCs w:val="24"/>
          <w:vertAlign w:val="superscript"/>
        </w:rPr>
        <w:t>a</w:t>
      </w:r>
      <w:r w:rsidRPr="003D2020">
        <w:rPr>
          <w:sz w:val="24"/>
          <w:szCs w:val="24"/>
        </w:rPr>
        <w:t xml:space="preserve"> and Daniel Puyol </w:t>
      </w:r>
      <w:r w:rsidRPr="003D2020">
        <w:rPr>
          <w:sz w:val="24"/>
          <w:szCs w:val="24"/>
          <w:vertAlign w:val="superscript"/>
        </w:rPr>
        <w:t>a</w:t>
      </w:r>
    </w:p>
    <w:p w14:paraId="32BD4EB5" w14:textId="77777777" w:rsidR="00944792" w:rsidRDefault="00944792" w:rsidP="009B69B6">
      <w:pPr>
        <w:spacing w:line="276" w:lineRule="auto"/>
        <w:jc w:val="both"/>
        <w:rPr>
          <w:i/>
          <w:iCs/>
          <w:lang w:val="en-US"/>
        </w:rPr>
      </w:pPr>
      <w:r w:rsidRPr="003D2020">
        <w:rPr>
          <w:i/>
          <w:iCs/>
          <w:vertAlign w:val="superscript"/>
          <w:lang w:val="en-US"/>
        </w:rPr>
        <w:t>a</w:t>
      </w:r>
      <w:r w:rsidRPr="003D2020">
        <w:rPr>
          <w:i/>
          <w:iCs/>
          <w:lang w:val="en-US"/>
        </w:rPr>
        <w:t xml:space="preserve"> Chemical and Environmental Engineering Group, University Rey Juan Carlos, Madrid, Spain. </w:t>
      </w:r>
    </w:p>
    <w:p w14:paraId="7644518D" w14:textId="77777777" w:rsidR="003269C0" w:rsidRPr="003D2020" w:rsidRDefault="003269C0" w:rsidP="009B69B6">
      <w:pPr>
        <w:spacing w:line="276" w:lineRule="auto"/>
        <w:jc w:val="both"/>
        <w:rPr>
          <w:lang w:val="en-US"/>
        </w:rPr>
      </w:pPr>
    </w:p>
    <w:p w14:paraId="5A08B045" w14:textId="2AD0D96C" w:rsidR="009B69B6" w:rsidRPr="003269C0" w:rsidRDefault="003269C0" w:rsidP="003269C0">
      <w:pPr>
        <w:keepNext/>
        <w:jc w:val="center"/>
        <w:rPr>
          <w:b/>
          <w:bCs/>
          <w:sz w:val="28"/>
          <w:szCs w:val="28"/>
          <w:lang w:val="en-US"/>
        </w:rPr>
      </w:pPr>
      <w:r w:rsidRPr="003269C0">
        <w:rPr>
          <w:b/>
          <w:bCs/>
          <w:sz w:val="28"/>
          <w:szCs w:val="28"/>
          <w:lang w:val="en-US"/>
        </w:rPr>
        <w:t>SUPPLEMENTARY INFORMATION</w:t>
      </w:r>
    </w:p>
    <w:p w14:paraId="2236AF3C" w14:textId="77777777" w:rsidR="003269C0" w:rsidRDefault="003269C0" w:rsidP="002511F8">
      <w:pPr>
        <w:keepNext/>
        <w:rPr>
          <w:b/>
          <w:bCs/>
          <w:sz w:val="24"/>
          <w:szCs w:val="24"/>
          <w:lang w:val="en-US"/>
        </w:rPr>
      </w:pPr>
    </w:p>
    <w:p w14:paraId="50E0C579" w14:textId="61F6C0AA" w:rsidR="002511F8" w:rsidRPr="00961C19" w:rsidRDefault="00944792" w:rsidP="002511F8">
      <w:pPr>
        <w:keepNext/>
        <w:rPr>
          <w:lang w:val="en-US"/>
        </w:rPr>
      </w:pPr>
      <w:r w:rsidRPr="003D2020">
        <w:rPr>
          <w:b/>
          <w:bCs/>
          <w:sz w:val="28"/>
          <w:szCs w:val="28"/>
          <w:lang w:val="en-US"/>
        </w:rPr>
        <w:t xml:space="preserve">S1. </w:t>
      </w:r>
      <w:r w:rsidR="00961C19" w:rsidRPr="003D2020">
        <w:rPr>
          <w:b/>
          <w:bCs/>
          <w:sz w:val="28"/>
          <w:szCs w:val="28"/>
          <w:u w:val="single"/>
          <w:lang w:val="en-US"/>
        </w:rPr>
        <w:t>Classification of microbial evolution when genera are greater than 1% relative abundance</w:t>
      </w:r>
      <w:r w:rsidR="002511F8">
        <w:object w:dxaOrig="9469" w:dyaOrig="8880" w14:anchorId="5668C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98.25pt" o:ole="">
            <v:imagedata r:id="rId5" o:title=""/>
          </v:shape>
          <o:OLEObject Type="Embed" ProgID="Origin50.Graph" ShapeID="_x0000_i1025" DrawAspect="Content" ObjectID="_1752075324" r:id="rId6"/>
        </w:object>
      </w:r>
    </w:p>
    <w:p w14:paraId="368432B7" w14:textId="31BE2DAD" w:rsidR="005476A0" w:rsidRPr="002511F8" w:rsidRDefault="002511F8" w:rsidP="002511F8">
      <w:pPr>
        <w:pStyle w:val="Descripcin"/>
        <w:rPr>
          <w:i w:val="0"/>
          <w:iCs w:val="0"/>
          <w:color w:val="auto"/>
          <w:sz w:val="22"/>
          <w:szCs w:val="22"/>
          <w:lang w:val="en-US"/>
        </w:rPr>
      </w:pPr>
      <w:r w:rsidRPr="002511F8">
        <w:rPr>
          <w:b/>
          <w:bCs/>
          <w:i w:val="0"/>
          <w:iCs w:val="0"/>
          <w:color w:val="auto"/>
          <w:sz w:val="22"/>
          <w:szCs w:val="22"/>
          <w:lang w:val="en-US"/>
        </w:rPr>
        <w:t xml:space="preserve">Figure </w:t>
      </w:r>
      <w:r w:rsidR="00ED5CB7">
        <w:rPr>
          <w:b/>
          <w:bCs/>
          <w:i w:val="0"/>
          <w:iCs w:val="0"/>
          <w:color w:val="auto"/>
          <w:sz w:val="22"/>
          <w:szCs w:val="22"/>
          <w:lang w:val="en-US"/>
        </w:rPr>
        <w:t>S</w:t>
      </w:r>
      <w:r w:rsidRPr="002511F8">
        <w:rPr>
          <w:b/>
          <w:bCs/>
          <w:i w:val="0"/>
          <w:iCs w:val="0"/>
          <w:color w:val="auto"/>
          <w:sz w:val="22"/>
          <w:szCs w:val="22"/>
        </w:rPr>
        <w:fldChar w:fldCharType="begin"/>
      </w:r>
      <w:r w:rsidRPr="002511F8">
        <w:rPr>
          <w:b/>
          <w:bCs/>
          <w:i w:val="0"/>
          <w:iCs w:val="0"/>
          <w:color w:val="auto"/>
          <w:sz w:val="22"/>
          <w:szCs w:val="22"/>
          <w:lang w:val="en-US"/>
        </w:rPr>
        <w:instrText xml:space="preserve"> SEQ Figure \* ARABIC </w:instrText>
      </w:r>
      <w:r w:rsidRPr="002511F8">
        <w:rPr>
          <w:b/>
          <w:bCs/>
          <w:i w:val="0"/>
          <w:iCs w:val="0"/>
          <w:color w:val="auto"/>
          <w:sz w:val="22"/>
          <w:szCs w:val="22"/>
        </w:rPr>
        <w:fldChar w:fldCharType="separate"/>
      </w:r>
      <w:r w:rsidRPr="002511F8">
        <w:rPr>
          <w:b/>
          <w:bCs/>
          <w:i w:val="0"/>
          <w:iCs w:val="0"/>
          <w:noProof/>
          <w:color w:val="auto"/>
          <w:sz w:val="22"/>
          <w:szCs w:val="22"/>
          <w:lang w:val="en-US"/>
        </w:rPr>
        <w:t>1</w:t>
      </w:r>
      <w:r w:rsidRPr="002511F8">
        <w:rPr>
          <w:b/>
          <w:bCs/>
          <w:i w:val="0"/>
          <w:iCs w:val="0"/>
          <w:color w:val="auto"/>
          <w:sz w:val="22"/>
          <w:szCs w:val="22"/>
        </w:rPr>
        <w:fldChar w:fldCharType="end"/>
      </w:r>
      <w:r w:rsidRPr="002511F8">
        <w:rPr>
          <w:i w:val="0"/>
          <w:iCs w:val="0"/>
          <w:color w:val="auto"/>
          <w:sz w:val="22"/>
          <w:szCs w:val="22"/>
          <w:lang w:val="en-US"/>
        </w:rPr>
        <w:t xml:space="preserve">. Qualification of the microbial population </w:t>
      </w:r>
      <w:proofErr w:type="gramStart"/>
      <w:r w:rsidRPr="002511F8">
        <w:rPr>
          <w:i w:val="0"/>
          <w:iCs w:val="0"/>
          <w:color w:val="auto"/>
          <w:sz w:val="22"/>
          <w:szCs w:val="22"/>
          <w:lang w:val="en-US"/>
        </w:rPr>
        <w:t>taking into account</w:t>
      </w:r>
      <w:proofErr w:type="gramEnd"/>
      <w:r w:rsidRPr="002511F8">
        <w:rPr>
          <w:i w:val="0"/>
          <w:iCs w:val="0"/>
          <w:color w:val="auto"/>
          <w:sz w:val="22"/>
          <w:szCs w:val="22"/>
          <w:lang w:val="en-US"/>
        </w:rPr>
        <w:t xml:space="preserve"> all genera &gt;1% in the wastewater, the liquid fraction and the inoculum.</w:t>
      </w:r>
    </w:p>
    <w:p w14:paraId="3C017EB8" w14:textId="77777777" w:rsidR="002511F8" w:rsidRDefault="002511F8" w:rsidP="002511F8">
      <w:pPr>
        <w:keepNext/>
      </w:pPr>
      <w:r>
        <w:object w:dxaOrig="9469" w:dyaOrig="8880" w14:anchorId="7E624DE1">
          <v:shape id="_x0000_i1026" type="#_x0000_t75" style="width:424.5pt;height:398.25pt" o:ole="">
            <v:imagedata r:id="rId7" o:title=""/>
          </v:shape>
          <o:OLEObject Type="Embed" ProgID="Origin50.Graph" ShapeID="_x0000_i1026" DrawAspect="Content" ObjectID="_1752075325" r:id="rId8"/>
        </w:object>
      </w:r>
    </w:p>
    <w:p w14:paraId="206721D3" w14:textId="7DF845B3" w:rsidR="002511F8" w:rsidRPr="002511F8" w:rsidRDefault="002511F8" w:rsidP="002511F8">
      <w:pPr>
        <w:pStyle w:val="Descripcin"/>
        <w:rPr>
          <w:i w:val="0"/>
          <w:iCs w:val="0"/>
          <w:color w:val="auto"/>
          <w:sz w:val="22"/>
          <w:szCs w:val="22"/>
          <w:lang w:val="en-US"/>
        </w:rPr>
      </w:pPr>
      <w:r w:rsidRPr="002511F8">
        <w:rPr>
          <w:b/>
          <w:bCs/>
          <w:i w:val="0"/>
          <w:iCs w:val="0"/>
          <w:color w:val="auto"/>
          <w:sz w:val="22"/>
          <w:szCs w:val="22"/>
          <w:lang w:val="en-US"/>
        </w:rPr>
        <w:t xml:space="preserve">Figure </w:t>
      </w:r>
      <w:r w:rsidR="00ED5CB7">
        <w:rPr>
          <w:b/>
          <w:bCs/>
          <w:i w:val="0"/>
          <w:iCs w:val="0"/>
          <w:color w:val="auto"/>
          <w:sz w:val="22"/>
          <w:szCs w:val="22"/>
          <w:lang w:val="en-US"/>
        </w:rPr>
        <w:t>S</w:t>
      </w:r>
      <w:r w:rsidRPr="002511F8">
        <w:rPr>
          <w:b/>
          <w:bCs/>
          <w:i w:val="0"/>
          <w:iCs w:val="0"/>
          <w:color w:val="auto"/>
          <w:sz w:val="22"/>
          <w:szCs w:val="22"/>
          <w:lang w:val="en-US"/>
        </w:rPr>
        <w:fldChar w:fldCharType="begin"/>
      </w:r>
      <w:r w:rsidRPr="002511F8">
        <w:rPr>
          <w:b/>
          <w:bCs/>
          <w:i w:val="0"/>
          <w:iCs w:val="0"/>
          <w:color w:val="auto"/>
          <w:sz w:val="22"/>
          <w:szCs w:val="22"/>
          <w:lang w:val="en-US"/>
        </w:rPr>
        <w:instrText xml:space="preserve"> SEQ Figure \* ARABIC </w:instrText>
      </w:r>
      <w:r w:rsidRPr="002511F8">
        <w:rPr>
          <w:b/>
          <w:bCs/>
          <w:i w:val="0"/>
          <w:iCs w:val="0"/>
          <w:color w:val="auto"/>
          <w:sz w:val="22"/>
          <w:szCs w:val="22"/>
          <w:lang w:val="en-US"/>
        </w:rPr>
        <w:fldChar w:fldCharType="separate"/>
      </w:r>
      <w:r w:rsidRPr="002511F8">
        <w:rPr>
          <w:b/>
          <w:bCs/>
          <w:i w:val="0"/>
          <w:iCs w:val="0"/>
          <w:color w:val="auto"/>
          <w:sz w:val="22"/>
          <w:szCs w:val="22"/>
          <w:lang w:val="en-US"/>
        </w:rPr>
        <w:t>2</w:t>
      </w:r>
      <w:r w:rsidRPr="002511F8">
        <w:rPr>
          <w:b/>
          <w:bCs/>
          <w:i w:val="0"/>
          <w:iCs w:val="0"/>
          <w:color w:val="auto"/>
          <w:sz w:val="22"/>
          <w:szCs w:val="22"/>
          <w:lang w:val="en-US"/>
        </w:rPr>
        <w:fldChar w:fldCharType="end"/>
      </w:r>
      <w:r w:rsidRPr="002511F8">
        <w:rPr>
          <w:b/>
          <w:bCs/>
          <w:i w:val="0"/>
          <w:iCs w:val="0"/>
          <w:color w:val="auto"/>
          <w:sz w:val="22"/>
          <w:szCs w:val="22"/>
          <w:lang w:val="en-US"/>
        </w:rPr>
        <w:t>.</w:t>
      </w:r>
      <w:r w:rsidRPr="002511F8">
        <w:rPr>
          <w:i w:val="0"/>
          <w:iCs w:val="0"/>
          <w:color w:val="auto"/>
          <w:sz w:val="22"/>
          <w:szCs w:val="22"/>
          <w:lang w:val="en-US"/>
        </w:rPr>
        <w:t xml:space="preserve"> Evolution of the microbial population </w:t>
      </w:r>
      <w:r w:rsidR="00CB3B67" w:rsidRPr="002511F8">
        <w:rPr>
          <w:i w:val="0"/>
          <w:iCs w:val="0"/>
          <w:color w:val="auto"/>
          <w:sz w:val="22"/>
          <w:szCs w:val="22"/>
          <w:lang w:val="en-US"/>
        </w:rPr>
        <w:t>considering</w:t>
      </w:r>
      <w:r w:rsidRPr="002511F8">
        <w:rPr>
          <w:i w:val="0"/>
          <w:iCs w:val="0"/>
          <w:color w:val="auto"/>
          <w:sz w:val="22"/>
          <w:szCs w:val="22"/>
          <w:lang w:val="en-US"/>
        </w:rPr>
        <w:t xml:space="preserve"> all genera &gt;1% during CSTR-mode.  </w:t>
      </w:r>
    </w:p>
    <w:p w14:paraId="473F0F75" w14:textId="77777777" w:rsidR="002511F8" w:rsidRDefault="002511F8" w:rsidP="002511F8">
      <w:pPr>
        <w:keepNext/>
      </w:pPr>
      <w:r>
        <w:object w:dxaOrig="9469" w:dyaOrig="8880" w14:anchorId="03D4363B">
          <v:shape id="_x0000_i1027" type="#_x0000_t75" style="width:424.5pt;height:398.25pt" o:ole="">
            <v:imagedata r:id="rId9" o:title=""/>
          </v:shape>
          <o:OLEObject Type="Embed" ProgID="Origin50.Graph" ShapeID="_x0000_i1027" DrawAspect="Content" ObjectID="_1752075326" r:id="rId10"/>
        </w:object>
      </w:r>
    </w:p>
    <w:p w14:paraId="33A77BE5" w14:textId="2F7D9BB3" w:rsidR="002511F8" w:rsidRDefault="002511F8" w:rsidP="002511F8">
      <w:pPr>
        <w:pStyle w:val="Descripcin"/>
        <w:rPr>
          <w:i w:val="0"/>
          <w:iCs w:val="0"/>
          <w:color w:val="auto"/>
          <w:sz w:val="22"/>
          <w:szCs w:val="22"/>
          <w:lang w:val="en-US"/>
        </w:rPr>
      </w:pPr>
      <w:r w:rsidRPr="002511F8">
        <w:rPr>
          <w:b/>
          <w:bCs/>
          <w:i w:val="0"/>
          <w:iCs w:val="0"/>
          <w:color w:val="auto"/>
          <w:sz w:val="22"/>
          <w:szCs w:val="22"/>
          <w:lang w:val="en-US"/>
        </w:rPr>
        <w:t xml:space="preserve">Figure </w:t>
      </w:r>
      <w:r w:rsidR="00ED5CB7">
        <w:rPr>
          <w:b/>
          <w:bCs/>
          <w:i w:val="0"/>
          <w:iCs w:val="0"/>
          <w:color w:val="auto"/>
          <w:sz w:val="22"/>
          <w:szCs w:val="22"/>
          <w:lang w:val="en-US"/>
        </w:rPr>
        <w:t>S</w:t>
      </w:r>
      <w:r w:rsidRPr="002511F8">
        <w:rPr>
          <w:b/>
          <w:bCs/>
          <w:i w:val="0"/>
          <w:iCs w:val="0"/>
          <w:color w:val="auto"/>
          <w:sz w:val="22"/>
          <w:szCs w:val="22"/>
        </w:rPr>
        <w:fldChar w:fldCharType="begin"/>
      </w:r>
      <w:r w:rsidRPr="002511F8">
        <w:rPr>
          <w:b/>
          <w:bCs/>
          <w:i w:val="0"/>
          <w:iCs w:val="0"/>
          <w:color w:val="auto"/>
          <w:sz w:val="22"/>
          <w:szCs w:val="22"/>
          <w:lang w:val="en-US"/>
        </w:rPr>
        <w:instrText xml:space="preserve"> SEQ Figure \* ARABIC </w:instrText>
      </w:r>
      <w:r w:rsidRPr="002511F8">
        <w:rPr>
          <w:b/>
          <w:bCs/>
          <w:i w:val="0"/>
          <w:iCs w:val="0"/>
          <w:color w:val="auto"/>
          <w:sz w:val="22"/>
          <w:szCs w:val="22"/>
        </w:rPr>
        <w:fldChar w:fldCharType="separate"/>
      </w:r>
      <w:r w:rsidRPr="002511F8">
        <w:rPr>
          <w:b/>
          <w:bCs/>
          <w:i w:val="0"/>
          <w:iCs w:val="0"/>
          <w:noProof/>
          <w:color w:val="auto"/>
          <w:sz w:val="22"/>
          <w:szCs w:val="22"/>
          <w:lang w:val="en-US"/>
        </w:rPr>
        <w:t>3</w:t>
      </w:r>
      <w:r w:rsidRPr="002511F8">
        <w:rPr>
          <w:b/>
          <w:bCs/>
          <w:i w:val="0"/>
          <w:iCs w:val="0"/>
          <w:color w:val="auto"/>
          <w:sz w:val="22"/>
          <w:szCs w:val="22"/>
        </w:rPr>
        <w:fldChar w:fldCharType="end"/>
      </w:r>
      <w:r w:rsidRPr="002511F8">
        <w:rPr>
          <w:b/>
          <w:bCs/>
          <w:i w:val="0"/>
          <w:iCs w:val="0"/>
          <w:color w:val="auto"/>
          <w:sz w:val="22"/>
          <w:szCs w:val="22"/>
          <w:lang w:val="en-US"/>
        </w:rPr>
        <w:t>.</w:t>
      </w:r>
      <w:r w:rsidRPr="002511F8">
        <w:rPr>
          <w:i w:val="0"/>
          <w:iCs w:val="0"/>
          <w:color w:val="auto"/>
          <w:sz w:val="22"/>
          <w:szCs w:val="22"/>
          <w:lang w:val="en-US"/>
        </w:rPr>
        <w:t xml:space="preserve"> Evolution of the microbial population </w:t>
      </w:r>
      <w:proofErr w:type="gramStart"/>
      <w:r w:rsidRPr="002511F8">
        <w:rPr>
          <w:i w:val="0"/>
          <w:iCs w:val="0"/>
          <w:color w:val="auto"/>
          <w:sz w:val="22"/>
          <w:szCs w:val="22"/>
          <w:lang w:val="en-US"/>
        </w:rPr>
        <w:t>taking into account</w:t>
      </w:r>
      <w:proofErr w:type="gramEnd"/>
      <w:r w:rsidRPr="002511F8">
        <w:rPr>
          <w:i w:val="0"/>
          <w:iCs w:val="0"/>
          <w:color w:val="auto"/>
          <w:sz w:val="22"/>
          <w:szCs w:val="22"/>
          <w:lang w:val="en-US"/>
        </w:rPr>
        <w:t xml:space="preserve"> all genera &gt;1% during MBR-mode.  </w:t>
      </w:r>
    </w:p>
    <w:p w14:paraId="627069C4" w14:textId="77777777" w:rsidR="00B8750B" w:rsidRDefault="00B8750B" w:rsidP="00BF7C87">
      <w:pPr>
        <w:spacing w:line="480" w:lineRule="auto"/>
        <w:jc w:val="both"/>
        <w:rPr>
          <w:lang w:val="en-US"/>
        </w:rPr>
      </w:pPr>
    </w:p>
    <w:p w14:paraId="61120A95" w14:textId="3F898293" w:rsidR="00B8750B" w:rsidRPr="003D2020" w:rsidRDefault="00961C19" w:rsidP="00BF7C87">
      <w:pPr>
        <w:spacing w:line="480" w:lineRule="auto"/>
        <w:jc w:val="both"/>
        <w:rPr>
          <w:b/>
          <w:bCs/>
          <w:sz w:val="24"/>
          <w:szCs w:val="24"/>
          <w:lang w:val="en-US"/>
        </w:rPr>
      </w:pPr>
      <w:r w:rsidRPr="003D2020">
        <w:rPr>
          <w:b/>
          <w:bCs/>
          <w:sz w:val="24"/>
          <w:szCs w:val="24"/>
          <w:lang w:val="en-US"/>
        </w:rPr>
        <w:t xml:space="preserve">S2. </w:t>
      </w:r>
      <w:r w:rsidR="003D2020" w:rsidRPr="003D2020">
        <w:rPr>
          <w:b/>
          <w:bCs/>
          <w:sz w:val="24"/>
          <w:szCs w:val="24"/>
          <w:u w:val="single"/>
          <w:lang w:val="en-US"/>
        </w:rPr>
        <w:t xml:space="preserve">Description of the microbial community analysis by Illumina </w:t>
      </w:r>
      <w:proofErr w:type="spellStart"/>
      <w:r w:rsidR="003D2020" w:rsidRPr="003D2020">
        <w:rPr>
          <w:b/>
          <w:bCs/>
          <w:sz w:val="24"/>
          <w:szCs w:val="24"/>
          <w:u w:val="single"/>
          <w:lang w:val="en-US"/>
        </w:rPr>
        <w:t>MiSeq</w:t>
      </w:r>
      <w:proofErr w:type="spellEnd"/>
      <w:r w:rsidR="003D2020" w:rsidRPr="003D2020">
        <w:rPr>
          <w:b/>
          <w:bCs/>
          <w:sz w:val="24"/>
          <w:szCs w:val="24"/>
          <w:u w:val="single"/>
          <w:lang w:val="en-US"/>
        </w:rPr>
        <w:t>.</w:t>
      </w:r>
    </w:p>
    <w:p w14:paraId="11A4A839" w14:textId="08A32A53" w:rsidR="007F7FBA" w:rsidRDefault="00BF7C87" w:rsidP="00CA343D">
      <w:pPr>
        <w:spacing w:line="276" w:lineRule="auto"/>
        <w:jc w:val="both"/>
        <w:rPr>
          <w:lang w:val="en-US"/>
        </w:rPr>
      </w:pPr>
      <w:r w:rsidRPr="008F5813">
        <w:rPr>
          <w:lang w:val="en-US"/>
        </w:rPr>
        <w:t>The quantification, amplification (PCR), 16S rRNA gene measurements, and the amplicon taxonomic annotation and comparative analysis were outsourced to Instituto ISABIAL-FISABIO, Hospital General Universitario de Alicante, Alicante, Spain.</w:t>
      </w:r>
      <w:r w:rsidRPr="00793E58">
        <w:rPr>
          <w:lang w:val="en-US"/>
        </w:rPr>
        <w:t xml:space="preserve"> 16S rDNA gene amplicons were obtained following the 16S rDNA gene Metagenomic Sequencing Library Preparation Illumina protocol (Cod. 15044223 Rev. A). The gene‐specific sequences used in this protocol target the 16S rDNA gene V3 and V4 region. Illumina adapter overhang nucleotide sequences are added to the gene‐specific sequences. The primers are selected from the Klindworth et al. (2013). The </w:t>
      </w:r>
      <w:proofErr w:type="gramStart"/>
      <w:r w:rsidRPr="00793E58">
        <w:rPr>
          <w:lang w:val="en-US"/>
        </w:rPr>
        <w:t>full length</w:t>
      </w:r>
      <w:proofErr w:type="gramEnd"/>
      <w:r w:rsidRPr="00793E58">
        <w:rPr>
          <w:lang w:val="en-US"/>
        </w:rPr>
        <w:t xml:space="preserve"> primer sequences, using standard IUPAC nucleotide nomenclature, to follow the protocol targeting this region are:</w:t>
      </w:r>
      <w:r>
        <w:rPr>
          <w:lang w:val="en-US"/>
        </w:rPr>
        <w:t xml:space="preserve"> </w:t>
      </w:r>
    </w:p>
    <w:p w14:paraId="39397155" w14:textId="06CAD330" w:rsidR="007F7FBA" w:rsidRPr="007F7FBA" w:rsidRDefault="00BF7C87" w:rsidP="007F7FBA">
      <w:pPr>
        <w:pStyle w:val="Prrafodelista"/>
        <w:numPr>
          <w:ilvl w:val="0"/>
          <w:numId w:val="1"/>
        </w:numPr>
        <w:spacing w:line="276" w:lineRule="auto"/>
        <w:rPr>
          <w:lang w:val="en-US"/>
        </w:rPr>
      </w:pPr>
      <w:r w:rsidRPr="007F7FBA">
        <w:rPr>
          <w:lang w:val="en-US"/>
        </w:rPr>
        <w:t xml:space="preserve">16S rDNA gene Amplicon PCR Forward Primer = 5' (TCGTCGGCAGCGTCAGATGTGTATAAGAGACAGCCTACGGGNGGCWGCAG) </w:t>
      </w:r>
    </w:p>
    <w:p w14:paraId="651EFCF0" w14:textId="77777777" w:rsidR="007F7FBA" w:rsidRPr="007F7FBA" w:rsidRDefault="00BF7C87" w:rsidP="007F7FBA">
      <w:pPr>
        <w:pStyle w:val="Prrafodelista"/>
        <w:numPr>
          <w:ilvl w:val="0"/>
          <w:numId w:val="1"/>
        </w:numPr>
        <w:spacing w:line="276" w:lineRule="auto"/>
        <w:rPr>
          <w:lang w:val="en-US"/>
        </w:rPr>
      </w:pPr>
      <w:r w:rsidRPr="007F7FBA">
        <w:rPr>
          <w:lang w:val="en-US"/>
        </w:rPr>
        <w:lastRenderedPageBreak/>
        <w:t xml:space="preserve">16S rDNA gene Amplicon PCR Reverse Primer = 5' (GTCTCGTGGGCTCGGAGATGTGTATAAGAGACAGGACTACHVGGGTATCTAATCC). </w:t>
      </w:r>
    </w:p>
    <w:p w14:paraId="5D90C5BC" w14:textId="6BBDA2E4" w:rsidR="00BF7C87" w:rsidRPr="00103799" w:rsidRDefault="00BF7C87" w:rsidP="00CA343D">
      <w:pPr>
        <w:spacing w:line="276" w:lineRule="auto"/>
        <w:jc w:val="both"/>
        <w:rPr>
          <w:lang w:val="en-US"/>
        </w:rPr>
      </w:pPr>
      <w:r w:rsidRPr="00793E58">
        <w:rPr>
          <w:lang w:val="en-US"/>
        </w:rPr>
        <w:t>We used microbial genomic DNA (5 ng/</w:t>
      </w:r>
      <w:proofErr w:type="spellStart"/>
      <w:r w:rsidRPr="00793E58">
        <w:rPr>
          <w:lang w:val="en-US"/>
        </w:rPr>
        <w:t>μl</w:t>
      </w:r>
      <w:proofErr w:type="spellEnd"/>
      <w:r w:rsidRPr="00793E58">
        <w:rPr>
          <w:lang w:val="en-US"/>
        </w:rPr>
        <w:t xml:space="preserve"> in 10 mM Tris pH 8.5) to initiate the protocol. After 16S rDNA gene amplification, the </w:t>
      </w:r>
      <w:proofErr w:type="spellStart"/>
      <w:r w:rsidRPr="00793E58">
        <w:rPr>
          <w:lang w:val="en-US"/>
        </w:rPr>
        <w:t>mutiplexing</w:t>
      </w:r>
      <w:proofErr w:type="spellEnd"/>
      <w:r w:rsidRPr="00793E58">
        <w:rPr>
          <w:lang w:val="en-US"/>
        </w:rPr>
        <w:t xml:space="preserve"> step was performed using </w:t>
      </w:r>
      <w:proofErr w:type="spellStart"/>
      <w:r w:rsidRPr="00793E58">
        <w:rPr>
          <w:lang w:val="en-US"/>
        </w:rPr>
        <w:t>using</w:t>
      </w:r>
      <w:proofErr w:type="spellEnd"/>
      <w:r w:rsidRPr="00793E58">
        <w:rPr>
          <w:lang w:val="en-US"/>
        </w:rPr>
        <w:t xml:space="preserve"> </w:t>
      </w:r>
      <w:proofErr w:type="spellStart"/>
      <w:r w:rsidRPr="00793E58">
        <w:rPr>
          <w:lang w:val="en-US"/>
        </w:rPr>
        <w:t>Nextera</w:t>
      </w:r>
      <w:proofErr w:type="spellEnd"/>
      <w:r w:rsidRPr="00793E58">
        <w:rPr>
          <w:lang w:val="en-US"/>
        </w:rPr>
        <w:t xml:space="preserve"> XT Index Kit (FC-131-1096). We run 1 </w:t>
      </w:r>
      <w:proofErr w:type="spellStart"/>
      <w:r w:rsidRPr="00793E58">
        <w:rPr>
          <w:lang w:val="en-US"/>
        </w:rPr>
        <w:t>μl</w:t>
      </w:r>
      <w:proofErr w:type="spellEnd"/>
      <w:r w:rsidRPr="00793E58">
        <w:rPr>
          <w:lang w:val="en-US"/>
        </w:rPr>
        <w:t xml:space="preserve"> of the PCR product on a Bioanalyzer DNA 1000 chip to verify the size, the expected size on a Bioanalyzer trace is ~550 bp. After size verification the libraries were sequenced using a 2x300pb paired-end run (</w:t>
      </w:r>
      <w:proofErr w:type="spellStart"/>
      <w:r w:rsidRPr="00793E58">
        <w:rPr>
          <w:lang w:val="en-US"/>
        </w:rPr>
        <w:t>MiSeq</w:t>
      </w:r>
      <w:proofErr w:type="spellEnd"/>
      <w:r w:rsidRPr="00793E58">
        <w:rPr>
          <w:lang w:val="en-US"/>
        </w:rPr>
        <w:t xml:space="preserve"> Reagent kit v3 (MS-102-3001)) on a </w:t>
      </w:r>
      <w:proofErr w:type="spellStart"/>
      <w:r w:rsidRPr="00793E58">
        <w:rPr>
          <w:lang w:val="en-US"/>
        </w:rPr>
        <w:t>MiSeq</w:t>
      </w:r>
      <w:proofErr w:type="spellEnd"/>
      <w:r w:rsidRPr="00793E58">
        <w:rPr>
          <w:lang w:val="en-US"/>
        </w:rPr>
        <w:t xml:space="preserve"> Sequencer according to manufacturer’s instructions (Illumina).</w:t>
      </w:r>
      <w:r>
        <w:rPr>
          <w:lang w:val="en-US"/>
        </w:rPr>
        <w:t xml:space="preserve"> </w:t>
      </w:r>
      <w:r w:rsidRPr="002500C7">
        <w:rPr>
          <w:lang w:val="en-US"/>
        </w:rPr>
        <w:t xml:space="preserve">Quality assessment was performed by the use of </w:t>
      </w:r>
      <w:proofErr w:type="spellStart"/>
      <w:r w:rsidRPr="002500C7">
        <w:rPr>
          <w:lang w:val="en-US"/>
        </w:rPr>
        <w:t>prinseq</w:t>
      </w:r>
      <w:proofErr w:type="spellEnd"/>
      <w:r w:rsidRPr="002500C7">
        <w:rPr>
          <w:lang w:val="en-US"/>
        </w:rPr>
        <w:t>-lite program (Schmieder, et al., 2011) applying following parameters:</w:t>
      </w:r>
      <w:r>
        <w:rPr>
          <w:lang w:val="en-US"/>
        </w:rPr>
        <w:t xml:space="preserve"> </w:t>
      </w:r>
      <w:proofErr w:type="spellStart"/>
      <w:r w:rsidRPr="002500C7">
        <w:rPr>
          <w:lang w:val="en-US"/>
        </w:rPr>
        <w:t>min_length</w:t>
      </w:r>
      <w:proofErr w:type="spellEnd"/>
      <w:r w:rsidRPr="002500C7">
        <w:rPr>
          <w:lang w:val="en-US"/>
        </w:rPr>
        <w:t>: 50</w:t>
      </w:r>
      <w:r>
        <w:rPr>
          <w:lang w:val="en-US"/>
        </w:rPr>
        <w:t xml:space="preserve">, </w:t>
      </w:r>
      <w:proofErr w:type="spellStart"/>
      <w:r w:rsidRPr="002500C7">
        <w:rPr>
          <w:lang w:val="en-US"/>
        </w:rPr>
        <w:t>trim_qual_right</w:t>
      </w:r>
      <w:proofErr w:type="spellEnd"/>
      <w:r w:rsidRPr="002500C7">
        <w:rPr>
          <w:lang w:val="en-US"/>
        </w:rPr>
        <w:t>: 30</w:t>
      </w:r>
      <w:r>
        <w:rPr>
          <w:lang w:val="en-US"/>
        </w:rPr>
        <w:t xml:space="preserve">, </w:t>
      </w:r>
      <w:proofErr w:type="spellStart"/>
      <w:r w:rsidRPr="002500C7">
        <w:rPr>
          <w:lang w:val="en-US"/>
        </w:rPr>
        <w:t>trim_qual_type</w:t>
      </w:r>
      <w:proofErr w:type="spellEnd"/>
      <w:r w:rsidRPr="002500C7">
        <w:rPr>
          <w:lang w:val="en-US"/>
        </w:rPr>
        <w:t>: mean</w:t>
      </w:r>
      <w:r>
        <w:rPr>
          <w:lang w:val="en-US"/>
        </w:rPr>
        <w:t xml:space="preserve">, </w:t>
      </w:r>
      <w:proofErr w:type="spellStart"/>
      <w:r w:rsidRPr="002500C7">
        <w:rPr>
          <w:lang w:val="en-US"/>
        </w:rPr>
        <w:t>trim_qual_window</w:t>
      </w:r>
      <w:proofErr w:type="spellEnd"/>
      <w:r w:rsidRPr="002500C7">
        <w:rPr>
          <w:lang w:val="en-US"/>
        </w:rPr>
        <w:t>: 20</w:t>
      </w:r>
      <w:r>
        <w:rPr>
          <w:lang w:val="en-US"/>
        </w:rPr>
        <w:t xml:space="preserve">. </w:t>
      </w:r>
      <w:r w:rsidRPr="002500C7">
        <w:rPr>
          <w:lang w:val="en-US"/>
        </w:rPr>
        <w:t xml:space="preserve">Data have been obtained using an ad-hoc pipeline written in </w:t>
      </w:r>
      <w:proofErr w:type="spellStart"/>
      <w:r w:rsidRPr="002500C7">
        <w:rPr>
          <w:lang w:val="en-US"/>
        </w:rPr>
        <w:t>RStatistics</w:t>
      </w:r>
      <w:proofErr w:type="spellEnd"/>
      <w:r w:rsidRPr="002500C7">
        <w:rPr>
          <w:lang w:val="en-US"/>
        </w:rPr>
        <w:t xml:space="preserve"> environment (R Core Team, 2012), making use of several Open Source libraries such as </w:t>
      </w:r>
      <w:proofErr w:type="spellStart"/>
      <w:r w:rsidRPr="002500C7">
        <w:rPr>
          <w:lang w:val="en-US"/>
        </w:rPr>
        <w:t>gdata</w:t>
      </w:r>
      <w:proofErr w:type="spellEnd"/>
      <w:r w:rsidRPr="002500C7">
        <w:rPr>
          <w:lang w:val="en-US"/>
        </w:rPr>
        <w:t xml:space="preserve"> , vegan , etc. Data have been grouped and stratified according to the metadata file provided by the user.</w:t>
      </w:r>
      <w:r>
        <w:rPr>
          <w:lang w:val="en-US"/>
        </w:rPr>
        <w:t xml:space="preserve"> </w:t>
      </w:r>
      <w:r w:rsidRPr="002500C7">
        <w:rPr>
          <w:lang w:val="en-US"/>
        </w:rPr>
        <w:t>The sequence data have been analyzed using qiime2 pipeline originally cited in Caporaso, et al. (2010).</w:t>
      </w:r>
      <w:r w:rsidRPr="00103799">
        <w:rPr>
          <w:lang w:val="en-US"/>
        </w:rPr>
        <w:t xml:space="preserve"> </w:t>
      </w:r>
      <w:proofErr w:type="spellStart"/>
      <w:r w:rsidRPr="002500C7">
        <w:rPr>
          <w:lang w:val="en-US"/>
        </w:rPr>
        <w:t>Metataxonomy</w:t>
      </w:r>
      <w:proofErr w:type="spellEnd"/>
      <w:r w:rsidRPr="002500C7">
        <w:rPr>
          <w:lang w:val="en-US"/>
        </w:rPr>
        <w:t xml:space="preserve"> analysis was performed using some of qiime2 plugins.</w:t>
      </w:r>
      <w:r>
        <w:rPr>
          <w:lang w:val="en-US"/>
        </w:rPr>
        <w:t xml:space="preserve"> </w:t>
      </w:r>
      <w:r w:rsidRPr="002500C7">
        <w:rPr>
          <w:lang w:val="en-US"/>
        </w:rPr>
        <w:t xml:space="preserve">Denoising, </w:t>
      </w:r>
      <w:proofErr w:type="gramStart"/>
      <w:r w:rsidRPr="002500C7">
        <w:rPr>
          <w:lang w:val="en-US"/>
        </w:rPr>
        <w:t>paired-ends</w:t>
      </w:r>
      <w:proofErr w:type="gramEnd"/>
      <w:r w:rsidRPr="002500C7">
        <w:rPr>
          <w:lang w:val="en-US"/>
        </w:rPr>
        <w:t xml:space="preserve"> joining, and chimera depletion was performed starting from paired ends data using DADA2 pipeline (Callahan, et al., 2016).</w:t>
      </w:r>
      <w:r>
        <w:rPr>
          <w:lang w:val="en-US"/>
        </w:rPr>
        <w:t xml:space="preserve"> </w:t>
      </w:r>
      <w:r w:rsidRPr="002500C7">
        <w:rPr>
          <w:lang w:val="en-US"/>
        </w:rPr>
        <w:t>Taxonomic affiliations have been assigned using the Naive Bayesian classifier integrated in quiime2 plugins.</w:t>
      </w:r>
      <w:r>
        <w:rPr>
          <w:lang w:val="en-US"/>
        </w:rPr>
        <w:t xml:space="preserve"> </w:t>
      </w:r>
      <w:r w:rsidRPr="002500C7">
        <w:rPr>
          <w:lang w:val="en-US"/>
        </w:rPr>
        <w:t>Database used for this taxonomic assignation was the SILVA_release_132 (Quast, et al., 2013).</w:t>
      </w:r>
      <w:r>
        <w:rPr>
          <w:lang w:val="en-US"/>
        </w:rPr>
        <w:t xml:space="preserve"> </w:t>
      </w:r>
      <w:r w:rsidRPr="00103799">
        <w:rPr>
          <w:lang w:val="en-US"/>
        </w:rPr>
        <w:t>Comparative data analysis and plot generation considered only the major contributing functional groups (&gt;1%).</w:t>
      </w:r>
    </w:p>
    <w:p w14:paraId="390C14A8" w14:textId="7829FD6D" w:rsidR="008A5EE6" w:rsidRPr="00A20628" w:rsidRDefault="003D2020" w:rsidP="00A20628">
      <w:pPr>
        <w:spacing w:line="276" w:lineRule="auto"/>
        <w:jc w:val="both"/>
        <w:rPr>
          <w:b/>
          <w:bCs/>
          <w:u w:val="single"/>
          <w:lang w:val="en-US"/>
        </w:rPr>
      </w:pPr>
      <w:r w:rsidRPr="00A20628">
        <w:rPr>
          <w:b/>
          <w:bCs/>
          <w:u w:val="single"/>
          <w:lang w:val="en-US"/>
        </w:rPr>
        <w:t>References</w:t>
      </w:r>
    </w:p>
    <w:p w14:paraId="68F609E1" w14:textId="40696E6E" w:rsidR="003D2020" w:rsidRPr="003269C0" w:rsidRDefault="003D2020" w:rsidP="00A20628">
      <w:pPr>
        <w:spacing w:line="276" w:lineRule="auto"/>
        <w:jc w:val="both"/>
        <w:rPr>
          <w:lang w:val="en-US"/>
        </w:rPr>
      </w:pPr>
      <w:r w:rsidRPr="00A20628">
        <w:rPr>
          <w:lang w:val="en-US"/>
        </w:rPr>
        <w:t>R. Schmieder et al. "Quality control and preprocessing of metagenomic datasets". In: </w:t>
      </w:r>
      <w:r w:rsidRPr="00A20628">
        <w:rPr>
          <w:i/>
          <w:iCs/>
          <w:lang w:val="en-US"/>
        </w:rPr>
        <w:t>Bioinformatics</w:t>
      </w:r>
      <w:r w:rsidRPr="00A20628">
        <w:rPr>
          <w:lang w:val="en-US"/>
        </w:rPr>
        <w:t xml:space="preserve"> 27.6 (mar. 2011). [PubMed </w:t>
      </w:r>
      <w:proofErr w:type="gramStart"/>
      <w:r w:rsidRPr="00A20628">
        <w:rPr>
          <w:lang w:val="en-US"/>
        </w:rPr>
        <w:t>Central:PMC</w:t>
      </w:r>
      <w:proofErr w:type="gramEnd"/>
      <w:r w:rsidRPr="00A20628">
        <w:rPr>
          <w:lang w:val="en-US"/>
        </w:rPr>
        <w:t>3051327] [</w:t>
      </w:r>
      <w:hyperlink r:id="rId11" w:history="1">
        <w:r w:rsidRPr="00A20628">
          <w:rPr>
            <w:lang w:val="en-US"/>
          </w:rPr>
          <w:t>DOI:10.1093/bioinformatics/btr026</w:t>
        </w:r>
      </w:hyperlink>
      <w:r w:rsidRPr="00A20628">
        <w:rPr>
          <w:lang w:val="en-US"/>
        </w:rPr>
        <w:t>] [PubMed:21278185] , pp. 863-864.</w:t>
      </w:r>
    </w:p>
    <w:p w14:paraId="43862452" w14:textId="53AAA40F" w:rsidR="003D2020" w:rsidRPr="003269C0" w:rsidRDefault="003D2020" w:rsidP="00A20628">
      <w:pPr>
        <w:spacing w:line="276" w:lineRule="auto"/>
        <w:jc w:val="both"/>
        <w:rPr>
          <w:lang w:val="en-US"/>
        </w:rPr>
      </w:pPr>
      <w:r w:rsidRPr="00A20628">
        <w:rPr>
          <w:lang w:val="en-US"/>
        </w:rPr>
        <w:t>R Core Team. </w:t>
      </w:r>
      <w:r w:rsidRPr="00A20628">
        <w:rPr>
          <w:i/>
          <w:iCs/>
          <w:lang w:val="en-US"/>
        </w:rPr>
        <w:t>R: A Language and Environment for Statistical Computing</w:t>
      </w:r>
      <w:r w:rsidRPr="00A20628">
        <w:rPr>
          <w:lang w:val="en-US"/>
        </w:rPr>
        <w:t>. ISBN 3-900051-07-0. R Foundation for Statistical Computing. Vienna, Austria, 2012. &lt;URL: </w:t>
      </w:r>
      <w:hyperlink r:id="rId12" w:history="1">
        <w:r w:rsidRPr="00A20628">
          <w:rPr>
            <w:lang w:val="en-US"/>
          </w:rPr>
          <w:t>http://www.R-project.org/</w:t>
        </w:r>
      </w:hyperlink>
      <w:r w:rsidRPr="00A20628">
        <w:rPr>
          <w:lang w:val="en-US"/>
        </w:rPr>
        <w:t>&gt;.</w:t>
      </w:r>
    </w:p>
    <w:p w14:paraId="7E402CB4" w14:textId="77777777" w:rsidR="003D2020" w:rsidRPr="00A20628" w:rsidRDefault="003D2020" w:rsidP="00A20628">
      <w:pPr>
        <w:spacing w:line="276" w:lineRule="auto"/>
        <w:jc w:val="both"/>
        <w:rPr>
          <w:lang w:val="en-US"/>
        </w:rPr>
      </w:pPr>
      <w:r w:rsidRPr="003269C0">
        <w:t xml:space="preserve">J. G. </w:t>
      </w:r>
      <w:proofErr w:type="spellStart"/>
      <w:r w:rsidRPr="003269C0">
        <w:t>Caporaso</w:t>
      </w:r>
      <w:proofErr w:type="spellEnd"/>
      <w:r w:rsidRPr="003269C0">
        <w:t xml:space="preserve"> et al. </w:t>
      </w:r>
      <w:r w:rsidRPr="00A20628">
        <w:rPr>
          <w:lang w:val="en-US"/>
        </w:rPr>
        <w:t>"QIIME allows analysis of high-throughput community sequencing data". In: </w:t>
      </w:r>
      <w:r w:rsidRPr="00A20628">
        <w:rPr>
          <w:i/>
          <w:iCs/>
          <w:lang w:val="en-US"/>
        </w:rPr>
        <w:t>Nat. Methods</w:t>
      </w:r>
      <w:r w:rsidRPr="00A20628">
        <w:rPr>
          <w:lang w:val="en-US"/>
        </w:rPr>
        <w:t xml:space="preserve"> 7.5 (may. 2010). [PubMed </w:t>
      </w:r>
      <w:proofErr w:type="gramStart"/>
      <w:r w:rsidRPr="00A20628">
        <w:rPr>
          <w:lang w:val="en-US"/>
        </w:rPr>
        <w:t>Central:PMC</w:t>
      </w:r>
      <w:proofErr w:type="gramEnd"/>
      <w:r w:rsidRPr="00A20628">
        <w:rPr>
          <w:lang w:val="en-US"/>
        </w:rPr>
        <w:t>3156573] [</w:t>
      </w:r>
      <w:hyperlink r:id="rId13" w:history="1">
        <w:r w:rsidRPr="00A20628">
          <w:rPr>
            <w:lang w:val="en-US"/>
          </w:rPr>
          <w:t>DOI:10.1038/nmeth.f.303</w:t>
        </w:r>
      </w:hyperlink>
      <w:r w:rsidRPr="00A20628">
        <w:rPr>
          <w:lang w:val="en-US"/>
        </w:rPr>
        <w:t xml:space="preserve">] [PubMed:20383131] , pp. 335-336. </w:t>
      </w:r>
    </w:p>
    <w:p w14:paraId="140837F2" w14:textId="77777777" w:rsidR="003D2020" w:rsidRPr="00A20628" w:rsidRDefault="003D2020" w:rsidP="00A20628">
      <w:pPr>
        <w:spacing w:line="276" w:lineRule="auto"/>
        <w:jc w:val="both"/>
        <w:rPr>
          <w:lang w:val="en-US"/>
        </w:rPr>
      </w:pPr>
      <w:r w:rsidRPr="003269C0">
        <w:t xml:space="preserve">B. J. </w:t>
      </w:r>
      <w:proofErr w:type="spellStart"/>
      <w:r w:rsidRPr="003269C0">
        <w:t>Callahan</w:t>
      </w:r>
      <w:proofErr w:type="spellEnd"/>
      <w:r w:rsidRPr="003269C0">
        <w:t xml:space="preserve"> et al. </w:t>
      </w:r>
      <w:r w:rsidRPr="00A20628">
        <w:rPr>
          <w:lang w:val="en-US"/>
        </w:rPr>
        <w:t>"DADA2: High-resolution sample inference from Illumina amplicon data". In: </w:t>
      </w:r>
      <w:r w:rsidRPr="00A20628">
        <w:rPr>
          <w:i/>
          <w:iCs/>
          <w:lang w:val="en-US"/>
        </w:rPr>
        <w:t>Nat. Methods</w:t>
      </w:r>
      <w:r w:rsidRPr="00A20628">
        <w:rPr>
          <w:lang w:val="en-US"/>
        </w:rPr>
        <w:t> 13.7 (</w:t>
      </w:r>
      <w:proofErr w:type="spellStart"/>
      <w:r w:rsidRPr="00A20628">
        <w:rPr>
          <w:lang w:val="en-US"/>
        </w:rPr>
        <w:t>jul.</w:t>
      </w:r>
      <w:proofErr w:type="spellEnd"/>
      <w:r w:rsidRPr="00A20628">
        <w:rPr>
          <w:lang w:val="en-US"/>
        </w:rPr>
        <w:t xml:space="preserve"> 2016). [PubMed </w:t>
      </w:r>
      <w:proofErr w:type="gramStart"/>
      <w:r w:rsidRPr="00A20628">
        <w:rPr>
          <w:lang w:val="en-US"/>
        </w:rPr>
        <w:t>Central:PMC</w:t>
      </w:r>
      <w:proofErr w:type="gramEnd"/>
      <w:r w:rsidRPr="00A20628">
        <w:rPr>
          <w:lang w:val="en-US"/>
        </w:rPr>
        <w:t>4927377] [</w:t>
      </w:r>
      <w:hyperlink r:id="rId14" w:history="1">
        <w:r w:rsidRPr="00A20628">
          <w:rPr>
            <w:lang w:val="en-US"/>
          </w:rPr>
          <w:t>DOI:10.1038/nmeth.3869</w:t>
        </w:r>
      </w:hyperlink>
      <w:r w:rsidRPr="00A20628">
        <w:rPr>
          <w:lang w:val="en-US"/>
        </w:rPr>
        <w:t xml:space="preserve">] [PubMed:27214047] , pp. 581-583. </w:t>
      </w:r>
    </w:p>
    <w:p w14:paraId="4B580B2D" w14:textId="77777777" w:rsidR="003D2020" w:rsidRPr="00A20628" w:rsidRDefault="003D2020" w:rsidP="00A20628">
      <w:pPr>
        <w:spacing w:line="276" w:lineRule="auto"/>
        <w:jc w:val="both"/>
        <w:rPr>
          <w:lang w:val="en-US"/>
        </w:rPr>
      </w:pPr>
      <w:r w:rsidRPr="00A20628">
        <w:rPr>
          <w:lang w:val="en-US"/>
        </w:rPr>
        <w:t>C. Quast et al. "The SILVA ribosomal RNA gene database project: improved data processing and web-based tools". In: </w:t>
      </w:r>
      <w:r w:rsidRPr="00A20628">
        <w:rPr>
          <w:i/>
          <w:iCs/>
          <w:lang w:val="en-US"/>
        </w:rPr>
        <w:t>Nucleic Acids Res.</w:t>
      </w:r>
      <w:r w:rsidRPr="00A20628">
        <w:rPr>
          <w:lang w:val="en-US"/>
        </w:rPr>
        <w:t> </w:t>
      </w:r>
      <w:proofErr w:type="gramStart"/>
      <w:r w:rsidRPr="00A20628">
        <w:rPr>
          <w:lang w:val="en-US"/>
        </w:rPr>
        <w:t>41.Database</w:t>
      </w:r>
      <w:proofErr w:type="gramEnd"/>
      <w:r w:rsidRPr="00A20628">
        <w:rPr>
          <w:lang w:val="en-US"/>
        </w:rPr>
        <w:t xml:space="preserve"> issue (</w:t>
      </w:r>
      <w:proofErr w:type="spellStart"/>
      <w:r w:rsidRPr="00A20628">
        <w:rPr>
          <w:lang w:val="en-US"/>
        </w:rPr>
        <w:t>ene</w:t>
      </w:r>
      <w:proofErr w:type="spellEnd"/>
      <w:r w:rsidRPr="00A20628">
        <w:rPr>
          <w:lang w:val="en-US"/>
        </w:rPr>
        <w:t xml:space="preserve">. 2013). [PubMed </w:t>
      </w:r>
      <w:proofErr w:type="gramStart"/>
      <w:r w:rsidRPr="00A20628">
        <w:rPr>
          <w:lang w:val="en-US"/>
        </w:rPr>
        <w:t>Central:PMC</w:t>
      </w:r>
      <w:proofErr w:type="gramEnd"/>
      <w:r w:rsidRPr="00A20628">
        <w:rPr>
          <w:lang w:val="en-US"/>
        </w:rPr>
        <w:t>3531112][</w:t>
      </w:r>
      <w:hyperlink r:id="rId15" w:history="1">
        <w:r w:rsidRPr="00A20628">
          <w:rPr>
            <w:lang w:val="en-US"/>
          </w:rPr>
          <w:t>DOI:10.1093/</w:t>
        </w:r>
        <w:proofErr w:type="spellStart"/>
        <w:r w:rsidRPr="00A20628">
          <w:rPr>
            <w:lang w:val="en-US"/>
          </w:rPr>
          <w:t>nar</w:t>
        </w:r>
        <w:proofErr w:type="spellEnd"/>
        <w:r w:rsidRPr="00A20628">
          <w:rPr>
            <w:lang w:val="en-US"/>
          </w:rPr>
          <w:t>/gks1219</w:t>
        </w:r>
      </w:hyperlink>
      <w:r w:rsidRPr="00A20628">
        <w:rPr>
          <w:lang w:val="en-US"/>
        </w:rPr>
        <w:t xml:space="preserve">] [PubMed:23193283] , pp. D590-596. </w:t>
      </w:r>
    </w:p>
    <w:p w14:paraId="38BFBA5F" w14:textId="77777777" w:rsidR="003D2020" w:rsidRPr="003D2020" w:rsidRDefault="003D2020" w:rsidP="008A5EE6">
      <w:pPr>
        <w:rPr>
          <w:rStyle w:val="cf01"/>
          <w:lang w:val="en-US"/>
        </w:rPr>
      </w:pPr>
    </w:p>
    <w:p w14:paraId="4C857117" w14:textId="77777777" w:rsidR="003D2020" w:rsidRPr="003D2020" w:rsidRDefault="003D2020" w:rsidP="008A5EE6">
      <w:pPr>
        <w:rPr>
          <w:lang w:val="en-US"/>
        </w:rPr>
      </w:pPr>
    </w:p>
    <w:sectPr w:rsidR="003D2020" w:rsidRPr="003D20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4624"/>
    <w:multiLevelType w:val="hybridMultilevel"/>
    <w:tmpl w:val="1C7C3E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327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NjMxNDE2MDGxMDNX0lEKTi0uzszPAykwrAUAdKNysSwAAAA="/>
  </w:docVars>
  <w:rsids>
    <w:rsidRoot w:val="002511F8"/>
    <w:rsid w:val="002511F8"/>
    <w:rsid w:val="003269C0"/>
    <w:rsid w:val="003D2020"/>
    <w:rsid w:val="005476A0"/>
    <w:rsid w:val="007D5C7A"/>
    <w:rsid w:val="007E7773"/>
    <w:rsid w:val="007F0EE3"/>
    <w:rsid w:val="007F7FBA"/>
    <w:rsid w:val="008A5EE6"/>
    <w:rsid w:val="008C2E69"/>
    <w:rsid w:val="00944792"/>
    <w:rsid w:val="00961C19"/>
    <w:rsid w:val="00990C61"/>
    <w:rsid w:val="009B69B6"/>
    <w:rsid w:val="00A20628"/>
    <w:rsid w:val="00AA1480"/>
    <w:rsid w:val="00B8750B"/>
    <w:rsid w:val="00BF7C87"/>
    <w:rsid w:val="00CA343D"/>
    <w:rsid w:val="00CB3B67"/>
    <w:rsid w:val="00CC2FE5"/>
    <w:rsid w:val="00ED5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6E1F"/>
  <w15:chartTrackingRefBased/>
  <w15:docId w15:val="{0BBDBBC1-94B6-43C3-A4A5-59EE8114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2511F8"/>
    <w:pPr>
      <w:spacing w:after="200" w:line="240" w:lineRule="auto"/>
    </w:pPr>
    <w:rPr>
      <w:i/>
      <w:iCs/>
      <w:color w:val="44546A" w:themeColor="text2"/>
      <w:sz w:val="18"/>
      <w:szCs w:val="18"/>
    </w:rPr>
  </w:style>
  <w:style w:type="character" w:styleId="Refdecomentario">
    <w:name w:val="annotation reference"/>
    <w:basedOn w:val="Fuentedeprrafopredeter"/>
    <w:unhideWhenUsed/>
    <w:rsid w:val="00BF7C87"/>
    <w:rPr>
      <w:sz w:val="16"/>
      <w:szCs w:val="16"/>
    </w:rPr>
  </w:style>
  <w:style w:type="paragraph" w:styleId="Textocomentario">
    <w:name w:val="annotation text"/>
    <w:basedOn w:val="Normal"/>
    <w:link w:val="TextocomentarioCar"/>
    <w:uiPriority w:val="99"/>
    <w:unhideWhenUsed/>
    <w:rsid w:val="00BF7C87"/>
    <w:pPr>
      <w:spacing w:line="240" w:lineRule="auto"/>
    </w:pPr>
    <w:rPr>
      <w:sz w:val="20"/>
      <w:szCs w:val="20"/>
    </w:rPr>
  </w:style>
  <w:style w:type="character" w:customStyle="1" w:styleId="TextocomentarioCar">
    <w:name w:val="Texto comentario Car"/>
    <w:basedOn w:val="Fuentedeprrafopredeter"/>
    <w:link w:val="Textocomentario"/>
    <w:uiPriority w:val="99"/>
    <w:rsid w:val="00BF7C87"/>
    <w:rPr>
      <w:sz w:val="20"/>
      <w:szCs w:val="20"/>
    </w:rPr>
  </w:style>
  <w:style w:type="character" w:styleId="Hipervnculo">
    <w:name w:val="Hyperlink"/>
    <w:basedOn w:val="Fuentedeprrafopredeter"/>
    <w:uiPriority w:val="99"/>
    <w:unhideWhenUsed/>
    <w:rsid w:val="00BF7C87"/>
    <w:rPr>
      <w:color w:val="0563C1" w:themeColor="hyperlink"/>
      <w:u w:val="single"/>
    </w:rPr>
  </w:style>
  <w:style w:type="character" w:customStyle="1" w:styleId="cf01">
    <w:name w:val="cf01"/>
    <w:basedOn w:val="Fuentedeprrafopredeter"/>
    <w:rsid w:val="003D2020"/>
    <w:rPr>
      <w:rFonts w:ascii="Segoe UI" w:hAnsi="Segoe UI" w:cs="Segoe UI" w:hint="default"/>
      <w:color w:val="555555"/>
      <w:sz w:val="18"/>
      <w:szCs w:val="18"/>
      <w:shd w:val="clear" w:color="auto" w:fill="FFFFFF"/>
    </w:rPr>
  </w:style>
  <w:style w:type="character" w:customStyle="1" w:styleId="cf11">
    <w:name w:val="cf11"/>
    <w:basedOn w:val="Fuentedeprrafopredeter"/>
    <w:rsid w:val="003D2020"/>
    <w:rPr>
      <w:rFonts w:ascii="Segoe UI" w:hAnsi="Segoe UI" w:cs="Segoe UI" w:hint="default"/>
      <w:i/>
      <w:iCs/>
      <w:color w:val="555555"/>
      <w:sz w:val="18"/>
      <w:szCs w:val="18"/>
      <w:shd w:val="clear" w:color="auto" w:fill="FFFFFF"/>
    </w:rPr>
  </w:style>
  <w:style w:type="character" w:customStyle="1" w:styleId="cf21">
    <w:name w:val="cf21"/>
    <w:basedOn w:val="Fuentedeprrafopredeter"/>
    <w:rsid w:val="003D2020"/>
    <w:rPr>
      <w:rFonts w:ascii="Segoe UI" w:hAnsi="Segoe UI" w:cs="Segoe UI" w:hint="default"/>
      <w:sz w:val="18"/>
      <w:szCs w:val="18"/>
    </w:rPr>
  </w:style>
  <w:style w:type="paragraph" w:customStyle="1" w:styleId="pf0">
    <w:name w:val="pf0"/>
    <w:basedOn w:val="Normal"/>
    <w:rsid w:val="003D202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F7FBA"/>
    <w:pPr>
      <w:ind w:left="720"/>
      <w:contextualSpacing/>
    </w:pPr>
  </w:style>
  <w:style w:type="paragraph" w:styleId="Revisin">
    <w:name w:val="Revision"/>
    <w:hidden/>
    <w:uiPriority w:val="99"/>
    <w:semiHidden/>
    <w:rsid w:val="00CC2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520">
      <w:bodyDiv w:val="1"/>
      <w:marLeft w:val="0"/>
      <w:marRight w:val="0"/>
      <w:marTop w:val="0"/>
      <w:marBottom w:val="0"/>
      <w:divBdr>
        <w:top w:val="none" w:sz="0" w:space="0" w:color="auto"/>
        <w:left w:val="none" w:sz="0" w:space="0" w:color="auto"/>
        <w:bottom w:val="none" w:sz="0" w:space="0" w:color="auto"/>
        <w:right w:val="none" w:sz="0" w:space="0" w:color="auto"/>
      </w:divBdr>
    </w:div>
    <w:div w:id="1136987908">
      <w:bodyDiv w:val="1"/>
      <w:marLeft w:val="0"/>
      <w:marRight w:val="0"/>
      <w:marTop w:val="0"/>
      <w:marBottom w:val="0"/>
      <w:divBdr>
        <w:top w:val="none" w:sz="0" w:space="0" w:color="auto"/>
        <w:left w:val="none" w:sz="0" w:space="0" w:color="auto"/>
        <w:bottom w:val="none" w:sz="0" w:space="0" w:color="auto"/>
        <w:right w:val="none" w:sz="0" w:space="0" w:color="auto"/>
      </w:divBdr>
    </w:div>
    <w:div w:id="1476606866">
      <w:bodyDiv w:val="1"/>
      <w:marLeft w:val="0"/>
      <w:marRight w:val="0"/>
      <w:marTop w:val="0"/>
      <w:marBottom w:val="0"/>
      <w:divBdr>
        <w:top w:val="none" w:sz="0" w:space="0" w:color="auto"/>
        <w:left w:val="none" w:sz="0" w:space="0" w:color="auto"/>
        <w:bottom w:val="none" w:sz="0" w:space="0" w:color="auto"/>
        <w:right w:val="none" w:sz="0" w:space="0" w:color="auto"/>
      </w:divBdr>
    </w:div>
    <w:div w:id="21226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DOI:10.1038/nmeth.f.303"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R-projec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DOI:10.1093/bioinformatics/btr026" TargetMode="External"/><Relationship Id="rId5" Type="http://schemas.openxmlformats.org/officeDocument/2006/relationships/image" Target="media/image1.emf"/><Relationship Id="rId15" Type="http://schemas.openxmlformats.org/officeDocument/2006/relationships/hyperlink" Target="DOI:10.1093/nar/gks1219"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DOI:10.1038/nmeth.38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674</Words>
  <Characters>4281</Characters>
  <Application>Microsoft Office Word</Application>
  <DocSecurity>0</DocSecurity>
  <Lines>75</Lines>
  <Paragraphs>23</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Chacón Aparicio</dc:creator>
  <cp:keywords/>
  <dc:description/>
  <cp:lastModifiedBy>Daniel Melchor Puyol Santos</cp:lastModifiedBy>
  <cp:revision>4</cp:revision>
  <dcterms:created xsi:type="dcterms:W3CDTF">2023-07-27T09:09:00Z</dcterms:created>
  <dcterms:modified xsi:type="dcterms:W3CDTF">2023-07-28T16:48:00Z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7e5782de42917cb24907177b07a6961b16bf89b4ab195bbc3ac4847cdfa5fc5c</vt:lpwstr>
  </property>
</Properties>
</file>